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5"/>
          <w:szCs w:val="15"/>
          <w:b w:val="1"/>
          <w:bCs w:val="1"/>
          <w:color w:val="auto"/>
        </w:rPr>
        <w:t>UNITED STATES</w:t>
      </w:r>
    </w:p>
    <w:p>
      <w:pPr>
        <w:spacing w:after="0" w:line="93"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SECURITIES AND EXCHANGE COMMISSION</w:t>
      </w:r>
    </w:p>
    <w:p>
      <w:pPr>
        <w:spacing w:after="0" w:line="93" w:lineRule="exact"/>
        <w:rPr>
          <w:sz w:val="24"/>
          <w:szCs w:val="24"/>
          <w:color w:val="auto"/>
        </w:rPr>
      </w:pPr>
    </w:p>
    <w:p>
      <w:pPr>
        <w:jc w:val="center"/>
        <w:ind w:right="-1040"/>
        <w:spacing w:after="0"/>
        <w:rPr>
          <w:sz w:val="20"/>
          <w:szCs w:val="20"/>
          <w:color w:val="auto"/>
        </w:rPr>
      </w:pPr>
      <w:r>
        <w:rPr>
          <w:rFonts w:ascii="Arial" w:cs="Arial" w:eastAsia="Arial" w:hAnsi="Arial"/>
          <w:sz w:val="15"/>
          <w:szCs w:val="15"/>
          <w:color w:val="auto"/>
        </w:rPr>
        <w:t>Washington, D.C. 20549</w:t>
      </w:r>
    </w:p>
    <w:p>
      <w:pPr>
        <w:spacing w:after="0" w:line="161" w:lineRule="exact"/>
        <w:rPr>
          <w:sz w:val="24"/>
          <w:szCs w:val="24"/>
          <w:color w:val="auto"/>
        </w:rPr>
      </w:pPr>
    </w:p>
    <w:p>
      <w:pPr>
        <w:jc w:val="center"/>
        <w:ind w:right="-1040"/>
        <w:spacing w:after="0"/>
        <w:rPr>
          <w:sz w:val="20"/>
          <w:szCs w:val="20"/>
          <w:color w:val="auto"/>
        </w:rPr>
      </w:pPr>
      <w:r>
        <w:rPr>
          <w:rFonts w:ascii="Arial" w:cs="Arial" w:eastAsia="Arial" w:hAnsi="Arial"/>
          <w:sz w:val="27"/>
          <w:szCs w:val="27"/>
          <w:b w:val="1"/>
          <w:bCs w:val="1"/>
          <w:color w:val="auto"/>
        </w:rPr>
        <w:t>SCHEDULE 14A</w:t>
      </w:r>
    </w:p>
    <w:p>
      <w:pPr>
        <w:spacing w:after="0" w:line="201"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Proxy Statement Pursuant to Section 14(a) of the Securities</w:t>
      </w:r>
    </w:p>
    <w:p>
      <w:pPr>
        <w:spacing w:after="0" w:line="18"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Exchange Act of 1934</w:t>
      </w:r>
    </w:p>
    <w:p>
      <w:pPr>
        <w:spacing w:after="0" w:line="147" w:lineRule="exact"/>
        <w:rPr>
          <w:sz w:val="24"/>
          <w:szCs w:val="24"/>
          <w:color w:val="auto"/>
        </w:rPr>
      </w:pPr>
    </w:p>
    <w:p>
      <w:pPr>
        <w:jc w:val="right"/>
        <w:ind w:right="339"/>
        <w:spacing w:after="0"/>
        <w:rPr>
          <w:sz w:val="20"/>
          <w:szCs w:val="20"/>
          <w:color w:val="auto"/>
        </w:rPr>
      </w:pPr>
      <w:r>
        <w:rPr>
          <w:sz w:val="1"/>
          <w:szCs w:val="1"/>
          <w:color w:val="auto"/>
        </w:rPr>
        <w:drawing>
          <wp:inline distT="0" distB="0" distL="0" distR="0">
            <wp:extent cx="168275" cy="15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275" cy="152400"/>
                    </a:xfrm>
                    <a:prstGeom prst="rect">
                      <a:avLst/>
                    </a:prstGeom>
                    <a:noFill/>
                    <a:ln>
                      <a:noFill/>
                    </a:ln>
                  </pic:spPr>
                </pic:pic>
              </a:graphicData>
            </a:graphic>
          </wp:inline>
        </w:drawing>
      </w:r>
      <w:r>
        <w:rPr>
          <w:rFonts w:ascii="Arial" w:cs="Arial" w:eastAsia="Arial" w:hAnsi="Arial"/>
          <w:sz w:val="15"/>
          <w:szCs w:val="15"/>
          <w:color w:val="auto"/>
        </w:rPr>
        <w:t xml:space="preserve"> Filed by Registrant                                               </w:t>
      </w:r>
      <w:r>
        <w:rPr>
          <w:sz w:val="1"/>
          <w:szCs w:val="1"/>
          <w:color w:val="auto"/>
        </w:rPr>
        <w:drawing>
          <wp:inline distT="0" distB="0" distL="0" distR="0">
            <wp:extent cx="168275" cy="15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275" cy="152400"/>
                    </a:xfrm>
                    <a:prstGeom prst="rect">
                      <a:avLst/>
                    </a:prstGeom>
                    <a:noFill/>
                    <a:ln>
                      <a:noFill/>
                    </a:ln>
                  </pic:spPr>
                </pic:pic>
              </a:graphicData>
            </a:graphic>
          </wp:inline>
        </w:drawing>
      </w:r>
      <w:r>
        <w:rPr>
          <w:rFonts w:ascii="Arial" w:cs="Arial" w:eastAsia="Arial" w:hAnsi="Arial"/>
          <w:sz w:val="15"/>
          <w:szCs w:val="15"/>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144145</wp:posOffset>
            </wp:positionV>
            <wp:extent cx="7141210" cy="1322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1322705"/>
                    </a:xfrm>
                    <a:prstGeom prst="rect">
                      <a:avLst/>
                    </a:prstGeom>
                    <a:noFill/>
                  </pic:spPr>
                </pic:pic>
              </a:graphicData>
            </a:graphic>
          </wp:anchor>
        </w:drawing>
      </w:r>
    </w:p>
    <w:p>
      <w:pPr>
        <w:spacing w:after="0" w:line="253"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75" w:lineRule="exact"/>
        <w:rPr>
          <w:sz w:val="24"/>
          <w:szCs w:val="24"/>
          <w:color w:val="auto"/>
        </w:rPr>
      </w:pPr>
    </w:p>
    <w:p>
      <w:pPr>
        <w:ind w:left="580"/>
        <w:spacing w:after="0"/>
        <w:rPr>
          <w:sz w:val="20"/>
          <w:szCs w:val="20"/>
          <w:color w:val="auto"/>
        </w:rPr>
      </w:pPr>
      <w:r>
        <w:rPr>
          <w:rFonts w:ascii="Arial" w:cs="Arial" w:eastAsia="Arial" w:hAnsi="Arial"/>
          <w:sz w:val="15"/>
          <w:szCs w:val="15"/>
          <w:color w:val="auto"/>
        </w:rPr>
        <w:t>Preliminary Proxy Statement</w:t>
      </w:r>
    </w:p>
    <w:p>
      <w:pPr>
        <w:spacing w:after="0" w:line="181" w:lineRule="exact"/>
        <w:rPr>
          <w:sz w:val="24"/>
          <w:szCs w:val="24"/>
          <w:color w:val="auto"/>
        </w:rPr>
      </w:pPr>
    </w:p>
    <w:p>
      <w:pPr>
        <w:ind w:left="580"/>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181" w:lineRule="exact"/>
        <w:rPr>
          <w:sz w:val="24"/>
          <w:szCs w:val="24"/>
          <w:color w:val="auto"/>
        </w:rPr>
      </w:pPr>
    </w:p>
    <w:p>
      <w:pPr>
        <w:ind w:left="580"/>
        <w:spacing w:after="0"/>
        <w:rPr>
          <w:sz w:val="20"/>
          <w:szCs w:val="20"/>
          <w:color w:val="auto"/>
        </w:rPr>
      </w:pPr>
      <w:r>
        <w:rPr>
          <w:rFonts w:ascii="Arial" w:cs="Arial" w:eastAsia="Arial" w:hAnsi="Arial"/>
          <w:sz w:val="15"/>
          <w:szCs w:val="15"/>
          <w:color w:val="auto"/>
        </w:rPr>
        <w:t>Definitive Proxy Statement</w:t>
      </w:r>
    </w:p>
    <w:p>
      <w:pPr>
        <w:spacing w:after="0" w:line="181" w:lineRule="exact"/>
        <w:rPr>
          <w:sz w:val="24"/>
          <w:szCs w:val="24"/>
          <w:color w:val="auto"/>
        </w:rPr>
      </w:pPr>
    </w:p>
    <w:p>
      <w:pPr>
        <w:ind w:left="580"/>
        <w:spacing w:after="0"/>
        <w:rPr>
          <w:sz w:val="20"/>
          <w:szCs w:val="20"/>
          <w:color w:val="auto"/>
        </w:rPr>
      </w:pPr>
      <w:r>
        <w:rPr>
          <w:rFonts w:ascii="Arial" w:cs="Arial" w:eastAsia="Arial" w:hAnsi="Arial"/>
          <w:sz w:val="15"/>
          <w:szCs w:val="15"/>
          <w:color w:val="auto"/>
        </w:rPr>
        <w:t>Definitive Additional Materials</w:t>
      </w:r>
    </w:p>
    <w:p>
      <w:pPr>
        <w:spacing w:after="0" w:line="181" w:lineRule="exact"/>
        <w:rPr>
          <w:sz w:val="24"/>
          <w:szCs w:val="24"/>
          <w:color w:val="auto"/>
        </w:rPr>
      </w:pPr>
    </w:p>
    <w:p>
      <w:pPr>
        <w:ind w:left="580"/>
        <w:spacing w:after="0"/>
        <w:rPr>
          <w:sz w:val="20"/>
          <w:szCs w:val="20"/>
          <w:color w:val="auto"/>
        </w:rPr>
      </w:pPr>
      <w:r>
        <w:rPr>
          <w:rFonts w:ascii="Arial" w:cs="Arial" w:eastAsia="Arial" w:hAnsi="Arial"/>
          <w:sz w:val="15"/>
          <w:szCs w:val="15"/>
          <w:color w:val="auto"/>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100"/>
        <w:spacing w:after="0"/>
        <w:rPr>
          <w:sz w:val="20"/>
          <w:szCs w:val="20"/>
          <w:color w:val="auto"/>
        </w:rPr>
      </w:pPr>
      <w:r>
        <w:rPr>
          <w:rFonts w:ascii="Arial" w:cs="Arial" w:eastAsia="Arial" w:hAnsi="Arial"/>
          <w:sz w:val="34"/>
          <w:szCs w:val="34"/>
          <w:b w:val="1"/>
          <w:bCs w:val="1"/>
          <w:color w:val="A26F2A"/>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2607310</wp:posOffset>
            </wp:positionH>
            <wp:positionV relativeFrom="paragraph">
              <wp:posOffset>135255</wp:posOffset>
            </wp:positionV>
            <wp:extent cx="1827530" cy="673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7530" cy="6731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1040"/>
        <w:spacing w:after="0"/>
        <w:rPr>
          <w:sz w:val="20"/>
          <w:szCs w:val="20"/>
          <w:color w:val="auto"/>
        </w:rPr>
      </w:pPr>
      <w:r>
        <w:rPr>
          <w:rFonts w:ascii="Arial" w:cs="Arial" w:eastAsia="Arial" w:hAnsi="Arial"/>
          <w:sz w:val="15"/>
          <w:szCs w:val="15"/>
          <w:i w:val="1"/>
          <w:iCs w:val="1"/>
          <w:color w:val="auto"/>
        </w:rPr>
        <w:t>(Name of Registrant as Specified In Its Charter)</w:t>
      </w:r>
    </w:p>
    <w:p>
      <w:pPr>
        <w:spacing w:after="0" w:line="93" w:lineRule="exact"/>
        <w:rPr>
          <w:sz w:val="24"/>
          <w:szCs w:val="24"/>
          <w:color w:val="auto"/>
        </w:rPr>
      </w:pPr>
    </w:p>
    <w:p>
      <w:pPr>
        <w:jc w:val="center"/>
        <w:ind w:right="-1040"/>
        <w:spacing w:after="0"/>
        <w:rPr>
          <w:sz w:val="20"/>
          <w:szCs w:val="20"/>
          <w:color w:val="auto"/>
        </w:rPr>
      </w:pPr>
      <w:r>
        <w:rPr>
          <w:rFonts w:ascii="Arial" w:cs="Arial" w:eastAsia="Arial" w:hAnsi="Arial"/>
          <w:sz w:val="15"/>
          <w:szCs w:val="15"/>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66675</wp:posOffset>
            </wp:positionV>
            <wp:extent cx="7141210" cy="873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73760"/>
                    </a:xfrm>
                    <a:prstGeom prst="rect">
                      <a:avLst/>
                    </a:prstGeom>
                    <a:noFill/>
                  </pic:spPr>
                </pic:pic>
              </a:graphicData>
            </a:graphic>
          </wp:anchor>
        </w:drawing>
      </w:r>
    </w:p>
    <w:p>
      <w:pPr>
        <w:spacing w:after="0" w:line="131"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75" w:lineRule="exact"/>
        <w:rPr>
          <w:sz w:val="24"/>
          <w:szCs w:val="24"/>
          <w:color w:val="auto"/>
        </w:rPr>
      </w:pPr>
    </w:p>
    <w:p>
      <w:pPr>
        <w:ind w:left="580"/>
        <w:spacing w:after="0"/>
        <w:rPr>
          <w:sz w:val="20"/>
          <w:szCs w:val="20"/>
          <w:color w:val="auto"/>
        </w:rPr>
      </w:pPr>
      <w:r>
        <w:rPr>
          <w:rFonts w:ascii="Arial" w:cs="Arial" w:eastAsia="Arial" w:hAnsi="Arial"/>
          <w:sz w:val="15"/>
          <w:szCs w:val="15"/>
          <w:b w:val="1"/>
          <w:bCs w:val="1"/>
          <w:color w:val="auto"/>
        </w:rPr>
        <w:t>No fee required</w:t>
      </w:r>
    </w:p>
    <w:p>
      <w:pPr>
        <w:spacing w:after="0" w:line="181" w:lineRule="exact"/>
        <w:rPr>
          <w:sz w:val="24"/>
          <w:szCs w:val="24"/>
          <w:color w:val="auto"/>
        </w:rPr>
      </w:pPr>
    </w:p>
    <w:p>
      <w:pPr>
        <w:ind w:left="580"/>
        <w:spacing w:after="0"/>
        <w:rPr>
          <w:sz w:val="20"/>
          <w:szCs w:val="20"/>
          <w:color w:val="auto"/>
        </w:rPr>
      </w:pPr>
      <w:r>
        <w:rPr>
          <w:rFonts w:ascii="Arial" w:cs="Arial" w:eastAsia="Arial" w:hAnsi="Arial"/>
          <w:sz w:val="15"/>
          <w:szCs w:val="15"/>
          <w:b w:val="1"/>
          <w:bCs w:val="1"/>
          <w:color w:val="auto"/>
        </w:rPr>
        <w:t>Fee paid previously with written preliminary materials</w:t>
      </w:r>
    </w:p>
    <w:p>
      <w:pPr>
        <w:spacing w:after="0" w:line="181" w:lineRule="exact"/>
        <w:rPr>
          <w:sz w:val="24"/>
          <w:szCs w:val="24"/>
          <w:color w:val="auto"/>
        </w:rPr>
      </w:pPr>
    </w:p>
    <w:p>
      <w:pPr>
        <w:ind w:left="580"/>
        <w:spacing w:after="0"/>
        <w:rPr>
          <w:sz w:val="20"/>
          <w:szCs w:val="20"/>
          <w:color w:val="auto"/>
        </w:rPr>
      </w:pPr>
      <w:r>
        <w:rPr>
          <w:rFonts w:ascii="Arial" w:cs="Arial" w:eastAsia="Arial" w:hAnsi="Arial"/>
          <w:sz w:val="15"/>
          <w:szCs w:val="15"/>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194945</wp:posOffset>
            </wp:positionV>
            <wp:extent cx="7141210" cy="3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0079"/>
          </w:cols>
          <w:pgMar w:left="380" w:top="228"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257175</wp:posOffset>
            </wp:positionV>
            <wp:extent cx="7141210" cy="8503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503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0"/>
          <w:szCs w:val="40"/>
          <w:b w:val="1"/>
          <w:bCs w:val="1"/>
          <w:color w:val="auto"/>
        </w:rPr>
        <w:t>About Diamondback</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Diamondback is an independent oil and natural gas company headquartered in Midland, Texas focused on the acquisition, development, exploration and exploitation of unconventional, onshore oil and natural gas reserves in the Permian Basin in West Texas.</w:t>
      </w:r>
    </w:p>
    <w:p>
      <w:pPr>
        <w:spacing w:after="0" w:line="39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Core Values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Diamondback and the culture we have developed are grounded in a unique set of core values that are adhered to throughout the entire organization. By establishing core values, we have set the bar extremely high for all of our employees in terms of how they operate and interact, both within the office and out in the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7141210" cy="4319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431990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wp:posOffset>
            </wp:positionH>
            <wp:positionV relativeFrom="page">
              <wp:posOffset>257175</wp:posOffset>
            </wp:positionV>
            <wp:extent cx="136525" cy="1899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6525" cy="1899285"/>
                    </a:xfrm>
                    <a:prstGeom prst="rect">
                      <a:avLst/>
                    </a:prstGeom>
                    <a:noFill/>
                  </pic:spPr>
                </pic:pic>
              </a:graphicData>
            </a:graphic>
          </wp:anchor>
        </w:drawing>
        <w:drawing>
          <wp:anchor simplePos="0" relativeHeight="251657728" behindDoc="1" locked="0" layoutInCell="0" allowOverlap="1">
            <wp:simplePos x="0" y="0"/>
            <wp:positionH relativeFrom="page">
              <wp:posOffset>5749925</wp:posOffset>
            </wp:positionH>
            <wp:positionV relativeFrom="page">
              <wp:posOffset>577850</wp:posOffset>
            </wp:positionV>
            <wp:extent cx="1595120" cy="593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595120" cy="593090"/>
                    </a:xfrm>
                    <a:prstGeom prst="rect">
                      <a:avLst/>
                    </a:prstGeom>
                    <a:noFill/>
                  </pic:spPr>
                </pic:pic>
              </a:graphicData>
            </a:graphic>
          </wp:anchor>
        </w:drawing>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500 West Texas, Suite 100</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Midland, Texas 79701</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44"/>
          <w:szCs w:val="44"/>
          <w:b w:val="1"/>
          <w:bCs w:val="1"/>
          <w:color w:val="auto"/>
        </w:rPr>
        <w:t>MESSAGE FROM</w:t>
      </w:r>
    </w:p>
    <w:p>
      <w:pPr>
        <w:spacing w:after="0" w:line="17" w:lineRule="exact"/>
        <w:rPr>
          <w:sz w:val="20"/>
          <w:szCs w:val="20"/>
          <w:color w:val="auto"/>
        </w:rPr>
      </w:pPr>
    </w:p>
    <w:p>
      <w:pPr>
        <w:spacing w:after="0"/>
        <w:rPr>
          <w:sz w:val="20"/>
          <w:szCs w:val="20"/>
          <w:color w:val="auto"/>
        </w:rPr>
      </w:pPr>
      <w:r>
        <w:rPr>
          <w:rFonts w:ascii="Arial" w:cs="Arial" w:eastAsia="Arial" w:hAnsi="Arial"/>
          <w:sz w:val="44"/>
          <w:szCs w:val="44"/>
          <w:b w:val="1"/>
          <w:bCs w:val="1"/>
          <w:color w:val="auto"/>
        </w:rPr>
        <w:t>OUR EXECUTIVE</w:t>
      </w:r>
    </w:p>
    <w:p>
      <w:pPr>
        <w:spacing w:after="0"/>
        <w:rPr>
          <w:sz w:val="20"/>
          <w:szCs w:val="20"/>
          <w:color w:val="auto"/>
        </w:rPr>
      </w:pPr>
      <w:r>
        <w:rPr>
          <w:rFonts w:ascii="Arial" w:cs="Arial" w:eastAsia="Arial" w:hAnsi="Arial"/>
          <w:sz w:val="44"/>
          <w:szCs w:val="44"/>
          <w:b w:val="1"/>
          <w:bCs w:val="1"/>
          <w:color w:val="auto"/>
        </w:rPr>
        <w:t>CHAIRMAN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26F2A"/>
        </w:rPr>
        <w:t>TRAVIS D. STICE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CHAIRMAN OF THE BOARD</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April 9, 2026</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Dear Diamondback Energy, Inc. Stockholder:</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On behalf of your board of directors and management, I am pleased to invite you to attend our Annual Meeting of Stockholders to be held on Wednesday, May 20, 2026, at 10:00 a.m., local time at our headquarters located at Fasken Center, 500 West Texas Avenue, Midland, TX 79701.</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It is important that your shares be represented at the meeting. Whether or not you plan to attend the meeting in person, we urge you to grant your proxy to vote your shares by telephone or through the Internet by following the instructions included on the Notice of Internet Availability of Proxy Materials that you received, or if you requested to receive a paper copy of the proxy card, to mark, date, sign and return the proxy card in the envelope provided. Submitting a proxy will not prevent you from attending the meeting in person and voting at such meeting. Please note, however, if a broker or other nominee holds your shares of record and you wish to vote at the meeting, you must obtain from that registered holder a proxy card issued in your name.</w:t>
      </w:r>
    </w:p>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You will find information regarding the matters to be voted on at the meeting in the proxy statement. Your interest in Diamondback Energy, Inc. is appreciated. We look forward to your vote at the annual meeting to be held on May 20, 2026.</w:t>
      </w:r>
    </w:p>
    <w:p>
      <w:pPr>
        <w:spacing w:after="0" w:line="125" w:lineRule="exact"/>
        <w:rPr>
          <w:sz w:val="20"/>
          <w:szCs w:val="20"/>
          <w:color w:val="auto"/>
        </w:rPr>
      </w:pPr>
    </w:p>
    <w:p>
      <w:pPr>
        <w:ind w:left="9580"/>
        <w:spacing w:after="0"/>
        <w:rPr>
          <w:sz w:val="20"/>
          <w:szCs w:val="20"/>
          <w:color w:val="auto"/>
        </w:rPr>
      </w:pPr>
      <w:r>
        <w:rPr>
          <w:rFonts w:ascii="Arial" w:cs="Arial" w:eastAsia="Arial" w:hAnsi="Arial"/>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514350</wp:posOffset>
            </wp:positionV>
            <wp:extent cx="7141210" cy="31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31750"/>
                    </a:xfrm>
                    <a:prstGeom prst="rect">
                      <a:avLst/>
                    </a:prstGeom>
                    <a:noFill/>
                  </pic:spPr>
                </pic:pic>
              </a:graphicData>
            </a:graphic>
          </wp:anchor>
        </w:drawing>
        <w:drawing>
          <wp:anchor simplePos="0" relativeHeight="251657728" behindDoc="1" locked="0" layoutInCell="0" allowOverlap="1">
            <wp:simplePos x="0" y="0"/>
            <wp:positionH relativeFrom="column">
              <wp:posOffset>5989320</wp:posOffset>
            </wp:positionH>
            <wp:positionV relativeFrom="paragraph">
              <wp:posOffset>130175</wp:posOffset>
            </wp:positionV>
            <wp:extent cx="504825" cy="2406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4825" cy="240665"/>
                    </a:xfrm>
                    <a:prstGeom prst="rect">
                      <a:avLst/>
                    </a:prstGeom>
                    <a:noFill/>
                  </pic:spPr>
                </pic:pic>
              </a:graphicData>
            </a:graphic>
          </wp:anchor>
        </w:drawing>
      </w:r>
    </w:p>
    <w:p>
      <w:pPr>
        <w:sectPr>
          <w:pgSz w:w="11900" w:h="16838" w:orient="portrait"/>
          <w:cols w:equalWidth="0" w:num="1">
            <w:col w:w="10220"/>
          </w:cols>
          <w:pgMar w:left="134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5749925</wp:posOffset>
            </wp:positionH>
            <wp:positionV relativeFrom="page">
              <wp:posOffset>257175</wp:posOffset>
            </wp:positionV>
            <wp:extent cx="1595120" cy="593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95120" cy="593090"/>
                    </a:xfrm>
                    <a:prstGeom prst="rect">
                      <a:avLst/>
                    </a:prstGeom>
                    <a:noFill/>
                  </pic:spPr>
                </pic:pic>
              </a:graphicData>
            </a:graphic>
          </wp:anchor>
        </w:drawing>
      </w:r>
    </w:p>
    <w:p>
      <w:pPr>
        <w:spacing w:after="0" w:line="266" w:lineRule="exact"/>
        <w:rPr>
          <w:sz w:val="20"/>
          <w:szCs w:val="20"/>
          <w:color w:val="auto"/>
        </w:rPr>
      </w:pPr>
    </w:p>
    <w:p>
      <w:pPr>
        <w:ind w:left="3320"/>
        <w:spacing w:after="0"/>
        <w:rPr>
          <w:sz w:val="20"/>
          <w:szCs w:val="20"/>
          <w:color w:val="auto"/>
        </w:rPr>
      </w:pPr>
      <w:r>
        <w:rPr>
          <w:rFonts w:ascii="Arial" w:cs="Arial" w:eastAsia="Arial" w:hAnsi="Arial"/>
          <w:sz w:val="54"/>
          <w:szCs w:val="54"/>
          <w:b w:val="1"/>
          <w:bCs w:val="1"/>
          <w:color w:val="auto"/>
        </w:rPr>
        <w:t>Notice</w:t>
      </w:r>
    </w:p>
    <w:p>
      <w:pPr>
        <w:spacing w:after="0" w:line="54" w:lineRule="exact"/>
        <w:rPr>
          <w:sz w:val="20"/>
          <w:szCs w:val="20"/>
          <w:color w:val="auto"/>
        </w:rPr>
      </w:pPr>
    </w:p>
    <w:p>
      <w:pPr>
        <w:ind w:left="3320"/>
        <w:spacing w:after="0"/>
        <w:rPr>
          <w:sz w:val="20"/>
          <w:szCs w:val="20"/>
          <w:color w:val="auto"/>
        </w:rPr>
      </w:pPr>
      <w:r>
        <w:rPr>
          <w:rFonts w:ascii="Arial" w:cs="Arial" w:eastAsia="Arial" w:hAnsi="Arial"/>
          <w:sz w:val="53"/>
          <w:szCs w:val="53"/>
          <w:b w:val="1"/>
          <w:bCs w:val="1"/>
          <w:color w:val="auto"/>
        </w:rPr>
        <w:t>of Annual Meeting</w:t>
      </w:r>
    </w:p>
    <w:p>
      <w:pPr>
        <w:spacing w:after="0" w:line="9" w:lineRule="exact"/>
        <w:rPr>
          <w:sz w:val="20"/>
          <w:szCs w:val="20"/>
          <w:color w:val="auto"/>
        </w:rPr>
      </w:pPr>
    </w:p>
    <w:p>
      <w:pPr>
        <w:ind w:left="3320"/>
        <w:spacing w:after="0"/>
        <w:rPr>
          <w:sz w:val="20"/>
          <w:szCs w:val="20"/>
          <w:color w:val="auto"/>
        </w:rPr>
      </w:pPr>
      <w:r>
        <w:rPr>
          <w:rFonts w:ascii="Arial" w:cs="Arial" w:eastAsia="Arial" w:hAnsi="Arial"/>
          <w:sz w:val="54"/>
          <w:szCs w:val="54"/>
          <w:b w:val="1"/>
          <w:bCs w:val="1"/>
          <w:color w:val="auto"/>
        </w:rPr>
        <w:t>of Stockholders</w:t>
      </w:r>
    </w:p>
    <w:p>
      <w:pPr>
        <w:sectPr>
          <w:pgSz w:w="11900" w:h="16838" w:orient="portrait"/>
          <w:cols w:equalWidth="0" w:num="1">
            <w:col w:w="10120"/>
          </w:cols>
          <w:pgMar w:left="14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26F2A"/>
        </w:rPr>
        <w:t>TO BE HELD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2094865</wp:posOffset>
            </wp:positionH>
            <wp:positionV relativeFrom="paragraph">
              <wp:posOffset>-698500</wp:posOffset>
            </wp:positionV>
            <wp:extent cx="112395" cy="2011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2395" cy="2011680"/>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26F2A"/>
        </w:rPr>
        <w:t>MAY 20, 2026</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10:00 a.m., local time</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Fasken Center</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500 West Texas Avenue</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Midland, TX 79701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A26F2A"/>
        </w:rPr>
        <w:t>TO THE STOCKHOLDERS OF DIAMONDBACK ENERGY, INC.:</w:t>
      </w:r>
    </w:p>
    <w:p>
      <w:pPr>
        <w:spacing w:after="0" w:line="181" w:lineRule="exact"/>
        <w:rPr>
          <w:sz w:val="20"/>
          <w:szCs w:val="20"/>
          <w:color w:val="auto"/>
        </w:rPr>
      </w:pPr>
    </w:p>
    <w:p>
      <w:pPr>
        <w:jc w:val="both"/>
        <w:ind w:left="2"/>
        <w:spacing w:after="0" w:line="264" w:lineRule="auto"/>
        <w:rPr>
          <w:sz w:val="20"/>
          <w:szCs w:val="20"/>
          <w:color w:val="auto"/>
        </w:rPr>
      </w:pPr>
      <w:r>
        <w:rPr>
          <w:rFonts w:ascii="Arial" w:cs="Arial" w:eastAsia="Arial" w:hAnsi="Arial"/>
          <w:sz w:val="15"/>
          <w:szCs w:val="15"/>
          <w:color w:val="auto"/>
        </w:rPr>
        <w:t>The Annual Meeting of Stockholders of Diamondback Energy, Inc. will be held on May 20, 2026, at 10:00 a.m., local time, at 500 West Texas Avenue, Midland, TX 79701, for the following purposes:</w:t>
      </w:r>
    </w:p>
    <w:p>
      <w:pPr>
        <w:spacing w:after="0" w:line="138" w:lineRule="exact"/>
        <w:rPr>
          <w:sz w:val="20"/>
          <w:szCs w:val="20"/>
          <w:color w:val="auto"/>
        </w:rPr>
      </w:pPr>
    </w:p>
    <w:p>
      <w:pPr>
        <w:ind w:left="242" w:hanging="242"/>
        <w:spacing w:after="0"/>
        <w:tabs>
          <w:tab w:leader="none" w:pos="242" w:val="left"/>
        </w:tabs>
        <w:numPr>
          <w:ilvl w:val="0"/>
          <w:numId w:val="1"/>
        </w:numPr>
        <w:rPr>
          <w:rFonts w:ascii="Arial" w:cs="Arial" w:eastAsia="Arial" w:hAnsi="Arial"/>
          <w:sz w:val="15"/>
          <w:szCs w:val="15"/>
          <w:b w:val="1"/>
          <w:bCs w:val="1"/>
          <w:color w:val="A26F2A"/>
        </w:rPr>
      </w:pPr>
      <w:r>
        <w:rPr>
          <w:rFonts w:ascii="Arial" w:cs="Arial" w:eastAsia="Arial" w:hAnsi="Arial"/>
          <w:sz w:val="15"/>
          <w:szCs w:val="15"/>
          <w:color w:val="auto"/>
        </w:rPr>
        <w:t>To elect 13 directors to serve until the Company’s 2027 Annual Meeting of Stockholders;</w:t>
      </w:r>
    </w:p>
    <w:p>
      <w:pPr>
        <w:spacing w:after="0" w:line="92" w:lineRule="exact"/>
        <w:rPr>
          <w:rFonts w:ascii="Arial" w:cs="Arial" w:eastAsia="Arial" w:hAnsi="Arial"/>
          <w:sz w:val="15"/>
          <w:szCs w:val="15"/>
          <w:b w:val="1"/>
          <w:bCs w:val="1"/>
          <w:color w:val="A26F2A"/>
        </w:rPr>
      </w:pPr>
    </w:p>
    <w:p>
      <w:pPr>
        <w:ind w:left="242" w:hanging="242"/>
        <w:spacing w:after="0" w:line="282" w:lineRule="auto"/>
        <w:tabs>
          <w:tab w:leader="none" w:pos="242" w:val="left"/>
        </w:tabs>
        <w:numPr>
          <w:ilvl w:val="0"/>
          <w:numId w:val="1"/>
        </w:numPr>
        <w:rPr>
          <w:rFonts w:ascii="Arial" w:cs="Arial" w:eastAsia="Arial" w:hAnsi="Arial"/>
          <w:sz w:val="15"/>
          <w:szCs w:val="15"/>
          <w:b w:val="1"/>
          <w:bCs w:val="1"/>
          <w:color w:val="A26F2A"/>
        </w:rPr>
      </w:pPr>
      <w:r>
        <w:rPr>
          <w:rFonts w:ascii="Arial" w:cs="Arial" w:eastAsia="Arial" w:hAnsi="Arial"/>
          <w:sz w:val="15"/>
          <w:szCs w:val="15"/>
          <w:color w:val="auto"/>
        </w:rPr>
        <w:t>To approve, on an advisory basis, the compensation of the Company’s named executive officers;</w:t>
      </w:r>
    </w:p>
    <w:p>
      <w:pPr>
        <w:spacing w:after="0" w:line="36" w:lineRule="exact"/>
        <w:rPr>
          <w:rFonts w:ascii="Arial" w:cs="Arial" w:eastAsia="Arial" w:hAnsi="Arial"/>
          <w:sz w:val="15"/>
          <w:szCs w:val="15"/>
          <w:b w:val="1"/>
          <w:bCs w:val="1"/>
          <w:color w:val="A26F2A"/>
        </w:rPr>
      </w:pPr>
    </w:p>
    <w:p>
      <w:pPr>
        <w:ind w:left="242" w:hanging="242"/>
        <w:spacing w:after="0" w:line="282" w:lineRule="auto"/>
        <w:tabs>
          <w:tab w:leader="none" w:pos="242" w:val="left"/>
        </w:tabs>
        <w:numPr>
          <w:ilvl w:val="0"/>
          <w:numId w:val="1"/>
        </w:numPr>
        <w:rPr>
          <w:rFonts w:ascii="Arial" w:cs="Arial" w:eastAsia="Arial" w:hAnsi="Arial"/>
          <w:sz w:val="15"/>
          <w:szCs w:val="15"/>
          <w:b w:val="1"/>
          <w:bCs w:val="1"/>
          <w:color w:val="A26F2A"/>
        </w:rPr>
      </w:pPr>
      <w:r>
        <w:rPr>
          <w:rFonts w:ascii="Arial" w:cs="Arial" w:eastAsia="Arial" w:hAnsi="Arial"/>
          <w:sz w:val="15"/>
          <w:szCs w:val="15"/>
          <w:color w:val="auto"/>
        </w:rPr>
        <w:t>To approve, on an advisory basis, the frequency of holding an advisory vote on the compensation of the Company’s named executive officers;</w:t>
      </w:r>
    </w:p>
    <w:p>
      <w:pPr>
        <w:spacing w:after="0" w:line="49" w:lineRule="exact"/>
        <w:rPr>
          <w:rFonts w:ascii="Arial" w:cs="Arial" w:eastAsia="Arial" w:hAnsi="Arial"/>
          <w:sz w:val="15"/>
          <w:szCs w:val="15"/>
          <w:b w:val="1"/>
          <w:bCs w:val="1"/>
          <w:color w:val="A26F2A"/>
        </w:rPr>
      </w:pPr>
    </w:p>
    <w:p>
      <w:pPr>
        <w:ind w:left="242" w:hanging="242"/>
        <w:spacing w:after="0" w:line="282" w:lineRule="auto"/>
        <w:tabs>
          <w:tab w:leader="none" w:pos="242" w:val="left"/>
        </w:tabs>
        <w:numPr>
          <w:ilvl w:val="0"/>
          <w:numId w:val="1"/>
        </w:numPr>
        <w:rPr>
          <w:rFonts w:ascii="Arial" w:cs="Arial" w:eastAsia="Arial" w:hAnsi="Arial"/>
          <w:sz w:val="15"/>
          <w:szCs w:val="15"/>
          <w:b w:val="1"/>
          <w:bCs w:val="1"/>
          <w:color w:val="A26F2A"/>
        </w:rPr>
      </w:pPr>
      <w:r>
        <w:rPr>
          <w:rFonts w:ascii="Arial" w:cs="Arial" w:eastAsia="Arial" w:hAnsi="Arial"/>
          <w:sz w:val="15"/>
          <w:szCs w:val="15"/>
          <w:color w:val="auto"/>
        </w:rPr>
        <w:t>To ratify the appointment of Grant Thornton LLP as the Company’s independent auditor for the fiscal year ending December 31, 2026; and</w:t>
      </w:r>
    </w:p>
    <w:p>
      <w:pPr>
        <w:spacing w:after="0" w:line="23" w:lineRule="exact"/>
        <w:rPr>
          <w:rFonts w:ascii="Arial" w:cs="Arial" w:eastAsia="Arial" w:hAnsi="Arial"/>
          <w:sz w:val="15"/>
          <w:szCs w:val="15"/>
          <w:b w:val="1"/>
          <w:bCs w:val="1"/>
          <w:color w:val="A26F2A"/>
        </w:rPr>
      </w:pPr>
    </w:p>
    <w:p>
      <w:pPr>
        <w:ind w:left="242" w:hanging="242"/>
        <w:spacing w:after="0" w:line="282" w:lineRule="auto"/>
        <w:tabs>
          <w:tab w:leader="none" w:pos="242" w:val="left"/>
        </w:tabs>
        <w:numPr>
          <w:ilvl w:val="0"/>
          <w:numId w:val="1"/>
        </w:numPr>
        <w:rPr>
          <w:rFonts w:ascii="Arial" w:cs="Arial" w:eastAsia="Arial" w:hAnsi="Arial"/>
          <w:sz w:val="15"/>
          <w:szCs w:val="15"/>
          <w:b w:val="1"/>
          <w:bCs w:val="1"/>
          <w:color w:val="A26F2A"/>
        </w:rPr>
      </w:pPr>
      <w:r>
        <w:rPr>
          <w:rFonts w:ascii="Arial" w:cs="Arial" w:eastAsia="Arial" w:hAnsi="Arial"/>
          <w:sz w:val="15"/>
          <w:szCs w:val="15"/>
          <w:color w:val="auto"/>
        </w:rPr>
        <w:t>To transact such other business as may properly come before the Annual Meeting and any adjournment or postponement thereof.</w:t>
      </w:r>
    </w:p>
    <w:p>
      <w:pPr>
        <w:spacing w:after="0" w:line="301"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154940</wp:posOffset>
            </wp:positionV>
            <wp:extent cx="7141210" cy="31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2">
            <w:col w:w="3080" w:space="618"/>
            <w:col w:w="6422"/>
          </w:cols>
          <w:pgMar w:left="1440" w:top="1440" w:right="339" w:bottom="1440" w:gutter="0" w:footer="0" w:header="0"/>
          <w:type w:val="continuous"/>
        </w:sectPr>
      </w:pPr>
    </w:p>
    <w:bookmarkStart w:id="5" w:name="page6"/>
    <w:bookmarkEnd w:id="5"/>
    <w:p>
      <w:pPr>
        <w:jc w:val="both"/>
        <w:spacing w:after="0" w:line="255" w:lineRule="auto"/>
        <w:rPr>
          <w:sz w:val="20"/>
          <w:szCs w:val="20"/>
          <w:color w:val="auto"/>
        </w:rPr>
      </w:pPr>
      <w:r>
        <w:rPr>
          <w:rFonts w:ascii="Arial" w:cs="Arial" w:eastAsia="Arial" w:hAnsi="Arial"/>
          <w:sz w:val="15"/>
          <w:szCs w:val="15"/>
          <w:color w:val="auto"/>
        </w:rPr>
        <w:t>We are providing access to our proxy materials, including this proxy statement and our 2025 Annual Report on Form 10-K, over the Internet. As a result, we are mailing to our stockholders a Notice of Internet Availability of Proxy Materials (the “Notice of Internet Availability”) instead of a paper copy of our proxy materials. The Notice of Internet Availability contains instructions on how to access those proxy materials over the Internet, as well as instructions on how to request a paper or email copy of our proxy materials. Those stockholders who request a paper copy of our proxy materials as provided in the Notice of Internet Availability will receive such proxy materials by mail. This electronic distribution process reduces the environmental impact and lowers the costs of printing and distributing our proxy materials.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Your vote is important. Please carefully consider the proposals and vote in one of these ways: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154"/>
        </w:trPr>
        <w:tc>
          <w:tcPr>
            <w:tcW w:w="2820" w:type="dxa"/>
            <w:vAlign w:val="bottom"/>
            <w:tcBorders>
              <w:top w:val="single" w:sz="8" w:color="A26F2A"/>
              <w:left w:val="single" w:sz="8" w:color="A26F2A"/>
            </w:tcBorders>
          </w:tcPr>
          <w:p>
            <w:pPr>
              <w:jc w:val="center"/>
              <w:spacing w:after="0"/>
              <w:rPr>
                <w:sz w:val="20"/>
                <w:szCs w:val="20"/>
                <w:color w:val="auto"/>
              </w:rPr>
            </w:pPr>
            <w:r>
              <w:rPr>
                <w:rFonts w:ascii="Arial" w:cs="Arial" w:eastAsia="Arial" w:hAnsi="Arial"/>
                <w:sz w:val="15"/>
                <w:szCs w:val="15"/>
                <w:b w:val="1"/>
                <w:bCs w:val="1"/>
                <w:color w:val="auto"/>
              </w:rPr>
              <w:t>INTERNET</w:t>
            </w:r>
          </w:p>
        </w:tc>
        <w:tc>
          <w:tcPr>
            <w:tcW w:w="2800" w:type="dxa"/>
            <w:vAlign w:val="bottom"/>
            <w:tcBorders>
              <w:top w:val="single" w:sz="8" w:color="A26F2A"/>
            </w:tcBorders>
          </w:tcPr>
          <w:p>
            <w:pPr>
              <w:jc w:val="center"/>
              <w:spacing w:after="0"/>
              <w:rPr>
                <w:sz w:val="20"/>
                <w:szCs w:val="20"/>
                <w:color w:val="auto"/>
              </w:rPr>
            </w:pPr>
            <w:r>
              <w:rPr>
                <w:rFonts w:ascii="Arial" w:cs="Arial" w:eastAsia="Arial" w:hAnsi="Arial"/>
                <w:sz w:val="15"/>
                <w:szCs w:val="15"/>
                <w:b w:val="1"/>
                <w:bCs w:val="1"/>
                <w:color w:val="auto"/>
              </w:rPr>
              <w:t>BY TELEPHONE</w:t>
            </w:r>
          </w:p>
        </w:tc>
        <w:tc>
          <w:tcPr>
            <w:tcW w:w="2840" w:type="dxa"/>
            <w:vAlign w:val="bottom"/>
            <w:tcBorders>
              <w:top w:val="single" w:sz="8" w:color="A26F2A"/>
            </w:tcBorders>
          </w:tcPr>
          <w:p>
            <w:pPr>
              <w:jc w:val="center"/>
              <w:spacing w:after="0"/>
              <w:rPr>
                <w:sz w:val="20"/>
                <w:szCs w:val="20"/>
                <w:color w:val="auto"/>
              </w:rPr>
            </w:pPr>
            <w:r>
              <w:rPr>
                <w:rFonts w:ascii="Arial" w:cs="Arial" w:eastAsia="Arial" w:hAnsi="Arial"/>
                <w:sz w:val="15"/>
                <w:szCs w:val="15"/>
                <w:b w:val="1"/>
                <w:bCs w:val="1"/>
                <w:color w:val="auto"/>
              </w:rPr>
              <w:t>BY MAIL</w:t>
            </w:r>
          </w:p>
        </w:tc>
        <w:tc>
          <w:tcPr>
            <w:tcW w:w="2800" w:type="dxa"/>
            <w:vAlign w:val="bottom"/>
            <w:tcBorders>
              <w:top w:val="single" w:sz="8" w:color="A26F2A"/>
              <w:right w:val="single" w:sz="8" w:color="A26F2A"/>
            </w:tcBorders>
          </w:tcPr>
          <w:p>
            <w:pPr>
              <w:jc w:val="center"/>
              <w:spacing w:after="0"/>
              <w:rPr>
                <w:sz w:val="20"/>
                <w:szCs w:val="20"/>
                <w:color w:val="auto"/>
              </w:rPr>
            </w:pPr>
            <w:r>
              <w:rPr>
                <w:rFonts w:ascii="Arial" w:cs="Arial" w:eastAsia="Arial" w:hAnsi="Arial"/>
                <w:sz w:val="15"/>
                <w:szCs w:val="15"/>
                <w:b w:val="1"/>
                <w:bCs w:val="1"/>
                <w:color w:val="auto"/>
              </w:rPr>
              <w:t>ANNUAL MEETING</w:t>
            </w:r>
          </w:p>
        </w:tc>
      </w:tr>
      <w:tr>
        <w:trPr>
          <w:trHeight w:val="197"/>
        </w:trPr>
        <w:tc>
          <w:tcPr>
            <w:tcW w:w="2820" w:type="dxa"/>
            <w:vAlign w:val="bottom"/>
            <w:tcBorders>
              <w:left w:val="single" w:sz="8" w:color="A26F2A"/>
            </w:tcBorders>
          </w:tcPr>
          <w:p>
            <w:pPr>
              <w:jc w:val="center"/>
              <w:spacing w:after="0"/>
              <w:rPr>
                <w:sz w:val="20"/>
                <w:szCs w:val="20"/>
                <w:color w:val="auto"/>
              </w:rPr>
            </w:pPr>
            <w:r>
              <w:rPr>
                <w:rFonts w:ascii="Arial" w:cs="Arial" w:eastAsia="Arial" w:hAnsi="Arial"/>
                <w:sz w:val="15"/>
                <w:szCs w:val="15"/>
                <w:color w:val="auto"/>
              </w:rPr>
              <w:t>Follow the instructions on the Notice of</w:t>
            </w:r>
          </w:p>
        </w:tc>
        <w:tc>
          <w:tcPr>
            <w:tcW w:w="2800" w:type="dxa"/>
            <w:vAlign w:val="bottom"/>
          </w:tcPr>
          <w:p>
            <w:pPr>
              <w:jc w:val="center"/>
              <w:spacing w:after="0"/>
              <w:rPr>
                <w:sz w:val="20"/>
                <w:szCs w:val="20"/>
                <w:color w:val="auto"/>
              </w:rPr>
            </w:pPr>
            <w:r>
              <w:rPr>
                <w:rFonts w:ascii="Arial" w:cs="Arial" w:eastAsia="Arial" w:hAnsi="Arial"/>
                <w:sz w:val="15"/>
                <w:szCs w:val="15"/>
                <w:color w:val="auto"/>
              </w:rPr>
              <w:t>Follow the instructions on the Notice of</w:t>
            </w:r>
          </w:p>
        </w:tc>
        <w:tc>
          <w:tcPr>
            <w:tcW w:w="2840" w:type="dxa"/>
            <w:vAlign w:val="bottom"/>
          </w:tcPr>
          <w:p>
            <w:pPr>
              <w:jc w:val="center"/>
              <w:spacing w:after="0"/>
              <w:rPr>
                <w:sz w:val="20"/>
                <w:szCs w:val="20"/>
                <w:color w:val="auto"/>
              </w:rPr>
            </w:pPr>
            <w:r>
              <w:rPr>
                <w:rFonts w:ascii="Arial" w:cs="Arial" w:eastAsia="Arial" w:hAnsi="Arial"/>
                <w:sz w:val="15"/>
                <w:szCs w:val="15"/>
                <w:color w:val="auto"/>
              </w:rPr>
              <w:t>If you request to receive a paper copy</w:t>
            </w:r>
          </w:p>
        </w:tc>
        <w:tc>
          <w:tcPr>
            <w:tcW w:w="2800" w:type="dxa"/>
            <w:vAlign w:val="bottom"/>
            <w:tcBorders>
              <w:right w:val="single" w:sz="8" w:color="A26F2A"/>
            </w:tcBorders>
          </w:tcPr>
          <w:p>
            <w:pPr>
              <w:jc w:val="center"/>
              <w:spacing w:after="0"/>
              <w:rPr>
                <w:sz w:val="20"/>
                <w:szCs w:val="20"/>
                <w:color w:val="auto"/>
              </w:rPr>
            </w:pPr>
            <w:r>
              <w:rPr>
                <w:rFonts w:ascii="Arial" w:cs="Arial" w:eastAsia="Arial" w:hAnsi="Arial"/>
                <w:sz w:val="15"/>
                <w:szCs w:val="15"/>
                <w:color w:val="auto"/>
              </w:rPr>
              <w:t>Submit a ballot at the Annual Meeting</w:t>
            </w:r>
          </w:p>
        </w:tc>
      </w:tr>
      <w:tr>
        <w:trPr>
          <w:trHeight w:val="177"/>
        </w:trPr>
        <w:tc>
          <w:tcPr>
            <w:tcW w:w="2820" w:type="dxa"/>
            <w:vAlign w:val="bottom"/>
            <w:tcBorders>
              <w:left w:val="single" w:sz="8" w:color="A26F2A"/>
            </w:tcBorders>
          </w:tcPr>
          <w:p>
            <w:pPr>
              <w:jc w:val="center"/>
              <w:spacing w:after="0"/>
              <w:rPr>
                <w:sz w:val="20"/>
                <w:szCs w:val="20"/>
                <w:color w:val="auto"/>
              </w:rPr>
            </w:pPr>
            <w:r>
              <w:rPr>
                <w:rFonts w:ascii="Arial" w:cs="Arial" w:eastAsia="Arial" w:hAnsi="Arial"/>
                <w:sz w:val="15"/>
                <w:szCs w:val="15"/>
                <w:color w:val="auto"/>
              </w:rPr>
              <w:t>Internet Availability or the proxy card to</w:t>
            </w:r>
          </w:p>
        </w:tc>
        <w:tc>
          <w:tcPr>
            <w:tcW w:w="2800" w:type="dxa"/>
            <w:vAlign w:val="bottom"/>
          </w:tcPr>
          <w:p>
            <w:pPr>
              <w:jc w:val="center"/>
              <w:spacing w:after="0"/>
              <w:rPr>
                <w:sz w:val="20"/>
                <w:szCs w:val="20"/>
                <w:color w:val="auto"/>
              </w:rPr>
            </w:pPr>
            <w:r>
              <w:rPr>
                <w:rFonts w:ascii="Arial" w:cs="Arial" w:eastAsia="Arial" w:hAnsi="Arial"/>
                <w:sz w:val="15"/>
                <w:szCs w:val="15"/>
                <w:color w:val="auto"/>
              </w:rPr>
              <w:t>Internet Availability or the proxy card to</w:t>
            </w:r>
          </w:p>
        </w:tc>
        <w:tc>
          <w:tcPr>
            <w:tcW w:w="2840" w:type="dxa"/>
            <w:vAlign w:val="bottom"/>
          </w:tcPr>
          <w:p>
            <w:pPr>
              <w:jc w:val="center"/>
              <w:spacing w:after="0"/>
              <w:rPr>
                <w:sz w:val="20"/>
                <w:szCs w:val="20"/>
                <w:color w:val="auto"/>
              </w:rPr>
            </w:pPr>
            <w:r>
              <w:rPr>
                <w:rFonts w:ascii="Arial" w:cs="Arial" w:eastAsia="Arial" w:hAnsi="Arial"/>
                <w:sz w:val="15"/>
                <w:szCs w:val="15"/>
                <w:color w:val="auto"/>
              </w:rPr>
              <w:t>of our proxy materials, mark, sign, date</w:t>
            </w:r>
          </w:p>
        </w:tc>
        <w:tc>
          <w:tcPr>
            <w:tcW w:w="2800" w:type="dxa"/>
            <w:vAlign w:val="bottom"/>
            <w:tcBorders>
              <w:right w:val="single" w:sz="8" w:color="A26F2A"/>
            </w:tcBorders>
          </w:tcPr>
          <w:p>
            <w:pPr>
              <w:spacing w:after="0"/>
              <w:rPr>
                <w:sz w:val="15"/>
                <w:szCs w:val="15"/>
                <w:color w:val="auto"/>
              </w:rPr>
            </w:pPr>
          </w:p>
        </w:tc>
      </w:tr>
      <w:tr>
        <w:trPr>
          <w:trHeight w:val="177"/>
        </w:trPr>
        <w:tc>
          <w:tcPr>
            <w:tcW w:w="2820" w:type="dxa"/>
            <w:vAlign w:val="bottom"/>
            <w:tcBorders>
              <w:left w:val="single" w:sz="8" w:color="A26F2A"/>
            </w:tcBorders>
          </w:tcPr>
          <w:p>
            <w:pPr>
              <w:jc w:val="center"/>
              <w:spacing w:after="0"/>
              <w:rPr>
                <w:sz w:val="20"/>
                <w:szCs w:val="20"/>
                <w:color w:val="auto"/>
              </w:rPr>
            </w:pPr>
            <w:r>
              <w:rPr>
                <w:rFonts w:ascii="Arial" w:cs="Arial" w:eastAsia="Arial" w:hAnsi="Arial"/>
                <w:sz w:val="15"/>
                <w:szCs w:val="15"/>
                <w:color w:val="auto"/>
              </w:rPr>
              <w:t>vote through the Internet</w:t>
            </w:r>
          </w:p>
        </w:tc>
        <w:tc>
          <w:tcPr>
            <w:tcW w:w="2800" w:type="dxa"/>
            <w:vAlign w:val="bottom"/>
          </w:tcPr>
          <w:p>
            <w:pPr>
              <w:jc w:val="center"/>
              <w:spacing w:after="0"/>
              <w:rPr>
                <w:sz w:val="20"/>
                <w:szCs w:val="20"/>
                <w:color w:val="auto"/>
              </w:rPr>
            </w:pPr>
            <w:r>
              <w:rPr>
                <w:rFonts w:ascii="Arial" w:cs="Arial" w:eastAsia="Arial" w:hAnsi="Arial"/>
                <w:sz w:val="15"/>
                <w:szCs w:val="15"/>
                <w:color w:val="auto"/>
              </w:rPr>
              <w:t>vote by phone</w:t>
            </w:r>
          </w:p>
        </w:tc>
        <w:tc>
          <w:tcPr>
            <w:tcW w:w="2840" w:type="dxa"/>
            <w:vAlign w:val="bottom"/>
          </w:tcPr>
          <w:p>
            <w:pPr>
              <w:jc w:val="center"/>
              <w:spacing w:after="0"/>
              <w:rPr>
                <w:sz w:val="20"/>
                <w:szCs w:val="20"/>
                <w:color w:val="auto"/>
              </w:rPr>
            </w:pPr>
            <w:r>
              <w:rPr>
                <w:rFonts w:ascii="Arial" w:cs="Arial" w:eastAsia="Arial" w:hAnsi="Arial"/>
                <w:sz w:val="15"/>
                <w:szCs w:val="15"/>
                <w:color w:val="auto"/>
              </w:rPr>
              <w:t>and promptly return the proxy card in</w:t>
            </w:r>
          </w:p>
        </w:tc>
        <w:tc>
          <w:tcPr>
            <w:tcW w:w="2800" w:type="dxa"/>
            <w:vAlign w:val="bottom"/>
            <w:tcBorders>
              <w:right w:val="single" w:sz="8" w:color="A26F2A"/>
            </w:tcBorders>
          </w:tcPr>
          <w:p>
            <w:pPr>
              <w:spacing w:after="0"/>
              <w:rPr>
                <w:sz w:val="15"/>
                <w:szCs w:val="15"/>
                <w:color w:val="auto"/>
              </w:rPr>
            </w:pPr>
          </w:p>
        </w:tc>
      </w:tr>
      <w:tr>
        <w:trPr>
          <w:trHeight w:val="199"/>
        </w:trPr>
        <w:tc>
          <w:tcPr>
            <w:tcW w:w="2820" w:type="dxa"/>
            <w:vAlign w:val="bottom"/>
            <w:tcBorders>
              <w:left w:val="single" w:sz="8" w:color="A26F2A"/>
            </w:tcBorders>
          </w:tcPr>
          <w:p>
            <w:pPr>
              <w:spacing w:after="0"/>
              <w:rPr>
                <w:sz w:val="17"/>
                <w:szCs w:val="17"/>
                <w:color w:val="auto"/>
              </w:rPr>
            </w:pPr>
          </w:p>
        </w:tc>
        <w:tc>
          <w:tcPr>
            <w:tcW w:w="2800" w:type="dxa"/>
            <w:vAlign w:val="bottom"/>
          </w:tcPr>
          <w:p>
            <w:pPr>
              <w:spacing w:after="0"/>
              <w:rPr>
                <w:sz w:val="17"/>
                <w:szCs w:val="17"/>
                <w:color w:val="auto"/>
              </w:rPr>
            </w:pPr>
          </w:p>
        </w:tc>
        <w:tc>
          <w:tcPr>
            <w:tcW w:w="2840" w:type="dxa"/>
            <w:vAlign w:val="bottom"/>
          </w:tcPr>
          <w:p>
            <w:pPr>
              <w:jc w:val="center"/>
              <w:spacing w:after="0"/>
              <w:rPr>
                <w:sz w:val="20"/>
                <w:szCs w:val="20"/>
                <w:color w:val="auto"/>
              </w:rPr>
            </w:pPr>
            <w:r>
              <w:rPr>
                <w:rFonts w:ascii="Arial" w:cs="Arial" w:eastAsia="Arial" w:hAnsi="Arial"/>
                <w:sz w:val="15"/>
                <w:szCs w:val="15"/>
                <w:color w:val="auto"/>
              </w:rPr>
              <w:t>the postage-paid envelope</w:t>
            </w:r>
          </w:p>
        </w:tc>
        <w:tc>
          <w:tcPr>
            <w:tcW w:w="2800" w:type="dxa"/>
            <w:vAlign w:val="bottom"/>
            <w:tcBorders>
              <w:right w:val="single" w:sz="8" w:color="A26F2A"/>
            </w:tcBorders>
          </w:tcPr>
          <w:p>
            <w:pPr>
              <w:spacing w:after="0"/>
              <w:rPr>
                <w:sz w:val="17"/>
                <w:szCs w:val="17"/>
                <w:color w:val="auto"/>
              </w:rPr>
            </w:pPr>
          </w:p>
        </w:tc>
      </w:tr>
      <w:tr>
        <w:trPr>
          <w:trHeight w:val="116"/>
        </w:trPr>
        <w:tc>
          <w:tcPr>
            <w:tcW w:w="2820" w:type="dxa"/>
            <w:vAlign w:val="bottom"/>
            <w:tcBorders>
              <w:left w:val="single" w:sz="8" w:color="A26F2A"/>
              <w:bottom w:val="single" w:sz="8" w:color="A26F2A"/>
            </w:tcBorders>
          </w:tcPr>
          <w:p>
            <w:pPr>
              <w:spacing w:after="0"/>
              <w:rPr>
                <w:sz w:val="10"/>
                <w:szCs w:val="10"/>
                <w:color w:val="auto"/>
              </w:rPr>
            </w:pPr>
          </w:p>
        </w:tc>
        <w:tc>
          <w:tcPr>
            <w:tcW w:w="2800" w:type="dxa"/>
            <w:vAlign w:val="bottom"/>
            <w:tcBorders>
              <w:bottom w:val="single" w:sz="8" w:color="A26F2A"/>
            </w:tcBorders>
          </w:tcPr>
          <w:p>
            <w:pPr>
              <w:spacing w:after="0"/>
              <w:rPr>
                <w:sz w:val="10"/>
                <w:szCs w:val="10"/>
                <w:color w:val="auto"/>
              </w:rPr>
            </w:pPr>
          </w:p>
        </w:tc>
        <w:tc>
          <w:tcPr>
            <w:tcW w:w="2840" w:type="dxa"/>
            <w:vAlign w:val="bottom"/>
            <w:tcBorders>
              <w:bottom w:val="single" w:sz="8" w:color="A26F2A"/>
            </w:tcBorders>
          </w:tcPr>
          <w:p>
            <w:pPr>
              <w:spacing w:after="0"/>
              <w:rPr>
                <w:sz w:val="10"/>
                <w:szCs w:val="10"/>
                <w:color w:val="auto"/>
              </w:rPr>
            </w:pPr>
          </w:p>
        </w:tc>
        <w:tc>
          <w:tcPr>
            <w:tcW w:w="2800" w:type="dxa"/>
            <w:vAlign w:val="bottom"/>
            <w:tcBorders>
              <w:bottom w:val="single" w:sz="8" w:color="A26F2A"/>
              <w:right w:val="single" w:sz="8" w:color="A26F2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-1201420</wp:posOffset>
            </wp:positionV>
            <wp:extent cx="488950" cy="480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8950" cy="48069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-1201420</wp:posOffset>
            </wp:positionV>
            <wp:extent cx="488950" cy="488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8950" cy="48895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-1201420</wp:posOffset>
            </wp:positionV>
            <wp:extent cx="488950" cy="488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8950" cy="488950"/>
                    </a:xfrm>
                    <a:prstGeom prst="rect">
                      <a:avLst/>
                    </a:prstGeom>
                    <a:noFill/>
                  </pic:spPr>
                </pic:pic>
              </a:graphicData>
            </a:graphic>
          </wp:anchor>
        </w:drawing>
        <w:drawing>
          <wp:anchor simplePos="0" relativeHeight="251657728" behindDoc="1" locked="0" layoutInCell="0" allowOverlap="1">
            <wp:simplePos x="0" y="0"/>
            <wp:positionH relativeFrom="column">
              <wp:posOffset>6003925</wp:posOffset>
            </wp:positionH>
            <wp:positionV relativeFrom="paragraph">
              <wp:posOffset>-1201420</wp:posOffset>
            </wp:positionV>
            <wp:extent cx="488950" cy="4806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8950" cy="48069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Only stockholders of record at the close of business on March 30, 2026, or their proxy holders may vote at the meeting.</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5"/>
          <w:szCs w:val="15"/>
          <w:b w:val="1"/>
          <w:bCs w:val="1"/>
          <w:color w:val="auto"/>
        </w:rPr>
        <w:t xml:space="preserve">IMPORTANT NOTICE REGARDING THE AVAILABILITY OF PROXY MATERIALS FOR THE ANNUAL MEETING OF STOCKHOLDERS TO BE HELD ON MAY 20, 2026. </w:t>
      </w:r>
      <w:r>
        <w:rPr>
          <w:rFonts w:ascii="Arial" w:cs="Arial" w:eastAsia="Arial" w:hAnsi="Arial"/>
          <w:sz w:val="15"/>
          <w:szCs w:val="15"/>
          <w:color w:val="auto"/>
        </w:rPr>
        <w:t>THIS PROXY STATEMENT AND THE COMPANY’S 2025 ANNUAL REPORT ON FORM 10-K ARE AVAILABLE AT WWW.ENVISIONREPORTS.COM/FANG.</w:t>
      </w:r>
    </w:p>
    <w:p>
      <w:pPr>
        <w:spacing w:after="0" w:line="108" w:lineRule="exact"/>
        <w:rPr>
          <w:sz w:val="20"/>
          <w:szCs w:val="20"/>
          <w:color w:val="auto"/>
        </w:rPr>
      </w:pPr>
    </w:p>
    <w:p>
      <w:pPr>
        <w:ind w:left="892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6420485</wp:posOffset>
            </wp:positionH>
            <wp:positionV relativeFrom="paragraph">
              <wp:posOffset>122555</wp:posOffset>
            </wp:positionV>
            <wp:extent cx="721360" cy="336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360" cy="33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Matt Zmigrosky</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Executive Vice President,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Chief Legal and Administrative Officer and Secretary</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April 9, 2026</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The Notice of Internet Availability is first being mailed to stockholders on April 9, 2026.</w:t>
      </w:r>
    </w:p>
    <w:p>
      <w:pPr>
        <w:spacing w:after="0" w:line="181" w:lineRule="exact"/>
        <w:rPr>
          <w:sz w:val="20"/>
          <w:szCs w:val="20"/>
          <w:color w:val="auto"/>
        </w:rPr>
      </w:pPr>
    </w:p>
    <w:p>
      <w:pPr>
        <w:ind w:left="6680"/>
        <w:spacing w:after="0"/>
        <w:tabs>
          <w:tab w:leader="none" w:pos="11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25335" cy="1041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5335" cy="10414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20" w:type="dxa"/>
            <w:vAlign w:val="bottom"/>
          </w:tcPr>
          <w:p>
            <w:pPr>
              <w:spacing w:after="0"/>
              <w:rPr>
                <w:sz w:val="20"/>
                <w:szCs w:val="20"/>
                <w:color w:val="auto"/>
              </w:rPr>
            </w:pPr>
            <w:r>
              <w:rPr>
                <w:rFonts w:ascii="Arial" w:cs="Arial" w:eastAsia="Arial" w:hAnsi="Arial"/>
                <w:sz w:val="17"/>
                <w:szCs w:val="17"/>
                <w:b w:val="1"/>
                <w:bCs w:val="1"/>
                <w:color w:val="A26F2A"/>
              </w:rPr>
              <w:t>PROXY SUMMARY</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26F2A"/>
              </w:rPr>
              <w:t>6</w:t>
            </w:r>
          </w:p>
        </w:tc>
      </w:tr>
      <w:tr>
        <w:trPr>
          <w:trHeight w:val="199"/>
        </w:trPr>
        <w:tc>
          <w:tcPr>
            <w:tcW w:w="9620" w:type="dxa"/>
            <w:vAlign w:val="bottom"/>
          </w:tcPr>
          <w:p>
            <w:pPr>
              <w:spacing w:after="0"/>
              <w:rPr>
                <w:sz w:val="20"/>
                <w:szCs w:val="20"/>
                <w:color w:val="auto"/>
              </w:rPr>
            </w:pPr>
            <w:r>
              <w:rPr>
                <w:rFonts w:ascii="Arial" w:cs="Arial" w:eastAsia="Arial" w:hAnsi="Arial"/>
                <w:sz w:val="15"/>
                <w:szCs w:val="15"/>
                <w:color w:val="auto"/>
              </w:rPr>
              <w:t>VOTING MATTERS</w:t>
            </w:r>
          </w:p>
        </w:tc>
        <w:tc>
          <w:tcPr>
            <w:tcW w:w="162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344"/>
        </w:trPr>
        <w:tc>
          <w:tcPr>
            <w:tcW w:w="9620" w:type="dxa"/>
            <w:vAlign w:val="bottom"/>
          </w:tcPr>
          <w:p>
            <w:pPr>
              <w:spacing w:after="0"/>
              <w:rPr>
                <w:sz w:val="20"/>
                <w:szCs w:val="20"/>
                <w:color w:val="auto"/>
              </w:rPr>
            </w:pPr>
            <w:r>
              <w:rPr>
                <w:rFonts w:ascii="Arial" w:cs="Arial" w:eastAsia="Arial" w:hAnsi="Arial"/>
                <w:sz w:val="17"/>
                <w:szCs w:val="17"/>
                <w:b w:val="1"/>
                <w:bCs w:val="1"/>
                <w:color w:val="A26F2A"/>
              </w:rPr>
              <w:t xml:space="preserve">PROPOSAL 1: </w:t>
            </w:r>
            <w:r>
              <w:rPr>
                <w:rFonts w:ascii="Arial" w:cs="Arial" w:eastAsia="Arial" w:hAnsi="Arial"/>
                <w:sz w:val="17"/>
                <w:szCs w:val="17"/>
                <w:b w:val="1"/>
                <w:bCs w:val="1"/>
                <w:color w:val="000000"/>
              </w:rPr>
              <w:t>ELECTION OF DIRECTORS</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26F2A"/>
              </w:rPr>
              <w:t>12</w:t>
            </w:r>
          </w:p>
        </w:tc>
      </w:tr>
      <w:tr>
        <w:trPr>
          <w:trHeight w:val="199"/>
        </w:trPr>
        <w:tc>
          <w:tcPr>
            <w:tcW w:w="9620" w:type="dxa"/>
            <w:vAlign w:val="bottom"/>
          </w:tcPr>
          <w:p>
            <w:pPr>
              <w:spacing w:after="0"/>
              <w:rPr>
                <w:sz w:val="20"/>
                <w:szCs w:val="20"/>
                <w:color w:val="auto"/>
              </w:rPr>
            </w:pPr>
            <w:r>
              <w:rPr>
                <w:rFonts w:ascii="Arial" w:cs="Arial" w:eastAsia="Arial" w:hAnsi="Arial"/>
                <w:sz w:val="15"/>
                <w:szCs w:val="15"/>
                <w:color w:val="auto"/>
              </w:rPr>
              <w:t>DIRECTOR NOMINATIONS</w:t>
            </w:r>
          </w:p>
        </w:tc>
        <w:tc>
          <w:tcPr>
            <w:tcW w:w="162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344"/>
        </w:trPr>
        <w:tc>
          <w:tcPr>
            <w:tcW w:w="9620" w:type="dxa"/>
            <w:vAlign w:val="bottom"/>
          </w:tcPr>
          <w:p>
            <w:pPr>
              <w:spacing w:after="0"/>
              <w:rPr>
                <w:sz w:val="20"/>
                <w:szCs w:val="20"/>
                <w:color w:val="auto"/>
              </w:rPr>
            </w:pPr>
            <w:r>
              <w:rPr>
                <w:rFonts w:ascii="Arial" w:cs="Arial" w:eastAsia="Arial" w:hAnsi="Arial"/>
                <w:sz w:val="17"/>
                <w:szCs w:val="17"/>
                <w:b w:val="1"/>
                <w:bCs w:val="1"/>
                <w:color w:val="A26F2A"/>
              </w:rPr>
              <w:t>CORPORATE GOVERNANCE MATTERS</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26F2A"/>
              </w:rPr>
              <w:t>20</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CORPORATE GOVERNANCE HIGHLIGHTS</w:t>
            </w:r>
          </w:p>
        </w:tc>
        <w:tc>
          <w:tcPr>
            <w:tcW w:w="162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CORPORATE GOVERNANCE GUIDELINES</w:t>
            </w:r>
          </w:p>
        </w:tc>
        <w:tc>
          <w:tcPr>
            <w:tcW w:w="162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DIRECTOR QUALIFICATIONS AND NOMINATION PROCESS</w:t>
            </w:r>
          </w:p>
        </w:tc>
        <w:tc>
          <w:tcPr>
            <w:tcW w:w="162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DIRECTOR INDEPENDENCE</w:t>
            </w:r>
          </w:p>
        </w:tc>
        <w:tc>
          <w:tcPr>
            <w:tcW w:w="162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BOARD LEADERSHIP STRUCTURE</w:t>
            </w:r>
          </w:p>
        </w:tc>
        <w:tc>
          <w:tcPr>
            <w:tcW w:w="162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BOARD MEETINGS, COMMITTEES AND MEMBERSHIP</w:t>
            </w:r>
          </w:p>
        </w:tc>
        <w:tc>
          <w:tcPr>
            <w:tcW w:w="162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ANNUAL BOARD AND COMMITTEE EVALUATIONS</w:t>
            </w:r>
          </w:p>
        </w:tc>
        <w:tc>
          <w:tcPr>
            <w:tcW w:w="162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THE BOARD’S ROLE IN RISK OVERSIGHT</w:t>
            </w:r>
          </w:p>
        </w:tc>
        <w:tc>
          <w:tcPr>
            <w:tcW w:w="162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STOCKHOLDER ENGAGEMENT</w:t>
            </w:r>
          </w:p>
        </w:tc>
        <w:tc>
          <w:tcPr>
            <w:tcW w:w="162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CODE OF BUSINESS CONDUCT AND ETHICS</w:t>
            </w:r>
          </w:p>
        </w:tc>
        <w:tc>
          <w:tcPr>
            <w:tcW w:w="162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TRADING IN COMPANY SECURITIES</w:t>
            </w:r>
          </w:p>
        </w:tc>
        <w:tc>
          <w:tcPr>
            <w:tcW w:w="162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COMMUNICATIONS WITH THE BOARD</w:t>
            </w:r>
          </w:p>
        </w:tc>
        <w:tc>
          <w:tcPr>
            <w:tcW w:w="162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DIRECTOR COMPENSATION</w:t>
            </w:r>
          </w:p>
        </w:tc>
        <w:tc>
          <w:tcPr>
            <w:tcW w:w="162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199"/>
        </w:trPr>
        <w:tc>
          <w:tcPr>
            <w:tcW w:w="9620" w:type="dxa"/>
            <w:vAlign w:val="bottom"/>
          </w:tcPr>
          <w:p>
            <w:pPr>
              <w:spacing w:after="0"/>
              <w:rPr>
                <w:sz w:val="20"/>
                <w:szCs w:val="20"/>
                <w:color w:val="auto"/>
              </w:rPr>
            </w:pPr>
            <w:r>
              <w:rPr>
                <w:rFonts w:ascii="Arial" w:cs="Arial" w:eastAsia="Arial" w:hAnsi="Arial"/>
                <w:sz w:val="15"/>
                <w:szCs w:val="15"/>
                <w:color w:val="auto"/>
              </w:rPr>
              <w:t>CORPORATE RESPONSIBILITY AND SUSTAINABILITY</w:t>
            </w:r>
          </w:p>
        </w:tc>
        <w:tc>
          <w:tcPr>
            <w:tcW w:w="162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380"/>
        </w:trPr>
        <w:tc>
          <w:tcPr>
            <w:tcW w:w="9620" w:type="dxa"/>
            <w:vAlign w:val="bottom"/>
          </w:tcPr>
          <w:p>
            <w:pPr>
              <w:spacing w:after="0"/>
              <w:rPr>
                <w:sz w:val="20"/>
                <w:szCs w:val="20"/>
                <w:color w:val="auto"/>
              </w:rPr>
            </w:pPr>
            <w:r>
              <w:rPr>
                <w:rFonts w:ascii="Arial" w:cs="Arial" w:eastAsia="Arial" w:hAnsi="Arial"/>
                <w:sz w:val="17"/>
                <w:szCs w:val="17"/>
                <w:b w:val="1"/>
                <w:bCs w:val="1"/>
                <w:color w:val="A26F2A"/>
              </w:rPr>
              <w:t>AUDIT COMMITTEE REPORT</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26F2A"/>
              </w:rPr>
              <w:t>40</w:t>
            </w:r>
          </w:p>
        </w:tc>
      </w:tr>
      <w:tr>
        <w:trPr>
          <w:trHeight w:val="366"/>
        </w:trPr>
        <w:tc>
          <w:tcPr>
            <w:tcW w:w="9620" w:type="dxa"/>
            <w:vAlign w:val="bottom"/>
          </w:tcPr>
          <w:p>
            <w:pPr>
              <w:spacing w:after="0"/>
              <w:rPr>
                <w:sz w:val="20"/>
                <w:szCs w:val="20"/>
                <w:color w:val="auto"/>
              </w:rPr>
            </w:pPr>
            <w:r>
              <w:rPr>
                <w:rFonts w:ascii="Arial" w:cs="Arial" w:eastAsia="Arial" w:hAnsi="Arial"/>
                <w:sz w:val="17"/>
                <w:szCs w:val="17"/>
                <w:b w:val="1"/>
                <w:bCs w:val="1"/>
                <w:color w:val="A26F2A"/>
              </w:rPr>
              <w:t>EXECUTIVE OFFICERS</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26F2A"/>
              </w:rPr>
              <w:t>41</w:t>
            </w:r>
          </w:p>
        </w:tc>
      </w:tr>
      <w:tr>
        <w:trPr>
          <w:trHeight w:val="330"/>
        </w:trPr>
        <w:tc>
          <w:tcPr>
            <w:tcW w:w="9620" w:type="dxa"/>
            <w:vAlign w:val="bottom"/>
          </w:tcPr>
          <w:p>
            <w:pPr>
              <w:spacing w:after="0"/>
              <w:rPr>
                <w:sz w:val="20"/>
                <w:szCs w:val="20"/>
                <w:color w:val="auto"/>
              </w:rPr>
            </w:pPr>
            <w:r>
              <w:rPr>
                <w:rFonts w:ascii="Arial" w:cs="Arial" w:eastAsia="Arial" w:hAnsi="Arial"/>
                <w:sz w:val="17"/>
                <w:szCs w:val="17"/>
                <w:b w:val="1"/>
                <w:bCs w:val="1"/>
                <w:color w:val="A26F2A"/>
              </w:rPr>
              <w:t>COMPENSATION DISCUSSION AND ANALYSIS</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26F2A"/>
              </w:rPr>
              <w:t>43</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EXECUTIVE SUMMARY</w:t>
            </w:r>
          </w:p>
        </w:tc>
        <w:tc>
          <w:tcPr>
            <w:tcW w:w="162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HIGHLIGHTS OF EXECUTIVE COMPENSATION BEST PRACTICES</w:t>
            </w:r>
          </w:p>
        </w:tc>
        <w:tc>
          <w:tcPr>
            <w:tcW w:w="162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EXECUTIVE COMPENSATION POLICY AND OBJECTIVES</w:t>
            </w:r>
          </w:p>
        </w:tc>
        <w:tc>
          <w:tcPr>
            <w:tcW w:w="162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COMPETITIVE BENCHMARKING</w:t>
            </w:r>
          </w:p>
        </w:tc>
        <w:tc>
          <w:tcPr>
            <w:tcW w:w="162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2025 COMPENSATION PROGRAM DESIGN AND STRUCTURE</w:t>
            </w:r>
          </w:p>
        </w:tc>
        <w:tc>
          <w:tcPr>
            <w:tcW w:w="162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EXECUTIVE COMPENSATION PROGRAM ELEMENTS</w:t>
            </w:r>
          </w:p>
        </w:tc>
        <w:tc>
          <w:tcPr>
            <w:tcW w:w="162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OTHER SIGNIFICANT COMPENSATION AND BENEFIT PLANS, POLICIES AND PRACTICES</w:t>
            </w:r>
          </w:p>
        </w:tc>
        <w:tc>
          <w:tcPr>
            <w:tcW w:w="162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COMPENSATION COMMITTEE REPORT</w:t>
            </w:r>
          </w:p>
        </w:tc>
        <w:tc>
          <w:tcPr>
            <w:tcW w:w="162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199"/>
        </w:trPr>
        <w:tc>
          <w:tcPr>
            <w:tcW w:w="9620" w:type="dxa"/>
            <w:vAlign w:val="bottom"/>
          </w:tcPr>
          <w:p>
            <w:pPr>
              <w:spacing w:after="0"/>
              <w:rPr>
                <w:sz w:val="20"/>
                <w:szCs w:val="20"/>
                <w:color w:val="auto"/>
              </w:rPr>
            </w:pPr>
            <w:r>
              <w:rPr>
                <w:rFonts w:ascii="Arial" w:cs="Arial" w:eastAsia="Arial" w:hAnsi="Arial"/>
                <w:sz w:val="15"/>
                <w:szCs w:val="15"/>
                <w:color w:val="auto"/>
              </w:rPr>
              <w:t>COMPENSATION COMMITTEE INTERLOCKS AND INSIDER PARTICIPATION</w:t>
            </w:r>
          </w:p>
        </w:tc>
        <w:tc>
          <w:tcPr>
            <w:tcW w:w="162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344"/>
        </w:trPr>
        <w:tc>
          <w:tcPr>
            <w:tcW w:w="9620" w:type="dxa"/>
            <w:vAlign w:val="bottom"/>
          </w:tcPr>
          <w:p>
            <w:pPr>
              <w:spacing w:after="0"/>
              <w:rPr>
                <w:sz w:val="20"/>
                <w:szCs w:val="20"/>
                <w:color w:val="auto"/>
              </w:rPr>
            </w:pPr>
            <w:r>
              <w:rPr>
                <w:rFonts w:ascii="Arial" w:cs="Arial" w:eastAsia="Arial" w:hAnsi="Arial"/>
                <w:sz w:val="17"/>
                <w:szCs w:val="17"/>
                <w:b w:val="1"/>
                <w:bCs w:val="1"/>
                <w:color w:val="A26F2A"/>
              </w:rPr>
              <w:t>COMPENSATION TABLES</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26F2A"/>
              </w:rPr>
              <w:t>66</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SUMMARY COMPENSATION TABLE</w:t>
            </w:r>
          </w:p>
        </w:tc>
        <w:tc>
          <w:tcPr>
            <w:tcW w:w="162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2025 GRANTS OF PLAN-BASED AWARDS UNDER DIAMONDBACK’S EQUITY INCENTIVE PLAN</w:t>
            </w:r>
          </w:p>
        </w:tc>
        <w:tc>
          <w:tcPr>
            <w:tcW w:w="1620" w:type="dxa"/>
            <w:vAlign w:val="bottom"/>
          </w:tcPr>
          <w:p>
            <w:pPr>
              <w:jc w:val="right"/>
              <w:spacing w:after="0"/>
              <w:rPr>
                <w:sz w:val="20"/>
                <w:szCs w:val="20"/>
                <w:color w:val="auto"/>
              </w:rPr>
            </w:pPr>
            <w:r>
              <w:rPr>
                <w:rFonts w:ascii="Arial" w:cs="Arial" w:eastAsia="Arial" w:hAnsi="Arial"/>
                <w:sz w:val="15"/>
                <w:szCs w:val="15"/>
                <w:color w:val="auto"/>
              </w:rPr>
              <w:t>68</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2025 GRANTS OF PLAN-BASED AWARDS UNDER THE VIPER LTIP</w:t>
            </w:r>
          </w:p>
        </w:tc>
        <w:tc>
          <w:tcPr>
            <w:tcW w:w="162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OUTSTANDING EQUITY AWARDS AT FISCAL 2025 YEAR-END UNDER DIAMONDBACK’S EQUITY INCENTIVE PLAN</w:t>
            </w:r>
          </w:p>
        </w:tc>
        <w:tc>
          <w:tcPr>
            <w:tcW w:w="162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OUTSTANDING EQUITY AWARDS UNDER THE VIPER LTIP AT FISCAL 2025 YEAR-END</w:t>
            </w:r>
          </w:p>
        </w:tc>
        <w:tc>
          <w:tcPr>
            <w:tcW w:w="1620" w:type="dxa"/>
            <w:vAlign w:val="bottom"/>
          </w:tcPr>
          <w:p>
            <w:pPr>
              <w:jc w:val="right"/>
              <w:spacing w:after="0"/>
              <w:rPr>
                <w:sz w:val="20"/>
                <w:szCs w:val="20"/>
                <w:color w:val="auto"/>
              </w:rPr>
            </w:pPr>
            <w:r>
              <w:rPr>
                <w:rFonts w:ascii="Arial" w:cs="Arial" w:eastAsia="Arial" w:hAnsi="Arial"/>
                <w:sz w:val="15"/>
                <w:szCs w:val="15"/>
                <w:color w:val="auto"/>
              </w:rPr>
              <w:t>72</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STOCK VESTED DURING FISCAL YEAR 2025 UNDER DIAMONDBACK’S EQUITY INCENTIVE PLAN</w:t>
            </w:r>
          </w:p>
        </w:tc>
        <w:tc>
          <w:tcPr>
            <w:tcW w:w="1620" w:type="dxa"/>
            <w:vAlign w:val="bottom"/>
          </w:tcPr>
          <w:p>
            <w:pPr>
              <w:jc w:val="right"/>
              <w:spacing w:after="0"/>
              <w:rPr>
                <w:sz w:val="20"/>
                <w:szCs w:val="20"/>
                <w:color w:val="auto"/>
              </w:rPr>
            </w:pPr>
            <w:r>
              <w:rPr>
                <w:rFonts w:ascii="Arial" w:cs="Arial" w:eastAsia="Arial" w:hAnsi="Arial"/>
                <w:sz w:val="15"/>
                <w:szCs w:val="15"/>
                <w:color w:val="auto"/>
              </w:rPr>
              <w:t>73</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RESTRICTED STOCK UNITS VESTED UNDER THE VIPER LTIP DURING FISCAL YEAR 2025</w:t>
            </w:r>
          </w:p>
        </w:tc>
        <w:tc>
          <w:tcPr>
            <w:tcW w:w="1620" w:type="dxa"/>
            <w:vAlign w:val="bottom"/>
          </w:tcPr>
          <w:p>
            <w:pPr>
              <w:jc w:val="right"/>
              <w:spacing w:after="0"/>
              <w:rPr>
                <w:sz w:val="20"/>
                <w:szCs w:val="20"/>
                <w:color w:val="auto"/>
              </w:rPr>
            </w:pPr>
            <w:r>
              <w:rPr>
                <w:rFonts w:ascii="Arial" w:cs="Arial" w:eastAsia="Arial" w:hAnsi="Arial"/>
                <w:sz w:val="15"/>
                <w:szCs w:val="15"/>
                <w:color w:val="auto"/>
              </w:rPr>
              <w:t>73</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POTENTIAL PAYMENTS UPON TERMINATION, RESIGNATION OR CHANGE OF CONTROL FOR FISCAL YEAR 2025</w:t>
            </w:r>
          </w:p>
        </w:tc>
        <w:tc>
          <w:tcPr>
            <w:tcW w:w="162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PAY RATIO DISCLOSURE</w:t>
            </w:r>
          </w:p>
        </w:tc>
        <w:tc>
          <w:tcPr>
            <w:tcW w:w="1620" w:type="dxa"/>
            <w:vAlign w:val="bottom"/>
          </w:tcPr>
          <w:p>
            <w:pPr>
              <w:jc w:val="right"/>
              <w:spacing w:after="0"/>
              <w:rPr>
                <w:sz w:val="20"/>
                <w:szCs w:val="20"/>
                <w:color w:val="auto"/>
              </w:rPr>
            </w:pPr>
            <w:r>
              <w:rPr>
                <w:rFonts w:ascii="Arial" w:cs="Arial" w:eastAsia="Arial" w:hAnsi="Arial"/>
                <w:sz w:val="15"/>
                <w:szCs w:val="15"/>
                <w:color w:val="auto"/>
              </w:rPr>
              <w:t>76</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PAY VERSUS PERFORMANCE DISCLOSURE</w:t>
            </w:r>
          </w:p>
        </w:tc>
        <w:tc>
          <w:tcPr>
            <w:tcW w:w="162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177"/>
        </w:trPr>
        <w:tc>
          <w:tcPr>
            <w:tcW w:w="9620" w:type="dxa"/>
            <w:vAlign w:val="bottom"/>
          </w:tcPr>
          <w:p>
            <w:pPr>
              <w:spacing w:after="0"/>
              <w:rPr>
                <w:sz w:val="20"/>
                <w:szCs w:val="20"/>
                <w:color w:val="auto"/>
              </w:rPr>
            </w:pPr>
            <w:r>
              <w:rPr>
                <w:rFonts w:ascii="Arial" w:cs="Arial" w:eastAsia="Arial" w:hAnsi="Arial"/>
                <w:sz w:val="15"/>
                <w:szCs w:val="15"/>
                <w:color w:val="auto"/>
              </w:rPr>
              <w:t>2025 EQUITY COMPENSATION PLAN INFORMATION</w:t>
            </w:r>
          </w:p>
        </w:tc>
        <w:tc>
          <w:tcPr>
            <w:tcW w:w="1620" w:type="dxa"/>
            <w:vAlign w:val="bottom"/>
          </w:tcPr>
          <w:p>
            <w:pPr>
              <w:jc w:val="right"/>
              <w:spacing w:after="0"/>
              <w:rPr>
                <w:sz w:val="20"/>
                <w:szCs w:val="20"/>
                <w:color w:val="auto"/>
              </w:rPr>
            </w:pPr>
            <w:r>
              <w:rPr>
                <w:rFonts w:ascii="Arial" w:cs="Arial" w:eastAsia="Arial" w:hAnsi="Arial"/>
                <w:sz w:val="15"/>
                <w:szCs w:val="15"/>
                <w:color w:val="auto"/>
              </w:rPr>
              <w:t>81</w:t>
            </w:r>
          </w:p>
        </w:tc>
      </w:tr>
      <w:tr>
        <w:trPr>
          <w:trHeight w:val="199"/>
        </w:trPr>
        <w:tc>
          <w:tcPr>
            <w:tcW w:w="9620" w:type="dxa"/>
            <w:vAlign w:val="bottom"/>
          </w:tcPr>
          <w:p>
            <w:pPr>
              <w:spacing w:after="0"/>
              <w:rPr>
                <w:sz w:val="20"/>
                <w:szCs w:val="20"/>
                <w:color w:val="auto"/>
              </w:rPr>
            </w:pPr>
            <w:r>
              <w:rPr>
                <w:rFonts w:ascii="Arial" w:cs="Arial" w:eastAsia="Arial" w:hAnsi="Arial"/>
                <w:sz w:val="15"/>
                <w:szCs w:val="15"/>
                <w:color w:val="auto"/>
              </w:rPr>
              <w:t>2025 DIRECTOR COMPENSATION</w:t>
            </w:r>
          </w:p>
        </w:tc>
        <w:tc>
          <w:tcPr>
            <w:tcW w:w="1620" w:type="dxa"/>
            <w:vAlign w:val="bottom"/>
          </w:tcPr>
          <w:p>
            <w:pPr>
              <w:jc w:val="right"/>
              <w:spacing w:after="0"/>
              <w:rPr>
                <w:sz w:val="20"/>
                <w:szCs w:val="20"/>
                <w:color w:val="auto"/>
              </w:rPr>
            </w:pPr>
            <w:r>
              <w:rPr>
                <w:rFonts w:ascii="Arial" w:cs="Arial" w:eastAsia="Arial" w:hAnsi="Arial"/>
                <w:sz w:val="15"/>
                <w:szCs w:val="15"/>
                <w:color w:val="auto"/>
              </w:rPr>
              <w:t>82</w:t>
            </w:r>
          </w:p>
        </w:tc>
      </w:tr>
      <w:tr>
        <w:trPr>
          <w:trHeight w:val="248"/>
        </w:trPr>
        <w:tc>
          <w:tcPr>
            <w:tcW w:w="9620" w:type="dxa"/>
            <w:vAlign w:val="bottom"/>
            <w:tcBorders>
              <w:bottom w:val="single" w:sz="8" w:color="C0C0C0"/>
            </w:tcBorders>
          </w:tcPr>
          <w:p>
            <w:pPr>
              <w:spacing w:after="0"/>
              <w:rPr>
                <w:sz w:val="21"/>
                <w:szCs w:val="21"/>
                <w:color w:val="auto"/>
              </w:rPr>
            </w:pPr>
          </w:p>
        </w:tc>
        <w:tc>
          <w:tcPr>
            <w:tcW w:w="162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378"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700" w:type="dxa"/>
            <w:vAlign w:val="bottom"/>
          </w:tcPr>
          <w:p>
            <w:pPr>
              <w:spacing w:after="0"/>
              <w:rPr>
                <w:sz w:val="20"/>
                <w:szCs w:val="20"/>
                <w:color w:val="auto"/>
              </w:rPr>
            </w:pPr>
            <w:r>
              <w:rPr>
                <w:rFonts w:ascii="Arial" w:cs="Arial" w:eastAsia="Arial" w:hAnsi="Arial"/>
                <w:sz w:val="17"/>
                <w:szCs w:val="17"/>
                <w:b w:val="1"/>
                <w:bCs w:val="1"/>
                <w:color w:val="A26F2A"/>
              </w:rPr>
              <w:t>STOCK OWNERSHIP</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26F2A"/>
              </w:rPr>
              <w:t>84</w:t>
            </w:r>
          </w:p>
        </w:tc>
      </w:tr>
      <w:tr>
        <w:trPr>
          <w:trHeight w:val="177"/>
        </w:trPr>
        <w:tc>
          <w:tcPr>
            <w:tcW w:w="10700" w:type="dxa"/>
            <w:vAlign w:val="bottom"/>
          </w:tcPr>
          <w:p>
            <w:pPr>
              <w:spacing w:after="0"/>
              <w:rPr>
                <w:sz w:val="20"/>
                <w:szCs w:val="20"/>
                <w:color w:val="auto"/>
              </w:rPr>
            </w:pPr>
            <w:r>
              <w:rPr>
                <w:rFonts w:ascii="Arial" w:cs="Arial" w:eastAsia="Arial" w:hAnsi="Arial"/>
                <w:sz w:val="15"/>
                <w:szCs w:val="15"/>
                <w:color w:val="auto"/>
              </w:rPr>
              <w:t>HOLDINGS OF MAJOR STOCKHOLDERS</w:t>
            </w:r>
          </w:p>
        </w:tc>
        <w:tc>
          <w:tcPr>
            <w:tcW w:w="54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199"/>
        </w:trPr>
        <w:tc>
          <w:tcPr>
            <w:tcW w:w="10700" w:type="dxa"/>
            <w:vAlign w:val="bottom"/>
          </w:tcPr>
          <w:p>
            <w:pPr>
              <w:spacing w:after="0"/>
              <w:rPr>
                <w:sz w:val="20"/>
                <w:szCs w:val="20"/>
                <w:color w:val="auto"/>
              </w:rPr>
            </w:pPr>
            <w:r>
              <w:rPr>
                <w:rFonts w:ascii="Arial" w:cs="Arial" w:eastAsia="Arial" w:hAnsi="Arial"/>
                <w:sz w:val="15"/>
                <w:szCs w:val="15"/>
                <w:color w:val="auto"/>
              </w:rPr>
              <w:t>HOLDINGS OF OFFICERS AND DIRECTORS</w:t>
            </w:r>
          </w:p>
        </w:tc>
        <w:tc>
          <w:tcPr>
            <w:tcW w:w="54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380"/>
        </w:trPr>
        <w:tc>
          <w:tcPr>
            <w:tcW w:w="10700" w:type="dxa"/>
            <w:vAlign w:val="bottom"/>
          </w:tcPr>
          <w:p>
            <w:pPr>
              <w:spacing w:after="0"/>
              <w:rPr>
                <w:sz w:val="20"/>
                <w:szCs w:val="20"/>
                <w:color w:val="auto"/>
              </w:rPr>
            </w:pPr>
            <w:r>
              <w:rPr>
                <w:rFonts w:ascii="Arial" w:cs="Arial" w:eastAsia="Arial" w:hAnsi="Arial"/>
                <w:sz w:val="17"/>
                <w:szCs w:val="17"/>
                <w:b w:val="1"/>
                <w:bCs w:val="1"/>
                <w:color w:val="A26F2A"/>
              </w:rPr>
              <w:t>STOCK PERFORMANCE GRAPH</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26F2A"/>
              </w:rPr>
              <w:t>88</w:t>
            </w:r>
          </w:p>
        </w:tc>
      </w:tr>
      <w:tr>
        <w:trPr>
          <w:trHeight w:val="330"/>
        </w:trPr>
        <w:tc>
          <w:tcPr>
            <w:tcW w:w="10700" w:type="dxa"/>
            <w:vAlign w:val="bottom"/>
          </w:tcPr>
          <w:p>
            <w:pPr>
              <w:spacing w:after="0"/>
              <w:rPr>
                <w:sz w:val="20"/>
                <w:szCs w:val="20"/>
                <w:color w:val="auto"/>
              </w:rPr>
            </w:pPr>
            <w:r>
              <w:rPr>
                <w:rFonts w:ascii="Arial" w:cs="Arial" w:eastAsia="Arial" w:hAnsi="Arial"/>
                <w:sz w:val="17"/>
                <w:szCs w:val="17"/>
                <w:b w:val="1"/>
                <w:bCs w:val="1"/>
                <w:color w:val="A26F2A"/>
              </w:rPr>
              <w:t>CERTAIN RELATIONSHIPS AND RELATED PARTY TRANSACTIONS</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26F2A"/>
              </w:rPr>
              <w:t>89</w:t>
            </w:r>
          </w:p>
        </w:tc>
      </w:tr>
      <w:tr>
        <w:trPr>
          <w:trHeight w:val="177"/>
        </w:trPr>
        <w:tc>
          <w:tcPr>
            <w:tcW w:w="10700" w:type="dxa"/>
            <w:vAlign w:val="bottom"/>
          </w:tcPr>
          <w:p>
            <w:pPr>
              <w:spacing w:after="0"/>
              <w:rPr>
                <w:sz w:val="20"/>
                <w:szCs w:val="20"/>
                <w:color w:val="auto"/>
              </w:rPr>
            </w:pPr>
            <w:r>
              <w:rPr>
                <w:rFonts w:ascii="Arial" w:cs="Arial" w:eastAsia="Arial" w:hAnsi="Arial"/>
                <w:sz w:val="15"/>
                <w:szCs w:val="15"/>
                <w:color w:val="auto"/>
              </w:rPr>
              <w:t>REVIEW AND APPROVAL OF RELATED PARTY TRANSACTIONS</w:t>
            </w:r>
          </w:p>
        </w:tc>
        <w:tc>
          <w:tcPr>
            <w:tcW w:w="54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177"/>
        </w:trPr>
        <w:tc>
          <w:tcPr>
            <w:tcW w:w="10700" w:type="dxa"/>
            <w:vAlign w:val="bottom"/>
          </w:tcPr>
          <w:p>
            <w:pPr>
              <w:spacing w:after="0"/>
              <w:rPr>
                <w:sz w:val="20"/>
                <w:szCs w:val="20"/>
                <w:color w:val="auto"/>
              </w:rPr>
            </w:pPr>
            <w:r>
              <w:rPr>
                <w:rFonts w:ascii="Arial" w:cs="Arial" w:eastAsia="Arial" w:hAnsi="Arial"/>
                <w:sz w:val="15"/>
                <w:szCs w:val="15"/>
                <w:color w:val="auto"/>
              </w:rPr>
              <w:t>STEPHENS STOCKHOLDERS AGREEMENT</w:t>
            </w:r>
          </w:p>
        </w:tc>
        <w:tc>
          <w:tcPr>
            <w:tcW w:w="54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177"/>
        </w:trPr>
        <w:tc>
          <w:tcPr>
            <w:tcW w:w="10700" w:type="dxa"/>
            <w:vAlign w:val="bottom"/>
          </w:tcPr>
          <w:p>
            <w:pPr>
              <w:spacing w:after="0"/>
              <w:rPr>
                <w:sz w:val="20"/>
                <w:szCs w:val="20"/>
                <w:color w:val="auto"/>
              </w:rPr>
            </w:pPr>
            <w:r>
              <w:rPr>
                <w:rFonts w:ascii="Arial" w:cs="Arial" w:eastAsia="Arial" w:hAnsi="Arial"/>
                <w:sz w:val="15"/>
                <w:szCs w:val="15"/>
                <w:color w:val="auto"/>
              </w:rPr>
              <w:t>SGF LETTER AGREEMENT</w:t>
            </w:r>
          </w:p>
        </w:tc>
        <w:tc>
          <w:tcPr>
            <w:tcW w:w="54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177"/>
        </w:trPr>
        <w:tc>
          <w:tcPr>
            <w:tcW w:w="10700" w:type="dxa"/>
            <w:vAlign w:val="bottom"/>
          </w:tcPr>
          <w:p>
            <w:pPr>
              <w:spacing w:after="0"/>
              <w:rPr>
                <w:sz w:val="20"/>
                <w:szCs w:val="20"/>
                <w:color w:val="auto"/>
              </w:rPr>
            </w:pPr>
            <w:r>
              <w:rPr>
                <w:rFonts w:ascii="Arial" w:cs="Arial" w:eastAsia="Arial" w:hAnsi="Arial"/>
                <w:sz w:val="15"/>
                <w:szCs w:val="15"/>
                <w:color w:val="auto"/>
              </w:rPr>
              <w:t>SGF SECONDARY OFFERING</w:t>
            </w:r>
          </w:p>
        </w:tc>
        <w:tc>
          <w:tcPr>
            <w:tcW w:w="54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199"/>
        </w:trPr>
        <w:tc>
          <w:tcPr>
            <w:tcW w:w="10700" w:type="dxa"/>
            <w:vAlign w:val="bottom"/>
          </w:tcPr>
          <w:p>
            <w:pPr>
              <w:spacing w:after="0"/>
              <w:rPr>
                <w:sz w:val="20"/>
                <w:szCs w:val="20"/>
                <w:color w:val="auto"/>
              </w:rPr>
            </w:pPr>
            <w:r>
              <w:rPr>
                <w:rFonts w:ascii="Arial" w:cs="Arial" w:eastAsia="Arial" w:hAnsi="Arial"/>
                <w:sz w:val="15"/>
                <w:szCs w:val="15"/>
                <w:color w:val="auto"/>
              </w:rPr>
              <w:t>CERTAIN OTHER TRANSACTIONS</w:t>
            </w:r>
          </w:p>
        </w:tc>
        <w:tc>
          <w:tcPr>
            <w:tcW w:w="54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344"/>
        </w:trPr>
        <w:tc>
          <w:tcPr>
            <w:tcW w:w="10700" w:type="dxa"/>
            <w:vAlign w:val="bottom"/>
          </w:tcPr>
          <w:p>
            <w:pPr>
              <w:spacing w:after="0"/>
              <w:rPr>
                <w:sz w:val="20"/>
                <w:szCs w:val="20"/>
                <w:color w:val="auto"/>
              </w:rPr>
            </w:pPr>
            <w:r>
              <w:rPr>
                <w:rFonts w:ascii="Arial" w:cs="Arial" w:eastAsia="Arial" w:hAnsi="Arial"/>
                <w:sz w:val="17"/>
                <w:szCs w:val="17"/>
                <w:b w:val="1"/>
                <w:bCs w:val="1"/>
                <w:color w:val="A26F2A"/>
              </w:rPr>
              <w:t xml:space="preserve">PROPOSAL 2: </w:t>
            </w:r>
            <w:r>
              <w:rPr>
                <w:rFonts w:ascii="Arial" w:cs="Arial" w:eastAsia="Arial" w:hAnsi="Arial"/>
                <w:sz w:val="17"/>
                <w:szCs w:val="17"/>
                <w:b w:val="1"/>
                <w:bCs w:val="1"/>
                <w:color w:val="000000"/>
              </w:rPr>
              <w:t>APPROVE, ON AN ADVISORY BASIS, THE COMPANY’S EXECUTIVE COMPENSATION</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91</w:t>
            </w:r>
          </w:p>
        </w:tc>
      </w:tr>
      <w:tr>
        <w:trPr>
          <w:trHeight w:val="199"/>
        </w:trPr>
        <w:tc>
          <w:tcPr>
            <w:tcW w:w="10700" w:type="dxa"/>
            <w:vAlign w:val="bottom"/>
          </w:tcPr>
          <w:p>
            <w:pPr>
              <w:spacing w:after="0"/>
              <w:rPr>
                <w:sz w:val="20"/>
                <w:szCs w:val="20"/>
                <w:color w:val="auto"/>
              </w:rPr>
            </w:pPr>
            <w:r>
              <w:rPr>
                <w:rFonts w:ascii="Arial" w:cs="Arial" w:eastAsia="Arial" w:hAnsi="Arial"/>
                <w:sz w:val="15"/>
                <w:szCs w:val="15"/>
                <w:color w:val="auto"/>
              </w:rPr>
              <w:t>BOARD VOTING RECOMMENDATION</w:t>
            </w:r>
          </w:p>
        </w:tc>
        <w:tc>
          <w:tcPr>
            <w:tcW w:w="540" w:type="dxa"/>
            <w:vAlign w:val="bottom"/>
          </w:tcPr>
          <w:p>
            <w:pPr>
              <w:jc w:val="right"/>
              <w:spacing w:after="0"/>
              <w:rPr>
                <w:sz w:val="20"/>
                <w:szCs w:val="20"/>
                <w:color w:val="auto"/>
              </w:rPr>
            </w:pPr>
            <w:r>
              <w:rPr>
                <w:rFonts w:ascii="Arial" w:cs="Arial" w:eastAsia="Arial" w:hAnsi="Arial"/>
                <w:sz w:val="15"/>
                <w:szCs w:val="15"/>
                <w:color w:val="auto"/>
              </w:rPr>
              <w:t>91</w:t>
            </w:r>
          </w:p>
        </w:tc>
      </w:tr>
      <w:tr>
        <w:trPr>
          <w:trHeight w:val="339"/>
        </w:trPr>
        <w:tc>
          <w:tcPr>
            <w:tcW w:w="10700" w:type="dxa"/>
            <w:vAlign w:val="bottom"/>
          </w:tcPr>
          <w:p>
            <w:pPr>
              <w:spacing w:after="0"/>
              <w:rPr>
                <w:sz w:val="20"/>
                <w:szCs w:val="20"/>
                <w:color w:val="auto"/>
              </w:rPr>
            </w:pPr>
            <w:r>
              <w:rPr>
                <w:rFonts w:ascii="Arial" w:cs="Arial" w:eastAsia="Arial" w:hAnsi="Arial"/>
                <w:sz w:val="17"/>
                <w:szCs w:val="17"/>
                <w:b w:val="1"/>
                <w:bCs w:val="1"/>
                <w:color w:val="A26F2A"/>
              </w:rPr>
              <w:t xml:space="preserve">PROPOSAL 3: </w:t>
            </w:r>
            <w:r>
              <w:rPr>
                <w:rFonts w:ascii="Arial" w:cs="Arial" w:eastAsia="Arial" w:hAnsi="Arial"/>
                <w:sz w:val="17"/>
                <w:szCs w:val="17"/>
                <w:b w:val="1"/>
                <w:bCs w:val="1"/>
                <w:color w:val="000000"/>
              </w:rPr>
              <w:t>APPROVE, ON AN ADVISORY BASIS, THE FREQUENCY OF ADVISORY STOCKHOLDER VOTE ON THE COMPANY’S</w:t>
            </w:r>
          </w:p>
        </w:tc>
        <w:tc>
          <w:tcPr>
            <w:tcW w:w="540" w:type="dxa"/>
            <w:vAlign w:val="bottom"/>
          </w:tcPr>
          <w:p>
            <w:pPr>
              <w:spacing w:after="0"/>
              <w:rPr>
                <w:sz w:val="24"/>
                <w:szCs w:val="24"/>
                <w:color w:val="auto"/>
              </w:rPr>
            </w:pPr>
          </w:p>
        </w:tc>
      </w:tr>
      <w:tr>
        <w:trPr>
          <w:trHeight w:val="194"/>
        </w:trPr>
        <w:tc>
          <w:tcPr>
            <w:tcW w:w="10700" w:type="dxa"/>
            <w:vAlign w:val="bottom"/>
          </w:tcPr>
          <w:p>
            <w:pPr>
              <w:spacing w:after="0" w:line="194" w:lineRule="exact"/>
              <w:rPr>
                <w:sz w:val="20"/>
                <w:szCs w:val="20"/>
                <w:color w:val="auto"/>
              </w:rPr>
            </w:pPr>
            <w:r>
              <w:rPr>
                <w:rFonts w:ascii="Arial" w:cs="Arial" w:eastAsia="Arial" w:hAnsi="Arial"/>
                <w:sz w:val="17"/>
                <w:szCs w:val="17"/>
                <w:b w:val="1"/>
                <w:bCs w:val="1"/>
                <w:color w:val="auto"/>
              </w:rPr>
              <w:t>EXECUTIVE COMPENSATION</w:t>
            </w:r>
          </w:p>
        </w:tc>
        <w:tc>
          <w:tcPr>
            <w:tcW w:w="5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92</w:t>
            </w:r>
          </w:p>
        </w:tc>
      </w:tr>
      <w:tr>
        <w:trPr>
          <w:trHeight w:val="177"/>
        </w:trPr>
        <w:tc>
          <w:tcPr>
            <w:tcW w:w="10700" w:type="dxa"/>
            <w:vAlign w:val="bottom"/>
          </w:tcPr>
          <w:p>
            <w:pPr>
              <w:spacing w:after="0"/>
              <w:rPr>
                <w:sz w:val="20"/>
                <w:szCs w:val="20"/>
                <w:color w:val="auto"/>
              </w:rPr>
            </w:pPr>
            <w:r>
              <w:rPr>
                <w:rFonts w:ascii="Arial" w:cs="Arial" w:eastAsia="Arial" w:hAnsi="Arial"/>
                <w:sz w:val="15"/>
                <w:szCs w:val="15"/>
                <w:color w:val="auto"/>
              </w:rPr>
              <w:t>WHAT AM I VOTING ON?</w:t>
            </w:r>
          </w:p>
        </w:tc>
        <w:tc>
          <w:tcPr>
            <w:tcW w:w="54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177"/>
        </w:trPr>
        <w:tc>
          <w:tcPr>
            <w:tcW w:w="10700" w:type="dxa"/>
            <w:vAlign w:val="bottom"/>
          </w:tcPr>
          <w:p>
            <w:pPr>
              <w:spacing w:after="0"/>
              <w:rPr>
                <w:sz w:val="20"/>
                <w:szCs w:val="20"/>
                <w:color w:val="auto"/>
              </w:rPr>
            </w:pPr>
            <w:r>
              <w:rPr>
                <w:rFonts w:ascii="Arial" w:cs="Arial" w:eastAsia="Arial" w:hAnsi="Arial"/>
                <w:sz w:val="15"/>
                <w:szCs w:val="15"/>
                <w:color w:val="auto"/>
              </w:rPr>
              <w:t>WHAT VOTE IS REQUIRED FOR THIS PROPOSAL?</w:t>
            </w:r>
          </w:p>
        </w:tc>
        <w:tc>
          <w:tcPr>
            <w:tcW w:w="54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199"/>
        </w:trPr>
        <w:tc>
          <w:tcPr>
            <w:tcW w:w="10700" w:type="dxa"/>
            <w:vAlign w:val="bottom"/>
          </w:tcPr>
          <w:p>
            <w:pPr>
              <w:spacing w:after="0"/>
              <w:rPr>
                <w:sz w:val="20"/>
                <w:szCs w:val="20"/>
                <w:color w:val="auto"/>
              </w:rPr>
            </w:pPr>
            <w:r>
              <w:rPr>
                <w:rFonts w:ascii="Arial" w:cs="Arial" w:eastAsia="Arial" w:hAnsi="Arial"/>
                <w:sz w:val="15"/>
                <w:szCs w:val="15"/>
                <w:color w:val="auto"/>
              </w:rPr>
              <w:t>BOARD VOTING RECOMMENDATION</w:t>
            </w:r>
          </w:p>
        </w:tc>
        <w:tc>
          <w:tcPr>
            <w:tcW w:w="54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344"/>
        </w:trPr>
        <w:tc>
          <w:tcPr>
            <w:tcW w:w="10700" w:type="dxa"/>
            <w:vAlign w:val="bottom"/>
          </w:tcPr>
          <w:p>
            <w:pPr>
              <w:spacing w:after="0"/>
              <w:rPr>
                <w:sz w:val="20"/>
                <w:szCs w:val="20"/>
                <w:color w:val="auto"/>
              </w:rPr>
            </w:pPr>
            <w:r>
              <w:rPr>
                <w:rFonts w:ascii="Arial" w:cs="Arial" w:eastAsia="Arial" w:hAnsi="Arial"/>
                <w:sz w:val="17"/>
                <w:szCs w:val="17"/>
                <w:b w:val="1"/>
                <w:bCs w:val="1"/>
                <w:color w:val="A26F2A"/>
              </w:rPr>
              <w:t xml:space="preserve">PROPOSAL 4: </w:t>
            </w:r>
            <w:r>
              <w:rPr>
                <w:rFonts w:ascii="Arial" w:cs="Arial" w:eastAsia="Arial" w:hAnsi="Arial"/>
                <w:sz w:val="17"/>
                <w:szCs w:val="17"/>
                <w:b w:val="1"/>
                <w:bCs w:val="1"/>
                <w:color w:val="000000"/>
              </w:rPr>
              <w:t>RATIFY THE APPOINTMENT OF OUR INDEPENDENT AUDITOR</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93</w:t>
            </w:r>
          </w:p>
        </w:tc>
      </w:tr>
      <w:tr>
        <w:trPr>
          <w:trHeight w:val="177"/>
        </w:trPr>
        <w:tc>
          <w:tcPr>
            <w:tcW w:w="10700" w:type="dxa"/>
            <w:vAlign w:val="bottom"/>
          </w:tcPr>
          <w:p>
            <w:pPr>
              <w:spacing w:after="0"/>
              <w:rPr>
                <w:sz w:val="20"/>
                <w:szCs w:val="20"/>
                <w:color w:val="auto"/>
              </w:rPr>
            </w:pPr>
            <w:r>
              <w:rPr>
                <w:rFonts w:ascii="Arial" w:cs="Arial" w:eastAsia="Arial" w:hAnsi="Arial"/>
                <w:sz w:val="15"/>
                <w:szCs w:val="15"/>
                <w:color w:val="auto"/>
              </w:rPr>
              <w:t>WHAT AM I VOTING ON?</w:t>
            </w:r>
          </w:p>
        </w:tc>
        <w:tc>
          <w:tcPr>
            <w:tcW w:w="540" w:type="dxa"/>
            <w:vAlign w:val="bottom"/>
          </w:tcPr>
          <w:p>
            <w:pPr>
              <w:jc w:val="right"/>
              <w:spacing w:after="0"/>
              <w:rPr>
                <w:sz w:val="20"/>
                <w:szCs w:val="20"/>
                <w:color w:val="auto"/>
              </w:rPr>
            </w:pPr>
            <w:r>
              <w:rPr>
                <w:rFonts w:ascii="Arial" w:cs="Arial" w:eastAsia="Arial" w:hAnsi="Arial"/>
                <w:sz w:val="15"/>
                <w:szCs w:val="15"/>
                <w:color w:val="auto"/>
              </w:rPr>
              <w:t>93</w:t>
            </w:r>
          </w:p>
        </w:tc>
      </w:tr>
      <w:tr>
        <w:trPr>
          <w:trHeight w:val="177"/>
        </w:trPr>
        <w:tc>
          <w:tcPr>
            <w:tcW w:w="10700" w:type="dxa"/>
            <w:vAlign w:val="bottom"/>
          </w:tcPr>
          <w:p>
            <w:pPr>
              <w:spacing w:after="0"/>
              <w:rPr>
                <w:sz w:val="20"/>
                <w:szCs w:val="20"/>
                <w:color w:val="auto"/>
              </w:rPr>
            </w:pPr>
            <w:r>
              <w:rPr>
                <w:rFonts w:ascii="Arial" w:cs="Arial" w:eastAsia="Arial" w:hAnsi="Arial"/>
                <w:sz w:val="15"/>
                <w:szCs w:val="15"/>
                <w:color w:val="auto"/>
              </w:rPr>
              <w:t>WHAT SERVICES DOES THE INDEPENDENT AUDITOR PROVIDE?</w:t>
            </w:r>
          </w:p>
        </w:tc>
        <w:tc>
          <w:tcPr>
            <w:tcW w:w="540" w:type="dxa"/>
            <w:vAlign w:val="bottom"/>
          </w:tcPr>
          <w:p>
            <w:pPr>
              <w:jc w:val="right"/>
              <w:spacing w:after="0"/>
              <w:rPr>
                <w:sz w:val="20"/>
                <w:szCs w:val="20"/>
                <w:color w:val="auto"/>
              </w:rPr>
            </w:pPr>
            <w:r>
              <w:rPr>
                <w:rFonts w:ascii="Arial" w:cs="Arial" w:eastAsia="Arial" w:hAnsi="Arial"/>
                <w:sz w:val="15"/>
                <w:szCs w:val="15"/>
                <w:color w:val="auto"/>
              </w:rPr>
              <w:t>93</w:t>
            </w:r>
          </w:p>
        </w:tc>
      </w:tr>
      <w:tr>
        <w:trPr>
          <w:trHeight w:val="177"/>
        </w:trPr>
        <w:tc>
          <w:tcPr>
            <w:tcW w:w="10700" w:type="dxa"/>
            <w:vAlign w:val="bottom"/>
          </w:tcPr>
          <w:p>
            <w:pPr>
              <w:spacing w:after="0"/>
              <w:rPr>
                <w:sz w:val="20"/>
                <w:szCs w:val="20"/>
                <w:color w:val="auto"/>
              </w:rPr>
            </w:pPr>
            <w:r>
              <w:rPr>
                <w:rFonts w:ascii="Arial" w:cs="Arial" w:eastAsia="Arial" w:hAnsi="Arial"/>
                <w:sz w:val="15"/>
                <w:szCs w:val="15"/>
                <w:color w:val="auto"/>
              </w:rPr>
              <w:t>HOW MUCH WAS THE INDEPENDENT AUDITOR PAID IN 2025 AND 2024?</w:t>
            </w:r>
          </w:p>
        </w:tc>
        <w:tc>
          <w:tcPr>
            <w:tcW w:w="540" w:type="dxa"/>
            <w:vAlign w:val="bottom"/>
          </w:tcPr>
          <w:p>
            <w:pPr>
              <w:jc w:val="right"/>
              <w:spacing w:after="0"/>
              <w:rPr>
                <w:sz w:val="20"/>
                <w:szCs w:val="20"/>
                <w:color w:val="auto"/>
              </w:rPr>
            </w:pPr>
            <w:r>
              <w:rPr>
                <w:rFonts w:ascii="Arial" w:cs="Arial" w:eastAsia="Arial" w:hAnsi="Arial"/>
                <w:sz w:val="15"/>
                <w:szCs w:val="15"/>
                <w:color w:val="auto"/>
              </w:rPr>
              <w:t>93</w:t>
            </w:r>
          </w:p>
        </w:tc>
      </w:tr>
      <w:tr>
        <w:trPr>
          <w:trHeight w:val="177"/>
        </w:trPr>
        <w:tc>
          <w:tcPr>
            <w:tcW w:w="10700" w:type="dxa"/>
            <w:vAlign w:val="bottom"/>
          </w:tcPr>
          <w:p>
            <w:pPr>
              <w:spacing w:after="0"/>
              <w:rPr>
                <w:sz w:val="20"/>
                <w:szCs w:val="20"/>
                <w:color w:val="auto"/>
              </w:rPr>
            </w:pPr>
            <w:r>
              <w:rPr>
                <w:rFonts w:ascii="Arial" w:cs="Arial" w:eastAsia="Arial" w:hAnsi="Arial"/>
                <w:sz w:val="15"/>
                <w:szCs w:val="15"/>
                <w:color w:val="auto"/>
              </w:rPr>
              <w:t>DOES THE AUDIT COMMITTEE APPROVE THE SERVICES PROVIDED BY GRANT THORNTON?</w:t>
            </w:r>
          </w:p>
        </w:tc>
        <w:tc>
          <w:tcPr>
            <w:tcW w:w="540" w:type="dxa"/>
            <w:vAlign w:val="bottom"/>
          </w:tcPr>
          <w:p>
            <w:pPr>
              <w:jc w:val="right"/>
              <w:spacing w:after="0"/>
              <w:rPr>
                <w:sz w:val="20"/>
                <w:szCs w:val="20"/>
                <w:color w:val="auto"/>
              </w:rPr>
            </w:pPr>
            <w:r>
              <w:rPr>
                <w:rFonts w:ascii="Arial" w:cs="Arial" w:eastAsia="Arial" w:hAnsi="Arial"/>
                <w:sz w:val="15"/>
                <w:szCs w:val="15"/>
                <w:color w:val="auto"/>
              </w:rPr>
              <w:t>94</w:t>
            </w:r>
          </w:p>
        </w:tc>
      </w:tr>
      <w:tr>
        <w:trPr>
          <w:trHeight w:val="177"/>
        </w:trPr>
        <w:tc>
          <w:tcPr>
            <w:tcW w:w="10700" w:type="dxa"/>
            <w:vAlign w:val="bottom"/>
          </w:tcPr>
          <w:p>
            <w:pPr>
              <w:spacing w:after="0"/>
              <w:rPr>
                <w:sz w:val="20"/>
                <w:szCs w:val="20"/>
                <w:color w:val="auto"/>
              </w:rPr>
            </w:pPr>
            <w:r>
              <w:rPr>
                <w:rFonts w:ascii="Arial" w:cs="Arial" w:eastAsia="Arial" w:hAnsi="Arial"/>
                <w:sz w:val="15"/>
                <w:szCs w:val="15"/>
                <w:color w:val="auto"/>
              </w:rPr>
              <w:t>WILL A REPRESENTATIVE OF GRANT THORNTON BE PRESENT AT THE MEETING?</w:t>
            </w:r>
          </w:p>
        </w:tc>
        <w:tc>
          <w:tcPr>
            <w:tcW w:w="540" w:type="dxa"/>
            <w:vAlign w:val="bottom"/>
          </w:tcPr>
          <w:p>
            <w:pPr>
              <w:jc w:val="right"/>
              <w:spacing w:after="0"/>
              <w:rPr>
                <w:sz w:val="20"/>
                <w:szCs w:val="20"/>
                <w:color w:val="auto"/>
              </w:rPr>
            </w:pPr>
            <w:r>
              <w:rPr>
                <w:rFonts w:ascii="Arial" w:cs="Arial" w:eastAsia="Arial" w:hAnsi="Arial"/>
                <w:sz w:val="15"/>
                <w:szCs w:val="15"/>
                <w:color w:val="auto"/>
              </w:rPr>
              <w:t>94</w:t>
            </w:r>
          </w:p>
        </w:tc>
      </w:tr>
      <w:tr>
        <w:trPr>
          <w:trHeight w:val="177"/>
        </w:trPr>
        <w:tc>
          <w:tcPr>
            <w:tcW w:w="10700" w:type="dxa"/>
            <w:vAlign w:val="bottom"/>
          </w:tcPr>
          <w:p>
            <w:pPr>
              <w:spacing w:after="0"/>
              <w:rPr>
                <w:sz w:val="20"/>
                <w:szCs w:val="20"/>
                <w:color w:val="auto"/>
              </w:rPr>
            </w:pPr>
            <w:r>
              <w:rPr>
                <w:rFonts w:ascii="Arial" w:cs="Arial" w:eastAsia="Arial" w:hAnsi="Arial"/>
                <w:sz w:val="15"/>
                <w:szCs w:val="15"/>
                <w:color w:val="auto"/>
              </w:rPr>
              <w:t>WHAT VOTE IS REQUIRED TO APPROVE THIS PROPOSAL?</w:t>
            </w:r>
          </w:p>
        </w:tc>
        <w:tc>
          <w:tcPr>
            <w:tcW w:w="540" w:type="dxa"/>
            <w:vAlign w:val="bottom"/>
          </w:tcPr>
          <w:p>
            <w:pPr>
              <w:jc w:val="right"/>
              <w:spacing w:after="0"/>
              <w:rPr>
                <w:sz w:val="20"/>
                <w:szCs w:val="20"/>
                <w:color w:val="auto"/>
              </w:rPr>
            </w:pPr>
            <w:r>
              <w:rPr>
                <w:rFonts w:ascii="Arial" w:cs="Arial" w:eastAsia="Arial" w:hAnsi="Arial"/>
                <w:sz w:val="15"/>
                <w:szCs w:val="15"/>
                <w:color w:val="auto"/>
              </w:rPr>
              <w:t>94</w:t>
            </w:r>
          </w:p>
        </w:tc>
      </w:tr>
      <w:tr>
        <w:trPr>
          <w:trHeight w:val="177"/>
        </w:trPr>
        <w:tc>
          <w:tcPr>
            <w:tcW w:w="10700" w:type="dxa"/>
            <w:vAlign w:val="bottom"/>
          </w:tcPr>
          <w:p>
            <w:pPr>
              <w:spacing w:after="0"/>
              <w:rPr>
                <w:sz w:val="20"/>
                <w:szCs w:val="20"/>
                <w:color w:val="auto"/>
              </w:rPr>
            </w:pPr>
            <w:r>
              <w:rPr>
                <w:rFonts w:ascii="Arial" w:cs="Arial" w:eastAsia="Arial" w:hAnsi="Arial"/>
                <w:sz w:val="15"/>
                <w:szCs w:val="15"/>
                <w:color w:val="auto"/>
              </w:rPr>
              <w:t>HAS GRANT THORNTON ALWAYS SERVED AS DIAMONDBACK’S INDEPENDENT AUDITOR?</w:t>
            </w:r>
          </w:p>
        </w:tc>
        <w:tc>
          <w:tcPr>
            <w:tcW w:w="540" w:type="dxa"/>
            <w:vAlign w:val="bottom"/>
          </w:tcPr>
          <w:p>
            <w:pPr>
              <w:jc w:val="right"/>
              <w:spacing w:after="0"/>
              <w:rPr>
                <w:sz w:val="20"/>
                <w:szCs w:val="20"/>
                <w:color w:val="auto"/>
              </w:rPr>
            </w:pPr>
            <w:r>
              <w:rPr>
                <w:rFonts w:ascii="Arial" w:cs="Arial" w:eastAsia="Arial" w:hAnsi="Arial"/>
                <w:sz w:val="15"/>
                <w:szCs w:val="15"/>
                <w:color w:val="auto"/>
              </w:rPr>
              <w:t>94</w:t>
            </w:r>
          </w:p>
        </w:tc>
      </w:tr>
      <w:tr>
        <w:trPr>
          <w:trHeight w:val="199"/>
        </w:trPr>
        <w:tc>
          <w:tcPr>
            <w:tcW w:w="10700" w:type="dxa"/>
            <w:vAlign w:val="bottom"/>
          </w:tcPr>
          <w:p>
            <w:pPr>
              <w:spacing w:after="0"/>
              <w:rPr>
                <w:sz w:val="20"/>
                <w:szCs w:val="20"/>
                <w:color w:val="auto"/>
              </w:rPr>
            </w:pPr>
            <w:r>
              <w:rPr>
                <w:rFonts w:ascii="Arial" w:cs="Arial" w:eastAsia="Arial" w:hAnsi="Arial"/>
                <w:sz w:val="15"/>
                <w:szCs w:val="15"/>
                <w:color w:val="auto"/>
              </w:rPr>
              <w:t>WHAT DOES THE BOARD OF DIRECTORS RECOMMEND?</w:t>
            </w:r>
          </w:p>
        </w:tc>
        <w:tc>
          <w:tcPr>
            <w:tcW w:w="540" w:type="dxa"/>
            <w:vAlign w:val="bottom"/>
          </w:tcPr>
          <w:p>
            <w:pPr>
              <w:jc w:val="right"/>
              <w:spacing w:after="0"/>
              <w:rPr>
                <w:sz w:val="20"/>
                <w:szCs w:val="20"/>
                <w:color w:val="auto"/>
              </w:rPr>
            </w:pPr>
            <w:r>
              <w:rPr>
                <w:rFonts w:ascii="Arial" w:cs="Arial" w:eastAsia="Arial" w:hAnsi="Arial"/>
                <w:sz w:val="15"/>
                <w:szCs w:val="15"/>
                <w:color w:val="auto"/>
              </w:rPr>
              <w:t>94</w:t>
            </w:r>
          </w:p>
        </w:tc>
      </w:tr>
      <w:tr>
        <w:trPr>
          <w:trHeight w:val="380"/>
        </w:trPr>
        <w:tc>
          <w:tcPr>
            <w:tcW w:w="10700" w:type="dxa"/>
            <w:vAlign w:val="bottom"/>
          </w:tcPr>
          <w:p>
            <w:pPr>
              <w:spacing w:after="0"/>
              <w:rPr>
                <w:sz w:val="20"/>
                <w:szCs w:val="20"/>
                <w:color w:val="auto"/>
              </w:rPr>
            </w:pPr>
            <w:r>
              <w:rPr>
                <w:rFonts w:ascii="Arial" w:cs="Arial" w:eastAsia="Arial" w:hAnsi="Arial"/>
                <w:sz w:val="17"/>
                <w:szCs w:val="17"/>
                <w:b w:val="1"/>
                <w:bCs w:val="1"/>
                <w:color w:val="A26F2A"/>
              </w:rPr>
              <w:t>FREQUENTLY ASKED QUESTIONS ABOUT THE ANNUAL MEETING</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26F2A"/>
              </w:rPr>
              <w:t>95</w:t>
            </w:r>
          </w:p>
        </w:tc>
      </w:tr>
      <w:tr>
        <w:trPr>
          <w:trHeight w:val="366"/>
        </w:trPr>
        <w:tc>
          <w:tcPr>
            <w:tcW w:w="10700" w:type="dxa"/>
            <w:vAlign w:val="bottom"/>
          </w:tcPr>
          <w:p>
            <w:pPr>
              <w:spacing w:after="0"/>
              <w:rPr>
                <w:sz w:val="20"/>
                <w:szCs w:val="20"/>
                <w:color w:val="auto"/>
              </w:rPr>
            </w:pPr>
            <w:r>
              <w:rPr>
                <w:rFonts w:ascii="Arial" w:cs="Arial" w:eastAsia="Arial" w:hAnsi="Arial"/>
                <w:sz w:val="17"/>
                <w:szCs w:val="17"/>
                <w:b w:val="1"/>
                <w:bCs w:val="1"/>
                <w:color w:val="A26F2A"/>
              </w:rPr>
              <w:t>SUBMISSION OF FUTURE STOCKHOLDER PROPOSALS</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26F2A"/>
              </w:rPr>
              <w:t>99</w:t>
            </w:r>
          </w:p>
        </w:tc>
      </w:tr>
      <w:tr>
        <w:trPr>
          <w:trHeight w:val="366"/>
        </w:trPr>
        <w:tc>
          <w:tcPr>
            <w:tcW w:w="10700" w:type="dxa"/>
            <w:vAlign w:val="bottom"/>
          </w:tcPr>
          <w:p>
            <w:pPr>
              <w:spacing w:after="0"/>
              <w:rPr>
                <w:sz w:val="20"/>
                <w:szCs w:val="20"/>
                <w:color w:val="auto"/>
              </w:rPr>
            </w:pPr>
            <w:r>
              <w:rPr>
                <w:rFonts w:ascii="Arial" w:cs="Arial" w:eastAsia="Arial" w:hAnsi="Arial"/>
                <w:sz w:val="17"/>
                <w:szCs w:val="17"/>
                <w:b w:val="1"/>
                <w:bCs w:val="1"/>
                <w:color w:val="A26F2A"/>
              </w:rPr>
              <w:t>OTHER MATTERS</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26F2A"/>
              </w:rPr>
              <w:t>100</w:t>
            </w:r>
          </w:p>
        </w:tc>
      </w:tr>
      <w:tr>
        <w:trPr>
          <w:trHeight w:val="366"/>
        </w:trPr>
        <w:tc>
          <w:tcPr>
            <w:tcW w:w="10700" w:type="dxa"/>
            <w:vAlign w:val="bottom"/>
          </w:tcPr>
          <w:p>
            <w:pPr>
              <w:spacing w:after="0"/>
              <w:rPr>
                <w:sz w:val="20"/>
                <w:szCs w:val="20"/>
                <w:color w:val="auto"/>
              </w:rPr>
            </w:pPr>
            <w:r>
              <w:rPr>
                <w:rFonts w:ascii="Arial" w:cs="Arial" w:eastAsia="Arial" w:hAnsi="Arial"/>
                <w:sz w:val="17"/>
                <w:szCs w:val="17"/>
                <w:b w:val="1"/>
                <w:bCs w:val="1"/>
                <w:color w:val="A26F2A"/>
              </w:rPr>
              <w:t>SCHEDULE A NON-GAAP RECONCILIATIONS</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26F2A"/>
              </w:rPr>
              <w:t>102</w:t>
            </w:r>
          </w:p>
        </w:tc>
      </w:tr>
      <w:tr>
        <w:trPr>
          <w:trHeight w:val="234"/>
        </w:trPr>
        <w:tc>
          <w:tcPr>
            <w:tcW w:w="10700" w:type="dxa"/>
            <w:vAlign w:val="bottom"/>
            <w:tcBorders>
              <w:bottom w:val="single" w:sz="8" w:color="C0C0C0"/>
            </w:tcBorders>
          </w:tcPr>
          <w:p>
            <w:pPr>
              <w:spacing w:after="0"/>
              <w:rPr>
                <w:sz w:val="20"/>
                <w:szCs w:val="20"/>
                <w:color w:val="auto"/>
              </w:rPr>
            </w:pPr>
          </w:p>
        </w:tc>
        <w:tc>
          <w:tcPr>
            <w:tcW w:w="5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231"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76" w:lineRule="exact"/>
        <w:rPr>
          <w:sz w:val="20"/>
          <w:szCs w:val="20"/>
          <w:color w:val="auto"/>
        </w:rPr>
      </w:pPr>
    </w:p>
    <w:p>
      <w:pPr>
        <w:ind w:left="700"/>
        <w:spacing w:after="0"/>
        <w:rPr>
          <w:sz w:val="20"/>
          <w:szCs w:val="20"/>
          <w:color w:val="auto"/>
        </w:rPr>
      </w:pPr>
      <w:r>
        <w:rPr>
          <w:sz w:val="1"/>
          <w:szCs w:val="1"/>
          <w:color w:val="auto"/>
        </w:rPr>
        <w:drawing>
          <wp:inline distT="0" distB="0" distL="0" distR="0">
            <wp:extent cx="136525" cy="118618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6525" cy="1186180"/>
                    </a:xfrm>
                    <a:prstGeom prst="rect">
                      <a:avLst/>
                    </a:prstGeom>
                    <a:noFill/>
                    <a:ln>
                      <a:noFill/>
                    </a:ln>
                  </pic:spPr>
                </pic:pic>
              </a:graphicData>
            </a:graphic>
          </wp:inline>
        </w:drawing>
      </w:r>
      <w:r>
        <w:rPr>
          <w:rFonts w:ascii="Arial" w:cs="Arial" w:eastAsia="Arial" w:hAnsi="Arial"/>
          <w:sz w:val="44"/>
          <w:szCs w:val="44"/>
          <w:b w:val="1"/>
          <w:bCs w:val="1"/>
          <w:color w:val="auto"/>
        </w:rPr>
        <w:t xml:space="preserve"> PROXY SUMMARY</w:t>
      </w:r>
    </w:p>
    <w:p>
      <w:pPr>
        <w:spacing w:after="0" w:line="223" w:lineRule="exact"/>
        <w:rPr>
          <w:sz w:val="20"/>
          <w:szCs w:val="20"/>
          <w:color w:val="auto"/>
        </w:rPr>
      </w:pPr>
    </w:p>
    <w:p>
      <w:pPr>
        <w:ind w:left="1080"/>
        <w:spacing w:after="0" w:line="282" w:lineRule="auto"/>
        <w:rPr>
          <w:sz w:val="20"/>
          <w:szCs w:val="20"/>
          <w:color w:val="auto"/>
        </w:rPr>
      </w:pPr>
      <w:r>
        <w:rPr>
          <w:rFonts w:ascii="Arial" w:cs="Arial" w:eastAsia="Arial" w:hAnsi="Arial"/>
          <w:sz w:val="15"/>
          <w:szCs w:val="15"/>
          <w:color w:val="auto"/>
        </w:rPr>
        <w:t>THE SUMMARY BELOW HIGHLIGHTS SELECTED INFORMATION IN THIS PROXY STATEMENT. PLEASE REVIEW THE ENTIRE PROXY STATEMENT BEFORE VOTING YOUR SHARES.</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VOTING MATTERS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60" w:type="dxa"/>
            <w:vAlign w:val="bottom"/>
          </w:tcPr>
          <w:p>
            <w:pPr>
              <w:spacing w:after="0"/>
              <w:rPr>
                <w:sz w:val="15"/>
                <w:szCs w:val="15"/>
                <w:color w:val="auto"/>
              </w:rPr>
            </w:pPr>
          </w:p>
        </w:tc>
        <w:tc>
          <w:tcPr>
            <w:tcW w:w="1680" w:type="dxa"/>
            <w:vAlign w:val="bottom"/>
          </w:tcPr>
          <w:p>
            <w:pPr>
              <w:ind w:left="300"/>
              <w:spacing w:after="0"/>
              <w:rPr>
                <w:sz w:val="20"/>
                <w:szCs w:val="20"/>
                <w:color w:val="auto"/>
              </w:rPr>
            </w:pPr>
            <w:r>
              <w:rPr>
                <w:rFonts w:ascii="Arial" w:cs="Arial" w:eastAsia="Arial" w:hAnsi="Arial"/>
                <w:sz w:val="15"/>
                <w:szCs w:val="15"/>
                <w:b w:val="1"/>
                <w:bCs w:val="1"/>
                <w:color w:val="auto"/>
              </w:rPr>
              <w:t>Board</w:t>
            </w:r>
          </w:p>
        </w:tc>
        <w:tc>
          <w:tcPr>
            <w:tcW w:w="1300" w:type="dxa"/>
            <w:vAlign w:val="bottom"/>
          </w:tcPr>
          <w:p>
            <w:pPr>
              <w:spacing w:after="0"/>
              <w:rPr>
                <w:sz w:val="15"/>
                <w:szCs w:val="15"/>
                <w:color w:val="auto"/>
              </w:rPr>
            </w:pPr>
          </w:p>
        </w:tc>
      </w:tr>
      <w:tr>
        <w:trPr>
          <w:trHeight w:val="194"/>
        </w:trPr>
        <w:tc>
          <w:tcPr>
            <w:tcW w:w="826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Proposal</w:t>
            </w:r>
          </w:p>
        </w:tc>
        <w:tc>
          <w:tcPr>
            <w:tcW w:w="1680" w:type="dxa"/>
            <w:vAlign w:val="bottom"/>
            <w:tcBorders>
              <w:bottom w:val="single" w:sz="8" w:color="A26F2A"/>
            </w:tcBorders>
          </w:tcPr>
          <w:p>
            <w:pPr>
              <w:ind w:left="300"/>
              <w:spacing w:after="0"/>
              <w:rPr>
                <w:sz w:val="20"/>
                <w:szCs w:val="20"/>
                <w:color w:val="auto"/>
              </w:rPr>
            </w:pPr>
            <w:r>
              <w:rPr>
                <w:rFonts w:ascii="Arial" w:cs="Arial" w:eastAsia="Arial" w:hAnsi="Arial"/>
                <w:sz w:val="15"/>
                <w:szCs w:val="15"/>
                <w:b w:val="1"/>
                <w:bCs w:val="1"/>
                <w:color w:val="auto"/>
              </w:rPr>
              <w:t>Recommendation</w:t>
            </w:r>
          </w:p>
        </w:tc>
        <w:tc>
          <w:tcPr>
            <w:tcW w:w="1300" w:type="dxa"/>
            <w:vAlign w:val="bottom"/>
            <w:tcBorders>
              <w:bottom w:val="single" w:sz="8" w:color="A26F2A"/>
            </w:tcBorders>
          </w:tcPr>
          <w:p>
            <w:pPr>
              <w:jc w:val="right"/>
              <w:spacing w:after="0"/>
              <w:rPr>
                <w:sz w:val="20"/>
                <w:szCs w:val="20"/>
                <w:color w:val="auto"/>
              </w:rPr>
            </w:pPr>
            <w:r>
              <w:rPr>
                <w:rFonts w:ascii="Arial" w:cs="Arial" w:eastAsia="Arial" w:hAnsi="Arial"/>
                <w:sz w:val="15"/>
                <w:szCs w:val="15"/>
                <w:b w:val="1"/>
                <w:bCs w:val="1"/>
                <w:color w:val="auto"/>
              </w:rPr>
              <w:t>Page Reference</w:t>
            </w:r>
          </w:p>
        </w:tc>
      </w:tr>
      <w:tr>
        <w:trPr>
          <w:trHeight w:val="177"/>
        </w:trPr>
        <w:tc>
          <w:tcPr>
            <w:tcW w:w="826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 xml:space="preserve">Proposal 1: </w:t>
            </w:r>
            <w:r>
              <w:rPr>
                <w:rFonts w:ascii="Arial" w:cs="Arial" w:eastAsia="Arial" w:hAnsi="Arial"/>
                <w:sz w:val="15"/>
                <w:szCs w:val="15"/>
                <w:color w:val="auto"/>
              </w:rPr>
              <w:t>Election of Directors</w:t>
            </w:r>
          </w:p>
        </w:tc>
        <w:tc>
          <w:tcPr>
            <w:tcW w:w="1680" w:type="dxa"/>
            <w:vAlign w:val="bottom"/>
            <w:tcBorders>
              <w:bottom w:val="single" w:sz="8" w:color="A8A9AC"/>
            </w:tcBorders>
          </w:tcPr>
          <w:p>
            <w:pPr>
              <w:ind w:left="300"/>
              <w:spacing w:after="0"/>
              <w:rPr>
                <w:sz w:val="20"/>
                <w:szCs w:val="20"/>
                <w:color w:val="auto"/>
              </w:rPr>
            </w:pPr>
            <w:r>
              <w:rPr>
                <w:rFonts w:ascii="Arial" w:cs="Arial" w:eastAsia="Arial" w:hAnsi="Arial"/>
                <w:sz w:val="15"/>
                <w:szCs w:val="15"/>
                <w:b w:val="1"/>
                <w:bCs w:val="1"/>
                <w:color w:val="A26F2A"/>
              </w:rPr>
              <w:t xml:space="preserve">FOR </w:t>
            </w:r>
            <w:r>
              <w:rPr>
                <w:rFonts w:ascii="Arial" w:cs="Arial" w:eastAsia="Arial" w:hAnsi="Arial"/>
                <w:sz w:val="15"/>
                <w:szCs w:val="15"/>
                <w:color w:val="000000"/>
              </w:rPr>
              <w:t>each Director</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12</w:t>
            </w:r>
          </w:p>
        </w:tc>
      </w:tr>
      <w:tr>
        <w:trPr>
          <w:trHeight w:val="169"/>
        </w:trPr>
        <w:tc>
          <w:tcPr>
            <w:tcW w:w="826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 xml:space="preserve">Proposal 2: </w:t>
            </w:r>
            <w:r>
              <w:rPr>
                <w:rFonts w:ascii="Arial" w:cs="Arial" w:eastAsia="Arial" w:hAnsi="Arial"/>
                <w:sz w:val="15"/>
                <w:szCs w:val="15"/>
                <w:color w:val="auto"/>
              </w:rPr>
              <w:t>Approve, on an Advisory Basis, the Company’s Executive Compensation</w:t>
            </w:r>
          </w:p>
        </w:tc>
        <w:tc>
          <w:tcPr>
            <w:tcW w:w="1680" w:type="dxa"/>
            <w:vAlign w:val="bottom"/>
            <w:tcBorders>
              <w:bottom w:val="single" w:sz="8" w:color="A8A9AC"/>
            </w:tcBorders>
          </w:tcPr>
          <w:p>
            <w:pPr>
              <w:ind w:left="300"/>
              <w:spacing w:after="0" w:line="169" w:lineRule="exact"/>
              <w:rPr>
                <w:sz w:val="20"/>
                <w:szCs w:val="20"/>
                <w:color w:val="auto"/>
              </w:rPr>
            </w:pPr>
            <w:r>
              <w:rPr>
                <w:rFonts w:ascii="Arial" w:cs="Arial" w:eastAsia="Arial" w:hAnsi="Arial"/>
                <w:sz w:val="15"/>
                <w:szCs w:val="15"/>
                <w:b w:val="1"/>
                <w:bCs w:val="1"/>
                <w:color w:val="A26F2A"/>
              </w:rPr>
              <w:t>FOR</w:t>
            </w:r>
          </w:p>
        </w:tc>
        <w:tc>
          <w:tcPr>
            <w:tcW w:w="130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91</w:t>
            </w:r>
          </w:p>
        </w:tc>
      </w:tr>
      <w:tr>
        <w:trPr>
          <w:trHeight w:val="157"/>
        </w:trPr>
        <w:tc>
          <w:tcPr>
            <w:tcW w:w="8260" w:type="dxa"/>
            <w:vAlign w:val="bottom"/>
          </w:tcPr>
          <w:p>
            <w:pPr>
              <w:ind w:left="60"/>
              <w:spacing w:after="0" w:line="157" w:lineRule="exact"/>
              <w:rPr>
                <w:sz w:val="20"/>
                <w:szCs w:val="20"/>
                <w:color w:val="auto"/>
              </w:rPr>
            </w:pPr>
            <w:r>
              <w:rPr>
                <w:rFonts w:ascii="Arial" w:cs="Arial" w:eastAsia="Arial" w:hAnsi="Arial"/>
                <w:sz w:val="15"/>
                <w:szCs w:val="15"/>
                <w:b w:val="1"/>
                <w:bCs w:val="1"/>
                <w:color w:val="auto"/>
              </w:rPr>
              <w:t xml:space="preserve">Proposal 3: </w:t>
            </w:r>
            <w:r>
              <w:rPr>
                <w:rFonts w:ascii="Arial" w:cs="Arial" w:eastAsia="Arial" w:hAnsi="Arial"/>
                <w:sz w:val="15"/>
                <w:szCs w:val="15"/>
                <w:color w:val="auto"/>
              </w:rPr>
              <w:t>Approve, on an Advisory Basis, the Frequency of Advisory Stockholder Vote on the Company’s Executive</w:t>
            </w:r>
          </w:p>
        </w:tc>
        <w:tc>
          <w:tcPr>
            <w:tcW w:w="168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9"/>
        </w:trPr>
        <w:tc>
          <w:tcPr>
            <w:tcW w:w="826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rPr>
              <w:t>Compensation</w:t>
            </w:r>
          </w:p>
        </w:tc>
        <w:tc>
          <w:tcPr>
            <w:tcW w:w="1680" w:type="dxa"/>
            <w:vAlign w:val="bottom"/>
            <w:tcBorders>
              <w:bottom w:val="single" w:sz="8" w:color="A8A9AC"/>
            </w:tcBorders>
          </w:tcPr>
          <w:p>
            <w:pPr>
              <w:ind w:left="300"/>
              <w:spacing w:after="0"/>
              <w:rPr>
                <w:sz w:val="20"/>
                <w:szCs w:val="20"/>
                <w:color w:val="auto"/>
              </w:rPr>
            </w:pPr>
            <w:r>
              <w:rPr>
                <w:rFonts w:ascii="Arial" w:cs="Arial" w:eastAsia="Arial" w:hAnsi="Arial"/>
                <w:sz w:val="15"/>
                <w:szCs w:val="15"/>
                <w:b w:val="1"/>
                <w:bCs w:val="1"/>
                <w:color w:val="A26F2A"/>
              </w:rPr>
              <w:t xml:space="preserve">FOR </w:t>
            </w:r>
            <w:r>
              <w:rPr>
                <w:rFonts w:ascii="Arial" w:cs="Arial" w:eastAsia="Arial" w:hAnsi="Arial"/>
                <w:sz w:val="15"/>
                <w:szCs w:val="15"/>
                <w:color w:val="000000"/>
              </w:rPr>
              <w:t>every year</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92</w:t>
            </w:r>
          </w:p>
        </w:tc>
      </w:tr>
      <w:tr>
        <w:trPr>
          <w:trHeight w:val="169"/>
        </w:trPr>
        <w:tc>
          <w:tcPr>
            <w:tcW w:w="8260" w:type="dxa"/>
            <w:vAlign w:val="bottom"/>
            <w:tcBorders>
              <w:bottom w:val="single" w:sz="8" w:color="A26F2A"/>
            </w:tcBorders>
          </w:tcPr>
          <w:p>
            <w:pPr>
              <w:ind w:left="60"/>
              <w:spacing w:after="0" w:line="169" w:lineRule="exact"/>
              <w:rPr>
                <w:sz w:val="20"/>
                <w:szCs w:val="20"/>
                <w:color w:val="auto"/>
              </w:rPr>
            </w:pPr>
            <w:r>
              <w:rPr>
                <w:rFonts w:ascii="Arial" w:cs="Arial" w:eastAsia="Arial" w:hAnsi="Arial"/>
                <w:sz w:val="15"/>
                <w:szCs w:val="15"/>
                <w:b w:val="1"/>
                <w:bCs w:val="1"/>
                <w:color w:val="auto"/>
              </w:rPr>
              <w:t xml:space="preserve">Proposal 4: </w:t>
            </w:r>
            <w:r>
              <w:rPr>
                <w:rFonts w:ascii="Arial" w:cs="Arial" w:eastAsia="Arial" w:hAnsi="Arial"/>
                <w:sz w:val="15"/>
                <w:szCs w:val="15"/>
                <w:color w:val="auto"/>
              </w:rPr>
              <w:t>Ratify the Appointment of Our Independent Auditor</w:t>
            </w:r>
          </w:p>
        </w:tc>
        <w:tc>
          <w:tcPr>
            <w:tcW w:w="1680" w:type="dxa"/>
            <w:vAlign w:val="bottom"/>
            <w:tcBorders>
              <w:bottom w:val="single" w:sz="8" w:color="A26F2A"/>
            </w:tcBorders>
          </w:tcPr>
          <w:p>
            <w:pPr>
              <w:ind w:left="300"/>
              <w:spacing w:after="0" w:line="169" w:lineRule="exact"/>
              <w:rPr>
                <w:sz w:val="20"/>
                <w:szCs w:val="20"/>
                <w:color w:val="auto"/>
              </w:rPr>
            </w:pPr>
            <w:r>
              <w:rPr>
                <w:rFonts w:ascii="Arial" w:cs="Arial" w:eastAsia="Arial" w:hAnsi="Arial"/>
                <w:sz w:val="15"/>
                <w:szCs w:val="15"/>
                <w:b w:val="1"/>
                <w:bCs w:val="1"/>
                <w:color w:val="A26F2A"/>
              </w:rPr>
              <w:t>FOR</w:t>
            </w:r>
          </w:p>
        </w:tc>
        <w:tc>
          <w:tcPr>
            <w:tcW w:w="130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93</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Leadership Transition</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Pursuant to our previously announced leadership transition plan, Travis D. Stice stepped down as Chief Executive Officer at the conclusion of the Company’s 2025 Annual Meeting of stockholders (the “2025 Annual Meeting”), after leading the Company as Chief Executive Officer since January 2012 and joining the board of directors in November 2012 following the Company’s initial public offering. Mr. Stice transitioned to Executive Chairman of the Board at that time, and Kaes Van’t Hof, then President of the Company, succeeded Mr. Stice as Chief Executive Officer. In accordance with the letter agreement with Mr. Stice specifying the terms on which he will serve as Executive Chairman, Mr. Stice will transition to non-executive Chairman of the Board at the conclusion of the Company’s 2026 Annual Meeting of stockholders (the “2026 Annual Meeting”).</w:t>
      </w:r>
    </w:p>
    <w:p>
      <w:pPr>
        <w:spacing w:after="0" w:line="237"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Endeavor Merger and Stephens Stockholders Agreement</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February 2024, the Company announced its transformative, $26 billion merger with Endeavor Energy Resources, L.P. (“Endeavor” and such transaction, the “Endeavor Merger”). The Endeavor Merger closed on September 10, 2024. At closing, the Company entered into a Stockholders Agreement (the “Stephens Stockholders Agreement”) with the former holders of all the issued and outstanding equity interests in Endeavor who received Company common stock in the Endeavor Merger as consideration (such stockholders, the “Stephens Stockholders”).</w:t>
      </w:r>
    </w:p>
    <w:p>
      <w:pPr>
        <w:spacing w:after="0" w:line="142"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Pursuant to the terms of the Stephens Stockholders Agreement, the Stephens Stockholders have the right to designate four individuals to serve on our board of directors. The number of individuals that the Stephens Stockholders are entitled to designate to serve on our board of directors will be permanently reduced to (i) two directors, if, at any time, the Stephens Stockholders beneficially own at least 20% of the Company’s outstanding common stock, but less than 25% of the Company’s outstanding common stock, (ii) one director, if, at any time, the Stephens Stockholders beneficially own at least 10% of the Company’s outstanding common stock, but less than 20% of the Company’s outstanding common stock and (iii) no directors, if, at any time, the Stephens Stockholders beneficially own less than 10% of the Company’s outstanding common stock. The foregoing description of the certain provisions of the Stephens Stockholders Agreement does not purport to be complete and is qualified in its entirety by reference to the actual terms of the Stephens Stockholders Agreement, a copy of which is attached as Exhibit 10.1 to the Form 8-K filed by the Company with the Securities and Exchange Commission on September 10, 2024.</w:t>
      </w:r>
    </w:p>
    <w:p>
      <w:pPr>
        <w:spacing w:after="0" w:line="14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Following the closing of the Endeavor Merger, the Stephens Stockholders designated the following four individuals to serve on our board of directors. These directors were elected at the 2025 Annual Meeting and have been nominated to continue to serve if elected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86995</wp:posOffset>
            </wp:positionV>
            <wp:extent cx="937895" cy="937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7895" cy="937895"/>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86995</wp:posOffset>
            </wp:positionV>
            <wp:extent cx="937895" cy="945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7895" cy="94551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86995</wp:posOffset>
            </wp:positionV>
            <wp:extent cx="937895" cy="937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7895" cy="93789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86995</wp:posOffset>
            </wp:positionV>
            <wp:extent cx="937895" cy="945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7895" cy="945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80"/>
        <w:spacing w:after="0"/>
        <w:tabs>
          <w:tab w:leader="none" w:pos="3440" w:val="left"/>
          <w:tab w:leader="none" w:pos="6560" w:val="left"/>
          <w:tab w:leader="none" w:pos="9480" w:val="left"/>
        </w:tabs>
        <w:rPr>
          <w:sz w:val="20"/>
          <w:szCs w:val="20"/>
          <w:color w:val="auto"/>
        </w:rPr>
      </w:pPr>
      <w:r>
        <w:rPr>
          <w:rFonts w:ascii="Arial" w:cs="Arial" w:eastAsia="Arial" w:hAnsi="Arial"/>
          <w:sz w:val="15"/>
          <w:szCs w:val="15"/>
          <w:b w:val="1"/>
          <w:bCs w:val="1"/>
          <w:color w:val="auto"/>
        </w:rPr>
        <w:t>Darin G. Holderness</w:t>
      </w:r>
      <w:r>
        <w:rPr>
          <w:sz w:val="20"/>
          <w:szCs w:val="20"/>
          <w:color w:val="auto"/>
        </w:rPr>
        <w:tab/>
      </w:r>
      <w:r>
        <w:rPr>
          <w:rFonts w:ascii="Arial" w:cs="Arial" w:eastAsia="Arial" w:hAnsi="Arial"/>
          <w:sz w:val="15"/>
          <w:szCs w:val="15"/>
          <w:b w:val="1"/>
          <w:bCs w:val="1"/>
          <w:color w:val="auto"/>
        </w:rPr>
        <w:t>Charles A. Meloy</w:t>
      </w:r>
      <w:r>
        <w:rPr>
          <w:sz w:val="20"/>
          <w:szCs w:val="20"/>
          <w:color w:val="auto"/>
        </w:rPr>
        <w:tab/>
      </w:r>
      <w:r>
        <w:rPr>
          <w:rFonts w:ascii="Arial" w:cs="Arial" w:eastAsia="Arial" w:hAnsi="Arial"/>
          <w:sz w:val="15"/>
          <w:szCs w:val="15"/>
          <w:b w:val="1"/>
          <w:bCs w:val="1"/>
          <w:color w:val="auto"/>
        </w:rPr>
        <w:t>Robert K. Reeves</w:t>
      </w:r>
      <w:r>
        <w:rPr>
          <w:sz w:val="20"/>
          <w:szCs w:val="20"/>
          <w:color w:val="auto"/>
        </w:rPr>
        <w:tab/>
      </w:r>
      <w:r>
        <w:rPr>
          <w:rFonts w:ascii="Arial" w:cs="Arial" w:eastAsia="Arial" w:hAnsi="Arial"/>
          <w:sz w:val="15"/>
          <w:szCs w:val="15"/>
          <w:b w:val="1"/>
          <w:bCs w:val="1"/>
          <w:color w:val="auto"/>
        </w:rPr>
        <w:t>Lance W. Robertson</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Biographical information with respect to each of these director nominees, together with a list of competencies that contributed to the conclusion that such person should serve as a director, can be found in “About Director Nominees” beginning on page 12.</w:t>
      </w:r>
    </w:p>
    <w:p>
      <w:pPr>
        <w:spacing w:after="0" w:line="215"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Director Nominees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160" w:type="dxa"/>
            <w:vAlign w:val="bottom"/>
            <w:tcBorders>
              <w:bottom w:val="single" w:sz="8" w:color="A26F2A"/>
            </w:tcBorders>
          </w:tcPr>
          <w:p>
            <w:pPr>
              <w:ind w:left="1260"/>
              <w:spacing w:after="0"/>
              <w:rPr>
                <w:sz w:val="20"/>
                <w:szCs w:val="20"/>
                <w:color w:val="auto"/>
              </w:rPr>
            </w:pPr>
            <w:r>
              <w:rPr>
                <w:rFonts w:ascii="Arial" w:cs="Arial" w:eastAsia="Arial" w:hAnsi="Arial"/>
                <w:sz w:val="15"/>
                <w:szCs w:val="15"/>
                <w:b w:val="1"/>
                <w:bCs w:val="1"/>
                <w:color w:val="auto"/>
              </w:rPr>
              <w:t>Committee Memberships</w:t>
            </w:r>
          </w:p>
        </w:tc>
        <w:tc>
          <w:tcPr>
            <w:tcW w:w="1160" w:type="dxa"/>
            <w:vAlign w:val="bottom"/>
            <w:tcBorders>
              <w:bottom w:val="single" w:sz="8" w:color="A26F2A"/>
            </w:tcBorders>
          </w:tcPr>
          <w:p>
            <w:pPr>
              <w:spacing w:after="0"/>
              <w:rPr>
                <w:sz w:val="18"/>
                <w:szCs w:val="18"/>
                <w:color w:val="auto"/>
              </w:rPr>
            </w:pPr>
          </w:p>
        </w:tc>
        <w:tc>
          <w:tcPr>
            <w:tcW w:w="1260" w:type="dxa"/>
            <w:vAlign w:val="bottom"/>
          </w:tcPr>
          <w:p>
            <w:pPr>
              <w:spacing w:after="0"/>
              <w:rPr>
                <w:sz w:val="18"/>
                <w:szCs w:val="18"/>
                <w:color w:val="auto"/>
              </w:rPr>
            </w:pPr>
          </w:p>
        </w:tc>
      </w:tr>
      <w:tr>
        <w:trPr>
          <w:trHeight w:val="186"/>
        </w:trPr>
        <w:tc>
          <w:tcPr>
            <w:tcW w:w="2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60" w:type="dxa"/>
            <w:vAlign w:val="bottom"/>
          </w:tcPr>
          <w:p>
            <w:pPr>
              <w:ind w:left="100"/>
              <w:spacing w:after="0"/>
              <w:rPr>
                <w:sz w:val="20"/>
                <w:szCs w:val="20"/>
                <w:color w:val="auto"/>
              </w:rPr>
            </w:pPr>
            <w:r>
              <w:rPr>
                <w:rFonts w:ascii="Arial" w:cs="Arial" w:eastAsia="Arial" w:hAnsi="Arial"/>
                <w:sz w:val="15"/>
                <w:szCs w:val="15"/>
                <w:b w:val="1"/>
                <w:bCs w:val="1"/>
                <w:color w:val="auto"/>
              </w:rPr>
              <w:t>Safety,</w:t>
            </w:r>
          </w:p>
        </w:tc>
        <w:tc>
          <w:tcPr>
            <w:tcW w:w="1260" w:type="dxa"/>
            <w:vAlign w:val="bottom"/>
          </w:tcPr>
          <w:p>
            <w:pPr>
              <w:spacing w:after="0"/>
              <w:rPr>
                <w:sz w:val="16"/>
                <w:szCs w:val="16"/>
                <w:color w:val="auto"/>
              </w:rPr>
            </w:pPr>
          </w:p>
        </w:tc>
      </w:tr>
      <w:tr>
        <w:trPr>
          <w:trHeight w:val="177"/>
        </w:trPr>
        <w:tc>
          <w:tcPr>
            <w:tcW w:w="2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160" w:type="dxa"/>
            <w:vAlign w:val="bottom"/>
          </w:tcPr>
          <w:p>
            <w:pPr>
              <w:ind w:left="1960"/>
              <w:spacing w:after="0"/>
              <w:rPr>
                <w:sz w:val="20"/>
                <w:szCs w:val="20"/>
                <w:color w:val="auto"/>
              </w:rPr>
            </w:pPr>
            <w:r>
              <w:rPr>
                <w:rFonts w:ascii="Arial" w:cs="Arial" w:eastAsia="Arial" w:hAnsi="Arial"/>
                <w:sz w:val="15"/>
                <w:szCs w:val="15"/>
                <w:b w:val="1"/>
                <w:bCs w:val="1"/>
                <w:color w:val="auto"/>
              </w:rPr>
              <w:t>Nominating</w:t>
            </w:r>
          </w:p>
        </w:tc>
        <w:tc>
          <w:tcPr>
            <w:tcW w:w="1160" w:type="dxa"/>
            <w:vAlign w:val="bottom"/>
          </w:tcPr>
          <w:p>
            <w:pPr>
              <w:ind w:left="100"/>
              <w:spacing w:after="0"/>
              <w:rPr>
                <w:sz w:val="20"/>
                <w:szCs w:val="20"/>
                <w:color w:val="auto"/>
              </w:rPr>
            </w:pPr>
            <w:r>
              <w:rPr>
                <w:rFonts w:ascii="Arial" w:cs="Arial" w:eastAsia="Arial" w:hAnsi="Arial"/>
                <w:sz w:val="15"/>
                <w:szCs w:val="15"/>
                <w:b w:val="1"/>
                <w:bCs w:val="1"/>
                <w:color w:val="auto"/>
              </w:rPr>
              <w:t>Sustainability</w:t>
            </w:r>
          </w:p>
        </w:tc>
        <w:tc>
          <w:tcPr>
            <w:tcW w:w="1260" w:type="dxa"/>
            <w:vAlign w:val="bottom"/>
          </w:tcPr>
          <w:p>
            <w:pPr>
              <w:spacing w:after="0"/>
              <w:rPr>
                <w:sz w:val="15"/>
                <w:szCs w:val="15"/>
                <w:color w:val="auto"/>
              </w:rPr>
            </w:pPr>
          </w:p>
        </w:tc>
      </w:tr>
      <w:tr>
        <w:trPr>
          <w:trHeight w:val="177"/>
        </w:trPr>
        <w:tc>
          <w:tcPr>
            <w:tcW w:w="2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rPr>
              <w:t>Director</w:t>
            </w:r>
          </w:p>
        </w:tc>
        <w:tc>
          <w:tcPr>
            <w:tcW w:w="1300" w:type="dxa"/>
            <w:vAlign w:val="bottom"/>
          </w:tcPr>
          <w:p>
            <w:pPr>
              <w:spacing w:after="0"/>
              <w:rPr>
                <w:sz w:val="15"/>
                <w:szCs w:val="15"/>
                <w:color w:val="auto"/>
              </w:rPr>
            </w:pPr>
          </w:p>
        </w:tc>
        <w:tc>
          <w:tcPr>
            <w:tcW w:w="3160" w:type="dxa"/>
            <w:vAlign w:val="bottom"/>
          </w:tcPr>
          <w:p>
            <w:pPr>
              <w:ind w:left="1960"/>
              <w:spacing w:after="0"/>
              <w:rPr>
                <w:sz w:val="20"/>
                <w:szCs w:val="20"/>
                <w:color w:val="auto"/>
              </w:rPr>
            </w:pPr>
            <w:r>
              <w:rPr>
                <w:rFonts w:ascii="Arial" w:cs="Arial" w:eastAsia="Arial" w:hAnsi="Arial"/>
                <w:sz w:val="15"/>
                <w:szCs w:val="15"/>
                <w:b w:val="1"/>
                <w:bCs w:val="1"/>
                <w:color w:val="auto"/>
              </w:rPr>
              <w:t>and Corporate</w:t>
            </w:r>
          </w:p>
        </w:tc>
        <w:tc>
          <w:tcPr>
            <w:tcW w:w="1160" w:type="dxa"/>
            <w:vAlign w:val="bottom"/>
          </w:tcPr>
          <w:p>
            <w:pPr>
              <w:ind w:left="100"/>
              <w:spacing w:after="0"/>
              <w:rPr>
                <w:sz w:val="20"/>
                <w:szCs w:val="20"/>
                <w:color w:val="auto"/>
              </w:rPr>
            </w:pPr>
            <w:r>
              <w:rPr>
                <w:rFonts w:ascii="Arial" w:cs="Arial" w:eastAsia="Arial" w:hAnsi="Arial"/>
                <w:sz w:val="15"/>
                <w:szCs w:val="15"/>
                <w:b w:val="1"/>
                <w:bCs w:val="1"/>
                <w:color w:val="auto"/>
              </w:rPr>
              <w:t>and Corporate</w:t>
            </w:r>
          </w:p>
        </w:tc>
        <w:tc>
          <w:tcPr>
            <w:tcW w:w="1260" w:type="dxa"/>
            <w:vAlign w:val="bottom"/>
          </w:tcPr>
          <w:p>
            <w:pPr>
              <w:jc w:val="center"/>
              <w:ind w:left="144"/>
              <w:spacing w:after="0"/>
              <w:rPr>
                <w:sz w:val="20"/>
                <w:szCs w:val="20"/>
                <w:color w:val="auto"/>
              </w:rPr>
            </w:pPr>
            <w:r>
              <w:rPr>
                <w:rFonts w:ascii="Arial" w:cs="Arial" w:eastAsia="Arial" w:hAnsi="Arial"/>
                <w:sz w:val="15"/>
                <w:szCs w:val="15"/>
                <w:b w:val="1"/>
                <w:bCs w:val="1"/>
                <w:color w:val="auto"/>
              </w:rPr>
              <w:t>Other Current</w:t>
            </w:r>
          </w:p>
        </w:tc>
      </w:tr>
      <w:tr>
        <w:trPr>
          <w:trHeight w:val="219"/>
        </w:trPr>
        <w:tc>
          <w:tcPr>
            <w:tcW w:w="236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Nominee</w:t>
            </w:r>
          </w:p>
        </w:tc>
        <w:tc>
          <w:tcPr>
            <w:tcW w:w="1180" w:type="dxa"/>
            <w:vAlign w:val="bottom"/>
            <w:tcBorders>
              <w:bottom w:val="single" w:sz="8" w:color="A26F2A"/>
            </w:tcBorders>
          </w:tcPr>
          <w:p>
            <w:pPr>
              <w:jc w:val="center"/>
              <w:ind w:left="525"/>
              <w:spacing w:after="0"/>
              <w:rPr>
                <w:sz w:val="20"/>
                <w:szCs w:val="20"/>
                <w:color w:val="auto"/>
              </w:rPr>
            </w:pPr>
            <w:r>
              <w:rPr>
                <w:rFonts w:ascii="Arial" w:cs="Arial" w:eastAsia="Arial" w:hAnsi="Arial"/>
                <w:sz w:val="15"/>
                <w:szCs w:val="15"/>
                <w:b w:val="1"/>
                <w:bCs w:val="1"/>
                <w:color w:val="auto"/>
              </w:rPr>
              <w:t>Age</w:t>
            </w:r>
          </w:p>
        </w:tc>
        <w:tc>
          <w:tcPr>
            <w:tcW w:w="820" w:type="dxa"/>
            <w:vAlign w:val="bottom"/>
            <w:tcBorders>
              <w:bottom w:val="single" w:sz="8" w:color="A26F2A"/>
            </w:tcBorders>
          </w:tcPr>
          <w:p>
            <w:pPr>
              <w:jc w:val="center"/>
              <w:spacing w:after="0"/>
              <w:rPr>
                <w:sz w:val="20"/>
                <w:szCs w:val="20"/>
                <w:color w:val="auto"/>
              </w:rPr>
            </w:pPr>
            <w:r>
              <w:rPr>
                <w:rFonts w:ascii="Arial" w:cs="Arial" w:eastAsia="Arial" w:hAnsi="Arial"/>
                <w:sz w:val="15"/>
                <w:szCs w:val="15"/>
                <w:b w:val="1"/>
                <w:bCs w:val="1"/>
                <w:color w:val="auto"/>
                <w:w w:val="99"/>
              </w:rPr>
              <w:t>Since</w:t>
            </w:r>
          </w:p>
        </w:tc>
        <w:tc>
          <w:tcPr>
            <w:tcW w:w="4460" w:type="dxa"/>
            <w:vAlign w:val="bottom"/>
            <w:tcBorders>
              <w:bottom w:val="single" w:sz="8" w:color="A26F2A"/>
            </w:tcBorders>
            <w:gridSpan w:val="2"/>
          </w:tcPr>
          <w:p>
            <w:pPr>
              <w:ind w:left="140"/>
              <w:spacing w:after="0"/>
              <w:rPr>
                <w:sz w:val="20"/>
                <w:szCs w:val="20"/>
                <w:color w:val="auto"/>
              </w:rPr>
            </w:pPr>
            <w:r>
              <w:rPr>
                <w:rFonts w:ascii="Arial" w:cs="Arial" w:eastAsia="Arial" w:hAnsi="Arial"/>
                <w:sz w:val="15"/>
                <w:szCs w:val="15"/>
                <w:b w:val="1"/>
                <w:bCs w:val="1"/>
                <w:color w:val="auto"/>
              </w:rPr>
              <w:t>Independent   Audit   Compensation   Governance</w:t>
            </w:r>
          </w:p>
        </w:tc>
        <w:tc>
          <w:tcPr>
            <w:tcW w:w="1160" w:type="dxa"/>
            <w:vAlign w:val="bottom"/>
            <w:tcBorders>
              <w:bottom w:val="single" w:sz="8" w:color="A26F2A"/>
            </w:tcBorders>
          </w:tcPr>
          <w:p>
            <w:pPr>
              <w:ind w:left="100"/>
              <w:spacing w:after="0"/>
              <w:rPr>
                <w:sz w:val="20"/>
                <w:szCs w:val="20"/>
                <w:color w:val="auto"/>
              </w:rPr>
            </w:pPr>
            <w:r>
              <w:rPr>
                <w:rFonts w:ascii="Arial" w:cs="Arial" w:eastAsia="Arial" w:hAnsi="Arial"/>
                <w:sz w:val="15"/>
                <w:szCs w:val="15"/>
                <w:b w:val="1"/>
                <w:bCs w:val="1"/>
                <w:color w:val="auto"/>
              </w:rPr>
              <w:t>Responsibility</w:t>
            </w:r>
          </w:p>
        </w:tc>
        <w:tc>
          <w:tcPr>
            <w:tcW w:w="1260" w:type="dxa"/>
            <w:vAlign w:val="bottom"/>
            <w:tcBorders>
              <w:bottom w:val="single" w:sz="8" w:color="A26F2A"/>
            </w:tcBorders>
          </w:tcPr>
          <w:p>
            <w:pPr>
              <w:jc w:val="center"/>
              <w:ind w:left="164"/>
              <w:spacing w:after="0"/>
              <w:rPr>
                <w:sz w:val="20"/>
                <w:szCs w:val="20"/>
                <w:color w:val="auto"/>
              </w:rPr>
            </w:pPr>
            <w:r>
              <w:rPr>
                <w:rFonts w:ascii="Arial" w:cs="Arial" w:eastAsia="Arial" w:hAnsi="Arial"/>
                <w:sz w:val="15"/>
                <w:szCs w:val="15"/>
                <w:b w:val="1"/>
                <w:bCs w:val="1"/>
                <w:color w:val="auto"/>
              </w:rPr>
              <w:t>Public Boards</w:t>
            </w:r>
          </w:p>
        </w:tc>
      </w:tr>
      <w:tr>
        <w:trPr>
          <w:trHeight w:val="224"/>
        </w:trPr>
        <w:tc>
          <w:tcPr>
            <w:tcW w:w="236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Vincent K. Brooks</w:t>
            </w:r>
          </w:p>
        </w:tc>
        <w:tc>
          <w:tcPr>
            <w:tcW w:w="1180" w:type="dxa"/>
            <w:vAlign w:val="bottom"/>
            <w:tcBorders>
              <w:bottom w:val="single" w:sz="8" w:color="A8A9AC"/>
            </w:tcBorders>
          </w:tcPr>
          <w:p>
            <w:pPr>
              <w:jc w:val="center"/>
              <w:ind w:left="525"/>
              <w:spacing w:after="0"/>
              <w:rPr>
                <w:sz w:val="20"/>
                <w:szCs w:val="20"/>
                <w:color w:val="auto"/>
              </w:rPr>
            </w:pPr>
            <w:r>
              <w:rPr>
                <w:rFonts w:ascii="Arial" w:cs="Arial" w:eastAsia="Arial" w:hAnsi="Arial"/>
                <w:sz w:val="15"/>
                <w:szCs w:val="15"/>
                <w:color w:val="auto"/>
              </w:rPr>
              <w:t>67</w:t>
            </w:r>
          </w:p>
        </w:tc>
        <w:tc>
          <w:tcPr>
            <w:tcW w:w="820" w:type="dxa"/>
            <w:vAlign w:val="bottom"/>
            <w:tcBorders>
              <w:bottom w:val="single" w:sz="8" w:color="A8A9AC"/>
            </w:tcBorders>
          </w:tcPr>
          <w:p>
            <w:pPr>
              <w:jc w:val="center"/>
              <w:spacing w:after="0"/>
              <w:rPr>
                <w:sz w:val="20"/>
                <w:szCs w:val="20"/>
                <w:color w:val="auto"/>
              </w:rPr>
            </w:pPr>
            <w:r>
              <w:rPr>
                <w:rFonts w:ascii="Arial" w:cs="Arial" w:eastAsia="Arial" w:hAnsi="Arial"/>
                <w:sz w:val="15"/>
                <w:szCs w:val="15"/>
                <w:color w:val="auto"/>
              </w:rPr>
              <w:t>2020</w:t>
            </w:r>
          </w:p>
        </w:tc>
        <w:tc>
          <w:tcPr>
            <w:tcW w:w="1300" w:type="dxa"/>
            <w:vAlign w:val="bottom"/>
            <w:tcBorders>
              <w:bottom w:val="single" w:sz="8" w:color="A8A9AC"/>
            </w:tcBorders>
          </w:tcPr>
          <w:p>
            <w:pPr>
              <w:spacing w:after="0"/>
              <w:rPr>
                <w:sz w:val="19"/>
                <w:szCs w:val="19"/>
                <w:color w:val="auto"/>
              </w:rPr>
            </w:pPr>
          </w:p>
        </w:tc>
        <w:tc>
          <w:tcPr>
            <w:tcW w:w="3160" w:type="dxa"/>
            <w:vAlign w:val="bottom"/>
            <w:tcBorders>
              <w:bottom w:val="single" w:sz="8" w:color="A8A9AC"/>
            </w:tcBorders>
          </w:tcPr>
          <w:p>
            <w:pPr>
              <w:spacing w:after="0"/>
              <w:rPr>
                <w:sz w:val="19"/>
                <w:szCs w:val="19"/>
                <w:color w:val="auto"/>
              </w:rPr>
            </w:pPr>
          </w:p>
        </w:tc>
        <w:tc>
          <w:tcPr>
            <w:tcW w:w="1160" w:type="dxa"/>
            <w:vAlign w:val="bottom"/>
            <w:tcBorders>
              <w:bottom w:val="single" w:sz="8" w:color="A8A9AC"/>
            </w:tcBorders>
          </w:tcPr>
          <w:p>
            <w:pPr>
              <w:spacing w:after="0"/>
              <w:rPr>
                <w:sz w:val="19"/>
                <w:szCs w:val="19"/>
                <w:color w:val="auto"/>
              </w:rPr>
            </w:pPr>
          </w:p>
        </w:tc>
        <w:tc>
          <w:tcPr>
            <w:tcW w:w="1260" w:type="dxa"/>
            <w:vAlign w:val="bottom"/>
            <w:tcBorders>
              <w:bottom w:val="single" w:sz="8" w:color="A8A9AC"/>
            </w:tcBorders>
          </w:tcPr>
          <w:p>
            <w:pPr>
              <w:jc w:val="center"/>
              <w:ind w:left="184"/>
              <w:spacing w:after="0"/>
              <w:rPr>
                <w:sz w:val="20"/>
                <w:szCs w:val="20"/>
                <w:color w:val="auto"/>
              </w:rPr>
            </w:pPr>
            <w:r>
              <w:rPr>
                <w:rFonts w:ascii="Arial" w:cs="Arial" w:eastAsia="Arial" w:hAnsi="Arial"/>
                <w:sz w:val="15"/>
                <w:szCs w:val="15"/>
                <w:color w:val="auto"/>
                <w:w w:val="95"/>
              </w:rPr>
              <w:t>1</w:t>
            </w:r>
          </w:p>
        </w:tc>
      </w:tr>
      <w:tr>
        <w:trPr>
          <w:trHeight w:val="220"/>
        </w:trPr>
        <w:tc>
          <w:tcPr>
            <w:tcW w:w="236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Darin G. Holderness</w:t>
            </w:r>
          </w:p>
        </w:tc>
        <w:tc>
          <w:tcPr>
            <w:tcW w:w="1180" w:type="dxa"/>
            <w:vAlign w:val="bottom"/>
            <w:tcBorders>
              <w:bottom w:val="single" w:sz="8" w:color="A8A9AC"/>
            </w:tcBorders>
          </w:tcPr>
          <w:p>
            <w:pPr>
              <w:jc w:val="center"/>
              <w:ind w:left="525"/>
              <w:spacing w:after="0"/>
              <w:rPr>
                <w:sz w:val="20"/>
                <w:szCs w:val="20"/>
                <w:color w:val="auto"/>
              </w:rPr>
            </w:pPr>
            <w:r>
              <w:rPr>
                <w:rFonts w:ascii="Arial" w:cs="Arial" w:eastAsia="Arial" w:hAnsi="Arial"/>
                <w:sz w:val="15"/>
                <w:szCs w:val="15"/>
                <w:color w:val="auto"/>
              </w:rPr>
              <w:t>62</w:t>
            </w:r>
          </w:p>
        </w:tc>
        <w:tc>
          <w:tcPr>
            <w:tcW w:w="820" w:type="dxa"/>
            <w:vAlign w:val="bottom"/>
            <w:tcBorders>
              <w:bottom w:val="single" w:sz="8" w:color="A8A9AC"/>
            </w:tcBorders>
          </w:tcPr>
          <w:p>
            <w:pPr>
              <w:jc w:val="center"/>
              <w:spacing w:after="0"/>
              <w:rPr>
                <w:sz w:val="20"/>
                <w:szCs w:val="20"/>
                <w:color w:val="auto"/>
              </w:rPr>
            </w:pPr>
            <w:r>
              <w:rPr>
                <w:rFonts w:ascii="Arial" w:cs="Arial" w:eastAsia="Arial" w:hAnsi="Arial"/>
                <w:sz w:val="15"/>
                <w:szCs w:val="15"/>
                <w:color w:val="auto"/>
              </w:rPr>
              <w:t>2025</w:t>
            </w:r>
          </w:p>
        </w:tc>
        <w:tc>
          <w:tcPr>
            <w:tcW w:w="1300" w:type="dxa"/>
            <w:vAlign w:val="bottom"/>
            <w:tcBorders>
              <w:bottom w:val="single" w:sz="8" w:color="A8A9AC"/>
            </w:tcBorders>
          </w:tcPr>
          <w:p>
            <w:pPr>
              <w:spacing w:after="0"/>
              <w:rPr>
                <w:sz w:val="19"/>
                <w:szCs w:val="19"/>
                <w:color w:val="auto"/>
              </w:rPr>
            </w:pPr>
          </w:p>
        </w:tc>
        <w:tc>
          <w:tcPr>
            <w:tcW w:w="3160" w:type="dxa"/>
            <w:vAlign w:val="bottom"/>
            <w:tcBorders>
              <w:bottom w:val="single" w:sz="8" w:color="A8A9AC"/>
            </w:tcBorders>
          </w:tcPr>
          <w:p>
            <w:pPr>
              <w:spacing w:after="0"/>
              <w:rPr>
                <w:sz w:val="19"/>
                <w:szCs w:val="19"/>
                <w:color w:val="auto"/>
              </w:rPr>
            </w:pPr>
          </w:p>
        </w:tc>
        <w:tc>
          <w:tcPr>
            <w:tcW w:w="1160" w:type="dxa"/>
            <w:vAlign w:val="bottom"/>
            <w:tcBorders>
              <w:bottom w:val="single" w:sz="8" w:color="A8A9AC"/>
            </w:tcBorders>
          </w:tcPr>
          <w:p>
            <w:pPr>
              <w:spacing w:after="0"/>
              <w:rPr>
                <w:sz w:val="19"/>
                <w:szCs w:val="19"/>
                <w:color w:val="auto"/>
              </w:rPr>
            </w:pPr>
          </w:p>
        </w:tc>
        <w:tc>
          <w:tcPr>
            <w:tcW w:w="1260" w:type="dxa"/>
            <w:vAlign w:val="bottom"/>
            <w:tcBorders>
              <w:bottom w:val="single" w:sz="8" w:color="A8A9AC"/>
            </w:tcBorders>
          </w:tcPr>
          <w:p>
            <w:pPr>
              <w:jc w:val="center"/>
              <w:ind w:left="184"/>
              <w:spacing w:after="0"/>
              <w:rPr>
                <w:sz w:val="20"/>
                <w:szCs w:val="20"/>
                <w:color w:val="auto"/>
              </w:rPr>
            </w:pPr>
            <w:r>
              <w:rPr>
                <w:rFonts w:ascii="Arial" w:cs="Arial" w:eastAsia="Arial" w:hAnsi="Arial"/>
                <w:sz w:val="15"/>
                <w:szCs w:val="15"/>
                <w:color w:val="auto"/>
                <w:w w:val="95"/>
              </w:rPr>
              <w:t>0</w:t>
            </w:r>
          </w:p>
        </w:tc>
      </w:tr>
      <w:tr>
        <w:trPr>
          <w:trHeight w:val="220"/>
        </w:trPr>
        <w:tc>
          <w:tcPr>
            <w:tcW w:w="236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Rebecca A. Klein</w:t>
            </w:r>
          </w:p>
        </w:tc>
        <w:tc>
          <w:tcPr>
            <w:tcW w:w="1180" w:type="dxa"/>
            <w:vAlign w:val="bottom"/>
            <w:tcBorders>
              <w:bottom w:val="single" w:sz="8" w:color="A8A9AC"/>
            </w:tcBorders>
          </w:tcPr>
          <w:p>
            <w:pPr>
              <w:jc w:val="center"/>
              <w:ind w:left="525"/>
              <w:spacing w:after="0"/>
              <w:rPr>
                <w:sz w:val="20"/>
                <w:szCs w:val="20"/>
                <w:color w:val="auto"/>
              </w:rPr>
            </w:pPr>
            <w:r>
              <w:rPr>
                <w:rFonts w:ascii="Arial" w:cs="Arial" w:eastAsia="Arial" w:hAnsi="Arial"/>
                <w:sz w:val="15"/>
                <w:szCs w:val="15"/>
                <w:color w:val="auto"/>
              </w:rPr>
              <w:t>61</w:t>
            </w:r>
          </w:p>
        </w:tc>
        <w:tc>
          <w:tcPr>
            <w:tcW w:w="820" w:type="dxa"/>
            <w:vAlign w:val="bottom"/>
            <w:tcBorders>
              <w:bottom w:val="single" w:sz="8" w:color="A8A9AC"/>
            </w:tcBorders>
          </w:tcPr>
          <w:p>
            <w:pPr>
              <w:jc w:val="center"/>
              <w:spacing w:after="0"/>
              <w:rPr>
                <w:sz w:val="20"/>
                <w:szCs w:val="20"/>
                <w:color w:val="auto"/>
              </w:rPr>
            </w:pPr>
            <w:r>
              <w:rPr>
                <w:rFonts w:ascii="Arial" w:cs="Arial" w:eastAsia="Arial" w:hAnsi="Arial"/>
                <w:sz w:val="15"/>
                <w:szCs w:val="15"/>
                <w:color w:val="auto"/>
              </w:rPr>
              <w:t>2022</w:t>
            </w:r>
          </w:p>
        </w:tc>
        <w:tc>
          <w:tcPr>
            <w:tcW w:w="1300" w:type="dxa"/>
            <w:vAlign w:val="bottom"/>
            <w:tcBorders>
              <w:bottom w:val="single" w:sz="8" w:color="A8A9AC"/>
            </w:tcBorders>
          </w:tcPr>
          <w:p>
            <w:pPr>
              <w:spacing w:after="0"/>
              <w:rPr>
                <w:sz w:val="19"/>
                <w:szCs w:val="19"/>
                <w:color w:val="auto"/>
              </w:rPr>
            </w:pPr>
          </w:p>
        </w:tc>
        <w:tc>
          <w:tcPr>
            <w:tcW w:w="3160" w:type="dxa"/>
            <w:vAlign w:val="bottom"/>
            <w:tcBorders>
              <w:bottom w:val="single" w:sz="8" w:color="A8A9AC"/>
            </w:tcBorders>
          </w:tcPr>
          <w:p>
            <w:pPr>
              <w:spacing w:after="0"/>
              <w:rPr>
                <w:sz w:val="19"/>
                <w:szCs w:val="19"/>
                <w:color w:val="auto"/>
              </w:rPr>
            </w:pPr>
          </w:p>
        </w:tc>
        <w:tc>
          <w:tcPr>
            <w:tcW w:w="1160" w:type="dxa"/>
            <w:vAlign w:val="bottom"/>
            <w:tcBorders>
              <w:bottom w:val="single" w:sz="8" w:color="A8A9AC"/>
            </w:tcBorders>
          </w:tcPr>
          <w:p>
            <w:pPr>
              <w:spacing w:after="0"/>
              <w:rPr>
                <w:sz w:val="19"/>
                <w:szCs w:val="19"/>
                <w:color w:val="auto"/>
              </w:rPr>
            </w:pPr>
          </w:p>
        </w:tc>
        <w:tc>
          <w:tcPr>
            <w:tcW w:w="1260" w:type="dxa"/>
            <w:vAlign w:val="bottom"/>
            <w:tcBorders>
              <w:bottom w:val="single" w:sz="8" w:color="A8A9AC"/>
            </w:tcBorders>
          </w:tcPr>
          <w:p>
            <w:pPr>
              <w:jc w:val="center"/>
              <w:ind w:left="184"/>
              <w:spacing w:after="0"/>
              <w:rPr>
                <w:sz w:val="20"/>
                <w:szCs w:val="20"/>
                <w:color w:val="auto"/>
              </w:rPr>
            </w:pPr>
            <w:r>
              <w:rPr>
                <w:rFonts w:ascii="Arial" w:cs="Arial" w:eastAsia="Arial" w:hAnsi="Arial"/>
                <w:sz w:val="15"/>
                <w:szCs w:val="15"/>
                <w:color w:val="auto"/>
                <w:w w:val="95"/>
              </w:rPr>
              <w:t>2</w:t>
            </w:r>
          </w:p>
        </w:tc>
      </w:tr>
      <w:tr>
        <w:trPr>
          <w:trHeight w:val="220"/>
        </w:trPr>
        <w:tc>
          <w:tcPr>
            <w:tcW w:w="236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Stephanie K. Mains</w:t>
            </w:r>
          </w:p>
        </w:tc>
        <w:tc>
          <w:tcPr>
            <w:tcW w:w="1180" w:type="dxa"/>
            <w:vAlign w:val="bottom"/>
            <w:tcBorders>
              <w:bottom w:val="single" w:sz="8" w:color="A8A9AC"/>
            </w:tcBorders>
          </w:tcPr>
          <w:p>
            <w:pPr>
              <w:jc w:val="center"/>
              <w:ind w:left="525"/>
              <w:spacing w:after="0"/>
              <w:rPr>
                <w:sz w:val="20"/>
                <w:szCs w:val="20"/>
                <w:color w:val="auto"/>
              </w:rPr>
            </w:pPr>
            <w:r>
              <w:rPr>
                <w:rFonts w:ascii="Arial" w:cs="Arial" w:eastAsia="Arial" w:hAnsi="Arial"/>
                <w:sz w:val="15"/>
                <w:szCs w:val="15"/>
                <w:color w:val="auto"/>
              </w:rPr>
              <w:t>58</w:t>
            </w:r>
          </w:p>
        </w:tc>
        <w:tc>
          <w:tcPr>
            <w:tcW w:w="820" w:type="dxa"/>
            <w:vAlign w:val="bottom"/>
            <w:tcBorders>
              <w:bottom w:val="single" w:sz="8" w:color="A8A9AC"/>
            </w:tcBorders>
          </w:tcPr>
          <w:p>
            <w:pPr>
              <w:jc w:val="center"/>
              <w:spacing w:after="0"/>
              <w:rPr>
                <w:sz w:val="20"/>
                <w:szCs w:val="20"/>
                <w:color w:val="auto"/>
              </w:rPr>
            </w:pPr>
            <w:r>
              <w:rPr>
                <w:rFonts w:ascii="Arial" w:cs="Arial" w:eastAsia="Arial" w:hAnsi="Arial"/>
                <w:sz w:val="15"/>
                <w:szCs w:val="15"/>
                <w:color w:val="auto"/>
              </w:rPr>
              <w:t>2020</w:t>
            </w:r>
          </w:p>
        </w:tc>
        <w:tc>
          <w:tcPr>
            <w:tcW w:w="1300" w:type="dxa"/>
            <w:vAlign w:val="bottom"/>
            <w:tcBorders>
              <w:bottom w:val="single" w:sz="8" w:color="A8A9AC"/>
            </w:tcBorders>
          </w:tcPr>
          <w:p>
            <w:pPr>
              <w:spacing w:after="0"/>
              <w:rPr>
                <w:sz w:val="19"/>
                <w:szCs w:val="19"/>
                <w:color w:val="auto"/>
              </w:rPr>
            </w:pPr>
          </w:p>
        </w:tc>
        <w:tc>
          <w:tcPr>
            <w:tcW w:w="3160" w:type="dxa"/>
            <w:vAlign w:val="bottom"/>
            <w:tcBorders>
              <w:bottom w:val="single" w:sz="8" w:color="A8A9AC"/>
            </w:tcBorders>
          </w:tcPr>
          <w:p>
            <w:pPr>
              <w:spacing w:after="0"/>
              <w:rPr>
                <w:sz w:val="19"/>
                <w:szCs w:val="19"/>
                <w:color w:val="auto"/>
              </w:rPr>
            </w:pPr>
          </w:p>
        </w:tc>
        <w:tc>
          <w:tcPr>
            <w:tcW w:w="1160" w:type="dxa"/>
            <w:vAlign w:val="bottom"/>
            <w:tcBorders>
              <w:bottom w:val="single" w:sz="8" w:color="A8A9AC"/>
            </w:tcBorders>
          </w:tcPr>
          <w:p>
            <w:pPr>
              <w:spacing w:after="0"/>
              <w:rPr>
                <w:sz w:val="19"/>
                <w:szCs w:val="19"/>
                <w:color w:val="auto"/>
              </w:rPr>
            </w:pPr>
          </w:p>
        </w:tc>
        <w:tc>
          <w:tcPr>
            <w:tcW w:w="1260" w:type="dxa"/>
            <w:vAlign w:val="bottom"/>
            <w:tcBorders>
              <w:bottom w:val="single" w:sz="8" w:color="A8A9AC"/>
            </w:tcBorders>
          </w:tcPr>
          <w:p>
            <w:pPr>
              <w:jc w:val="center"/>
              <w:ind w:left="184"/>
              <w:spacing w:after="0"/>
              <w:rPr>
                <w:sz w:val="20"/>
                <w:szCs w:val="20"/>
                <w:color w:val="auto"/>
              </w:rPr>
            </w:pPr>
            <w:r>
              <w:rPr>
                <w:rFonts w:ascii="Arial" w:cs="Arial" w:eastAsia="Arial" w:hAnsi="Arial"/>
                <w:sz w:val="15"/>
                <w:szCs w:val="15"/>
                <w:color w:val="auto"/>
                <w:w w:val="95"/>
              </w:rPr>
              <w:t>2</w:t>
            </w:r>
          </w:p>
        </w:tc>
      </w:tr>
      <w:tr>
        <w:trPr>
          <w:trHeight w:val="220"/>
        </w:trPr>
        <w:tc>
          <w:tcPr>
            <w:tcW w:w="236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Charles A. Meloy</w:t>
            </w:r>
          </w:p>
        </w:tc>
        <w:tc>
          <w:tcPr>
            <w:tcW w:w="1180" w:type="dxa"/>
            <w:vAlign w:val="bottom"/>
            <w:tcBorders>
              <w:bottom w:val="single" w:sz="8" w:color="A8A9AC"/>
            </w:tcBorders>
          </w:tcPr>
          <w:p>
            <w:pPr>
              <w:jc w:val="center"/>
              <w:ind w:left="525"/>
              <w:spacing w:after="0"/>
              <w:rPr>
                <w:sz w:val="20"/>
                <w:szCs w:val="20"/>
                <w:color w:val="auto"/>
              </w:rPr>
            </w:pPr>
            <w:r>
              <w:rPr>
                <w:rFonts w:ascii="Arial" w:cs="Arial" w:eastAsia="Arial" w:hAnsi="Arial"/>
                <w:sz w:val="15"/>
                <w:szCs w:val="15"/>
                <w:color w:val="auto"/>
              </w:rPr>
              <w:t>65</w:t>
            </w:r>
          </w:p>
        </w:tc>
        <w:tc>
          <w:tcPr>
            <w:tcW w:w="820" w:type="dxa"/>
            <w:vAlign w:val="bottom"/>
            <w:tcBorders>
              <w:bottom w:val="single" w:sz="8" w:color="A8A9AC"/>
            </w:tcBorders>
          </w:tcPr>
          <w:p>
            <w:pPr>
              <w:jc w:val="center"/>
              <w:spacing w:after="0"/>
              <w:rPr>
                <w:sz w:val="20"/>
                <w:szCs w:val="20"/>
                <w:color w:val="auto"/>
              </w:rPr>
            </w:pPr>
            <w:r>
              <w:rPr>
                <w:rFonts w:ascii="Arial" w:cs="Arial" w:eastAsia="Arial" w:hAnsi="Arial"/>
                <w:sz w:val="15"/>
                <w:szCs w:val="15"/>
                <w:color w:val="auto"/>
              </w:rPr>
              <w:t>2024</w:t>
            </w:r>
          </w:p>
        </w:tc>
        <w:tc>
          <w:tcPr>
            <w:tcW w:w="1300" w:type="dxa"/>
            <w:vAlign w:val="bottom"/>
            <w:tcBorders>
              <w:bottom w:val="single" w:sz="8" w:color="A8A9AC"/>
            </w:tcBorders>
          </w:tcPr>
          <w:p>
            <w:pPr>
              <w:spacing w:after="0"/>
              <w:rPr>
                <w:sz w:val="19"/>
                <w:szCs w:val="19"/>
                <w:color w:val="auto"/>
              </w:rPr>
            </w:pPr>
          </w:p>
        </w:tc>
        <w:tc>
          <w:tcPr>
            <w:tcW w:w="3160" w:type="dxa"/>
            <w:vAlign w:val="bottom"/>
            <w:tcBorders>
              <w:bottom w:val="single" w:sz="8" w:color="A8A9AC"/>
            </w:tcBorders>
          </w:tcPr>
          <w:p>
            <w:pPr>
              <w:spacing w:after="0"/>
              <w:rPr>
                <w:sz w:val="19"/>
                <w:szCs w:val="19"/>
                <w:color w:val="auto"/>
              </w:rPr>
            </w:pPr>
          </w:p>
        </w:tc>
        <w:tc>
          <w:tcPr>
            <w:tcW w:w="1160" w:type="dxa"/>
            <w:vAlign w:val="bottom"/>
            <w:tcBorders>
              <w:bottom w:val="single" w:sz="8" w:color="A8A9AC"/>
            </w:tcBorders>
          </w:tcPr>
          <w:p>
            <w:pPr>
              <w:spacing w:after="0"/>
              <w:rPr>
                <w:sz w:val="19"/>
                <w:szCs w:val="19"/>
                <w:color w:val="auto"/>
              </w:rPr>
            </w:pPr>
          </w:p>
        </w:tc>
        <w:tc>
          <w:tcPr>
            <w:tcW w:w="1260" w:type="dxa"/>
            <w:vAlign w:val="bottom"/>
            <w:tcBorders>
              <w:bottom w:val="single" w:sz="8" w:color="A8A9AC"/>
            </w:tcBorders>
          </w:tcPr>
          <w:p>
            <w:pPr>
              <w:jc w:val="center"/>
              <w:ind w:left="184"/>
              <w:spacing w:after="0"/>
              <w:rPr>
                <w:sz w:val="20"/>
                <w:szCs w:val="20"/>
                <w:color w:val="auto"/>
              </w:rPr>
            </w:pPr>
            <w:r>
              <w:rPr>
                <w:rFonts w:ascii="Arial" w:cs="Arial" w:eastAsia="Arial" w:hAnsi="Arial"/>
                <w:sz w:val="15"/>
                <w:szCs w:val="15"/>
                <w:color w:val="auto"/>
                <w:w w:val="95"/>
              </w:rPr>
              <w:t>0</w:t>
            </w:r>
          </w:p>
        </w:tc>
      </w:tr>
      <w:tr>
        <w:trPr>
          <w:trHeight w:val="220"/>
        </w:trPr>
        <w:tc>
          <w:tcPr>
            <w:tcW w:w="236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Mark L. Plaumann</w:t>
            </w:r>
          </w:p>
        </w:tc>
        <w:tc>
          <w:tcPr>
            <w:tcW w:w="1180" w:type="dxa"/>
            <w:vAlign w:val="bottom"/>
            <w:tcBorders>
              <w:bottom w:val="single" w:sz="8" w:color="A8A9AC"/>
            </w:tcBorders>
          </w:tcPr>
          <w:p>
            <w:pPr>
              <w:jc w:val="center"/>
              <w:ind w:left="525"/>
              <w:spacing w:after="0"/>
              <w:rPr>
                <w:sz w:val="20"/>
                <w:szCs w:val="20"/>
                <w:color w:val="auto"/>
              </w:rPr>
            </w:pPr>
            <w:r>
              <w:rPr>
                <w:rFonts w:ascii="Arial" w:cs="Arial" w:eastAsia="Arial" w:hAnsi="Arial"/>
                <w:sz w:val="15"/>
                <w:szCs w:val="15"/>
                <w:color w:val="auto"/>
              </w:rPr>
              <w:t>70</w:t>
            </w:r>
          </w:p>
        </w:tc>
        <w:tc>
          <w:tcPr>
            <w:tcW w:w="820" w:type="dxa"/>
            <w:vAlign w:val="bottom"/>
            <w:tcBorders>
              <w:bottom w:val="single" w:sz="8" w:color="A8A9AC"/>
            </w:tcBorders>
          </w:tcPr>
          <w:p>
            <w:pPr>
              <w:jc w:val="center"/>
              <w:spacing w:after="0"/>
              <w:rPr>
                <w:sz w:val="20"/>
                <w:szCs w:val="20"/>
                <w:color w:val="auto"/>
              </w:rPr>
            </w:pPr>
            <w:r>
              <w:rPr>
                <w:rFonts w:ascii="Arial" w:cs="Arial" w:eastAsia="Arial" w:hAnsi="Arial"/>
                <w:sz w:val="15"/>
                <w:szCs w:val="15"/>
                <w:color w:val="auto"/>
              </w:rPr>
              <w:t>2012</w:t>
            </w:r>
          </w:p>
        </w:tc>
        <w:tc>
          <w:tcPr>
            <w:tcW w:w="1300" w:type="dxa"/>
            <w:vAlign w:val="bottom"/>
            <w:tcBorders>
              <w:bottom w:val="single" w:sz="8" w:color="A8A9AC"/>
            </w:tcBorders>
          </w:tcPr>
          <w:p>
            <w:pPr>
              <w:spacing w:after="0"/>
              <w:rPr>
                <w:sz w:val="19"/>
                <w:szCs w:val="19"/>
                <w:color w:val="auto"/>
              </w:rPr>
            </w:pPr>
          </w:p>
        </w:tc>
        <w:tc>
          <w:tcPr>
            <w:tcW w:w="3160" w:type="dxa"/>
            <w:vAlign w:val="bottom"/>
            <w:tcBorders>
              <w:bottom w:val="single" w:sz="8" w:color="A8A9AC"/>
            </w:tcBorders>
          </w:tcPr>
          <w:p>
            <w:pPr>
              <w:spacing w:after="0"/>
              <w:rPr>
                <w:sz w:val="19"/>
                <w:szCs w:val="19"/>
                <w:color w:val="auto"/>
              </w:rPr>
            </w:pPr>
          </w:p>
        </w:tc>
        <w:tc>
          <w:tcPr>
            <w:tcW w:w="1160" w:type="dxa"/>
            <w:vAlign w:val="bottom"/>
            <w:tcBorders>
              <w:bottom w:val="single" w:sz="8" w:color="A8A9AC"/>
            </w:tcBorders>
          </w:tcPr>
          <w:p>
            <w:pPr>
              <w:spacing w:after="0"/>
              <w:rPr>
                <w:sz w:val="19"/>
                <w:szCs w:val="19"/>
                <w:color w:val="auto"/>
              </w:rPr>
            </w:pPr>
          </w:p>
        </w:tc>
        <w:tc>
          <w:tcPr>
            <w:tcW w:w="1260" w:type="dxa"/>
            <w:vAlign w:val="bottom"/>
            <w:tcBorders>
              <w:bottom w:val="single" w:sz="8" w:color="A8A9AC"/>
            </w:tcBorders>
          </w:tcPr>
          <w:p>
            <w:pPr>
              <w:jc w:val="center"/>
              <w:ind w:left="184"/>
              <w:spacing w:after="0"/>
              <w:rPr>
                <w:sz w:val="20"/>
                <w:szCs w:val="20"/>
                <w:color w:val="auto"/>
              </w:rPr>
            </w:pPr>
            <w:r>
              <w:rPr>
                <w:rFonts w:ascii="Arial" w:cs="Arial" w:eastAsia="Arial" w:hAnsi="Arial"/>
                <w:sz w:val="15"/>
                <w:szCs w:val="15"/>
                <w:color w:val="auto"/>
                <w:w w:val="95"/>
              </w:rPr>
              <w:t>1</w:t>
            </w:r>
          </w:p>
        </w:tc>
      </w:tr>
      <w:tr>
        <w:trPr>
          <w:trHeight w:val="220"/>
        </w:trPr>
        <w:tc>
          <w:tcPr>
            <w:tcW w:w="236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Robert K. Reeves</w:t>
            </w:r>
          </w:p>
        </w:tc>
        <w:tc>
          <w:tcPr>
            <w:tcW w:w="1180" w:type="dxa"/>
            <w:vAlign w:val="bottom"/>
            <w:tcBorders>
              <w:bottom w:val="single" w:sz="8" w:color="A8A9AC"/>
            </w:tcBorders>
          </w:tcPr>
          <w:p>
            <w:pPr>
              <w:jc w:val="center"/>
              <w:ind w:left="525"/>
              <w:spacing w:after="0"/>
              <w:rPr>
                <w:sz w:val="20"/>
                <w:szCs w:val="20"/>
                <w:color w:val="auto"/>
              </w:rPr>
            </w:pPr>
            <w:r>
              <w:rPr>
                <w:rFonts w:ascii="Arial" w:cs="Arial" w:eastAsia="Arial" w:hAnsi="Arial"/>
                <w:sz w:val="15"/>
                <w:szCs w:val="15"/>
                <w:color w:val="auto"/>
              </w:rPr>
              <w:t>68</w:t>
            </w:r>
          </w:p>
        </w:tc>
        <w:tc>
          <w:tcPr>
            <w:tcW w:w="820" w:type="dxa"/>
            <w:vAlign w:val="bottom"/>
            <w:tcBorders>
              <w:bottom w:val="single" w:sz="8" w:color="A8A9AC"/>
            </w:tcBorders>
          </w:tcPr>
          <w:p>
            <w:pPr>
              <w:jc w:val="center"/>
              <w:spacing w:after="0"/>
              <w:rPr>
                <w:sz w:val="20"/>
                <w:szCs w:val="20"/>
                <w:color w:val="auto"/>
              </w:rPr>
            </w:pPr>
            <w:r>
              <w:rPr>
                <w:rFonts w:ascii="Arial" w:cs="Arial" w:eastAsia="Arial" w:hAnsi="Arial"/>
                <w:sz w:val="15"/>
                <w:szCs w:val="15"/>
                <w:color w:val="auto"/>
              </w:rPr>
              <w:t>2024</w:t>
            </w:r>
          </w:p>
        </w:tc>
        <w:tc>
          <w:tcPr>
            <w:tcW w:w="1300" w:type="dxa"/>
            <w:vAlign w:val="bottom"/>
            <w:tcBorders>
              <w:bottom w:val="single" w:sz="8" w:color="A8A9AC"/>
            </w:tcBorders>
          </w:tcPr>
          <w:p>
            <w:pPr>
              <w:spacing w:after="0"/>
              <w:rPr>
                <w:sz w:val="19"/>
                <w:szCs w:val="19"/>
                <w:color w:val="auto"/>
              </w:rPr>
            </w:pPr>
          </w:p>
        </w:tc>
        <w:tc>
          <w:tcPr>
            <w:tcW w:w="3160" w:type="dxa"/>
            <w:vAlign w:val="bottom"/>
            <w:tcBorders>
              <w:bottom w:val="single" w:sz="8" w:color="A8A9AC"/>
            </w:tcBorders>
          </w:tcPr>
          <w:p>
            <w:pPr>
              <w:spacing w:after="0"/>
              <w:rPr>
                <w:sz w:val="19"/>
                <w:szCs w:val="19"/>
                <w:color w:val="auto"/>
              </w:rPr>
            </w:pPr>
          </w:p>
        </w:tc>
        <w:tc>
          <w:tcPr>
            <w:tcW w:w="1160" w:type="dxa"/>
            <w:vAlign w:val="bottom"/>
            <w:tcBorders>
              <w:bottom w:val="single" w:sz="8" w:color="A8A9AC"/>
            </w:tcBorders>
          </w:tcPr>
          <w:p>
            <w:pPr>
              <w:spacing w:after="0"/>
              <w:rPr>
                <w:sz w:val="19"/>
                <w:szCs w:val="19"/>
                <w:color w:val="auto"/>
              </w:rPr>
            </w:pPr>
          </w:p>
        </w:tc>
        <w:tc>
          <w:tcPr>
            <w:tcW w:w="1260" w:type="dxa"/>
            <w:vAlign w:val="bottom"/>
            <w:tcBorders>
              <w:bottom w:val="single" w:sz="8" w:color="A8A9AC"/>
            </w:tcBorders>
          </w:tcPr>
          <w:p>
            <w:pPr>
              <w:jc w:val="center"/>
              <w:ind w:left="184"/>
              <w:spacing w:after="0"/>
              <w:rPr>
                <w:sz w:val="20"/>
                <w:szCs w:val="20"/>
                <w:color w:val="auto"/>
              </w:rPr>
            </w:pPr>
            <w:r>
              <w:rPr>
                <w:rFonts w:ascii="Arial" w:cs="Arial" w:eastAsia="Arial" w:hAnsi="Arial"/>
                <w:sz w:val="15"/>
                <w:szCs w:val="15"/>
                <w:color w:val="auto"/>
                <w:w w:val="95"/>
              </w:rPr>
              <w:t>0</w:t>
            </w:r>
          </w:p>
        </w:tc>
      </w:tr>
      <w:tr>
        <w:trPr>
          <w:trHeight w:val="220"/>
        </w:trPr>
        <w:tc>
          <w:tcPr>
            <w:tcW w:w="236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Lance W. Robertson</w:t>
            </w:r>
          </w:p>
        </w:tc>
        <w:tc>
          <w:tcPr>
            <w:tcW w:w="1180" w:type="dxa"/>
            <w:vAlign w:val="bottom"/>
            <w:tcBorders>
              <w:bottom w:val="single" w:sz="8" w:color="A8A9AC"/>
            </w:tcBorders>
          </w:tcPr>
          <w:p>
            <w:pPr>
              <w:jc w:val="center"/>
              <w:ind w:left="525"/>
              <w:spacing w:after="0"/>
              <w:rPr>
                <w:sz w:val="20"/>
                <w:szCs w:val="20"/>
                <w:color w:val="auto"/>
              </w:rPr>
            </w:pPr>
            <w:r>
              <w:rPr>
                <w:rFonts w:ascii="Arial" w:cs="Arial" w:eastAsia="Arial" w:hAnsi="Arial"/>
                <w:sz w:val="15"/>
                <w:szCs w:val="15"/>
                <w:color w:val="auto"/>
              </w:rPr>
              <w:t>53</w:t>
            </w:r>
          </w:p>
        </w:tc>
        <w:tc>
          <w:tcPr>
            <w:tcW w:w="820" w:type="dxa"/>
            <w:vAlign w:val="bottom"/>
            <w:tcBorders>
              <w:bottom w:val="single" w:sz="8" w:color="A8A9AC"/>
            </w:tcBorders>
          </w:tcPr>
          <w:p>
            <w:pPr>
              <w:jc w:val="center"/>
              <w:spacing w:after="0"/>
              <w:rPr>
                <w:sz w:val="20"/>
                <w:szCs w:val="20"/>
                <w:color w:val="auto"/>
              </w:rPr>
            </w:pPr>
            <w:r>
              <w:rPr>
                <w:rFonts w:ascii="Arial" w:cs="Arial" w:eastAsia="Arial" w:hAnsi="Arial"/>
                <w:sz w:val="15"/>
                <w:szCs w:val="15"/>
                <w:color w:val="auto"/>
              </w:rPr>
              <w:t>2024</w:t>
            </w:r>
          </w:p>
        </w:tc>
        <w:tc>
          <w:tcPr>
            <w:tcW w:w="1300" w:type="dxa"/>
            <w:vAlign w:val="bottom"/>
            <w:tcBorders>
              <w:bottom w:val="single" w:sz="8" w:color="A8A9AC"/>
            </w:tcBorders>
          </w:tcPr>
          <w:p>
            <w:pPr>
              <w:spacing w:after="0"/>
              <w:rPr>
                <w:sz w:val="19"/>
                <w:szCs w:val="19"/>
                <w:color w:val="auto"/>
              </w:rPr>
            </w:pPr>
          </w:p>
        </w:tc>
        <w:tc>
          <w:tcPr>
            <w:tcW w:w="3160" w:type="dxa"/>
            <w:vAlign w:val="bottom"/>
            <w:tcBorders>
              <w:bottom w:val="single" w:sz="8" w:color="A8A9AC"/>
            </w:tcBorders>
          </w:tcPr>
          <w:p>
            <w:pPr>
              <w:spacing w:after="0"/>
              <w:rPr>
                <w:sz w:val="19"/>
                <w:szCs w:val="19"/>
                <w:color w:val="auto"/>
              </w:rPr>
            </w:pPr>
          </w:p>
        </w:tc>
        <w:tc>
          <w:tcPr>
            <w:tcW w:w="1160" w:type="dxa"/>
            <w:vAlign w:val="bottom"/>
            <w:tcBorders>
              <w:bottom w:val="single" w:sz="8" w:color="A8A9AC"/>
            </w:tcBorders>
          </w:tcPr>
          <w:p>
            <w:pPr>
              <w:spacing w:after="0"/>
              <w:rPr>
                <w:sz w:val="19"/>
                <w:szCs w:val="19"/>
                <w:color w:val="auto"/>
              </w:rPr>
            </w:pPr>
          </w:p>
        </w:tc>
        <w:tc>
          <w:tcPr>
            <w:tcW w:w="1260" w:type="dxa"/>
            <w:vAlign w:val="bottom"/>
            <w:tcBorders>
              <w:bottom w:val="single" w:sz="8" w:color="A8A9AC"/>
            </w:tcBorders>
          </w:tcPr>
          <w:p>
            <w:pPr>
              <w:jc w:val="center"/>
              <w:ind w:left="184"/>
              <w:spacing w:after="0"/>
              <w:rPr>
                <w:sz w:val="20"/>
                <w:szCs w:val="20"/>
                <w:color w:val="auto"/>
              </w:rPr>
            </w:pPr>
            <w:r>
              <w:rPr>
                <w:rFonts w:ascii="Arial" w:cs="Arial" w:eastAsia="Arial" w:hAnsi="Arial"/>
                <w:sz w:val="15"/>
                <w:szCs w:val="15"/>
                <w:color w:val="auto"/>
                <w:w w:val="95"/>
              </w:rPr>
              <w:t>0</w:t>
            </w:r>
          </w:p>
        </w:tc>
      </w:tr>
      <w:tr>
        <w:trPr>
          <w:trHeight w:val="220"/>
        </w:trPr>
        <w:tc>
          <w:tcPr>
            <w:tcW w:w="236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Travis D. Stice*</w:t>
            </w:r>
          </w:p>
        </w:tc>
        <w:tc>
          <w:tcPr>
            <w:tcW w:w="1180" w:type="dxa"/>
            <w:vAlign w:val="bottom"/>
            <w:tcBorders>
              <w:bottom w:val="single" w:sz="8" w:color="A8A9AC"/>
            </w:tcBorders>
          </w:tcPr>
          <w:p>
            <w:pPr>
              <w:jc w:val="center"/>
              <w:ind w:left="525"/>
              <w:spacing w:after="0"/>
              <w:rPr>
                <w:sz w:val="20"/>
                <w:szCs w:val="20"/>
                <w:color w:val="auto"/>
              </w:rPr>
            </w:pPr>
            <w:r>
              <w:rPr>
                <w:rFonts w:ascii="Arial" w:cs="Arial" w:eastAsia="Arial" w:hAnsi="Arial"/>
                <w:sz w:val="15"/>
                <w:szCs w:val="15"/>
                <w:color w:val="auto"/>
              </w:rPr>
              <w:t>64</w:t>
            </w:r>
          </w:p>
        </w:tc>
        <w:tc>
          <w:tcPr>
            <w:tcW w:w="820" w:type="dxa"/>
            <w:vAlign w:val="bottom"/>
            <w:tcBorders>
              <w:bottom w:val="single" w:sz="8" w:color="A8A9AC"/>
            </w:tcBorders>
          </w:tcPr>
          <w:p>
            <w:pPr>
              <w:jc w:val="center"/>
              <w:spacing w:after="0"/>
              <w:rPr>
                <w:sz w:val="20"/>
                <w:szCs w:val="20"/>
                <w:color w:val="auto"/>
              </w:rPr>
            </w:pPr>
            <w:r>
              <w:rPr>
                <w:rFonts w:ascii="Arial" w:cs="Arial" w:eastAsia="Arial" w:hAnsi="Arial"/>
                <w:sz w:val="15"/>
                <w:szCs w:val="15"/>
                <w:color w:val="auto"/>
              </w:rPr>
              <w:t>2012</w:t>
            </w:r>
          </w:p>
        </w:tc>
        <w:tc>
          <w:tcPr>
            <w:tcW w:w="1300" w:type="dxa"/>
            <w:vAlign w:val="bottom"/>
            <w:tcBorders>
              <w:bottom w:val="single" w:sz="8" w:color="A8A9AC"/>
            </w:tcBorders>
          </w:tcPr>
          <w:p>
            <w:pPr>
              <w:spacing w:after="0"/>
              <w:rPr>
                <w:sz w:val="19"/>
                <w:szCs w:val="19"/>
                <w:color w:val="auto"/>
              </w:rPr>
            </w:pPr>
          </w:p>
        </w:tc>
        <w:tc>
          <w:tcPr>
            <w:tcW w:w="3160" w:type="dxa"/>
            <w:vAlign w:val="bottom"/>
            <w:tcBorders>
              <w:bottom w:val="single" w:sz="8" w:color="A8A9AC"/>
            </w:tcBorders>
          </w:tcPr>
          <w:p>
            <w:pPr>
              <w:spacing w:after="0"/>
              <w:rPr>
                <w:sz w:val="19"/>
                <w:szCs w:val="19"/>
                <w:color w:val="auto"/>
              </w:rPr>
            </w:pPr>
          </w:p>
        </w:tc>
        <w:tc>
          <w:tcPr>
            <w:tcW w:w="1160" w:type="dxa"/>
            <w:vAlign w:val="bottom"/>
            <w:tcBorders>
              <w:bottom w:val="single" w:sz="8" w:color="A8A9AC"/>
            </w:tcBorders>
          </w:tcPr>
          <w:p>
            <w:pPr>
              <w:spacing w:after="0"/>
              <w:rPr>
                <w:sz w:val="19"/>
                <w:szCs w:val="19"/>
                <w:color w:val="auto"/>
              </w:rPr>
            </w:pPr>
          </w:p>
        </w:tc>
        <w:tc>
          <w:tcPr>
            <w:tcW w:w="1260" w:type="dxa"/>
            <w:vAlign w:val="bottom"/>
            <w:tcBorders>
              <w:bottom w:val="single" w:sz="8" w:color="A8A9AC"/>
            </w:tcBorders>
          </w:tcPr>
          <w:p>
            <w:pPr>
              <w:jc w:val="center"/>
              <w:ind w:left="184"/>
              <w:spacing w:after="0"/>
              <w:rPr>
                <w:sz w:val="20"/>
                <w:szCs w:val="20"/>
                <w:color w:val="auto"/>
              </w:rPr>
            </w:pPr>
            <w:r>
              <w:rPr>
                <w:rFonts w:ascii="Arial" w:cs="Arial" w:eastAsia="Arial" w:hAnsi="Arial"/>
                <w:sz w:val="15"/>
                <w:szCs w:val="15"/>
                <w:color w:val="auto"/>
                <w:w w:val="95"/>
              </w:rPr>
              <w:t>1</w:t>
            </w:r>
          </w:p>
        </w:tc>
      </w:tr>
      <w:tr>
        <w:trPr>
          <w:trHeight w:val="220"/>
        </w:trPr>
        <w:tc>
          <w:tcPr>
            <w:tcW w:w="236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Melanie M. Trent**</w:t>
            </w:r>
          </w:p>
        </w:tc>
        <w:tc>
          <w:tcPr>
            <w:tcW w:w="1180" w:type="dxa"/>
            <w:vAlign w:val="bottom"/>
            <w:tcBorders>
              <w:bottom w:val="single" w:sz="8" w:color="A8A9AC"/>
            </w:tcBorders>
          </w:tcPr>
          <w:p>
            <w:pPr>
              <w:jc w:val="center"/>
              <w:ind w:left="525"/>
              <w:spacing w:after="0"/>
              <w:rPr>
                <w:sz w:val="20"/>
                <w:szCs w:val="20"/>
                <w:color w:val="auto"/>
              </w:rPr>
            </w:pPr>
            <w:r>
              <w:rPr>
                <w:rFonts w:ascii="Arial" w:cs="Arial" w:eastAsia="Arial" w:hAnsi="Arial"/>
                <w:sz w:val="15"/>
                <w:szCs w:val="15"/>
                <w:color w:val="auto"/>
              </w:rPr>
              <w:t>61</w:t>
            </w:r>
          </w:p>
        </w:tc>
        <w:tc>
          <w:tcPr>
            <w:tcW w:w="820" w:type="dxa"/>
            <w:vAlign w:val="bottom"/>
            <w:tcBorders>
              <w:bottom w:val="single" w:sz="8" w:color="A8A9AC"/>
            </w:tcBorders>
          </w:tcPr>
          <w:p>
            <w:pPr>
              <w:jc w:val="center"/>
              <w:spacing w:after="0"/>
              <w:rPr>
                <w:sz w:val="20"/>
                <w:szCs w:val="20"/>
                <w:color w:val="auto"/>
              </w:rPr>
            </w:pPr>
            <w:r>
              <w:rPr>
                <w:rFonts w:ascii="Arial" w:cs="Arial" w:eastAsia="Arial" w:hAnsi="Arial"/>
                <w:sz w:val="15"/>
                <w:szCs w:val="15"/>
                <w:color w:val="auto"/>
              </w:rPr>
              <w:t>2018</w:t>
            </w:r>
          </w:p>
        </w:tc>
        <w:tc>
          <w:tcPr>
            <w:tcW w:w="1300" w:type="dxa"/>
            <w:vAlign w:val="bottom"/>
            <w:tcBorders>
              <w:bottom w:val="single" w:sz="8" w:color="A8A9AC"/>
            </w:tcBorders>
          </w:tcPr>
          <w:p>
            <w:pPr>
              <w:spacing w:after="0"/>
              <w:rPr>
                <w:sz w:val="19"/>
                <w:szCs w:val="19"/>
                <w:color w:val="auto"/>
              </w:rPr>
            </w:pPr>
          </w:p>
        </w:tc>
        <w:tc>
          <w:tcPr>
            <w:tcW w:w="3160" w:type="dxa"/>
            <w:vAlign w:val="bottom"/>
            <w:tcBorders>
              <w:bottom w:val="single" w:sz="8" w:color="A8A9AC"/>
            </w:tcBorders>
          </w:tcPr>
          <w:p>
            <w:pPr>
              <w:spacing w:after="0"/>
              <w:rPr>
                <w:sz w:val="19"/>
                <w:szCs w:val="19"/>
                <w:color w:val="auto"/>
              </w:rPr>
            </w:pPr>
          </w:p>
        </w:tc>
        <w:tc>
          <w:tcPr>
            <w:tcW w:w="1160" w:type="dxa"/>
            <w:vAlign w:val="bottom"/>
            <w:tcBorders>
              <w:bottom w:val="single" w:sz="8" w:color="A8A9AC"/>
            </w:tcBorders>
          </w:tcPr>
          <w:p>
            <w:pPr>
              <w:spacing w:after="0"/>
              <w:rPr>
                <w:sz w:val="19"/>
                <w:szCs w:val="19"/>
                <w:color w:val="auto"/>
              </w:rPr>
            </w:pPr>
          </w:p>
        </w:tc>
        <w:tc>
          <w:tcPr>
            <w:tcW w:w="1260" w:type="dxa"/>
            <w:vAlign w:val="bottom"/>
            <w:tcBorders>
              <w:bottom w:val="single" w:sz="8" w:color="A8A9AC"/>
            </w:tcBorders>
          </w:tcPr>
          <w:p>
            <w:pPr>
              <w:jc w:val="center"/>
              <w:ind w:left="184"/>
              <w:spacing w:after="0"/>
              <w:rPr>
                <w:sz w:val="20"/>
                <w:szCs w:val="20"/>
                <w:color w:val="auto"/>
              </w:rPr>
            </w:pPr>
            <w:r>
              <w:rPr>
                <w:rFonts w:ascii="Arial" w:cs="Arial" w:eastAsia="Arial" w:hAnsi="Arial"/>
                <w:sz w:val="15"/>
                <w:szCs w:val="15"/>
                <w:color w:val="auto"/>
                <w:w w:val="95"/>
              </w:rPr>
              <w:t>2</w:t>
            </w:r>
          </w:p>
        </w:tc>
      </w:tr>
      <w:tr>
        <w:trPr>
          <w:trHeight w:val="220"/>
        </w:trPr>
        <w:tc>
          <w:tcPr>
            <w:tcW w:w="236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Frank D. Tsuru</w:t>
            </w:r>
          </w:p>
        </w:tc>
        <w:tc>
          <w:tcPr>
            <w:tcW w:w="1180" w:type="dxa"/>
            <w:vAlign w:val="bottom"/>
            <w:tcBorders>
              <w:bottom w:val="single" w:sz="8" w:color="A8A9AC"/>
            </w:tcBorders>
          </w:tcPr>
          <w:p>
            <w:pPr>
              <w:jc w:val="center"/>
              <w:ind w:left="525"/>
              <w:spacing w:after="0"/>
              <w:rPr>
                <w:sz w:val="20"/>
                <w:szCs w:val="20"/>
                <w:color w:val="auto"/>
              </w:rPr>
            </w:pPr>
            <w:r>
              <w:rPr>
                <w:rFonts w:ascii="Arial" w:cs="Arial" w:eastAsia="Arial" w:hAnsi="Arial"/>
                <w:sz w:val="15"/>
                <w:szCs w:val="15"/>
                <w:color w:val="auto"/>
              </w:rPr>
              <w:t>66</w:t>
            </w:r>
          </w:p>
        </w:tc>
        <w:tc>
          <w:tcPr>
            <w:tcW w:w="820" w:type="dxa"/>
            <w:vAlign w:val="bottom"/>
            <w:tcBorders>
              <w:bottom w:val="single" w:sz="8" w:color="A8A9AC"/>
            </w:tcBorders>
          </w:tcPr>
          <w:p>
            <w:pPr>
              <w:jc w:val="center"/>
              <w:spacing w:after="0"/>
              <w:rPr>
                <w:sz w:val="20"/>
                <w:szCs w:val="20"/>
                <w:color w:val="auto"/>
              </w:rPr>
            </w:pPr>
            <w:r>
              <w:rPr>
                <w:rFonts w:ascii="Arial" w:cs="Arial" w:eastAsia="Arial" w:hAnsi="Arial"/>
                <w:sz w:val="15"/>
                <w:szCs w:val="15"/>
                <w:color w:val="auto"/>
              </w:rPr>
              <w:t>2022</w:t>
            </w:r>
          </w:p>
        </w:tc>
        <w:tc>
          <w:tcPr>
            <w:tcW w:w="1300" w:type="dxa"/>
            <w:vAlign w:val="bottom"/>
            <w:tcBorders>
              <w:bottom w:val="single" w:sz="8" w:color="A8A9AC"/>
            </w:tcBorders>
          </w:tcPr>
          <w:p>
            <w:pPr>
              <w:spacing w:after="0"/>
              <w:rPr>
                <w:sz w:val="19"/>
                <w:szCs w:val="19"/>
                <w:color w:val="auto"/>
              </w:rPr>
            </w:pPr>
          </w:p>
        </w:tc>
        <w:tc>
          <w:tcPr>
            <w:tcW w:w="3160" w:type="dxa"/>
            <w:vAlign w:val="bottom"/>
            <w:tcBorders>
              <w:bottom w:val="single" w:sz="8" w:color="A8A9AC"/>
            </w:tcBorders>
          </w:tcPr>
          <w:p>
            <w:pPr>
              <w:spacing w:after="0"/>
              <w:rPr>
                <w:sz w:val="19"/>
                <w:szCs w:val="19"/>
                <w:color w:val="auto"/>
              </w:rPr>
            </w:pPr>
          </w:p>
        </w:tc>
        <w:tc>
          <w:tcPr>
            <w:tcW w:w="1160" w:type="dxa"/>
            <w:vAlign w:val="bottom"/>
            <w:tcBorders>
              <w:bottom w:val="single" w:sz="8" w:color="A8A9AC"/>
            </w:tcBorders>
          </w:tcPr>
          <w:p>
            <w:pPr>
              <w:spacing w:after="0"/>
              <w:rPr>
                <w:sz w:val="19"/>
                <w:szCs w:val="19"/>
                <w:color w:val="auto"/>
              </w:rPr>
            </w:pPr>
          </w:p>
        </w:tc>
        <w:tc>
          <w:tcPr>
            <w:tcW w:w="1260" w:type="dxa"/>
            <w:vAlign w:val="bottom"/>
            <w:tcBorders>
              <w:bottom w:val="single" w:sz="8" w:color="A8A9AC"/>
            </w:tcBorders>
          </w:tcPr>
          <w:p>
            <w:pPr>
              <w:jc w:val="center"/>
              <w:ind w:left="184"/>
              <w:spacing w:after="0"/>
              <w:rPr>
                <w:sz w:val="20"/>
                <w:szCs w:val="20"/>
                <w:color w:val="auto"/>
              </w:rPr>
            </w:pPr>
            <w:r>
              <w:rPr>
                <w:rFonts w:ascii="Arial" w:cs="Arial" w:eastAsia="Arial" w:hAnsi="Arial"/>
                <w:sz w:val="15"/>
                <w:szCs w:val="15"/>
                <w:color w:val="auto"/>
                <w:w w:val="95"/>
              </w:rPr>
              <w:t>0</w:t>
            </w:r>
          </w:p>
        </w:tc>
      </w:tr>
      <w:tr>
        <w:trPr>
          <w:trHeight w:val="220"/>
        </w:trPr>
        <w:tc>
          <w:tcPr>
            <w:tcW w:w="236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Kaes Van’t Hof***</w:t>
            </w:r>
          </w:p>
        </w:tc>
        <w:tc>
          <w:tcPr>
            <w:tcW w:w="1180" w:type="dxa"/>
            <w:vAlign w:val="bottom"/>
            <w:tcBorders>
              <w:bottom w:val="single" w:sz="8" w:color="A8A9AC"/>
            </w:tcBorders>
          </w:tcPr>
          <w:p>
            <w:pPr>
              <w:jc w:val="center"/>
              <w:ind w:left="525"/>
              <w:spacing w:after="0"/>
              <w:rPr>
                <w:sz w:val="20"/>
                <w:szCs w:val="20"/>
                <w:color w:val="auto"/>
              </w:rPr>
            </w:pPr>
            <w:r>
              <w:rPr>
                <w:rFonts w:ascii="Arial" w:cs="Arial" w:eastAsia="Arial" w:hAnsi="Arial"/>
                <w:sz w:val="15"/>
                <w:szCs w:val="15"/>
                <w:color w:val="auto"/>
              </w:rPr>
              <w:t>39</w:t>
            </w:r>
          </w:p>
        </w:tc>
        <w:tc>
          <w:tcPr>
            <w:tcW w:w="820" w:type="dxa"/>
            <w:vAlign w:val="bottom"/>
            <w:tcBorders>
              <w:bottom w:val="single" w:sz="8" w:color="A8A9AC"/>
            </w:tcBorders>
          </w:tcPr>
          <w:p>
            <w:pPr>
              <w:jc w:val="center"/>
              <w:spacing w:after="0"/>
              <w:rPr>
                <w:sz w:val="20"/>
                <w:szCs w:val="20"/>
                <w:color w:val="auto"/>
              </w:rPr>
            </w:pPr>
            <w:r>
              <w:rPr>
                <w:rFonts w:ascii="Arial" w:cs="Arial" w:eastAsia="Arial" w:hAnsi="Arial"/>
                <w:sz w:val="15"/>
                <w:szCs w:val="15"/>
                <w:color w:val="auto"/>
              </w:rPr>
              <w:t>2025</w:t>
            </w:r>
          </w:p>
        </w:tc>
        <w:tc>
          <w:tcPr>
            <w:tcW w:w="1300" w:type="dxa"/>
            <w:vAlign w:val="bottom"/>
            <w:tcBorders>
              <w:bottom w:val="single" w:sz="8" w:color="A8A9AC"/>
            </w:tcBorders>
          </w:tcPr>
          <w:p>
            <w:pPr>
              <w:spacing w:after="0"/>
              <w:rPr>
                <w:sz w:val="19"/>
                <w:szCs w:val="19"/>
                <w:color w:val="auto"/>
              </w:rPr>
            </w:pPr>
          </w:p>
        </w:tc>
        <w:tc>
          <w:tcPr>
            <w:tcW w:w="3160" w:type="dxa"/>
            <w:vAlign w:val="bottom"/>
            <w:tcBorders>
              <w:bottom w:val="single" w:sz="8" w:color="A8A9AC"/>
            </w:tcBorders>
          </w:tcPr>
          <w:p>
            <w:pPr>
              <w:spacing w:after="0"/>
              <w:rPr>
                <w:sz w:val="19"/>
                <w:szCs w:val="19"/>
                <w:color w:val="auto"/>
              </w:rPr>
            </w:pPr>
          </w:p>
        </w:tc>
        <w:tc>
          <w:tcPr>
            <w:tcW w:w="1160" w:type="dxa"/>
            <w:vAlign w:val="bottom"/>
            <w:tcBorders>
              <w:bottom w:val="single" w:sz="8" w:color="A8A9AC"/>
            </w:tcBorders>
          </w:tcPr>
          <w:p>
            <w:pPr>
              <w:spacing w:after="0"/>
              <w:rPr>
                <w:sz w:val="19"/>
                <w:szCs w:val="19"/>
                <w:color w:val="auto"/>
              </w:rPr>
            </w:pPr>
          </w:p>
        </w:tc>
        <w:tc>
          <w:tcPr>
            <w:tcW w:w="1260" w:type="dxa"/>
            <w:vAlign w:val="bottom"/>
            <w:tcBorders>
              <w:bottom w:val="single" w:sz="8" w:color="A8A9AC"/>
            </w:tcBorders>
          </w:tcPr>
          <w:p>
            <w:pPr>
              <w:jc w:val="center"/>
              <w:ind w:left="184"/>
              <w:spacing w:after="0"/>
              <w:rPr>
                <w:sz w:val="20"/>
                <w:szCs w:val="20"/>
                <w:color w:val="auto"/>
              </w:rPr>
            </w:pPr>
            <w:r>
              <w:rPr>
                <w:rFonts w:ascii="Arial" w:cs="Arial" w:eastAsia="Arial" w:hAnsi="Arial"/>
                <w:sz w:val="15"/>
                <w:szCs w:val="15"/>
                <w:color w:val="auto"/>
                <w:w w:val="95"/>
              </w:rPr>
              <w:t>1</w:t>
            </w:r>
          </w:p>
        </w:tc>
      </w:tr>
      <w:tr>
        <w:trPr>
          <w:trHeight w:val="220"/>
        </w:trPr>
        <w:tc>
          <w:tcPr>
            <w:tcW w:w="236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Steven E. West</w:t>
            </w:r>
          </w:p>
        </w:tc>
        <w:tc>
          <w:tcPr>
            <w:tcW w:w="1180" w:type="dxa"/>
            <w:vAlign w:val="bottom"/>
            <w:tcBorders>
              <w:bottom w:val="single" w:sz="8" w:color="A26F2A"/>
            </w:tcBorders>
          </w:tcPr>
          <w:p>
            <w:pPr>
              <w:jc w:val="center"/>
              <w:ind w:left="525"/>
              <w:spacing w:after="0"/>
              <w:rPr>
                <w:sz w:val="20"/>
                <w:szCs w:val="20"/>
                <w:color w:val="auto"/>
              </w:rPr>
            </w:pPr>
            <w:r>
              <w:rPr>
                <w:rFonts w:ascii="Arial" w:cs="Arial" w:eastAsia="Arial" w:hAnsi="Arial"/>
                <w:sz w:val="15"/>
                <w:szCs w:val="15"/>
                <w:color w:val="auto"/>
              </w:rPr>
              <w:t>65</w:t>
            </w:r>
          </w:p>
        </w:tc>
        <w:tc>
          <w:tcPr>
            <w:tcW w:w="820" w:type="dxa"/>
            <w:vAlign w:val="bottom"/>
            <w:tcBorders>
              <w:bottom w:val="single" w:sz="8" w:color="A26F2A"/>
            </w:tcBorders>
          </w:tcPr>
          <w:p>
            <w:pPr>
              <w:jc w:val="center"/>
              <w:spacing w:after="0"/>
              <w:rPr>
                <w:sz w:val="20"/>
                <w:szCs w:val="20"/>
                <w:color w:val="auto"/>
              </w:rPr>
            </w:pPr>
            <w:r>
              <w:rPr>
                <w:rFonts w:ascii="Arial" w:cs="Arial" w:eastAsia="Arial" w:hAnsi="Arial"/>
                <w:sz w:val="15"/>
                <w:szCs w:val="15"/>
                <w:color w:val="auto"/>
                <w:w w:val="95"/>
              </w:rPr>
              <w:t>2011</w:t>
            </w:r>
          </w:p>
        </w:tc>
        <w:tc>
          <w:tcPr>
            <w:tcW w:w="1300" w:type="dxa"/>
            <w:vAlign w:val="bottom"/>
            <w:tcBorders>
              <w:bottom w:val="single" w:sz="8" w:color="A26F2A"/>
            </w:tcBorders>
          </w:tcPr>
          <w:p>
            <w:pPr>
              <w:spacing w:after="0"/>
              <w:rPr>
                <w:sz w:val="19"/>
                <w:szCs w:val="19"/>
                <w:color w:val="auto"/>
              </w:rPr>
            </w:pPr>
          </w:p>
        </w:tc>
        <w:tc>
          <w:tcPr>
            <w:tcW w:w="3160" w:type="dxa"/>
            <w:vAlign w:val="bottom"/>
            <w:tcBorders>
              <w:bottom w:val="single" w:sz="8" w:color="A26F2A"/>
            </w:tcBorders>
          </w:tcPr>
          <w:p>
            <w:pPr>
              <w:spacing w:after="0"/>
              <w:rPr>
                <w:sz w:val="19"/>
                <w:szCs w:val="19"/>
                <w:color w:val="auto"/>
              </w:rPr>
            </w:pPr>
          </w:p>
        </w:tc>
        <w:tc>
          <w:tcPr>
            <w:tcW w:w="1160" w:type="dxa"/>
            <w:vAlign w:val="bottom"/>
            <w:tcBorders>
              <w:bottom w:val="single" w:sz="8" w:color="A26F2A"/>
            </w:tcBorders>
          </w:tcPr>
          <w:p>
            <w:pPr>
              <w:spacing w:after="0"/>
              <w:rPr>
                <w:sz w:val="19"/>
                <w:szCs w:val="19"/>
                <w:color w:val="auto"/>
              </w:rPr>
            </w:pPr>
          </w:p>
        </w:tc>
        <w:tc>
          <w:tcPr>
            <w:tcW w:w="1260" w:type="dxa"/>
            <w:vAlign w:val="bottom"/>
            <w:tcBorders>
              <w:bottom w:val="single" w:sz="8" w:color="A26F2A"/>
            </w:tcBorders>
          </w:tcPr>
          <w:p>
            <w:pPr>
              <w:jc w:val="center"/>
              <w:ind w:left="184"/>
              <w:spacing w:after="0"/>
              <w:rPr>
                <w:sz w:val="20"/>
                <w:szCs w:val="20"/>
                <w:color w:val="auto"/>
              </w:rPr>
            </w:pPr>
            <w:r>
              <w:rPr>
                <w:rFonts w:ascii="Arial" w:cs="Arial" w:eastAsia="Arial" w:hAnsi="Arial"/>
                <w:sz w:val="15"/>
                <w:szCs w:val="15"/>
                <w:color w:val="auto"/>
                <w:w w:val="95"/>
              </w:rPr>
              <w:t>1</w:t>
            </w:r>
          </w:p>
        </w:tc>
      </w:tr>
      <w:tr>
        <w:trPr>
          <w:trHeight w:val="228"/>
        </w:trPr>
        <w:tc>
          <w:tcPr>
            <w:tcW w:w="2360" w:type="dxa"/>
            <w:vAlign w:val="bottom"/>
          </w:tcPr>
          <w:p>
            <w:pPr>
              <w:ind w:left="200"/>
              <w:spacing w:after="0"/>
              <w:rPr>
                <w:sz w:val="20"/>
                <w:szCs w:val="20"/>
                <w:color w:val="auto"/>
              </w:rPr>
            </w:pPr>
            <w:r>
              <w:rPr>
                <w:rFonts w:ascii="Arial" w:cs="Arial" w:eastAsia="Arial" w:hAnsi="Arial"/>
                <w:sz w:val="13"/>
                <w:szCs w:val="13"/>
                <w:i w:val="1"/>
                <w:iCs w:val="1"/>
                <w:color w:val="auto"/>
              </w:rPr>
              <w:t>Chair* Chairman of the Board</w:t>
            </w:r>
          </w:p>
        </w:tc>
        <w:tc>
          <w:tcPr>
            <w:tcW w:w="2000" w:type="dxa"/>
            <w:vAlign w:val="bottom"/>
            <w:gridSpan w:val="2"/>
          </w:tcPr>
          <w:p>
            <w:pPr>
              <w:ind w:left="120"/>
              <w:spacing w:after="0"/>
              <w:rPr>
                <w:sz w:val="20"/>
                <w:szCs w:val="20"/>
                <w:color w:val="auto"/>
              </w:rPr>
            </w:pPr>
            <w:r>
              <w:rPr>
                <w:rFonts w:ascii="Arial" w:cs="Arial" w:eastAsia="Arial" w:hAnsi="Arial"/>
                <w:sz w:val="13"/>
                <w:szCs w:val="13"/>
                <w:i w:val="1"/>
                <w:iCs w:val="1"/>
                <w:color w:val="auto"/>
              </w:rPr>
              <w:t>** Lead Independent Director</w:t>
            </w:r>
          </w:p>
        </w:tc>
        <w:tc>
          <w:tcPr>
            <w:tcW w:w="4460" w:type="dxa"/>
            <w:vAlign w:val="bottom"/>
            <w:gridSpan w:val="2"/>
          </w:tcPr>
          <w:p>
            <w:pPr>
              <w:ind w:left="120"/>
              <w:spacing w:after="0"/>
              <w:rPr>
                <w:sz w:val="20"/>
                <w:szCs w:val="20"/>
                <w:color w:val="auto"/>
              </w:rPr>
            </w:pPr>
            <w:r>
              <w:rPr>
                <w:rFonts w:ascii="Arial" w:cs="Arial" w:eastAsia="Arial" w:hAnsi="Arial"/>
                <w:sz w:val="13"/>
                <w:szCs w:val="13"/>
                <w:i w:val="1"/>
                <w:iCs w:val="1"/>
                <w:color w:val="auto"/>
              </w:rPr>
              <w:t>*** CEO</w:t>
            </w: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-2110105</wp:posOffset>
            </wp:positionV>
            <wp:extent cx="112395" cy="112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2395" cy="112395"/>
                    </a:xfrm>
                    <a:prstGeom prst="rect">
                      <a:avLst/>
                    </a:prstGeom>
                    <a:noFill/>
                  </pic:spPr>
                </pic:pic>
              </a:graphicData>
            </a:graphic>
          </wp:anchor>
        </w:drawing>
        <w:drawing>
          <wp:anchor simplePos="0" relativeHeight="251657728" behindDoc="1" locked="0" layoutInCell="0" allowOverlap="1">
            <wp:simplePos x="0" y="0"/>
            <wp:positionH relativeFrom="column">
              <wp:posOffset>3687445</wp:posOffset>
            </wp:positionH>
            <wp:positionV relativeFrom="paragraph">
              <wp:posOffset>-2093595</wp:posOffset>
            </wp:positionV>
            <wp:extent cx="80010" cy="800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-2101850</wp:posOffset>
            </wp:positionV>
            <wp:extent cx="80010" cy="88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0010" cy="88265"/>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-2093595</wp:posOffset>
            </wp:positionV>
            <wp:extent cx="80010" cy="800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3094355</wp:posOffset>
            </wp:positionH>
            <wp:positionV relativeFrom="paragraph">
              <wp:posOffset>-1957705</wp:posOffset>
            </wp:positionV>
            <wp:extent cx="112395" cy="112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2395" cy="112395"/>
                    </a:xfrm>
                    <a:prstGeom prst="rect">
                      <a:avLst/>
                    </a:prstGeom>
                    <a:noFill/>
                  </pic:spPr>
                </pic:pic>
              </a:graphicData>
            </a:graphic>
          </wp:anchor>
        </w:drawing>
        <w:drawing>
          <wp:anchor simplePos="0" relativeHeight="251657728" behindDoc="1" locked="0" layoutInCell="0" allowOverlap="1">
            <wp:simplePos x="0" y="0"/>
            <wp:positionH relativeFrom="column">
              <wp:posOffset>3687445</wp:posOffset>
            </wp:positionH>
            <wp:positionV relativeFrom="paragraph">
              <wp:posOffset>-1941830</wp:posOffset>
            </wp:positionV>
            <wp:extent cx="80010" cy="800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3094355</wp:posOffset>
            </wp:positionH>
            <wp:positionV relativeFrom="paragraph">
              <wp:posOffset>-1805305</wp:posOffset>
            </wp:positionV>
            <wp:extent cx="112395" cy="112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2395" cy="112395"/>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-1797050</wp:posOffset>
            </wp:positionV>
            <wp:extent cx="80010" cy="88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0010" cy="88265"/>
                    </a:xfrm>
                    <a:prstGeom prst="rect">
                      <a:avLst/>
                    </a:prstGeom>
                    <a:noFill/>
                  </pic:spPr>
                </pic:pic>
              </a:graphicData>
            </a:graphic>
          </wp:anchor>
        </w:drawing>
        <w:drawing>
          <wp:anchor simplePos="0" relativeHeight="251657728" behindDoc="1" locked="0" layoutInCell="0" allowOverlap="1">
            <wp:simplePos x="0" y="0"/>
            <wp:positionH relativeFrom="column">
              <wp:posOffset>3094355</wp:posOffset>
            </wp:positionH>
            <wp:positionV relativeFrom="paragraph">
              <wp:posOffset>-1652905</wp:posOffset>
            </wp:positionV>
            <wp:extent cx="112395" cy="112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395" cy="112395"/>
                    </a:xfrm>
                    <a:prstGeom prst="rect">
                      <a:avLst/>
                    </a:prstGeom>
                    <a:noFill/>
                  </pic:spPr>
                </pic:pic>
              </a:graphicData>
            </a:graphic>
          </wp:anchor>
        </w:drawing>
        <w:drawing>
          <wp:anchor simplePos="0" relativeHeight="251657728" behindDoc="1" locked="0" layoutInCell="0" allowOverlap="1">
            <wp:simplePos x="0" y="0"/>
            <wp:positionH relativeFrom="column">
              <wp:posOffset>3687445</wp:posOffset>
            </wp:positionH>
            <wp:positionV relativeFrom="paragraph">
              <wp:posOffset>-1645285</wp:posOffset>
            </wp:positionV>
            <wp:extent cx="80010" cy="88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0010" cy="88265"/>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-1637030</wp:posOffset>
            </wp:positionV>
            <wp:extent cx="80010" cy="800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-1468755</wp:posOffset>
            </wp:positionV>
            <wp:extent cx="80010" cy="800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3094355</wp:posOffset>
            </wp:positionH>
            <wp:positionV relativeFrom="paragraph">
              <wp:posOffset>-1348740</wp:posOffset>
            </wp:positionV>
            <wp:extent cx="112395" cy="112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2395" cy="112395"/>
                    </a:xfrm>
                    <a:prstGeom prst="rect">
                      <a:avLst/>
                    </a:prstGeom>
                    <a:noFill/>
                  </pic:spPr>
                </pic:pic>
              </a:graphicData>
            </a:graphic>
          </wp:anchor>
        </w:drawing>
        <w:drawing>
          <wp:anchor simplePos="0" relativeHeight="251657728" behindDoc="1" locked="0" layoutInCell="0" allowOverlap="1">
            <wp:simplePos x="0" y="0"/>
            <wp:positionH relativeFrom="column">
              <wp:posOffset>3687445</wp:posOffset>
            </wp:positionH>
            <wp:positionV relativeFrom="paragraph">
              <wp:posOffset>-1332230</wp:posOffset>
            </wp:positionV>
            <wp:extent cx="80010" cy="800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-1332230</wp:posOffset>
            </wp:positionV>
            <wp:extent cx="80010" cy="800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-1332230</wp:posOffset>
            </wp:positionV>
            <wp:extent cx="80010" cy="800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3094355</wp:posOffset>
            </wp:positionH>
            <wp:positionV relativeFrom="paragraph">
              <wp:posOffset>-1196340</wp:posOffset>
            </wp:positionV>
            <wp:extent cx="112395" cy="112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2395" cy="112395"/>
                    </a:xfrm>
                    <a:prstGeom prst="rect">
                      <a:avLst/>
                    </a:prstGeom>
                    <a:noFill/>
                  </pic:spPr>
                </pic:pic>
              </a:graphicData>
            </a:graphic>
          </wp:anchor>
        </w:drawing>
        <w:drawing>
          <wp:anchor simplePos="0" relativeHeight="251657728" behindDoc="1" locked="0" layoutInCell="0" allowOverlap="1">
            <wp:simplePos x="0" y="0"/>
            <wp:positionH relativeFrom="column">
              <wp:posOffset>3687445</wp:posOffset>
            </wp:positionH>
            <wp:positionV relativeFrom="paragraph">
              <wp:posOffset>-1180465</wp:posOffset>
            </wp:positionV>
            <wp:extent cx="80010" cy="800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-1180465</wp:posOffset>
            </wp:positionV>
            <wp:extent cx="80010" cy="800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-1180465</wp:posOffset>
            </wp:positionV>
            <wp:extent cx="80010" cy="800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3094355</wp:posOffset>
            </wp:positionH>
            <wp:positionV relativeFrom="paragraph">
              <wp:posOffset>-1043940</wp:posOffset>
            </wp:positionV>
            <wp:extent cx="112395" cy="112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2395" cy="112395"/>
                    </a:xfrm>
                    <a:prstGeom prst="rect">
                      <a:avLst/>
                    </a:prstGeom>
                    <a:noFill/>
                  </pic:spPr>
                </pic:pic>
              </a:graphicData>
            </a:graphic>
          </wp:anchor>
        </w:drawing>
        <w:drawing>
          <wp:anchor simplePos="0" relativeHeight="251657728" behindDoc="1" locked="0" layoutInCell="0" allowOverlap="1">
            <wp:simplePos x="0" y="0"/>
            <wp:positionH relativeFrom="column">
              <wp:posOffset>3094355</wp:posOffset>
            </wp:positionH>
            <wp:positionV relativeFrom="paragraph">
              <wp:posOffset>-739140</wp:posOffset>
            </wp:positionV>
            <wp:extent cx="112395" cy="112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2395" cy="112395"/>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-731520</wp:posOffset>
            </wp:positionV>
            <wp:extent cx="80010" cy="882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0010" cy="88265"/>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-723265</wp:posOffset>
            </wp:positionV>
            <wp:extent cx="80010" cy="800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3094355</wp:posOffset>
            </wp:positionH>
            <wp:positionV relativeFrom="paragraph">
              <wp:posOffset>-587375</wp:posOffset>
            </wp:positionV>
            <wp:extent cx="112395" cy="112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2395" cy="112395"/>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-570865</wp:posOffset>
            </wp:positionV>
            <wp:extent cx="80010" cy="800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-570865</wp:posOffset>
            </wp:positionV>
            <wp:extent cx="80010" cy="800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3094355</wp:posOffset>
            </wp:positionH>
            <wp:positionV relativeFrom="paragraph">
              <wp:posOffset>-282575</wp:posOffset>
            </wp:positionV>
            <wp:extent cx="112395" cy="112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2395" cy="1123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-106045</wp:posOffset>
            </wp:positionV>
            <wp:extent cx="80010" cy="882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0010" cy="88265"/>
                    </a:xfrm>
                    <a:prstGeom prst="rect">
                      <a:avLst/>
                    </a:prstGeom>
                    <a:noFill/>
                  </pic:spPr>
                </pic:pic>
              </a:graphicData>
            </a:graphic>
          </wp:anchor>
        </w:drawing>
      </w:r>
    </w:p>
    <w:p>
      <w:pPr>
        <w:spacing w:after="0" w:line="128" w:lineRule="exact"/>
        <w:rPr>
          <w:sz w:val="20"/>
          <w:szCs w:val="20"/>
          <w:color w:val="auto"/>
        </w:rPr>
      </w:pPr>
    </w:p>
    <w:p>
      <w:pPr>
        <w:ind w:left="6680"/>
        <w:spacing w:after="0"/>
        <w:tabs>
          <w:tab w:leader="none" w:pos="11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members of our board of directors represent a wide range of backgrounds, critical skills, perspectives and expertise, as well as a mix of tenure of service on the board, as illustrated below and in the Summary of Director Nominee Core Competencies beginning on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86995</wp:posOffset>
            </wp:positionV>
            <wp:extent cx="5538470" cy="2324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38470"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Stockholder Outreach</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As in the past, we conducted a robust stockholder outreach program during 2025 and through the first quarter of 2026 to solicit feedback on our executive compensation programs, sustainability and corporate governance matters, human capital, corporate responsibility and sustainability and other important issues.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and First Quarter 2026 stockholder outreach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127000</wp:posOffset>
            </wp:positionV>
            <wp:extent cx="7141210" cy="9779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977900"/>
                    </a:xfrm>
                    <a:prstGeom prst="rect">
                      <a:avLst/>
                    </a:prstGeom>
                    <a:noFill/>
                  </pic:spPr>
                </pic:pic>
              </a:graphicData>
            </a:graphic>
          </wp:anchor>
        </w:drawing>
      </w:r>
    </w:p>
    <w:p>
      <w:pPr>
        <w:spacing w:after="0" w:line="242" w:lineRule="exact"/>
        <w:rPr>
          <w:sz w:val="20"/>
          <w:szCs w:val="20"/>
          <w:color w:val="auto"/>
        </w:rPr>
      </w:pPr>
    </w:p>
    <w:p>
      <w:pPr>
        <w:ind w:left="240" w:hanging="155"/>
        <w:spacing w:after="0"/>
        <w:tabs>
          <w:tab w:leader="none" w:pos="240" w:val="left"/>
        </w:tabs>
        <w:numPr>
          <w:ilvl w:val="0"/>
          <w:numId w:val="2"/>
        </w:numPr>
        <w:rPr>
          <w:rFonts w:ascii="Arial" w:cs="Arial" w:eastAsia="Arial" w:hAnsi="Arial"/>
          <w:sz w:val="15"/>
          <w:szCs w:val="15"/>
          <w:color w:val="A26F2A"/>
        </w:rPr>
      </w:pPr>
      <w:r>
        <w:rPr>
          <w:rFonts w:ascii="Arial" w:cs="Arial" w:eastAsia="Arial" w:hAnsi="Arial"/>
          <w:sz w:val="15"/>
          <w:szCs w:val="15"/>
          <w:color w:val="auto"/>
        </w:rPr>
        <w:t xml:space="preserve">Initiated contact with stockholders representing approximately </w:t>
      </w:r>
      <w:r>
        <w:rPr>
          <w:rFonts w:ascii="Arial" w:cs="Arial" w:eastAsia="Arial" w:hAnsi="Arial"/>
          <w:sz w:val="20"/>
          <w:szCs w:val="20"/>
          <w:b w:val="1"/>
          <w:bCs w:val="1"/>
          <w:color w:val="auto"/>
        </w:rPr>
        <w:t>77%</w:t>
      </w:r>
      <w:r>
        <w:rPr>
          <w:rFonts w:ascii="Arial" w:cs="Arial" w:eastAsia="Arial" w:hAnsi="Arial"/>
          <w:sz w:val="15"/>
          <w:szCs w:val="15"/>
          <w:color w:val="auto"/>
        </w:rPr>
        <w:t xml:space="preserve"> of our outstanding shares as of </w:t>
      </w:r>
      <w:r>
        <w:rPr>
          <w:rFonts w:ascii="Arial" w:cs="Arial" w:eastAsia="Arial" w:hAnsi="Arial"/>
          <w:sz w:val="20"/>
          <w:szCs w:val="20"/>
          <w:b w:val="1"/>
          <w:bCs w:val="1"/>
          <w:color w:val="auto"/>
        </w:rPr>
        <w:t>June 30, 2025</w:t>
      </w:r>
    </w:p>
    <w:p>
      <w:pPr>
        <w:spacing w:after="0" w:line="72" w:lineRule="exact"/>
        <w:rPr>
          <w:rFonts w:ascii="Arial" w:cs="Arial" w:eastAsia="Arial" w:hAnsi="Arial"/>
          <w:sz w:val="15"/>
          <w:szCs w:val="15"/>
          <w:color w:val="A26F2A"/>
        </w:rPr>
      </w:pPr>
    </w:p>
    <w:p>
      <w:pPr>
        <w:ind w:left="240" w:right="100" w:hanging="155"/>
        <w:spacing w:after="0" w:line="276" w:lineRule="auto"/>
        <w:tabs>
          <w:tab w:leader="none" w:pos="240" w:val="left"/>
        </w:tabs>
        <w:numPr>
          <w:ilvl w:val="0"/>
          <w:numId w:val="2"/>
        </w:numPr>
        <w:rPr>
          <w:rFonts w:ascii="Arial" w:cs="Arial" w:eastAsia="Arial" w:hAnsi="Arial"/>
          <w:sz w:val="15"/>
          <w:szCs w:val="15"/>
          <w:color w:val="A26F2A"/>
        </w:rPr>
      </w:pPr>
      <w:r>
        <w:rPr>
          <w:rFonts w:ascii="Arial" w:cs="Arial" w:eastAsia="Arial" w:hAnsi="Arial"/>
          <w:sz w:val="15"/>
          <w:szCs w:val="15"/>
          <w:color w:val="auto"/>
        </w:rPr>
        <w:t xml:space="preserve">Met (telephonically or through video conference) with stockholders representing approximately </w:t>
      </w:r>
      <w:r>
        <w:rPr>
          <w:rFonts w:ascii="Arial" w:cs="Arial" w:eastAsia="Arial" w:hAnsi="Arial"/>
          <w:sz w:val="20"/>
          <w:szCs w:val="20"/>
          <w:b w:val="1"/>
          <w:bCs w:val="1"/>
          <w:color w:val="auto"/>
        </w:rPr>
        <w:t>49%</w:t>
      </w:r>
      <w:r>
        <w:rPr>
          <w:rFonts w:ascii="Arial" w:cs="Arial" w:eastAsia="Arial" w:hAnsi="Arial"/>
          <w:sz w:val="15"/>
          <w:szCs w:val="15"/>
          <w:color w:val="auto"/>
        </w:rPr>
        <w:t xml:space="preserve"> of our outstanding shares as of </w:t>
      </w:r>
      <w:r>
        <w:rPr>
          <w:rFonts w:ascii="Arial" w:cs="Arial" w:eastAsia="Arial" w:hAnsi="Arial"/>
          <w:sz w:val="20"/>
          <w:szCs w:val="20"/>
          <w:b w:val="1"/>
          <w:bCs w:val="1"/>
          <w:color w:val="auto"/>
        </w:rPr>
        <w:t>June 30, 2025</w:t>
      </w:r>
      <w:r>
        <w:rPr>
          <w:rFonts w:ascii="Arial" w:cs="Arial" w:eastAsia="Arial" w:hAnsi="Arial"/>
          <w:sz w:val="15"/>
          <w:szCs w:val="15"/>
          <w:color w:val="auto"/>
        </w:rPr>
        <w:t xml:space="preserve">, including </w:t>
      </w:r>
      <w:r>
        <w:rPr>
          <w:rFonts w:ascii="Arial" w:cs="Arial" w:eastAsia="Arial" w:hAnsi="Arial"/>
          <w:sz w:val="20"/>
          <w:szCs w:val="20"/>
          <w:b w:val="1"/>
          <w:bCs w:val="1"/>
          <w:color w:val="auto"/>
        </w:rPr>
        <w:t>5</w:t>
      </w:r>
      <w:r>
        <w:rPr>
          <w:rFonts w:ascii="Arial" w:cs="Arial" w:eastAsia="Arial" w:hAnsi="Arial"/>
          <w:sz w:val="15"/>
          <w:szCs w:val="15"/>
          <w:color w:val="auto"/>
        </w:rPr>
        <w:t xml:space="preserve"> of our </w:t>
      </w:r>
      <w:r>
        <w:rPr>
          <w:rFonts w:ascii="Arial" w:cs="Arial" w:eastAsia="Arial" w:hAnsi="Arial"/>
          <w:sz w:val="20"/>
          <w:szCs w:val="20"/>
          <w:b w:val="1"/>
          <w:bCs w:val="1"/>
          <w:color w:val="auto"/>
        </w:rPr>
        <w:t>10</w:t>
      </w:r>
      <w:r>
        <w:rPr>
          <w:rFonts w:ascii="Arial" w:cs="Arial" w:eastAsia="Arial" w:hAnsi="Arial"/>
          <w:sz w:val="15"/>
          <w:szCs w:val="15"/>
          <w:color w:val="auto"/>
        </w:rPr>
        <w:t xml:space="preserve"> largest stockholders</w:t>
      </w:r>
    </w:p>
    <w:p>
      <w:pPr>
        <w:spacing w:after="0" w:line="1" w:lineRule="exact"/>
        <w:rPr>
          <w:rFonts w:ascii="Arial" w:cs="Arial" w:eastAsia="Arial" w:hAnsi="Arial"/>
          <w:sz w:val="15"/>
          <w:szCs w:val="15"/>
          <w:color w:val="A26F2A"/>
        </w:rPr>
      </w:pPr>
    </w:p>
    <w:p>
      <w:pPr>
        <w:ind w:left="240" w:hanging="155"/>
        <w:spacing w:after="0"/>
        <w:tabs>
          <w:tab w:leader="none" w:pos="240" w:val="left"/>
        </w:tabs>
        <w:numPr>
          <w:ilvl w:val="0"/>
          <w:numId w:val="2"/>
        </w:numPr>
        <w:rPr>
          <w:rFonts w:ascii="Arial" w:cs="Arial" w:eastAsia="Arial" w:hAnsi="Arial"/>
          <w:sz w:val="15"/>
          <w:szCs w:val="15"/>
          <w:color w:val="A26F2A"/>
        </w:rPr>
      </w:pPr>
      <w:r>
        <w:rPr>
          <w:rFonts w:ascii="Arial" w:cs="Arial" w:eastAsia="Arial" w:hAnsi="Arial"/>
          <w:sz w:val="15"/>
          <w:szCs w:val="15"/>
          <w:color w:val="auto"/>
        </w:rPr>
        <w:t xml:space="preserve">Attended approximately </w:t>
      </w:r>
      <w:r>
        <w:rPr>
          <w:rFonts w:ascii="Arial" w:cs="Arial" w:eastAsia="Arial" w:hAnsi="Arial"/>
          <w:sz w:val="20"/>
          <w:szCs w:val="20"/>
          <w:b w:val="1"/>
          <w:bCs w:val="1"/>
          <w:color w:val="auto"/>
        </w:rPr>
        <w:t>19</w:t>
      </w:r>
      <w:r>
        <w:rPr>
          <w:rFonts w:ascii="Arial" w:cs="Arial" w:eastAsia="Arial" w:hAnsi="Arial"/>
          <w:sz w:val="15"/>
          <w:szCs w:val="15"/>
          <w:color w:val="auto"/>
        </w:rPr>
        <w:t xml:space="preserve"> virtual or in person investor conferences and hosted approximately </w:t>
      </w:r>
      <w:r>
        <w:rPr>
          <w:rFonts w:ascii="Arial" w:cs="Arial" w:eastAsia="Arial" w:hAnsi="Arial"/>
          <w:sz w:val="20"/>
          <w:szCs w:val="20"/>
          <w:b w:val="1"/>
          <w:bCs w:val="1"/>
          <w:color w:val="auto"/>
        </w:rPr>
        <w:t>6</w:t>
      </w:r>
      <w:r>
        <w:rPr>
          <w:rFonts w:ascii="Arial" w:cs="Arial" w:eastAsia="Arial" w:hAnsi="Arial"/>
          <w:sz w:val="15"/>
          <w:szCs w:val="15"/>
          <w:color w:val="auto"/>
        </w:rPr>
        <w:t xml:space="preserve"> virtual or in person bus tours</w:t>
      </w:r>
    </w:p>
    <w:p>
      <w:pPr>
        <w:spacing w:after="0" w:line="72" w:lineRule="exact"/>
        <w:rPr>
          <w:rFonts w:ascii="Arial" w:cs="Arial" w:eastAsia="Arial" w:hAnsi="Arial"/>
          <w:sz w:val="15"/>
          <w:szCs w:val="15"/>
          <w:color w:val="A26F2A"/>
        </w:rPr>
      </w:pPr>
    </w:p>
    <w:p>
      <w:pPr>
        <w:ind w:left="240" w:hanging="155"/>
        <w:spacing w:after="0"/>
        <w:tabs>
          <w:tab w:leader="none" w:pos="240" w:val="left"/>
        </w:tabs>
        <w:numPr>
          <w:ilvl w:val="0"/>
          <w:numId w:val="2"/>
        </w:numPr>
        <w:rPr>
          <w:rFonts w:ascii="Arial" w:cs="Arial" w:eastAsia="Arial" w:hAnsi="Arial"/>
          <w:sz w:val="15"/>
          <w:szCs w:val="15"/>
          <w:color w:val="A26F2A"/>
        </w:rPr>
      </w:pPr>
      <w:r>
        <w:rPr>
          <w:rFonts w:ascii="Arial" w:cs="Arial" w:eastAsia="Arial" w:hAnsi="Arial"/>
          <w:sz w:val="15"/>
          <w:szCs w:val="15"/>
          <w:color w:val="auto"/>
        </w:rPr>
        <w:t xml:space="preserve">Attained approximately </w:t>
      </w:r>
      <w:r>
        <w:rPr>
          <w:rFonts w:ascii="Arial" w:cs="Arial" w:eastAsia="Arial" w:hAnsi="Arial"/>
          <w:sz w:val="20"/>
          <w:szCs w:val="20"/>
          <w:b w:val="1"/>
          <w:bCs w:val="1"/>
          <w:color w:val="auto"/>
        </w:rPr>
        <w:t>97.2%</w:t>
      </w:r>
      <w:r>
        <w:rPr>
          <w:rFonts w:ascii="Arial" w:cs="Arial" w:eastAsia="Arial" w:hAnsi="Arial"/>
          <w:sz w:val="15"/>
          <w:szCs w:val="15"/>
          <w:color w:val="auto"/>
        </w:rPr>
        <w:t xml:space="preserve"> favorable stockholder vote for our 2025 say-on-pay proposal</w:t>
      </w:r>
    </w:p>
    <w:p>
      <w:pPr>
        <w:spacing w:after="0" w:line="367"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Sustainability and 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41210" cy="20116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2011680"/>
                    </a:xfrm>
                    <a:prstGeom prst="rect">
                      <a:avLst/>
                    </a:prstGeom>
                    <a:noFill/>
                  </pic:spPr>
                </pic:pic>
              </a:graphicData>
            </a:graphic>
          </wp:anchor>
        </w:drawing>
      </w:r>
    </w:p>
    <w:p>
      <w:pPr>
        <w:spacing w:after="0" w:line="231" w:lineRule="exact"/>
        <w:rPr>
          <w:sz w:val="20"/>
          <w:szCs w:val="20"/>
          <w:color w:val="auto"/>
        </w:rPr>
      </w:pPr>
    </w:p>
    <w:p>
      <w:pPr>
        <w:ind w:left="240" w:right="100" w:hanging="155"/>
        <w:spacing w:after="0" w:line="286" w:lineRule="auto"/>
        <w:tabs>
          <w:tab w:leader="none" w:pos="240" w:val="left"/>
        </w:tabs>
        <w:numPr>
          <w:ilvl w:val="0"/>
          <w:numId w:val="3"/>
        </w:numPr>
        <w:rPr>
          <w:rFonts w:ascii="Arial" w:cs="Arial" w:eastAsia="Arial" w:hAnsi="Arial"/>
          <w:sz w:val="15"/>
          <w:szCs w:val="15"/>
          <w:color w:val="A26F2A"/>
        </w:rPr>
      </w:pPr>
      <w:r>
        <w:rPr>
          <w:rFonts w:ascii="Arial" w:cs="Arial" w:eastAsia="Arial" w:hAnsi="Arial"/>
          <w:sz w:val="15"/>
          <w:szCs w:val="15"/>
          <w:color w:val="auto"/>
        </w:rPr>
        <w:t xml:space="preserve">Our board of directors recognizes the importance of having a broadly inclusive membership and </w:t>
      </w:r>
      <w:r>
        <w:rPr>
          <w:rFonts w:ascii="Arial" w:cs="Arial" w:eastAsia="Arial" w:hAnsi="Arial"/>
          <w:sz w:val="20"/>
          <w:szCs w:val="20"/>
          <w:b w:val="1"/>
          <w:bCs w:val="1"/>
          <w:color w:val="auto"/>
        </w:rPr>
        <w:t>38%</w:t>
      </w:r>
      <w:r>
        <w:rPr>
          <w:rFonts w:ascii="Arial" w:cs="Arial" w:eastAsia="Arial" w:hAnsi="Arial"/>
          <w:sz w:val="15"/>
          <w:szCs w:val="15"/>
          <w:color w:val="auto"/>
        </w:rPr>
        <w:t xml:space="preserve"> of Diamondback’s current board of directors is represented by five diverse directors (three of which are female and three of which are ethnically diverse)</w:t>
      </w:r>
    </w:p>
    <w:p>
      <w:pPr>
        <w:ind w:left="240" w:hanging="155"/>
        <w:spacing w:after="0"/>
        <w:tabs>
          <w:tab w:leader="none" w:pos="240" w:val="left"/>
        </w:tabs>
        <w:numPr>
          <w:ilvl w:val="0"/>
          <w:numId w:val="3"/>
        </w:numPr>
        <w:rPr>
          <w:rFonts w:ascii="Arial" w:cs="Arial" w:eastAsia="Arial" w:hAnsi="Arial"/>
          <w:sz w:val="15"/>
          <w:szCs w:val="15"/>
          <w:color w:val="A26F2A"/>
        </w:rPr>
      </w:pPr>
      <w:r>
        <w:rPr>
          <w:rFonts w:ascii="Arial" w:cs="Arial" w:eastAsia="Arial" w:hAnsi="Arial"/>
          <w:sz w:val="15"/>
          <w:szCs w:val="15"/>
          <w:color w:val="auto"/>
        </w:rPr>
        <w:t xml:space="preserve">Achieved and exceeded our goal of sourcing over </w:t>
      </w:r>
      <w:r>
        <w:rPr>
          <w:rFonts w:ascii="Arial" w:cs="Arial" w:eastAsia="Arial" w:hAnsi="Arial"/>
          <w:sz w:val="20"/>
          <w:szCs w:val="20"/>
          <w:b w:val="1"/>
          <w:bCs w:val="1"/>
          <w:color w:val="auto"/>
        </w:rPr>
        <w:t>65%</w:t>
      </w:r>
      <w:r>
        <w:rPr>
          <w:rFonts w:ascii="Arial" w:cs="Arial" w:eastAsia="Arial" w:hAnsi="Arial"/>
          <w:sz w:val="15"/>
          <w:szCs w:val="15"/>
          <w:color w:val="auto"/>
        </w:rPr>
        <w:t xml:space="preserve"> of water used for drilling and completion operations from recycled sources by 2025</w:t>
      </w:r>
    </w:p>
    <w:p>
      <w:pPr>
        <w:spacing w:after="0" w:line="86" w:lineRule="exact"/>
        <w:rPr>
          <w:rFonts w:ascii="Arial" w:cs="Arial" w:eastAsia="Arial" w:hAnsi="Arial"/>
          <w:sz w:val="15"/>
          <w:szCs w:val="15"/>
          <w:color w:val="A26F2A"/>
        </w:rPr>
      </w:pPr>
    </w:p>
    <w:p>
      <w:pPr>
        <w:ind w:left="240" w:right="100" w:hanging="155"/>
        <w:spacing w:after="0" w:line="282" w:lineRule="auto"/>
        <w:tabs>
          <w:tab w:leader="none" w:pos="240" w:val="left"/>
        </w:tabs>
        <w:numPr>
          <w:ilvl w:val="0"/>
          <w:numId w:val="3"/>
        </w:numPr>
        <w:rPr>
          <w:rFonts w:ascii="Arial" w:cs="Arial" w:eastAsia="Arial" w:hAnsi="Arial"/>
          <w:sz w:val="15"/>
          <w:szCs w:val="15"/>
          <w:color w:val="A26F2A"/>
        </w:rPr>
      </w:pPr>
      <w:r>
        <w:rPr>
          <w:rFonts w:ascii="Arial" w:cs="Arial" w:eastAsia="Arial" w:hAnsi="Arial"/>
          <w:sz w:val="15"/>
          <w:szCs w:val="15"/>
          <w:color w:val="auto"/>
        </w:rPr>
        <w:t>Released our 2025 Corporate Sustainability Report in September 2025 which included a calculation of Diamondback’s Scope 3 GHG emissions (Category 11, Use of Sold Products) and our 2024 EEO-1 Data</w:t>
      </w:r>
    </w:p>
    <w:p>
      <w:pPr>
        <w:spacing w:after="0" w:line="23" w:lineRule="exact"/>
        <w:rPr>
          <w:rFonts w:ascii="Arial" w:cs="Arial" w:eastAsia="Arial" w:hAnsi="Arial"/>
          <w:sz w:val="15"/>
          <w:szCs w:val="15"/>
          <w:color w:val="A26F2A"/>
        </w:rPr>
      </w:pPr>
    </w:p>
    <w:p>
      <w:pPr>
        <w:ind w:left="240" w:hanging="155"/>
        <w:spacing w:after="0"/>
        <w:tabs>
          <w:tab w:leader="none" w:pos="240" w:val="left"/>
        </w:tabs>
        <w:numPr>
          <w:ilvl w:val="0"/>
          <w:numId w:val="3"/>
        </w:numPr>
        <w:rPr>
          <w:rFonts w:ascii="Arial" w:cs="Arial" w:eastAsia="Arial" w:hAnsi="Arial"/>
          <w:sz w:val="15"/>
          <w:szCs w:val="15"/>
          <w:color w:val="A26F2A"/>
        </w:rPr>
      </w:pPr>
      <w:r>
        <w:rPr>
          <w:rFonts w:ascii="Arial" w:cs="Arial" w:eastAsia="Arial" w:hAnsi="Arial"/>
          <w:sz w:val="15"/>
          <w:szCs w:val="15"/>
          <w:color w:val="auto"/>
        </w:rPr>
        <w:t>Completed the 2025 CDP Corporate Questionnaire</w:t>
      </w:r>
    </w:p>
    <w:p>
      <w:pPr>
        <w:spacing w:after="0" w:line="79" w:lineRule="exact"/>
        <w:rPr>
          <w:rFonts w:ascii="Arial" w:cs="Arial" w:eastAsia="Arial" w:hAnsi="Arial"/>
          <w:sz w:val="15"/>
          <w:szCs w:val="15"/>
          <w:color w:val="A26F2A"/>
        </w:rPr>
      </w:pPr>
    </w:p>
    <w:p>
      <w:pPr>
        <w:ind w:left="240" w:hanging="155"/>
        <w:spacing w:after="0"/>
        <w:tabs>
          <w:tab w:leader="none" w:pos="240" w:val="left"/>
        </w:tabs>
        <w:numPr>
          <w:ilvl w:val="0"/>
          <w:numId w:val="3"/>
        </w:numPr>
        <w:rPr>
          <w:rFonts w:ascii="Arial" w:cs="Arial" w:eastAsia="Arial" w:hAnsi="Arial"/>
          <w:sz w:val="15"/>
          <w:szCs w:val="15"/>
          <w:color w:val="A26F2A"/>
        </w:rPr>
      </w:pPr>
      <w:r>
        <w:rPr>
          <w:rFonts w:ascii="Arial" w:cs="Arial" w:eastAsia="Arial" w:hAnsi="Arial"/>
          <w:sz w:val="15"/>
          <w:szCs w:val="15"/>
          <w:color w:val="auto"/>
        </w:rPr>
        <w:t>Received a trendsetter score of 90.0% for the 2025 CPA-Zicklin Index of Corporate Political Accountability and Disclosure</w:t>
      </w:r>
    </w:p>
    <w:p>
      <w:pPr>
        <w:spacing w:after="0" w:line="79" w:lineRule="exact"/>
        <w:rPr>
          <w:rFonts w:ascii="Arial" w:cs="Arial" w:eastAsia="Arial" w:hAnsi="Arial"/>
          <w:sz w:val="15"/>
          <w:szCs w:val="15"/>
          <w:color w:val="A26F2A"/>
        </w:rPr>
      </w:pPr>
    </w:p>
    <w:p>
      <w:pPr>
        <w:ind w:left="240" w:hanging="155"/>
        <w:spacing w:after="0"/>
        <w:tabs>
          <w:tab w:leader="none" w:pos="240" w:val="left"/>
        </w:tabs>
        <w:numPr>
          <w:ilvl w:val="0"/>
          <w:numId w:val="3"/>
        </w:numPr>
        <w:rPr>
          <w:rFonts w:ascii="Arial" w:cs="Arial" w:eastAsia="Arial" w:hAnsi="Arial"/>
          <w:sz w:val="15"/>
          <w:szCs w:val="15"/>
          <w:color w:val="A26F2A"/>
        </w:rPr>
      </w:pPr>
      <w:r>
        <w:rPr>
          <w:rFonts w:ascii="Arial" w:cs="Arial" w:eastAsia="Arial" w:hAnsi="Arial"/>
          <w:sz w:val="15"/>
          <w:szCs w:val="15"/>
          <w:color w:val="auto"/>
        </w:rPr>
        <w:t>Ended routine flaring (as defined by the World Bank) by 2025</w:t>
      </w:r>
    </w:p>
    <w:p>
      <w:pPr>
        <w:spacing w:after="0" w:line="79" w:lineRule="exact"/>
        <w:rPr>
          <w:rFonts w:ascii="Arial" w:cs="Arial" w:eastAsia="Arial" w:hAnsi="Arial"/>
          <w:sz w:val="15"/>
          <w:szCs w:val="15"/>
          <w:color w:val="A26F2A"/>
        </w:rPr>
      </w:pPr>
    </w:p>
    <w:p>
      <w:pPr>
        <w:ind w:left="240" w:hanging="155"/>
        <w:spacing w:after="0"/>
        <w:tabs>
          <w:tab w:leader="none" w:pos="240" w:val="left"/>
        </w:tabs>
        <w:numPr>
          <w:ilvl w:val="0"/>
          <w:numId w:val="3"/>
        </w:numPr>
        <w:rPr>
          <w:rFonts w:ascii="Arial" w:cs="Arial" w:eastAsia="Arial" w:hAnsi="Arial"/>
          <w:sz w:val="15"/>
          <w:szCs w:val="15"/>
          <w:color w:val="A26F2A"/>
        </w:rPr>
      </w:pPr>
      <w:r>
        <w:rPr>
          <w:rFonts w:ascii="Arial" w:cs="Arial" w:eastAsia="Arial" w:hAnsi="Arial"/>
          <w:sz w:val="15"/>
          <w:szCs w:val="15"/>
          <w:color w:val="auto"/>
        </w:rPr>
        <w:t>Established ambitious environmental targets, including initiatives to:</w:t>
      </w:r>
    </w:p>
    <w:p>
      <w:pPr>
        <w:spacing w:after="0" w:line="66" w:lineRule="exact"/>
        <w:rPr>
          <w:rFonts w:ascii="Arial" w:cs="Arial" w:eastAsia="Arial" w:hAnsi="Arial"/>
          <w:sz w:val="15"/>
          <w:szCs w:val="15"/>
          <w:color w:val="A26F2A"/>
        </w:rPr>
      </w:pPr>
    </w:p>
    <w:p>
      <w:pPr>
        <w:ind w:left="240"/>
        <w:spacing w:after="0"/>
        <w:rPr>
          <w:rFonts w:ascii="Arial" w:cs="Arial" w:eastAsia="Arial" w:hAnsi="Arial"/>
          <w:sz w:val="15"/>
          <w:szCs w:val="15"/>
          <w:color w:val="A26F2A"/>
        </w:rPr>
      </w:pPr>
      <w:r>
        <w:rPr>
          <w:rFonts w:ascii="Arial" w:cs="Arial" w:eastAsia="Arial" w:hAnsi="Arial"/>
          <w:sz w:val="15"/>
          <w:szCs w:val="15"/>
          <w:color w:val="auto"/>
        </w:rPr>
        <w:t xml:space="preserve">– reduce combined Scope 1 and Scope 2 GHG intensity by at least </w:t>
      </w:r>
      <w:r>
        <w:rPr>
          <w:rFonts w:ascii="Arial" w:cs="Arial" w:eastAsia="Arial" w:hAnsi="Arial"/>
          <w:sz w:val="20"/>
          <w:szCs w:val="20"/>
          <w:b w:val="1"/>
          <w:bCs w:val="1"/>
          <w:color w:val="auto"/>
        </w:rPr>
        <w:t>50%</w:t>
      </w:r>
      <w:r>
        <w:rPr>
          <w:rFonts w:ascii="Arial" w:cs="Arial" w:eastAsia="Arial" w:hAnsi="Arial"/>
          <w:sz w:val="15"/>
          <w:szCs w:val="15"/>
          <w:color w:val="auto"/>
        </w:rPr>
        <w:t xml:space="preserve"> from 2020 levels by 2030</w:t>
      </w:r>
    </w:p>
    <w:p>
      <w:pPr>
        <w:spacing w:after="0" w:line="72" w:lineRule="exact"/>
        <w:rPr>
          <w:rFonts w:ascii="Arial" w:cs="Arial" w:eastAsia="Arial" w:hAnsi="Arial"/>
          <w:sz w:val="15"/>
          <w:szCs w:val="15"/>
          <w:color w:val="A26F2A"/>
        </w:rPr>
      </w:pPr>
    </w:p>
    <w:p>
      <w:pPr>
        <w:ind w:left="240"/>
        <w:spacing w:after="0"/>
        <w:rPr>
          <w:rFonts w:ascii="Arial" w:cs="Arial" w:eastAsia="Arial" w:hAnsi="Arial"/>
          <w:sz w:val="15"/>
          <w:szCs w:val="15"/>
          <w:color w:val="A26F2A"/>
        </w:rPr>
      </w:pPr>
      <w:r>
        <w:rPr>
          <w:rFonts w:ascii="Arial" w:cs="Arial" w:eastAsia="Arial" w:hAnsi="Arial"/>
          <w:sz w:val="15"/>
          <w:szCs w:val="15"/>
          <w:color w:val="auto"/>
        </w:rPr>
        <w:t xml:space="preserve">– achieve reduced methane intensity by at least </w:t>
      </w:r>
      <w:r>
        <w:rPr>
          <w:rFonts w:ascii="Arial" w:cs="Arial" w:eastAsia="Arial" w:hAnsi="Arial"/>
          <w:sz w:val="20"/>
          <w:szCs w:val="20"/>
          <w:b w:val="1"/>
          <w:bCs w:val="1"/>
          <w:color w:val="auto"/>
        </w:rPr>
        <w:t>20%</w:t>
      </w:r>
      <w:r>
        <w:rPr>
          <w:rFonts w:ascii="Arial" w:cs="Arial" w:eastAsia="Arial" w:hAnsi="Arial"/>
          <w:sz w:val="15"/>
          <w:szCs w:val="15"/>
          <w:color w:val="auto"/>
        </w:rPr>
        <w:t xml:space="preserve"> from 2024 levels by 2030</w:t>
      </w:r>
    </w:p>
    <w:p>
      <w:pPr>
        <w:spacing w:after="0" w:line="86" w:lineRule="exact"/>
        <w:rPr>
          <w:rFonts w:ascii="Arial" w:cs="Arial" w:eastAsia="Arial" w:hAnsi="Arial"/>
          <w:sz w:val="15"/>
          <w:szCs w:val="15"/>
          <w:color w:val="A26F2A"/>
        </w:rPr>
      </w:pPr>
    </w:p>
    <w:p>
      <w:pPr>
        <w:ind w:left="240"/>
        <w:spacing w:after="0"/>
        <w:rPr>
          <w:rFonts w:ascii="Arial" w:cs="Arial" w:eastAsia="Arial" w:hAnsi="Arial"/>
          <w:sz w:val="15"/>
          <w:szCs w:val="15"/>
          <w:color w:val="A26F2A"/>
        </w:rPr>
      </w:pPr>
      <w:r>
        <w:rPr>
          <w:rFonts w:ascii="Arial" w:cs="Arial" w:eastAsia="Arial" w:hAnsi="Arial"/>
          <w:sz w:val="15"/>
          <w:szCs w:val="15"/>
          <w:color w:val="auto"/>
        </w:rPr>
        <w:t>– maintain peer leading Scope 1 GHG intensity at 2024 levels</w:t>
      </w:r>
    </w:p>
    <w:p>
      <w:pPr>
        <w:spacing w:after="0" w:line="269"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Diamondback appreciates our social and environmental license to operate as a public oil and gas company in the United States and acknowledges that such license will continue to be influenced by our stockholders and the alignment of our sustainability and governance approach with their expectations. We regularly engage with our stockholders on these matters to ensure alignment. At its core, our sustainability and environmental strategy reflects our principled stakeholder-driven approach, focusing on ethics, integrity, risk management, regulatory compliance, protection of our environment and communities and feedback received from our stakeholders. The foremost authorities on energy demand continue to forecast that oil and gas will account for a substantial portion of global energy demand well into the future, in even the most carbon constrained projections. However, we continue to integrate sustainability into our core, thus allowing for our continued future success.</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As Diamondback’s sustainability strategy evolves, management regularly interacts with the board and its committees regarding such matters, including its audit committee, compensation committee, nominating and corporate governance committee and safety, sustainability and corporate responsibility committee. The safety, sustainability and corporate responsibility committee was formed in 2019 to (i) review Diamondback’s policies and performance regarding, and provide guidance on, environmental and safety matters, (ii) advise the board of directors and management on significant public issues that are pertinent to the Company and (iii) assist management in setting strategy, establishing goals and integrating sustainability and prudent governance into strategic and tactical business activities across the Company.</w:t>
      </w:r>
    </w:p>
    <w:p>
      <w:pPr>
        <w:spacing w:after="0" w:line="146"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In 2025, Diamondback continued to include specific, measurable environmental and safety performance metrics in our short-term incentive compensation program that incentivize performance on key metrics, including flaring, greenhouse gas (GHG) emissions, non-fresh water usage, fluid spill control and safety.</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Diamondback also released its eighth annual Corporate Sustainability Report in September 2025, which included content aligned to voluntary frameworks and standards maintained by the Sustainability Accounting Standards Board (SASB), Task Force on Climate-Related Financial Disclosures (TCFD), Global Reporting Initiative (GRI), International Petroleum Industry Environmental Conservation Association (IPIECA) and the American Exploration and Production Council (AXPC). Our 2025 Corporate Sustainability Report also included:</w:t>
      </w:r>
    </w:p>
    <w:p>
      <w:pPr>
        <w:spacing w:after="0" w:line="142" w:lineRule="exact"/>
        <w:rPr>
          <w:sz w:val="20"/>
          <w:szCs w:val="20"/>
          <w:color w:val="auto"/>
        </w:rPr>
      </w:pPr>
    </w:p>
    <w:p>
      <w:pPr>
        <w:ind w:left="160" w:hanging="159"/>
        <w:spacing w:after="0"/>
        <w:tabs>
          <w:tab w:leader="none" w:pos="160" w:val="left"/>
        </w:tabs>
        <w:numPr>
          <w:ilvl w:val="0"/>
          <w:numId w:val="4"/>
        </w:numPr>
        <w:rPr>
          <w:rFonts w:ascii="Arial" w:cs="Arial" w:eastAsia="Arial" w:hAnsi="Arial"/>
          <w:sz w:val="15"/>
          <w:szCs w:val="15"/>
          <w:color w:val="A26F2A"/>
        </w:rPr>
      </w:pPr>
      <w:r>
        <w:rPr>
          <w:rFonts w:ascii="Arial" w:cs="Arial" w:eastAsia="Arial" w:hAnsi="Arial"/>
          <w:sz w:val="15"/>
          <w:szCs w:val="15"/>
          <w:color w:val="auto"/>
        </w:rPr>
        <w:t>our Scope 1 and Scope 2 GHG emissions;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4"/>
        </w:numPr>
        <w:rPr>
          <w:rFonts w:ascii="Arial" w:cs="Arial" w:eastAsia="Arial" w:hAnsi="Arial"/>
          <w:sz w:val="15"/>
          <w:szCs w:val="15"/>
          <w:color w:val="A26F2A"/>
        </w:rPr>
      </w:pPr>
      <w:r>
        <w:rPr>
          <w:rFonts w:ascii="Arial" w:cs="Arial" w:eastAsia="Arial" w:hAnsi="Arial"/>
          <w:sz w:val="15"/>
          <w:szCs w:val="15"/>
          <w:color w:val="auto"/>
        </w:rPr>
        <w:t>a calculation of our Scope 3 GHG emissions;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4"/>
        </w:numPr>
        <w:rPr>
          <w:rFonts w:ascii="Arial" w:cs="Arial" w:eastAsia="Arial" w:hAnsi="Arial"/>
          <w:sz w:val="15"/>
          <w:szCs w:val="15"/>
          <w:color w:val="A26F2A"/>
        </w:rPr>
      </w:pPr>
      <w:r>
        <w:rPr>
          <w:rFonts w:ascii="Arial" w:cs="Arial" w:eastAsia="Arial" w:hAnsi="Arial"/>
          <w:sz w:val="15"/>
          <w:szCs w:val="15"/>
          <w:color w:val="auto"/>
        </w:rPr>
        <w:t>an assessment of our portfolio under various low carbon scenarios as outlined by the International Energy Agency;</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4"/>
        </w:numPr>
        <w:rPr>
          <w:rFonts w:ascii="Arial" w:cs="Arial" w:eastAsia="Arial" w:hAnsi="Arial"/>
          <w:sz w:val="15"/>
          <w:szCs w:val="15"/>
          <w:color w:val="A26F2A"/>
        </w:rPr>
      </w:pPr>
      <w:r>
        <w:rPr>
          <w:rFonts w:ascii="Arial" w:cs="Arial" w:eastAsia="Arial" w:hAnsi="Arial"/>
          <w:sz w:val="15"/>
          <w:szCs w:val="15"/>
          <w:color w:val="auto"/>
        </w:rPr>
        <w:t>our 2024 EEO-1 data; and</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4"/>
        </w:numPr>
        <w:rPr>
          <w:rFonts w:ascii="Arial" w:cs="Arial" w:eastAsia="Arial" w:hAnsi="Arial"/>
          <w:sz w:val="15"/>
          <w:szCs w:val="15"/>
          <w:color w:val="A26F2A"/>
        </w:rPr>
      </w:pPr>
      <w:r>
        <w:rPr>
          <w:rFonts w:ascii="Arial" w:cs="Arial" w:eastAsia="Arial" w:hAnsi="Arial"/>
          <w:sz w:val="15"/>
          <w:szCs w:val="15"/>
          <w:color w:val="auto"/>
        </w:rPr>
        <w:t>a limited assurance attestation from our independent auditor.</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Further, Diamondback completed CDP Global’s (CDP) 2025 Corporate Questionnaire. Both the 2025 Corporate Sustainability Report and a link to our CDP Corporate Questionnaire can be found on our website under the tab “Sustainability.”</w:t>
      </w:r>
    </w:p>
    <w:p>
      <w:pPr>
        <w:spacing w:after="0" w:line="12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Diamondback remains committed to conducting its business in a manner that respects and promotes the fundamental rights and dignity of all people in accordance with its robust Human Rights Policy. A copy of Diamondback’s Human Rights Policy can be found on our website under the tab “Investors—Corporate Governance.”</w:t>
      </w:r>
    </w:p>
    <w:p>
      <w:pPr>
        <w:spacing w:after="0" w:line="125"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For additional information regarding our commitment to environmental and safety matters, please see “Corporate Responsibility and Sustainability” beginning on page 33.</w:t>
      </w:r>
    </w:p>
    <w:p>
      <w:pPr>
        <w:spacing w:after="0" w:line="34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2025 and Q1 2026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80" w:type="dxa"/>
            <w:vAlign w:val="bottom"/>
          </w:tcPr>
          <w:p>
            <w:pPr>
              <w:ind w:left="60"/>
              <w:spacing w:after="0"/>
              <w:rPr>
                <w:sz w:val="20"/>
                <w:szCs w:val="20"/>
                <w:color w:val="auto"/>
              </w:rPr>
            </w:pPr>
            <w:r>
              <w:rPr>
                <w:rFonts w:ascii="Arial" w:cs="Arial" w:eastAsia="Arial" w:hAnsi="Arial"/>
                <w:sz w:val="15"/>
                <w:szCs w:val="15"/>
                <w:b w:val="1"/>
                <w:bCs w:val="1"/>
                <w:color w:val="auto"/>
              </w:rPr>
              <w:t>Financial and</w:t>
            </w:r>
          </w:p>
        </w:tc>
        <w:tc>
          <w:tcPr>
            <w:tcW w:w="180" w:type="dxa"/>
            <w:vAlign w:val="bottom"/>
          </w:tcPr>
          <w:p>
            <w:pPr>
              <w:ind w:left="100"/>
              <w:spacing w:after="0"/>
              <w:rPr>
                <w:sz w:val="20"/>
                <w:szCs w:val="20"/>
                <w:color w:val="auto"/>
              </w:rPr>
            </w:pPr>
            <w:r>
              <w:rPr>
                <w:rFonts w:ascii="Arial" w:cs="Arial" w:eastAsia="Arial" w:hAnsi="Arial"/>
                <w:sz w:val="15"/>
                <w:szCs w:val="15"/>
                <w:color w:val="A26F2A"/>
              </w:rPr>
              <w:t>•</w:t>
            </w:r>
          </w:p>
        </w:tc>
        <w:tc>
          <w:tcPr>
            <w:tcW w:w="9880" w:type="dxa"/>
            <w:vAlign w:val="bottom"/>
          </w:tcPr>
          <w:p>
            <w:pPr>
              <w:ind w:left="100"/>
              <w:spacing w:after="0"/>
              <w:rPr>
                <w:sz w:val="20"/>
                <w:szCs w:val="20"/>
                <w:color w:val="auto"/>
              </w:rPr>
            </w:pPr>
            <w:r>
              <w:rPr>
                <w:rFonts w:ascii="Arial" w:cs="Arial" w:eastAsia="Arial" w:hAnsi="Arial"/>
                <w:sz w:val="15"/>
                <w:szCs w:val="15"/>
                <w:color w:val="auto"/>
              </w:rPr>
              <w:t>Maintained investment grade credit ratings from all three major ratings agencies</w:t>
            </w:r>
          </w:p>
        </w:tc>
        <w:tc>
          <w:tcPr>
            <w:tcW w:w="0" w:type="dxa"/>
            <w:vAlign w:val="bottom"/>
          </w:tcPr>
          <w:p>
            <w:pPr>
              <w:spacing w:after="0"/>
              <w:rPr>
                <w:sz w:val="1"/>
                <w:szCs w:val="1"/>
                <w:color w:val="auto"/>
              </w:rPr>
            </w:pPr>
          </w:p>
        </w:tc>
      </w:tr>
      <w:tr>
        <w:trPr>
          <w:trHeight w:val="177"/>
        </w:trPr>
        <w:tc>
          <w:tcPr>
            <w:tcW w:w="1180" w:type="dxa"/>
            <w:vAlign w:val="bottom"/>
          </w:tcPr>
          <w:p>
            <w:pPr>
              <w:ind w:left="60"/>
              <w:spacing w:after="0"/>
              <w:rPr>
                <w:sz w:val="20"/>
                <w:szCs w:val="20"/>
                <w:color w:val="auto"/>
              </w:rPr>
            </w:pPr>
            <w:r>
              <w:rPr>
                <w:rFonts w:ascii="Arial" w:cs="Arial" w:eastAsia="Arial" w:hAnsi="Arial"/>
                <w:sz w:val="15"/>
                <w:szCs w:val="15"/>
                <w:b w:val="1"/>
                <w:bCs w:val="1"/>
                <w:color w:val="auto"/>
              </w:rPr>
              <w:t>Operational</w:t>
            </w:r>
          </w:p>
        </w:tc>
        <w:tc>
          <w:tcPr>
            <w:tcW w:w="180" w:type="dxa"/>
            <w:vAlign w:val="bottom"/>
            <w:vMerge w:val="restart"/>
          </w:tcPr>
          <w:p>
            <w:pPr>
              <w:ind w:left="100"/>
              <w:spacing w:after="0"/>
              <w:rPr>
                <w:sz w:val="20"/>
                <w:szCs w:val="20"/>
                <w:color w:val="auto"/>
              </w:rPr>
            </w:pPr>
            <w:r>
              <w:rPr>
                <w:rFonts w:ascii="Arial" w:cs="Arial" w:eastAsia="Arial" w:hAnsi="Arial"/>
                <w:sz w:val="15"/>
                <w:szCs w:val="15"/>
                <w:color w:val="A26F2A"/>
              </w:rPr>
              <w:t>•</w:t>
            </w:r>
          </w:p>
        </w:tc>
        <w:tc>
          <w:tcPr>
            <w:tcW w:w="9880" w:type="dxa"/>
            <w:vAlign w:val="bottom"/>
            <w:vMerge w:val="restart"/>
          </w:tcPr>
          <w:p>
            <w:pPr>
              <w:ind w:left="60"/>
              <w:spacing w:after="0"/>
              <w:rPr>
                <w:sz w:val="20"/>
                <w:szCs w:val="20"/>
                <w:color w:val="auto"/>
              </w:rPr>
            </w:pPr>
            <w:r>
              <w:rPr>
                <w:rFonts w:ascii="Arial" w:cs="Arial" w:eastAsia="Arial" w:hAnsi="Arial"/>
                <w:sz w:val="15"/>
                <w:szCs w:val="15"/>
                <w:color w:val="auto"/>
              </w:rPr>
              <w:t>Generated $8.8 billion in net cash provided by operating activities and $5.5 billion Free Cash Flow</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151"/>
        </w:trPr>
        <w:tc>
          <w:tcPr>
            <w:tcW w:w="11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Highlights</w:t>
            </w:r>
          </w:p>
        </w:tc>
        <w:tc>
          <w:tcPr>
            <w:tcW w:w="180" w:type="dxa"/>
            <w:vAlign w:val="bottom"/>
            <w:vMerge w:val="continue"/>
          </w:tcPr>
          <w:p>
            <w:pPr>
              <w:spacing w:after="0"/>
              <w:rPr>
                <w:sz w:val="13"/>
                <w:szCs w:val="13"/>
                <w:color w:val="auto"/>
              </w:rPr>
            </w:pPr>
          </w:p>
        </w:tc>
        <w:tc>
          <w:tcPr>
            <w:tcW w:w="9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11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9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rPr>
                <w:sz w:val="17"/>
                <w:szCs w:val="17"/>
                <w:color w:val="auto"/>
              </w:rPr>
            </w:pPr>
          </w:p>
        </w:tc>
        <w:tc>
          <w:tcPr>
            <w:tcW w:w="180" w:type="dxa"/>
            <w:vAlign w:val="bottom"/>
          </w:tcPr>
          <w:p>
            <w:pPr>
              <w:ind w:left="100"/>
              <w:spacing w:after="0"/>
              <w:rPr>
                <w:sz w:val="20"/>
                <w:szCs w:val="20"/>
                <w:color w:val="auto"/>
              </w:rPr>
            </w:pPr>
            <w:r>
              <w:rPr>
                <w:rFonts w:ascii="Arial" w:cs="Arial" w:eastAsia="Arial" w:hAnsi="Arial"/>
                <w:sz w:val="15"/>
                <w:szCs w:val="15"/>
                <w:color w:val="A26F2A"/>
              </w:rPr>
              <w:t>•</w:t>
            </w:r>
          </w:p>
        </w:tc>
        <w:tc>
          <w:tcPr>
            <w:tcW w:w="9880" w:type="dxa"/>
            <w:vAlign w:val="bottom"/>
          </w:tcPr>
          <w:p>
            <w:pPr>
              <w:ind w:left="60"/>
              <w:spacing w:after="0"/>
              <w:rPr>
                <w:sz w:val="20"/>
                <w:szCs w:val="20"/>
                <w:color w:val="auto"/>
              </w:rPr>
            </w:pPr>
            <w:r>
              <w:rPr>
                <w:rFonts w:ascii="Arial" w:cs="Arial" w:eastAsia="Arial" w:hAnsi="Arial"/>
                <w:sz w:val="15"/>
                <w:szCs w:val="15"/>
                <w:color w:val="auto"/>
              </w:rPr>
              <w:t>Returned a total of $4.05 per share in dividends</w:t>
            </w:r>
          </w:p>
        </w:tc>
        <w:tc>
          <w:tcPr>
            <w:tcW w:w="0" w:type="dxa"/>
            <w:vAlign w:val="bottom"/>
          </w:tcPr>
          <w:p>
            <w:pPr>
              <w:spacing w:after="0"/>
              <w:rPr>
                <w:sz w:val="1"/>
                <w:szCs w:val="1"/>
                <w:color w:val="auto"/>
              </w:rPr>
            </w:pPr>
          </w:p>
        </w:tc>
      </w:tr>
      <w:tr>
        <w:trPr>
          <w:trHeight w:val="252"/>
        </w:trPr>
        <w:tc>
          <w:tcPr>
            <w:tcW w:w="1180" w:type="dxa"/>
            <w:vAlign w:val="bottom"/>
          </w:tcPr>
          <w:p>
            <w:pPr>
              <w:spacing w:after="0"/>
              <w:rPr>
                <w:sz w:val="21"/>
                <w:szCs w:val="21"/>
                <w:color w:val="auto"/>
              </w:rPr>
            </w:pPr>
          </w:p>
        </w:tc>
        <w:tc>
          <w:tcPr>
            <w:tcW w:w="180" w:type="dxa"/>
            <w:vAlign w:val="bottom"/>
          </w:tcPr>
          <w:p>
            <w:pPr>
              <w:ind w:left="100"/>
              <w:spacing w:after="0"/>
              <w:rPr>
                <w:sz w:val="20"/>
                <w:szCs w:val="20"/>
                <w:color w:val="auto"/>
              </w:rPr>
            </w:pPr>
            <w:r>
              <w:rPr>
                <w:rFonts w:ascii="Arial" w:cs="Arial" w:eastAsia="Arial" w:hAnsi="Arial"/>
                <w:sz w:val="15"/>
                <w:szCs w:val="15"/>
                <w:color w:val="A26F2A"/>
              </w:rPr>
              <w:t>•</w:t>
            </w:r>
          </w:p>
        </w:tc>
        <w:tc>
          <w:tcPr>
            <w:tcW w:w="9880" w:type="dxa"/>
            <w:vAlign w:val="bottom"/>
          </w:tcPr>
          <w:p>
            <w:pPr>
              <w:ind w:left="60"/>
              <w:spacing w:after="0"/>
              <w:rPr>
                <w:sz w:val="20"/>
                <w:szCs w:val="20"/>
                <w:color w:val="auto"/>
              </w:rPr>
            </w:pPr>
            <w:r>
              <w:rPr>
                <w:rFonts w:ascii="Arial" w:cs="Arial" w:eastAsia="Arial" w:hAnsi="Arial"/>
                <w:sz w:val="15"/>
                <w:szCs w:val="15"/>
                <w:color w:val="auto"/>
              </w:rPr>
              <w:t>Repurchased over 13.84 million shares of Diamondback’s common stock for approximately $2.0 billion</w:t>
            </w:r>
          </w:p>
        </w:tc>
        <w:tc>
          <w:tcPr>
            <w:tcW w:w="0" w:type="dxa"/>
            <w:vAlign w:val="bottom"/>
          </w:tcPr>
          <w:p>
            <w:pPr>
              <w:spacing w:after="0"/>
              <w:rPr>
                <w:sz w:val="1"/>
                <w:szCs w:val="1"/>
                <w:color w:val="auto"/>
              </w:rPr>
            </w:pPr>
          </w:p>
        </w:tc>
      </w:tr>
      <w:tr>
        <w:trPr>
          <w:trHeight w:val="369"/>
        </w:trPr>
        <w:tc>
          <w:tcPr>
            <w:tcW w:w="1180" w:type="dxa"/>
            <w:vAlign w:val="bottom"/>
          </w:tcPr>
          <w:p>
            <w:pPr>
              <w:spacing w:after="0"/>
              <w:rPr>
                <w:sz w:val="24"/>
                <w:szCs w:val="24"/>
                <w:color w:val="auto"/>
              </w:rPr>
            </w:pPr>
          </w:p>
        </w:tc>
        <w:tc>
          <w:tcPr>
            <w:tcW w:w="180" w:type="dxa"/>
            <w:vAlign w:val="bottom"/>
          </w:tcPr>
          <w:p>
            <w:pPr>
              <w:ind w:left="100"/>
              <w:spacing w:after="0"/>
              <w:rPr>
                <w:sz w:val="20"/>
                <w:szCs w:val="20"/>
                <w:color w:val="auto"/>
              </w:rPr>
            </w:pPr>
            <w:r>
              <w:rPr>
                <w:rFonts w:ascii="Arial" w:cs="Arial" w:eastAsia="Arial" w:hAnsi="Arial"/>
                <w:sz w:val="15"/>
                <w:szCs w:val="15"/>
                <w:color w:val="A26F2A"/>
              </w:rPr>
              <w:t>•</w:t>
            </w:r>
          </w:p>
        </w:tc>
        <w:tc>
          <w:tcPr>
            <w:tcW w:w="9880" w:type="dxa"/>
            <w:vAlign w:val="bottom"/>
          </w:tcPr>
          <w:p>
            <w:pPr>
              <w:ind w:left="60"/>
              <w:spacing w:after="0"/>
              <w:rPr>
                <w:sz w:val="20"/>
                <w:szCs w:val="20"/>
                <w:color w:val="auto"/>
              </w:rPr>
            </w:pPr>
            <w:r>
              <w:rPr>
                <w:rFonts w:ascii="Arial" w:cs="Arial" w:eastAsia="Arial" w:hAnsi="Arial"/>
                <w:sz w:val="15"/>
                <w:szCs w:val="15"/>
                <w:color w:val="auto"/>
              </w:rPr>
              <w:t>Returned $3.2 billion, or approximately 54% of Adjusted Free Cash Flow</w:t>
            </w:r>
            <w:r>
              <w:rPr>
                <w:rFonts w:ascii="Arial" w:cs="Arial" w:eastAsia="Arial" w:hAnsi="Arial"/>
                <w:sz w:val="25"/>
                <w:szCs w:val="25"/>
                <w:color w:val="auto"/>
                <w:vertAlign w:val="superscript"/>
              </w:rPr>
              <w:t>(1)</w:t>
            </w:r>
            <w:r>
              <w:rPr>
                <w:rFonts w:ascii="Arial" w:cs="Arial" w:eastAsia="Arial" w:hAnsi="Arial"/>
                <w:sz w:val="15"/>
                <w:szCs w:val="15"/>
                <w:color w:val="auto"/>
              </w:rPr>
              <w:t>, to stockholders through our base dividend and stock buyback program</w:t>
            </w:r>
          </w:p>
        </w:tc>
        <w:tc>
          <w:tcPr>
            <w:tcW w:w="0" w:type="dxa"/>
            <w:vAlign w:val="bottom"/>
          </w:tcPr>
          <w:p>
            <w:pPr>
              <w:spacing w:after="0"/>
              <w:rPr>
                <w:sz w:val="1"/>
                <w:szCs w:val="1"/>
                <w:color w:val="auto"/>
              </w:rPr>
            </w:pPr>
          </w:p>
        </w:tc>
      </w:tr>
      <w:tr>
        <w:trPr>
          <w:trHeight w:val="200"/>
        </w:trPr>
        <w:tc>
          <w:tcPr>
            <w:tcW w:w="1180" w:type="dxa"/>
            <w:vAlign w:val="bottom"/>
            <w:tcBorders>
              <w:bottom w:val="single" w:sz="8" w:color="DBB287"/>
            </w:tcBorders>
          </w:tcPr>
          <w:p>
            <w:pPr>
              <w:spacing w:after="0"/>
              <w:rPr>
                <w:sz w:val="17"/>
                <w:szCs w:val="17"/>
                <w:color w:val="auto"/>
              </w:rPr>
            </w:pPr>
          </w:p>
        </w:tc>
        <w:tc>
          <w:tcPr>
            <w:tcW w:w="180" w:type="dxa"/>
            <w:vAlign w:val="bottom"/>
            <w:tcBorders>
              <w:bottom w:val="single" w:sz="8" w:color="DBB287"/>
            </w:tcBorders>
          </w:tcPr>
          <w:p>
            <w:pPr>
              <w:ind w:left="100"/>
              <w:spacing w:after="0"/>
              <w:rPr>
                <w:sz w:val="20"/>
                <w:szCs w:val="20"/>
                <w:color w:val="auto"/>
              </w:rPr>
            </w:pPr>
            <w:r>
              <w:rPr>
                <w:rFonts w:ascii="Arial" w:cs="Arial" w:eastAsia="Arial" w:hAnsi="Arial"/>
                <w:sz w:val="15"/>
                <w:szCs w:val="15"/>
                <w:color w:val="A26F2A"/>
              </w:rPr>
              <w:t>•</w:t>
            </w:r>
          </w:p>
        </w:tc>
        <w:tc>
          <w:tcPr>
            <w:tcW w:w="9880" w:type="dxa"/>
            <w:vAlign w:val="bottom"/>
            <w:tcBorders>
              <w:bottom w:val="single" w:sz="8" w:color="DBB287"/>
            </w:tcBorders>
          </w:tcPr>
          <w:p>
            <w:pPr>
              <w:ind w:left="60"/>
              <w:spacing w:after="0"/>
              <w:rPr>
                <w:sz w:val="20"/>
                <w:szCs w:val="20"/>
                <w:color w:val="auto"/>
              </w:rPr>
            </w:pPr>
            <w:r>
              <w:rPr>
                <w:rFonts w:ascii="Arial" w:cs="Arial" w:eastAsia="Arial" w:hAnsi="Arial"/>
                <w:sz w:val="15"/>
                <w:szCs w:val="15"/>
                <w:color w:val="auto"/>
              </w:rPr>
              <w:t>Increased our annual base dividend for the fourth quarter of 2025 to $4.20 per share, representing a 5% increase over year end 2024</w:t>
            </w:r>
          </w:p>
        </w:tc>
        <w:tc>
          <w:tcPr>
            <w:tcW w:w="0" w:type="dxa"/>
            <w:vAlign w:val="bottom"/>
          </w:tcPr>
          <w:p>
            <w:pPr>
              <w:spacing w:after="0"/>
              <w:rPr>
                <w:sz w:val="1"/>
                <w:szCs w:val="1"/>
                <w:color w:val="auto"/>
              </w:rPr>
            </w:pPr>
          </w:p>
        </w:tc>
      </w:tr>
      <w:tr>
        <w:trPr>
          <w:trHeight w:val="184"/>
        </w:trPr>
        <w:tc>
          <w:tcPr>
            <w:tcW w:w="1180" w:type="dxa"/>
            <w:vAlign w:val="bottom"/>
          </w:tcPr>
          <w:p>
            <w:pPr>
              <w:ind w:left="60"/>
              <w:spacing w:after="0"/>
              <w:rPr>
                <w:sz w:val="20"/>
                <w:szCs w:val="20"/>
                <w:color w:val="auto"/>
              </w:rPr>
            </w:pPr>
            <w:r>
              <w:rPr>
                <w:rFonts w:ascii="Arial" w:cs="Arial" w:eastAsia="Arial" w:hAnsi="Arial"/>
                <w:sz w:val="15"/>
                <w:szCs w:val="15"/>
                <w:b w:val="1"/>
                <w:bCs w:val="1"/>
                <w:color w:val="auto"/>
              </w:rPr>
              <w:t>Strategic</w:t>
            </w:r>
          </w:p>
        </w:tc>
        <w:tc>
          <w:tcPr>
            <w:tcW w:w="180" w:type="dxa"/>
            <w:vAlign w:val="bottom"/>
          </w:tcPr>
          <w:p>
            <w:pPr>
              <w:ind w:left="100"/>
              <w:spacing w:after="0"/>
              <w:rPr>
                <w:sz w:val="20"/>
                <w:szCs w:val="20"/>
                <w:color w:val="auto"/>
              </w:rPr>
            </w:pPr>
            <w:r>
              <w:rPr>
                <w:rFonts w:ascii="Arial" w:cs="Arial" w:eastAsia="Arial" w:hAnsi="Arial"/>
                <w:sz w:val="15"/>
                <w:szCs w:val="15"/>
                <w:color w:val="A26F2A"/>
              </w:rPr>
              <w:t>•</w:t>
            </w:r>
          </w:p>
        </w:tc>
        <w:tc>
          <w:tcPr>
            <w:tcW w:w="9880" w:type="dxa"/>
            <w:vAlign w:val="bottom"/>
          </w:tcPr>
          <w:p>
            <w:pPr>
              <w:ind w:left="60"/>
              <w:spacing w:after="0"/>
              <w:rPr>
                <w:sz w:val="20"/>
                <w:szCs w:val="20"/>
                <w:color w:val="auto"/>
              </w:rPr>
            </w:pPr>
            <w:r>
              <w:rPr>
                <w:rFonts w:ascii="Arial" w:cs="Arial" w:eastAsia="Arial" w:hAnsi="Arial"/>
                <w:sz w:val="15"/>
                <w:szCs w:val="15"/>
                <w:color w:val="auto"/>
              </w:rPr>
              <w:t>Completed the previously announced 2025 Drop Down, consisting of a divestment by our wholly owned subsidiary Endeavor Energy Resources,</w:t>
            </w:r>
          </w:p>
        </w:tc>
        <w:tc>
          <w:tcPr>
            <w:tcW w:w="0" w:type="dxa"/>
            <w:vAlign w:val="bottom"/>
          </w:tcPr>
          <w:p>
            <w:pPr>
              <w:spacing w:after="0"/>
              <w:rPr>
                <w:sz w:val="1"/>
                <w:szCs w:val="1"/>
                <w:color w:val="auto"/>
              </w:rPr>
            </w:pPr>
          </w:p>
        </w:tc>
      </w:tr>
      <w:tr>
        <w:trPr>
          <w:trHeight w:val="177"/>
        </w:trPr>
        <w:tc>
          <w:tcPr>
            <w:tcW w:w="1180" w:type="dxa"/>
            <w:vAlign w:val="bottom"/>
          </w:tcPr>
          <w:p>
            <w:pPr>
              <w:ind w:left="60"/>
              <w:spacing w:after="0"/>
              <w:rPr>
                <w:sz w:val="20"/>
                <w:szCs w:val="20"/>
                <w:color w:val="auto"/>
              </w:rPr>
            </w:pPr>
            <w:r>
              <w:rPr>
                <w:rFonts w:ascii="Arial" w:cs="Arial" w:eastAsia="Arial" w:hAnsi="Arial"/>
                <w:sz w:val="15"/>
                <w:szCs w:val="15"/>
                <w:b w:val="1"/>
                <w:bCs w:val="1"/>
                <w:color w:val="auto"/>
              </w:rPr>
              <w:t>Transactions</w:t>
            </w:r>
          </w:p>
        </w:tc>
        <w:tc>
          <w:tcPr>
            <w:tcW w:w="180" w:type="dxa"/>
            <w:vAlign w:val="bottom"/>
          </w:tcPr>
          <w:p>
            <w:pPr>
              <w:spacing w:after="0"/>
              <w:rPr>
                <w:sz w:val="15"/>
                <w:szCs w:val="15"/>
                <w:color w:val="auto"/>
              </w:rPr>
            </w:pPr>
          </w:p>
        </w:tc>
        <w:tc>
          <w:tcPr>
            <w:tcW w:w="9880" w:type="dxa"/>
            <w:vAlign w:val="bottom"/>
          </w:tcPr>
          <w:p>
            <w:pPr>
              <w:ind w:left="60"/>
              <w:spacing w:after="0"/>
              <w:rPr>
                <w:sz w:val="20"/>
                <w:szCs w:val="20"/>
                <w:color w:val="auto"/>
              </w:rPr>
            </w:pPr>
            <w:r>
              <w:rPr>
                <w:rFonts w:ascii="Arial" w:cs="Arial" w:eastAsia="Arial" w:hAnsi="Arial"/>
                <w:sz w:val="15"/>
                <w:szCs w:val="15"/>
                <w:color w:val="auto"/>
              </w:rPr>
              <w:t>LP of all of the issued and outstanding equity interests in 1979 Royalties, LP and 1979 Royalties GP, LLC to Viper Energy, Inc. and Viper Energy</w:t>
            </w:r>
          </w:p>
        </w:tc>
        <w:tc>
          <w:tcPr>
            <w:tcW w:w="0" w:type="dxa"/>
            <w:vAlign w:val="bottom"/>
          </w:tcPr>
          <w:p>
            <w:pPr>
              <w:spacing w:after="0"/>
              <w:rPr>
                <w:sz w:val="1"/>
                <w:szCs w:val="1"/>
                <w:color w:val="auto"/>
              </w:rPr>
            </w:pPr>
          </w:p>
        </w:tc>
      </w:tr>
      <w:tr>
        <w:trPr>
          <w:trHeight w:val="177"/>
        </w:trPr>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80" w:type="dxa"/>
            <w:vAlign w:val="bottom"/>
          </w:tcPr>
          <w:p>
            <w:pPr>
              <w:ind w:left="60"/>
              <w:spacing w:after="0"/>
              <w:rPr>
                <w:sz w:val="20"/>
                <w:szCs w:val="20"/>
                <w:color w:val="auto"/>
              </w:rPr>
            </w:pPr>
            <w:r>
              <w:rPr>
                <w:rFonts w:ascii="Arial" w:cs="Arial" w:eastAsia="Arial" w:hAnsi="Arial"/>
                <w:sz w:val="15"/>
                <w:szCs w:val="15"/>
                <w:color w:val="auto"/>
              </w:rPr>
              <w:t>Partners LLC in exchange for consideration consisting of (i) $873 million in cash including customary post-closing adjustments and (ii) the issuance</w:t>
            </w:r>
          </w:p>
        </w:tc>
        <w:tc>
          <w:tcPr>
            <w:tcW w:w="0" w:type="dxa"/>
            <w:vAlign w:val="bottom"/>
          </w:tcPr>
          <w:p>
            <w:pPr>
              <w:spacing w:after="0"/>
              <w:rPr>
                <w:sz w:val="1"/>
                <w:szCs w:val="1"/>
                <w:color w:val="auto"/>
              </w:rPr>
            </w:pPr>
          </w:p>
        </w:tc>
      </w:tr>
      <w:tr>
        <w:trPr>
          <w:trHeight w:val="199"/>
        </w:trPr>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80" w:type="dxa"/>
            <w:vAlign w:val="bottom"/>
          </w:tcPr>
          <w:p>
            <w:pPr>
              <w:ind w:left="60"/>
              <w:spacing w:after="0"/>
              <w:rPr>
                <w:sz w:val="20"/>
                <w:szCs w:val="20"/>
                <w:color w:val="auto"/>
              </w:rPr>
            </w:pPr>
            <w:r>
              <w:rPr>
                <w:rFonts w:ascii="Arial" w:cs="Arial" w:eastAsia="Arial" w:hAnsi="Arial"/>
                <w:sz w:val="15"/>
                <w:szCs w:val="15"/>
                <w:color w:val="auto"/>
              </w:rPr>
              <w:t>of 69.63 million Viper Energy Partners LLC units and an equal number of shares of Viper’s Class B common stock (the “2025 Drop Down”)</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180" w:type="dxa"/>
            <w:vAlign w:val="bottom"/>
          </w:tcPr>
          <w:p>
            <w:pPr>
              <w:ind w:left="100"/>
              <w:spacing w:after="0"/>
              <w:rPr>
                <w:sz w:val="20"/>
                <w:szCs w:val="20"/>
                <w:color w:val="auto"/>
              </w:rPr>
            </w:pPr>
            <w:r>
              <w:rPr>
                <w:rFonts w:ascii="Arial" w:cs="Arial" w:eastAsia="Arial" w:hAnsi="Arial"/>
                <w:sz w:val="15"/>
                <w:szCs w:val="15"/>
                <w:color w:val="A26F2A"/>
              </w:rPr>
              <w:t>•</w:t>
            </w:r>
          </w:p>
        </w:tc>
        <w:tc>
          <w:tcPr>
            <w:tcW w:w="9880" w:type="dxa"/>
            <w:vAlign w:val="bottom"/>
          </w:tcPr>
          <w:p>
            <w:pPr>
              <w:ind w:left="60"/>
              <w:spacing w:after="0"/>
              <w:rPr>
                <w:sz w:val="20"/>
                <w:szCs w:val="20"/>
                <w:color w:val="auto"/>
              </w:rPr>
            </w:pPr>
            <w:r>
              <w:rPr>
                <w:rFonts w:ascii="Arial" w:cs="Arial" w:eastAsia="Arial" w:hAnsi="Arial"/>
                <w:sz w:val="15"/>
                <w:szCs w:val="15"/>
                <w:color w:val="auto"/>
              </w:rPr>
              <w:t>Closed the acquisition of certain subsidiaries of Double Eagle IV Midco, LLC in exchange for approximately 6.84 million shares of Company</w:t>
            </w:r>
          </w:p>
        </w:tc>
        <w:tc>
          <w:tcPr>
            <w:tcW w:w="0" w:type="dxa"/>
            <w:vAlign w:val="bottom"/>
          </w:tcPr>
          <w:p>
            <w:pPr>
              <w:spacing w:after="0"/>
              <w:rPr>
                <w:sz w:val="1"/>
                <w:szCs w:val="1"/>
                <w:color w:val="auto"/>
              </w:rPr>
            </w:pPr>
          </w:p>
        </w:tc>
      </w:tr>
      <w:tr>
        <w:trPr>
          <w:trHeight w:val="177"/>
        </w:trPr>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80" w:type="dxa"/>
            <w:vAlign w:val="bottom"/>
          </w:tcPr>
          <w:p>
            <w:pPr>
              <w:ind w:left="60"/>
              <w:spacing w:after="0"/>
              <w:rPr>
                <w:sz w:val="20"/>
                <w:szCs w:val="20"/>
                <w:color w:val="auto"/>
              </w:rPr>
            </w:pPr>
            <w:r>
              <w:rPr>
                <w:rFonts w:ascii="Arial" w:cs="Arial" w:eastAsia="Arial" w:hAnsi="Arial"/>
                <w:sz w:val="15"/>
                <w:szCs w:val="15"/>
                <w:color w:val="auto"/>
              </w:rPr>
              <w:t>common stock and $3.1 billion of cash, which added approximately 40,000 net acres in the core of the Midland Basin and 407 estimated gross</w:t>
            </w:r>
          </w:p>
        </w:tc>
        <w:tc>
          <w:tcPr>
            <w:tcW w:w="0" w:type="dxa"/>
            <w:vAlign w:val="bottom"/>
          </w:tcPr>
          <w:p>
            <w:pPr>
              <w:spacing w:after="0"/>
              <w:rPr>
                <w:sz w:val="1"/>
                <w:szCs w:val="1"/>
                <w:color w:val="auto"/>
              </w:rPr>
            </w:pPr>
          </w:p>
        </w:tc>
      </w:tr>
      <w:tr>
        <w:trPr>
          <w:trHeight w:val="199"/>
        </w:trPr>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80" w:type="dxa"/>
            <w:vAlign w:val="bottom"/>
          </w:tcPr>
          <w:p>
            <w:pPr>
              <w:ind w:left="60"/>
              <w:spacing w:after="0"/>
              <w:rPr>
                <w:sz w:val="20"/>
                <w:szCs w:val="20"/>
                <w:color w:val="auto"/>
              </w:rPr>
            </w:pPr>
            <w:r>
              <w:rPr>
                <w:rFonts w:ascii="Arial" w:cs="Arial" w:eastAsia="Arial" w:hAnsi="Arial"/>
                <w:sz w:val="15"/>
                <w:szCs w:val="15"/>
                <w:color w:val="auto"/>
              </w:rPr>
              <w:t>horizontal locations to the Company’s portfolio</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180" w:type="dxa"/>
            <w:vAlign w:val="bottom"/>
          </w:tcPr>
          <w:p>
            <w:pPr>
              <w:ind w:left="100"/>
              <w:spacing w:after="0"/>
              <w:rPr>
                <w:sz w:val="20"/>
                <w:szCs w:val="20"/>
                <w:color w:val="auto"/>
              </w:rPr>
            </w:pPr>
            <w:r>
              <w:rPr>
                <w:rFonts w:ascii="Arial" w:cs="Arial" w:eastAsia="Arial" w:hAnsi="Arial"/>
                <w:sz w:val="15"/>
                <w:szCs w:val="15"/>
                <w:color w:val="A26F2A"/>
              </w:rPr>
              <w:t>•</w:t>
            </w:r>
          </w:p>
        </w:tc>
        <w:tc>
          <w:tcPr>
            <w:tcW w:w="9880" w:type="dxa"/>
            <w:vAlign w:val="bottom"/>
          </w:tcPr>
          <w:p>
            <w:pPr>
              <w:ind w:left="60"/>
              <w:spacing w:after="0"/>
              <w:rPr>
                <w:sz w:val="20"/>
                <w:szCs w:val="20"/>
                <w:color w:val="auto"/>
              </w:rPr>
            </w:pPr>
            <w:r>
              <w:rPr>
                <w:rFonts w:ascii="Arial" w:cs="Arial" w:eastAsia="Arial" w:hAnsi="Arial"/>
                <w:sz w:val="15"/>
                <w:szCs w:val="15"/>
                <w:color w:val="auto"/>
              </w:rPr>
              <w:t>Announced and closed the acquisition by Viper of Sitio Royalties Corp. in an all-equity transaction valued at approximately $4.0 billion and</w:t>
            </w:r>
          </w:p>
        </w:tc>
        <w:tc>
          <w:tcPr>
            <w:tcW w:w="0" w:type="dxa"/>
            <w:vAlign w:val="bottom"/>
          </w:tcPr>
          <w:p>
            <w:pPr>
              <w:spacing w:after="0"/>
              <w:rPr>
                <w:sz w:val="1"/>
                <w:szCs w:val="1"/>
                <w:color w:val="auto"/>
              </w:rPr>
            </w:pPr>
          </w:p>
        </w:tc>
      </w:tr>
      <w:tr>
        <w:trPr>
          <w:trHeight w:val="199"/>
        </w:trPr>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80" w:type="dxa"/>
            <w:vAlign w:val="bottom"/>
          </w:tcPr>
          <w:p>
            <w:pPr>
              <w:ind w:left="60"/>
              <w:spacing w:after="0"/>
              <w:rPr>
                <w:sz w:val="20"/>
                <w:szCs w:val="20"/>
                <w:color w:val="auto"/>
              </w:rPr>
            </w:pPr>
            <w:r>
              <w:rPr>
                <w:rFonts w:ascii="Arial" w:cs="Arial" w:eastAsia="Arial" w:hAnsi="Arial"/>
                <w:sz w:val="15"/>
                <w:szCs w:val="15"/>
                <w:color w:val="auto"/>
              </w:rPr>
              <w:t>announced and closed the subsequent divestiture of Sitio’s non-Permian assets for $617 million</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80" w:type="dxa"/>
            <w:vAlign w:val="bottom"/>
          </w:tcPr>
          <w:p>
            <w:pPr>
              <w:ind w:left="100"/>
              <w:spacing w:after="0"/>
              <w:rPr>
                <w:sz w:val="20"/>
                <w:szCs w:val="20"/>
                <w:color w:val="auto"/>
              </w:rPr>
            </w:pPr>
            <w:r>
              <w:rPr>
                <w:rFonts w:ascii="Arial" w:cs="Arial" w:eastAsia="Arial" w:hAnsi="Arial"/>
                <w:sz w:val="15"/>
                <w:szCs w:val="15"/>
                <w:color w:val="A26F2A"/>
              </w:rPr>
              <w:t>•</w:t>
            </w:r>
          </w:p>
        </w:tc>
        <w:tc>
          <w:tcPr>
            <w:tcW w:w="9880" w:type="dxa"/>
            <w:vAlign w:val="bottom"/>
          </w:tcPr>
          <w:p>
            <w:pPr>
              <w:ind w:left="60"/>
              <w:spacing w:after="0"/>
              <w:rPr>
                <w:sz w:val="20"/>
                <w:szCs w:val="20"/>
                <w:color w:val="auto"/>
              </w:rPr>
            </w:pPr>
            <w:r>
              <w:rPr>
                <w:rFonts w:ascii="Arial" w:cs="Arial" w:eastAsia="Arial" w:hAnsi="Arial"/>
                <w:sz w:val="15"/>
                <w:szCs w:val="15"/>
                <w:color w:val="auto"/>
              </w:rPr>
              <w:t>Exceeded goal of $1.5 billion of non-core asset sales, which included (i) the sale of the Company’s 27.5% interest in EPIC Crude Holdings, LP to a</w:t>
            </w:r>
          </w:p>
        </w:tc>
        <w:tc>
          <w:tcPr>
            <w:tcW w:w="0" w:type="dxa"/>
            <w:vAlign w:val="bottom"/>
          </w:tcPr>
          <w:p>
            <w:pPr>
              <w:spacing w:after="0"/>
              <w:rPr>
                <w:sz w:val="1"/>
                <w:szCs w:val="1"/>
                <w:color w:val="auto"/>
              </w:rPr>
            </w:pPr>
          </w:p>
        </w:tc>
      </w:tr>
      <w:tr>
        <w:trPr>
          <w:trHeight w:val="177"/>
        </w:trPr>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80" w:type="dxa"/>
            <w:vAlign w:val="bottom"/>
          </w:tcPr>
          <w:p>
            <w:pPr>
              <w:ind w:left="60"/>
              <w:spacing w:after="0"/>
              <w:rPr>
                <w:sz w:val="20"/>
                <w:szCs w:val="20"/>
                <w:color w:val="auto"/>
              </w:rPr>
            </w:pPr>
            <w:r>
              <w:rPr>
                <w:rFonts w:ascii="Arial" w:cs="Arial" w:eastAsia="Arial" w:hAnsi="Arial"/>
                <w:sz w:val="15"/>
                <w:szCs w:val="15"/>
                <w:color w:val="auto"/>
              </w:rPr>
              <w:t>wholly-owned subsidiary of Plains All American Pipeline, L.P. for approximately $504 million in upfront cash and the potential for an additional $96</w:t>
            </w:r>
          </w:p>
        </w:tc>
        <w:tc>
          <w:tcPr>
            <w:tcW w:w="0" w:type="dxa"/>
            <w:vAlign w:val="bottom"/>
          </w:tcPr>
          <w:p>
            <w:pPr>
              <w:spacing w:after="0"/>
              <w:rPr>
                <w:sz w:val="1"/>
                <w:szCs w:val="1"/>
                <w:color w:val="auto"/>
              </w:rPr>
            </w:pPr>
          </w:p>
        </w:tc>
      </w:tr>
      <w:tr>
        <w:trPr>
          <w:trHeight w:val="177"/>
        </w:trPr>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80" w:type="dxa"/>
            <w:vAlign w:val="bottom"/>
          </w:tcPr>
          <w:p>
            <w:pPr>
              <w:ind w:left="60"/>
              <w:spacing w:after="0"/>
              <w:rPr>
                <w:sz w:val="20"/>
                <w:szCs w:val="20"/>
                <w:color w:val="auto"/>
              </w:rPr>
            </w:pPr>
            <w:r>
              <w:rPr>
                <w:rFonts w:ascii="Arial" w:cs="Arial" w:eastAsia="Arial" w:hAnsi="Arial"/>
                <w:sz w:val="15"/>
                <w:szCs w:val="15"/>
                <w:color w:val="auto"/>
              </w:rPr>
              <w:t>million contingent cash payment, (ii) the divestiture of Environmental Disposal Systems, LLC to Deep Blue Midland Basin LLC (“Deep Blue”) for</w:t>
            </w:r>
          </w:p>
        </w:tc>
        <w:tc>
          <w:tcPr>
            <w:tcW w:w="0" w:type="dxa"/>
            <w:vAlign w:val="bottom"/>
          </w:tcPr>
          <w:p>
            <w:pPr>
              <w:spacing w:after="0"/>
              <w:rPr>
                <w:sz w:val="1"/>
                <w:szCs w:val="1"/>
                <w:color w:val="auto"/>
              </w:rPr>
            </w:pPr>
          </w:p>
        </w:tc>
      </w:tr>
      <w:tr>
        <w:trPr>
          <w:trHeight w:val="177"/>
        </w:trPr>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80" w:type="dxa"/>
            <w:vAlign w:val="bottom"/>
          </w:tcPr>
          <w:p>
            <w:pPr>
              <w:ind w:left="60"/>
              <w:spacing w:after="0"/>
              <w:rPr>
                <w:sz w:val="20"/>
                <w:szCs w:val="20"/>
                <w:color w:val="auto"/>
              </w:rPr>
            </w:pPr>
            <w:r>
              <w:rPr>
                <w:rFonts w:ascii="Arial" w:cs="Arial" w:eastAsia="Arial" w:hAnsi="Arial"/>
                <w:sz w:val="15"/>
                <w:szCs w:val="15"/>
                <w:color w:val="auto"/>
              </w:rPr>
              <w:t>$694 million in upfront cash proceeds and up to $200 million in contingent consideration and (iii) the sale of the Company’s 10% interest in the</w:t>
            </w:r>
          </w:p>
        </w:tc>
        <w:tc>
          <w:tcPr>
            <w:tcW w:w="0" w:type="dxa"/>
            <w:vAlign w:val="bottom"/>
          </w:tcPr>
          <w:p>
            <w:pPr>
              <w:spacing w:after="0"/>
              <w:rPr>
                <w:sz w:val="1"/>
                <w:szCs w:val="1"/>
                <w:color w:val="auto"/>
              </w:rPr>
            </w:pPr>
          </w:p>
        </w:tc>
      </w:tr>
      <w:tr>
        <w:trPr>
          <w:trHeight w:val="199"/>
        </w:trPr>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80" w:type="dxa"/>
            <w:vAlign w:val="bottom"/>
          </w:tcPr>
          <w:p>
            <w:pPr>
              <w:ind w:left="60"/>
              <w:spacing w:after="0"/>
              <w:rPr>
                <w:sz w:val="20"/>
                <w:szCs w:val="20"/>
                <w:color w:val="auto"/>
              </w:rPr>
            </w:pPr>
            <w:r>
              <w:rPr>
                <w:rFonts w:ascii="Arial" w:cs="Arial" w:eastAsia="Arial" w:hAnsi="Arial"/>
                <w:sz w:val="15"/>
                <w:szCs w:val="15"/>
                <w:color w:val="auto"/>
              </w:rPr>
              <w:t>BANGL pipeline for approximately $130 million with additional potential proceeds tied to an earnout</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180" w:type="dxa"/>
            <w:vAlign w:val="bottom"/>
          </w:tcPr>
          <w:p>
            <w:pPr>
              <w:ind w:left="100"/>
              <w:spacing w:after="0"/>
              <w:rPr>
                <w:sz w:val="20"/>
                <w:szCs w:val="20"/>
                <w:color w:val="auto"/>
              </w:rPr>
            </w:pPr>
            <w:r>
              <w:rPr>
                <w:rFonts w:ascii="Arial" w:cs="Arial" w:eastAsia="Arial" w:hAnsi="Arial"/>
                <w:sz w:val="15"/>
                <w:szCs w:val="15"/>
                <w:color w:val="A26F2A"/>
              </w:rPr>
              <w:t>•</w:t>
            </w:r>
          </w:p>
        </w:tc>
        <w:tc>
          <w:tcPr>
            <w:tcW w:w="9880" w:type="dxa"/>
            <w:vAlign w:val="bottom"/>
          </w:tcPr>
          <w:p>
            <w:pPr>
              <w:ind w:left="60"/>
              <w:spacing w:after="0"/>
              <w:rPr>
                <w:sz w:val="20"/>
                <w:szCs w:val="20"/>
                <w:color w:val="auto"/>
              </w:rPr>
            </w:pPr>
            <w:r>
              <w:rPr>
                <w:rFonts w:ascii="Arial" w:cs="Arial" w:eastAsia="Arial" w:hAnsi="Arial"/>
                <w:sz w:val="15"/>
                <w:szCs w:val="15"/>
                <w:color w:val="auto"/>
              </w:rPr>
              <w:t>Completed a secondary offering of 12,901,375 Class A common shares of Viper for net proceeds of approximately $589 million and utilized the net</w:t>
            </w:r>
          </w:p>
        </w:tc>
        <w:tc>
          <w:tcPr>
            <w:tcW w:w="0" w:type="dxa"/>
            <w:vAlign w:val="bottom"/>
          </w:tcPr>
          <w:p>
            <w:pPr>
              <w:spacing w:after="0"/>
              <w:rPr>
                <w:sz w:val="1"/>
                <w:szCs w:val="1"/>
                <w:color w:val="auto"/>
              </w:rPr>
            </w:pPr>
          </w:p>
        </w:tc>
      </w:tr>
      <w:tr>
        <w:trPr>
          <w:trHeight w:val="207"/>
        </w:trPr>
        <w:tc>
          <w:tcPr>
            <w:tcW w:w="1180" w:type="dxa"/>
            <w:vAlign w:val="bottom"/>
            <w:tcBorders>
              <w:bottom w:val="single" w:sz="8" w:color="DBB287"/>
            </w:tcBorders>
          </w:tcPr>
          <w:p>
            <w:pPr>
              <w:spacing w:after="0"/>
              <w:rPr>
                <w:sz w:val="17"/>
                <w:szCs w:val="17"/>
                <w:color w:val="auto"/>
              </w:rPr>
            </w:pPr>
          </w:p>
        </w:tc>
        <w:tc>
          <w:tcPr>
            <w:tcW w:w="180" w:type="dxa"/>
            <w:vAlign w:val="bottom"/>
            <w:tcBorders>
              <w:bottom w:val="single" w:sz="8" w:color="DBB287"/>
            </w:tcBorders>
          </w:tcPr>
          <w:p>
            <w:pPr>
              <w:spacing w:after="0"/>
              <w:rPr>
                <w:sz w:val="17"/>
                <w:szCs w:val="17"/>
                <w:color w:val="auto"/>
              </w:rPr>
            </w:pPr>
          </w:p>
        </w:tc>
        <w:tc>
          <w:tcPr>
            <w:tcW w:w="9880" w:type="dxa"/>
            <w:vAlign w:val="bottom"/>
            <w:tcBorders>
              <w:bottom w:val="single" w:sz="8" w:color="DBB287"/>
            </w:tcBorders>
          </w:tcPr>
          <w:p>
            <w:pPr>
              <w:ind w:left="60"/>
              <w:spacing w:after="0"/>
              <w:rPr>
                <w:sz w:val="20"/>
                <w:szCs w:val="20"/>
                <w:color w:val="auto"/>
              </w:rPr>
            </w:pPr>
            <w:r>
              <w:rPr>
                <w:rFonts w:ascii="Arial" w:cs="Arial" w:eastAsia="Arial" w:hAnsi="Arial"/>
                <w:sz w:val="15"/>
                <w:szCs w:val="15"/>
                <w:color w:val="auto"/>
              </w:rPr>
              <w:t>proceeds for debt reduction and general corporate purposes</w:t>
            </w:r>
          </w:p>
        </w:tc>
        <w:tc>
          <w:tcPr>
            <w:tcW w:w="0" w:type="dxa"/>
            <w:vAlign w:val="bottom"/>
          </w:tcPr>
          <w:p>
            <w:pPr>
              <w:spacing w:after="0"/>
              <w:rPr>
                <w:sz w:val="1"/>
                <w:szCs w:val="1"/>
                <w:color w:val="auto"/>
              </w:rPr>
            </w:pPr>
          </w:p>
        </w:tc>
      </w:tr>
      <w:tr>
        <w:trPr>
          <w:trHeight w:val="190"/>
        </w:trPr>
        <w:tc>
          <w:tcPr>
            <w:tcW w:w="1180" w:type="dxa"/>
            <w:vAlign w:val="bottom"/>
          </w:tcPr>
          <w:p>
            <w:pPr>
              <w:ind w:left="60"/>
              <w:spacing w:after="0"/>
              <w:rPr>
                <w:sz w:val="20"/>
                <w:szCs w:val="20"/>
                <w:color w:val="auto"/>
              </w:rPr>
            </w:pPr>
            <w:r>
              <w:rPr>
                <w:rFonts w:ascii="Arial" w:cs="Arial" w:eastAsia="Arial" w:hAnsi="Arial"/>
                <w:sz w:val="15"/>
                <w:szCs w:val="15"/>
                <w:b w:val="1"/>
                <w:bCs w:val="1"/>
                <w:color w:val="auto"/>
              </w:rPr>
              <w:t>Governance</w:t>
            </w:r>
          </w:p>
        </w:tc>
        <w:tc>
          <w:tcPr>
            <w:tcW w:w="180" w:type="dxa"/>
            <w:vAlign w:val="bottom"/>
          </w:tcPr>
          <w:p>
            <w:pPr>
              <w:ind w:left="100"/>
              <w:spacing w:after="0"/>
              <w:rPr>
                <w:sz w:val="20"/>
                <w:szCs w:val="20"/>
                <w:color w:val="auto"/>
              </w:rPr>
            </w:pPr>
            <w:r>
              <w:rPr>
                <w:rFonts w:ascii="Arial" w:cs="Arial" w:eastAsia="Arial" w:hAnsi="Arial"/>
                <w:sz w:val="15"/>
                <w:szCs w:val="15"/>
                <w:color w:val="A26F2A"/>
              </w:rPr>
              <w:t>•</w:t>
            </w:r>
          </w:p>
        </w:tc>
        <w:tc>
          <w:tcPr>
            <w:tcW w:w="9880" w:type="dxa"/>
            <w:vAlign w:val="bottom"/>
          </w:tcPr>
          <w:p>
            <w:pPr>
              <w:ind w:left="60"/>
              <w:spacing w:after="0"/>
              <w:rPr>
                <w:sz w:val="20"/>
                <w:szCs w:val="20"/>
                <w:color w:val="auto"/>
              </w:rPr>
            </w:pPr>
            <w:r>
              <w:rPr>
                <w:rFonts w:ascii="Arial" w:cs="Arial" w:eastAsia="Arial" w:hAnsi="Arial"/>
                <w:sz w:val="15"/>
                <w:szCs w:val="15"/>
                <w:color w:val="auto"/>
              </w:rPr>
              <w:t>Maintained the weighting of the environmental and safety performance metrics in the 2025 annual incentive compensation plan at 25%</w:t>
            </w:r>
          </w:p>
        </w:tc>
        <w:tc>
          <w:tcPr>
            <w:tcW w:w="0" w:type="dxa"/>
            <w:vAlign w:val="bottom"/>
          </w:tcPr>
          <w:p>
            <w:pPr>
              <w:spacing w:after="0"/>
              <w:rPr>
                <w:sz w:val="1"/>
                <w:szCs w:val="1"/>
                <w:color w:val="auto"/>
              </w:rPr>
            </w:pPr>
          </w:p>
        </w:tc>
      </w:tr>
      <w:tr>
        <w:trPr>
          <w:trHeight w:val="177"/>
        </w:trPr>
        <w:tc>
          <w:tcPr>
            <w:tcW w:w="1180" w:type="dxa"/>
            <w:vAlign w:val="bottom"/>
          </w:tcPr>
          <w:p>
            <w:pPr>
              <w:ind w:left="60"/>
              <w:spacing w:after="0"/>
              <w:rPr>
                <w:sz w:val="20"/>
                <w:szCs w:val="20"/>
                <w:color w:val="auto"/>
              </w:rPr>
            </w:pPr>
            <w:r>
              <w:rPr>
                <w:rFonts w:ascii="Arial" w:cs="Arial" w:eastAsia="Arial" w:hAnsi="Arial"/>
                <w:sz w:val="15"/>
                <w:szCs w:val="15"/>
                <w:b w:val="1"/>
                <w:bCs w:val="1"/>
                <w:color w:val="auto"/>
              </w:rPr>
              <w:t>and</w:t>
            </w:r>
          </w:p>
        </w:tc>
        <w:tc>
          <w:tcPr>
            <w:tcW w:w="180" w:type="dxa"/>
            <w:vAlign w:val="bottom"/>
            <w:vMerge w:val="restart"/>
          </w:tcPr>
          <w:p>
            <w:pPr>
              <w:ind w:left="100"/>
              <w:spacing w:after="0"/>
              <w:rPr>
                <w:sz w:val="20"/>
                <w:szCs w:val="20"/>
                <w:color w:val="auto"/>
              </w:rPr>
            </w:pPr>
            <w:r>
              <w:rPr>
                <w:rFonts w:ascii="Arial" w:cs="Arial" w:eastAsia="Arial" w:hAnsi="Arial"/>
                <w:sz w:val="15"/>
                <w:szCs w:val="15"/>
                <w:color w:val="A26F2A"/>
              </w:rPr>
              <w:t>•</w:t>
            </w:r>
          </w:p>
        </w:tc>
        <w:tc>
          <w:tcPr>
            <w:tcW w:w="9880" w:type="dxa"/>
            <w:vAlign w:val="bottom"/>
            <w:vMerge w:val="restart"/>
          </w:tcPr>
          <w:p>
            <w:pPr>
              <w:ind w:left="60"/>
              <w:spacing w:after="0"/>
              <w:rPr>
                <w:sz w:val="20"/>
                <w:szCs w:val="20"/>
                <w:color w:val="auto"/>
              </w:rPr>
            </w:pPr>
            <w:r>
              <w:rPr>
                <w:rFonts w:ascii="Arial" w:cs="Arial" w:eastAsia="Arial" w:hAnsi="Arial"/>
                <w:sz w:val="15"/>
                <w:szCs w:val="15"/>
                <w:color w:val="auto"/>
              </w:rPr>
              <w:t>Double weighted the XOP Index and included the S&amp;P 500 as peers in our 2025 total stockholder return (TSR) performance peer group for</w:t>
            </w:r>
          </w:p>
        </w:tc>
        <w:tc>
          <w:tcPr>
            <w:tcW w:w="0" w:type="dxa"/>
            <w:vAlign w:val="bottom"/>
          </w:tcPr>
          <w:p>
            <w:pPr>
              <w:spacing w:after="0"/>
              <w:rPr>
                <w:sz w:val="1"/>
                <w:szCs w:val="1"/>
                <w:color w:val="auto"/>
              </w:rPr>
            </w:pPr>
          </w:p>
        </w:tc>
      </w:tr>
      <w:tr>
        <w:trPr>
          <w:trHeight w:val="151"/>
        </w:trPr>
        <w:tc>
          <w:tcPr>
            <w:tcW w:w="1180" w:type="dxa"/>
            <w:vAlign w:val="bottom"/>
          </w:tcPr>
          <w:p>
            <w:pPr>
              <w:ind w:left="60"/>
              <w:spacing w:after="0" w:line="151" w:lineRule="exact"/>
              <w:rPr>
                <w:sz w:val="20"/>
                <w:szCs w:val="20"/>
                <w:color w:val="auto"/>
              </w:rPr>
            </w:pPr>
            <w:r>
              <w:rPr>
                <w:rFonts w:ascii="Arial" w:cs="Arial" w:eastAsia="Arial" w:hAnsi="Arial"/>
                <w:sz w:val="15"/>
                <w:szCs w:val="15"/>
                <w:b w:val="1"/>
                <w:bCs w:val="1"/>
                <w:color w:val="auto"/>
              </w:rPr>
              <w:t>Compensation</w:t>
            </w:r>
          </w:p>
        </w:tc>
        <w:tc>
          <w:tcPr>
            <w:tcW w:w="180" w:type="dxa"/>
            <w:vAlign w:val="bottom"/>
            <w:vMerge w:val="continue"/>
          </w:tcPr>
          <w:p>
            <w:pPr>
              <w:spacing w:after="0"/>
              <w:rPr>
                <w:sz w:val="13"/>
                <w:szCs w:val="13"/>
                <w:color w:val="auto"/>
              </w:rPr>
            </w:pPr>
          </w:p>
        </w:tc>
        <w:tc>
          <w:tcPr>
            <w:tcW w:w="9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1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Highlights</w:t>
            </w:r>
          </w:p>
        </w:tc>
        <w:tc>
          <w:tcPr>
            <w:tcW w:w="180" w:type="dxa"/>
            <w:vAlign w:val="bottom"/>
          </w:tcPr>
          <w:p>
            <w:pPr>
              <w:spacing w:after="0"/>
              <w:rPr>
                <w:sz w:val="15"/>
                <w:szCs w:val="15"/>
                <w:color w:val="auto"/>
              </w:rPr>
            </w:pPr>
          </w:p>
        </w:tc>
        <w:tc>
          <w:tcPr>
            <w:tcW w:w="9880" w:type="dxa"/>
            <w:vAlign w:val="bottom"/>
          </w:tcPr>
          <w:p>
            <w:pPr>
              <w:ind w:left="60"/>
              <w:spacing w:after="0"/>
              <w:rPr>
                <w:sz w:val="20"/>
                <w:szCs w:val="20"/>
                <w:color w:val="auto"/>
              </w:rPr>
            </w:pPr>
            <w:r>
              <w:rPr>
                <w:rFonts w:ascii="Arial" w:cs="Arial" w:eastAsia="Arial" w:hAnsi="Arial"/>
                <w:sz w:val="15"/>
                <w:szCs w:val="15"/>
                <w:color w:val="auto"/>
              </w:rPr>
              <w:t>performance-based equity awards made in 2025</w:t>
            </w:r>
          </w:p>
        </w:tc>
        <w:tc>
          <w:tcPr>
            <w:tcW w:w="0" w:type="dxa"/>
            <w:vAlign w:val="bottom"/>
          </w:tcPr>
          <w:p>
            <w:pPr>
              <w:spacing w:after="0"/>
              <w:rPr>
                <w:sz w:val="1"/>
                <w:szCs w:val="1"/>
                <w:color w:val="auto"/>
              </w:rPr>
            </w:pPr>
          </w:p>
        </w:tc>
      </w:tr>
      <w:tr>
        <w:trPr>
          <w:trHeight w:val="40"/>
        </w:trPr>
        <w:tc>
          <w:tcPr>
            <w:tcW w:w="11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jc w:val="both"/>
        <w:ind w:left="1420" w:right="80" w:hanging="144"/>
        <w:spacing w:after="0" w:line="254" w:lineRule="auto"/>
        <w:tabs>
          <w:tab w:leader="none" w:pos="1423" w:val="left"/>
        </w:tabs>
        <w:numPr>
          <w:ilvl w:val="1"/>
          <w:numId w:val="5"/>
        </w:numPr>
        <w:rPr>
          <w:rFonts w:ascii="Arial" w:cs="Arial" w:eastAsia="Arial" w:hAnsi="Arial"/>
          <w:sz w:val="15"/>
          <w:szCs w:val="15"/>
          <w:color w:val="A26F2A"/>
        </w:rPr>
      </w:pPr>
      <w:r>
        <w:rPr>
          <w:rFonts w:ascii="Arial" w:cs="Arial" w:eastAsia="Arial" w:hAnsi="Arial"/>
          <w:sz w:val="15"/>
          <w:szCs w:val="15"/>
          <w:color w:val="auto"/>
        </w:rPr>
        <w:t>Provided stock ownership opportunity for 100% of our employees, all of whom are eligible for discretionary long-term equity incentive awards and discretionary short-term cash incentive awards based on both specific Company performance metrics tied to the same scorecard as our executive annual incentive compensation and individual performance outcomes</w:t>
      </w:r>
    </w:p>
    <w:p>
      <w:pPr>
        <w:spacing w:after="0" w:line="44" w:lineRule="exact"/>
        <w:rPr>
          <w:rFonts w:ascii="Arial" w:cs="Arial" w:eastAsia="Arial" w:hAnsi="Arial"/>
          <w:sz w:val="15"/>
          <w:szCs w:val="15"/>
          <w:color w:val="A26F2A"/>
        </w:rPr>
      </w:pPr>
    </w:p>
    <w:p>
      <w:pPr>
        <w:ind w:left="1420" w:hanging="144"/>
        <w:spacing w:after="0"/>
        <w:tabs>
          <w:tab w:leader="none" w:pos="1420" w:val="left"/>
        </w:tabs>
        <w:numPr>
          <w:ilvl w:val="1"/>
          <w:numId w:val="5"/>
        </w:numPr>
        <w:rPr>
          <w:rFonts w:ascii="Arial" w:cs="Arial" w:eastAsia="Arial" w:hAnsi="Arial"/>
          <w:sz w:val="15"/>
          <w:szCs w:val="15"/>
          <w:color w:val="A26F2A"/>
        </w:rPr>
      </w:pPr>
      <w:r>
        <w:rPr>
          <w:rFonts w:ascii="Arial" w:cs="Arial" w:eastAsia="Arial" w:hAnsi="Arial"/>
          <w:sz w:val="15"/>
          <w:szCs w:val="15"/>
          <w:color w:val="auto"/>
        </w:rPr>
        <w:t>Publicly disclosed Diamondback’s corporate political contribution activity on our website for the sixth consecutive year</w:t>
      </w:r>
    </w:p>
    <w:p>
      <w:pPr>
        <w:spacing w:after="0" w:line="92" w:lineRule="exact"/>
        <w:rPr>
          <w:rFonts w:ascii="Arial" w:cs="Arial" w:eastAsia="Arial" w:hAnsi="Arial"/>
          <w:sz w:val="15"/>
          <w:szCs w:val="15"/>
          <w:color w:val="A26F2A"/>
        </w:rPr>
      </w:pPr>
    </w:p>
    <w:p>
      <w:pPr>
        <w:ind w:left="1420" w:hanging="144"/>
        <w:spacing w:after="0"/>
        <w:tabs>
          <w:tab w:leader="none" w:pos="1420" w:val="left"/>
        </w:tabs>
        <w:numPr>
          <w:ilvl w:val="1"/>
          <w:numId w:val="5"/>
        </w:numPr>
        <w:rPr>
          <w:rFonts w:ascii="Arial" w:cs="Arial" w:eastAsia="Arial" w:hAnsi="Arial"/>
          <w:sz w:val="15"/>
          <w:szCs w:val="15"/>
          <w:color w:val="A26F2A"/>
        </w:rPr>
      </w:pPr>
      <w:r>
        <w:rPr>
          <w:rFonts w:ascii="Arial" w:cs="Arial" w:eastAsia="Arial" w:hAnsi="Arial"/>
          <w:sz w:val="15"/>
          <w:szCs w:val="15"/>
          <w:color w:val="auto"/>
        </w:rPr>
        <w:t>Received a trendsetter score of approximately 90.0% for the CPA-Zicklin Index of Corporate Political Accountability and Disclosure</w:t>
      </w:r>
    </w:p>
    <w:p>
      <w:pPr>
        <w:spacing w:after="0" w:line="92" w:lineRule="exact"/>
        <w:rPr>
          <w:rFonts w:ascii="Arial" w:cs="Arial" w:eastAsia="Arial" w:hAnsi="Arial"/>
          <w:sz w:val="15"/>
          <w:szCs w:val="15"/>
          <w:color w:val="A26F2A"/>
        </w:rPr>
      </w:pPr>
    </w:p>
    <w:p>
      <w:pPr>
        <w:ind w:left="1420" w:right="240" w:hanging="144"/>
        <w:spacing w:after="0" w:line="264" w:lineRule="auto"/>
        <w:tabs>
          <w:tab w:leader="none" w:pos="1423" w:val="left"/>
        </w:tabs>
        <w:numPr>
          <w:ilvl w:val="1"/>
          <w:numId w:val="5"/>
        </w:numPr>
        <w:rPr>
          <w:rFonts w:ascii="Arial" w:cs="Arial" w:eastAsia="Arial" w:hAnsi="Arial"/>
          <w:sz w:val="15"/>
          <w:szCs w:val="15"/>
          <w:color w:val="A26F2A"/>
        </w:rPr>
      </w:pPr>
      <w:r>
        <w:rPr>
          <w:rFonts w:ascii="Arial" w:cs="Arial" w:eastAsia="Arial" w:hAnsi="Arial"/>
          <w:sz w:val="15"/>
          <w:szCs w:val="15"/>
          <w:color w:val="auto"/>
        </w:rPr>
        <w:t>Amended and restated our bylaws to, among other things, (i) clarify and enhance procedural mechanics and disclosure requirements relating to stockholders calling special meetings and stockholder director nominations and submissions of proposals, (ii) adopt a federal forum selection provision, and (iii) make other technical, conforming, modernizing and clarifying amendments</w:t>
      </w:r>
    </w:p>
    <w:p>
      <w:pPr>
        <w:spacing w:after="0" w:line="36" w:lineRule="exact"/>
        <w:rPr>
          <w:rFonts w:ascii="Arial" w:cs="Arial" w:eastAsia="Arial" w:hAnsi="Arial"/>
          <w:sz w:val="15"/>
          <w:szCs w:val="15"/>
          <w:color w:val="A26F2A"/>
        </w:rPr>
      </w:pPr>
    </w:p>
    <w:p>
      <w:pPr>
        <w:ind w:left="1420" w:hanging="144"/>
        <w:spacing w:after="0"/>
        <w:tabs>
          <w:tab w:leader="none" w:pos="1420" w:val="left"/>
        </w:tabs>
        <w:numPr>
          <w:ilvl w:val="1"/>
          <w:numId w:val="5"/>
        </w:numPr>
        <w:rPr>
          <w:rFonts w:ascii="Arial" w:cs="Arial" w:eastAsia="Arial" w:hAnsi="Arial"/>
          <w:sz w:val="15"/>
          <w:szCs w:val="15"/>
          <w:color w:val="A26F2A"/>
        </w:rPr>
      </w:pPr>
      <w:r>
        <w:rPr>
          <w:rFonts w:ascii="Arial" w:cs="Arial" w:eastAsia="Arial" w:hAnsi="Arial"/>
          <w:sz w:val="15"/>
          <w:szCs w:val="15"/>
          <w:color w:val="auto"/>
        </w:rPr>
        <w:t>Publicly disclosed our 2024 Equal Employment Opportunity (EEO-1) data as of December 31, 2024, in our 2025 Corporate Sustainability Report</w:t>
      </w:r>
    </w:p>
    <w:p>
      <w:pPr>
        <w:spacing w:after="0" w:line="109" w:lineRule="exact"/>
        <w:rPr>
          <w:rFonts w:ascii="Arial" w:cs="Arial" w:eastAsia="Arial" w:hAnsi="Arial"/>
          <w:sz w:val="15"/>
          <w:szCs w:val="15"/>
          <w:color w:val="A26F2A"/>
        </w:rPr>
      </w:pPr>
    </w:p>
    <w:p>
      <w:pPr>
        <w:ind w:left="300" w:hanging="299"/>
        <w:spacing w:after="0"/>
        <w:tabs>
          <w:tab w:leader="none" w:pos="30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When used throughout this proxy statement, “Free Cash Flow” and “Adjusted Free Cash Flow” are as defined and reconciled on Schedule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-137795</wp:posOffset>
            </wp:positionV>
            <wp:extent cx="7141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54"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Compensation Highlights</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Diamondback’s compensation program reflects our commitment to paying for performance and reflects appropriate governance practices that ensure alignment between successful execution of our strategy and the long-term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118745</wp:posOffset>
            </wp:positionV>
            <wp:extent cx="5618480" cy="16510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18480" cy="1651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300" w:hanging="299"/>
        <w:spacing w:after="0" w:line="264" w:lineRule="auto"/>
        <w:tabs>
          <w:tab w:leader="none" w:pos="30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CEO compensation in this graph is for Mr. Stice, who served as our CEO until May 2025. Each of these pay mix illustrations consist of the annual base salary, annual incentive bonus earned and the grant date fair value of the performance-based and time-based stock awards granted in 2025. These pay mix illustrations exclude amounts listed in the column titled “All Other Compensation” in the Summary Compensation Table set forth on page 66.</w:t>
      </w:r>
    </w:p>
    <w:p>
      <w:pPr>
        <w:spacing w:after="0" w:line="13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111760</wp:posOffset>
            </wp:positionV>
            <wp:extent cx="128270" cy="1170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270" cy="117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0"/>
        <w:spacing w:after="0"/>
        <w:rPr>
          <w:sz w:val="20"/>
          <w:szCs w:val="20"/>
          <w:color w:val="auto"/>
        </w:rPr>
      </w:pPr>
      <w:r>
        <w:rPr>
          <w:rFonts w:ascii="Arial" w:cs="Arial" w:eastAsia="Arial" w:hAnsi="Arial"/>
          <w:sz w:val="30"/>
          <w:szCs w:val="30"/>
          <w:b w:val="1"/>
          <w:bCs w:val="1"/>
          <w:color w:val="A26F2A"/>
        </w:rPr>
        <w:t>PROPOSAL 1</w:t>
      </w:r>
    </w:p>
    <w:p>
      <w:pPr>
        <w:spacing w:after="0" w:line="87" w:lineRule="exact"/>
        <w:rPr>
          <w:sz w:val="20"/>
          <w:szCs w:val="20"/>
          <w:color w:val="auto"/>
        </w:rPr>
      </w:pPr>
    </w:p>
    <w:p>
      <w:pPr>
        <w:ind w:left="1000"/>
        <w:spacing w:after="0"/>
        <w:rPr>
          <w:sz w:val="20"/>
          <w:szCs w:val="20"/>
          <w:color w:val="auto"/>
        </w:rPr>
      </w:pPr>
      <w:r>
        <w:rPr>
          <w:rFonts w:ascii="Arial" w:cs="Arial" w:eastAsia="Arial" w:hAnsi="Arial"/>
          <w:sz w:val="44"/>
          <w:szCs w:val="44"/>
          <w:b w:val="1"/>
          <w:bCs w:val="1"/>
          <w:color w:val="auto"/>
        </w:rPr>
        <w:t>ELECTION OF DIRECTORS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DIRECTOR NOMINATIONS</w:t>
      </w:r>
    </w:p>
    <w:p>
      <w:pPr>
        <w:spacing w:after="0" w:line="315"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board is committed to recruiting and nominating directors for election who will collectively provide the board with the necessary diversity of skills, backgrounds and experiences to meet the Company’s ongoing needs and support oversight of our business strategy and priorities, while maintaining institutional knowledge. In recommending candidates for election to the board, the nominating and corporate governance committee evaluates a candidate’s character, judgment, skill set, experience, independence, other time commitments and any other factors that the nominating and corporate governance committee deems relevant in light of the current needs of the board. The board believes it is important to have board membership reflecting a range of backgrounds, skills, and experiences and as a result, has an experienced and diverse nominee slate.</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To reflect the determination to keep our board diverse, the nominating and corporate governance committee seeks to include a broad pool of candidates in all current or future director searches, including by affirmatively instructing any search firms retained to assist the committee in identifying director candidates to seek to include candidates with varied backgrounds and experiences. In addition, in determining whether to recommend incumbent directors for re-election to the board, the nominating and corporate governance committee also reviews and considers the director’s board and committee meeting attendance, the level of support that the director’s nomination received at the most recent annual stockholders’ meeting, director tenure and the well-roundedness of the board as a whole.</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As described above, pursuant to the terms of the Stephens Stockholders Agreement, the Stephens Stockholders currently have the right to designate four individuals to serve on our board of directors. The Stephens Stockholders have designated Darin G. Holderness, Charles A. Meloy, Robert K. Reeves and Lance W. Robertson to serve on our board of directors.</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In 2026, the nominating and corporate governance committee recommended to the board, and the board approved, the nomination of Travis D. Stice, Kaes Van’t Hof, Vincent K. Brooks, Darin G. Holderness, Rebecca A. Klein, Stephanie K. Mains, Charles A. Meloy, Mark L. Plaumann, Robert K. Reeves, Lance W. Robertson, Melanie M. Trent, Frank D. Tsuru and Steven E. West to serve for a one-year term ending at the 2027 Annual Meeting, but in any event, until his or her successor is elected and qualified, unless ended earlier due to his or her death, resignation, disqualification or removal from office. All of the director nominees, except for Messrs. Meloy, Stice and Van’t Hof, are independent under The Nasdaq Stock Market LLC (Nasdaq) listing standards and the applicable SEC rules, and assuming all of these director nominees are elected by the stockholders at the 2026 Annual Meeting, approximately 77% of our board of directors will consist of independent directors.</w:t>
      </w:r>
    </w:p>
    <w:p>
      <w:pPr>
        <w:spacing w:after="0" w:line="237"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About Director Nominees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Members of our board of directors are elected annually. In the event any nominee should be unavailable to serve at the time of the meeting, the proxies may be voted for a substitute nominee selected by the board.</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Biographical information with respect to each of the 13 director nominees, together with a list of competencies that contributed to the conclusion that such person should serve as a director, are presented below. An overview of the core competencies of each director nominee is featured in a skills matrix on page 19. Ages are as of April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41210" cy="168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168275"/>
                    </a:xfrm>
                    <a:prstGeom prst="rect">
                      <a:avLst/>
                    </a:prstGeom>
                    <a:noFill/>
                  </pic:spPr>
                </pic:pic>
              </a:graphicData>
            </a:graphic>
          </wp:anchor>
        </w:drawing>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FFFFFF"/>
        </w:rPr>
        <w:t>THE BOARD RECOMMENDS THAT YOU VOTE “FOR” THE ELECTION OF THE 13 NOMINEES FOR DIRECTOR LISTED BELOW.</w:t>
      </w:r>
    </w:p>
    <w:p>
      <w:pPr>
        <w:spacing w:after="0" w:line="23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41210" cy="785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785495"/>
                    </a:xfrm>
                    <a:prstGeom prst="rect">
                      <a:avLst/>
                    </a:prstGeom>
                    <a:noFill/>
                  </pic:spPr>
                </pic:pic>
              </a:graphicData>
            </a:graphic>
          </wp:anchor>
        </w:drawing>
      </w:r>
    </w:p>
    <w:p>
      <w:pPr>
        <w:spacing w:after="0" w:line="164" w:lineRule="exact"/>
        <w:rPr>
          <w:sz w:val="20"/>
          <w:szCs w:val="20"/>
          <w:color w:val="auto"/>
        </w:rPr>
      </w:pPr>
    </w:p>
    <w:p>
      <w:pPr>
        <w:ind w:left="1320"/>
        <w:spacing w:after="0"/>
        <w:rPr>
          <w:sz w:val="20"/>
          <w:szCs w:val="20"/>
          <w:color w:val="auto"/>
        </w:rPr>
      </w:pPr>
      <w:r>
        <w:rPr>
          <w:rFonts w:ascii="Arial" w:cs="Arial" w:eastAsia="Arial" w:hAnsi="Arial"/>
          <w:sz w:val="17"/>
          <w:szCs w:val="17"/>
          <w:b w:val="1"/>
          <w:bCs w:val="1"/>
          <w:color w:val="auto"/>
        </w:rPr>
        <w:t>TRAVIS D. STICE, EXECUTIVE CHAIRMAN OF THE BOARD*</w:t>
      </w:r>
    </w:p>
    <w:p>
      <w:pPr>
        <w:spacing w:after="0" w:line="62"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26F2A"/>
        </w:rPr>
        <w:t>Skills and Qualifications:</w:t>
      </w:r>
    </w:p>
    <w:p>
      <w:pPr>
        <w:spacing w:after="0" w:line="18" w:lineRule="exact"/>
        <w:rPr>
          <w:sz w:val="20"/>
          <w:szCs w:val="20"/>
          <w:color w:val="auto"/>
        </w:rPr>
      </w:pPr>
    </w:p>
    <w:p>
      <w:pPr>
        <w:jc w:val="right"/>
        <w:ind w:right="600"/>
        <w:spacing w:after="0"/>
        <w:tabs>
          <w:tab w:leader="none" w:pos="9120" w:val="left"/>
          <w:tab w:leader="none" w:pos="4100" w:val="left"/>
          <w:tab w:leader="none" w:pos="3920" w:val="left"/>
        </w:tabs>
        <w:rPr>
          <w:sz w:val="20"/>
          <w:szCs w:val="20"/>
          <w:color w:val="auto"/>
        </w:rPr>
      </w:pPr>
      <w:r>
        <w:rPr>
          <w:rFonts w:ascii="Arial" w:cs="Arial" w:eastAsia="Arial" w:hAnsi="Arial"/>
          <w:sz w:val="15"/>
          <w:szCs w:val="15"/>
          <w:color w:val="A26F2A"/>
        </w:rPr>
        <w:t>•</w:t>
      </w:r>
      <w:r>
        <w:rPr>
          <w:rFonts w:ascii="Arial" w:cs="Arial" w:eastAsia="Arial" w:hAnsi="Arial"/>
          <w:sz w:val="15"/>
          <w:szCs w:val="15"/>
          <w:color w:val="auto"/>
        </w:rPr>
        <w:tab/>
        <w:t>Industry Background</w:t>
      </w:r>
      <w:r>
        <w:rPr>
          <w:sz w:val="20"/>
          <w:szCs w:val="20"/>
          <w:color w:val="auto"/>
        </w:rPr>
        <w:tab/>
      </w:r>
      <w:r>
        <w:rPr>
          <w:rFonts w:ascii="Arial" w:cs="Arial" w:eastAsia="Arial" w:hAnsi="Arial"/>
          <w:sz w:val="15"/>
          <w:szCs w:val="15"/>
          <w:color w:val="A26F2A"/>
        </w:rPr>
        <w:t>•</w:t>
      </w:r>
      <w:r>
        <w:rPr>
          <w:rFonts w:ascii="Arial" w:cs="Arial" w:eastAsia="Arial" w:hAnsi="Arial"/>
          <w:sz w:val="15"/>
          <w:szCs w:val="15"/>
          <w:color w:val="auto"/>
        </w:rPr>
        <w:tab/>
        <w:t>Executive Compensation and Human Capital Management</w:t>
      </w:r>
    </w:p>
    <w:p>
      <w:pPr>
        <w:spacing w:after="0" w:line="4" w:lineRule="exact"/>
        <w:rPr>
          <w:sz w:val="20"/>
          <w:szCs w:val="20"/>
          <w:color w:val="auto"/>
        </w:rPr>
      </w:pPr>
    </w:p>
    <w:p>
      <w:pPr>
        <w:ind w:left="1320"/>
        <w:spacing w:after="0"/>
        <w:tabs>
          <w:tab w:leader="none" w:pos="1480" w:val="left"/>
          <w:tab w:leader="none" w:pos="6500" w:val="left"/>
          <w:tab w:leader="none" w:pos="6680" w:val="left"/>
        </w:tabs>
        <w:rPr>
          <w:sz w:val="20"/>
          <w:szCs w:val="20"/>
          <w:color w:val="auto"/>
        </w:rPr>
      </w:pPr>
      <w:r>
        <w:rPr>
          <w:rFonts w:ascii="Arial" w:cs="Arial" w:eastAsia="Arial" w:hAnsi="Arial"/>
          <w:sz w:val="15"/>
          <w:szCs w:val="15"/>
          <w:color w:val="A26F2A"/>
        </w:rPr>
        <w:t>•</w:t>
      </w:r>
      <w:r>
        <w:rPr>
          <w:rFonts w:ascii="Arial" w:cs="Arial" w:eastAsia="Arial" w:hAnsi="Arial"/>
          <w:sz w:val="15"/>
          <w:szCs w:val="15"/>
          <w:color w:val="auto"/>
        </w:rPr>
        <w:tab/>
        <w:t>M&amp;A/Finance/Capital Markets</w:t>
      </w:r>
      <w:r>
        <w:rPr>
          <w:sz w:val="20"/>
          <w:szCs w:val="20"/>
          <w:color w:val="auto"/>
        </w:rPr>
        <w:tab/>
      </w:r>
      <w:r>
        <w:rPr>
          <w:rFonts w:ascii="Arial" w:cs="Arial" w:eastAsia="Arial" w:hAnsi="Arial"/>
          <w:sz w:val="15"/>
          <w:szCs w:val="15"/>
          <w:color w:val="A26F2A"/>
        </w:rPr>
        <w:t>•</w:t>
      </w:r>
      <w:r>
        <w:rPr>
          <w:rFonts w:ascii="Arial" w:cs="Arial" w:eastAsia="Arial" w:hAnsi="Arial"/>
          <w:sz w:val="15"/>
          <w:szCs w:val="15"/>
          <w:color w:val="auto"/>
        </w:rPr>
        <w:tab/>
        <w:t>Risk Management</w:t>
      </w:r>
    </w:p>
    <w:p>
      <w:pPr>
        <w:spacing w:after="0" w:line="4" w:lineRule="exact"/>
        <w:rPr>
          <w:sz w:val="20"/>
          <w:szCs w:val="20"/>
          <w:color w:val="auto"/>
        </w:rPr>
      </w:pPr>
    </w:p>
    <w:p>
      <w:pPr>
        <w:ind w:left="1500" w:hanging="174"/>
        <w:spacing w:after="0"/>
        <w:tabs>
          <w:tab w:leader="none" w:pos="1500" w:val="left"/>
        </w:tabs>
        <w:numPr>
          <w:ilvl w:val="0"/>
          <w:numId w:val="8"/>
        </w:numPr>
        <w:rPr>
          <w:rFonts w:ascii="Arial" w:cs="Arial" w:eastAsia="Arial" w:hAnsi="Arial"/>
          <w:sz w:val="15"/>
          <w:szCs w:val="15"/>
          <w:color w:val="A26F2A"/>
        </w:rPr>
      </w:pPr>
      <w:r>
        <w:rPr>
          <w:rFonts w:ascii="Arial" w:cs="Arial" w:eastAsia="Arial" w:hAnsi="Arial"/>
          <w:sz w:val="15"/>
          <w:szCs w:val="15"/>
          <w:color w:val="auto"/>
        </w:rPr>
        <w:t>Environmental, Health, Safety &amp; Sustainability</w:t>
      </w:r>
    </w:p>
    <w:p>
      <w:pPr>
        <w:spacing w:after="0" w:line="4" w:lineRule="exact"/>
        <w:rPr>
          <w:rFonts w:ascii="Arial" w:cs="Arial" w:eastAsia="Arial" w:hAnsi="Arial"/>
          <w:sz w:val="15"/>
          <w:szCs w:val="15"/>
          <w:color w:val="A26F2A"/>
        </w:rPr>
      </w:pPr>
    </w:p>
    <w:p>
      <w:pPr>
        <w:ind w:left="1500" w:hanging="174"/>
        <w:spacing w:after="0"/>
        <w:tabs>
          <w:tab w:leader="none" w:pos="1500" w:val="left"/>
        </w:tabs>
        <w:numPr>
          <w:ilvl w:val="0"/>
          <w:numId w:val="8"/>
        </w:numPr>
        <w:rPr>
          <w:rFonts w:ascii="Arial" w:cs="Arial" w:eastAsia="Arial" w:hAnsi="Arial"/>
          <w:sz w:val="15"/>
          <w:szCs w:val="15"/>
          <w:color w:val="A26F2A"/>
        </w:rPr>
      </w:pPr>
      <w:r>
        <w:rPr>
          <w:rFonts w:ascii="Arial" w:cs="Arial" w:eastAsia="Arial" w:hAnsi="Arial"/>
          <w:sz w:val="15"/>
          <w:szCs w:val="15"/>
          <w:color w:val="auto"/>
        </w:rPr>
        <w:t>Executive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25400</wp:posOffset>
            </wp:positionV>
            <wp:extent cx="63315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31585" cy="825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p>
      <w:pPr>
        <w:spacing w:after="0" w:line="14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Age: 64</w:t>
      </w:r>
    </w:p>
    <w:p>
      <w:pPr>
        <w:spacing w:after="0" w:line="55" w:lineRule="exact"/>
        <w:rPr>
          <w:sz w:val="20"/>
          <w:szCs w:val="20"/>
          <w:color w:val="auto"/>
        </w:rPr>
      </w:pPr>
    </w:p>
    <w:p>
      <w:pPr>
        <w:ind w:left="60" w:right="380"/>
        <w:spacing w:after="0" w:line="329" w:lineRule="auto"/>
        <w:rPr>
          <w:sz w:val="20"/>
          <w:szCs w:val="20"/>
          <w:color w:val="auto"/>
        </w:rPr>
      </w:pPr>
      <w:r>
        <w:rPr>
          <w:rFonts w:ascii="Arial" w:cs="Arial" w:eastAsia="Arial" w:hAnsi="Arial"/>
          <w:sz w:val="14"/>
          <w:szCs w:val="14"/>
          <w:b w:val="1"/>
          <w:bCs w:val="1"/>
          <w:color w:val="auto"/>
        </w:rPr>
        <w:t>Director since: 2012</w:t>
      </w:r>
    </w:p>
    <w:p>
      <w:pPr>
        <w:ind w:left="60"/>
        <w:spacing w:after="0" w:line="269" w:lineRule="auto"/>
        <w:rPr>
          <w:sz w:val="20"/>
          <w:szCs w:val="20"/>
          <w:color w:val="auto"/>
        </w:rPr>
      </w:pPr>
      <w:r>
        <w:rPr>
          <w:rFonts w:ascii="Arial" w:cs="Arial" w:eastAsia="Arial" w:hAnsi="Arial"/>
          <w:sz w:val="15"/>
          <w:szCs w:val="15"/>
          <w:b w:val="1"/>
          <w:bCs w:val="1"/>
          <w:color w:val="auto"/>
        </w:rPr>
        <w:t>Other Current Public Company Directorships:</w:t>
      </w:r>
    </w:p>
    <w:p>
      <w:pPr>
        <w:spacing w:after="0" w:line="38" w:lineRule="exact"/>
        <w:rPr>
          <w:sz w:val="20"/>
          <w:szCs w:val="20"/>
          <w:color w:val="auto"/>
        </w:rPr>
      </w:pPr>
    </w:p>
    <w:p>
      <w:pPr>
        <w:ind w:left="220" w:right="100" w:hanging="169"/>
        <w:spacing w:after="0" w:line="282" w:lineRule="auto"/>
        <w:tabs>
          <w:tab w:leader="none" w:pos="231" w:val="left"/>
        </w:tabs>
        <w:numPr>
          <w:ilvl w:val="0"/>
          <w:numId w:val="9"/>
        </w:numPr>
        <w:rPr>
          <w:rFonts w:ascii="Arial" w:cs="Arial" w:eastAsia="Arial" w:hAnsi="Arial"/>
          <w:sz w:val="15"/>
          <w:szCs w:val="15"/>
          <w:color w:val="A26F2A"/>
        </w:rPr>
      </w:pPr>
      <w:r>
        <w:rPr>
          <w:rFonts w:ascii="Arial" w:cs="Arial" w:eastAsia="Arial" w:hAnsi="Arial"/>
          <w:sz w:val="15"/>
          <w:szCs w:val="15"/>
          <w:color w:val="auto"/>
        </w:rPr>
        <w:t>Viper Energy, Inc.</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ind w:right="40"/>
        <w:spacing w:after="0" w:line="248" w:lineRule="auto"/>
        <w:rPr>
          <w:sz w:val="20"/>
          <w:szCs w:val="20"/>
          <w:color w:val="auto"/>
        </w:rPr>
      </w:pPr>
      <w:r>
        <w:rPr>
          <w:rFonts w:ascii="Arial" w:cs="Arial" w:eastAsia="Arial" w:hAnsi="Arial"/>
          <w:sz w:val="15"/>
          <w:szCs w:val="15"/>
          <w:color w:val="auto"/>
        </w:rPr>
        <w:t>Mr. Stice has served as our Chairman of the Board since February 2022, and has served as the Executive Chairman of the Board since May 2025. He previously served as our Chief Executive Officer from January 2012 to May 2025. He has served as a director of Diamondback since November 2012. Mr. Stice served as the Chief Executive Officer of Viper Energy, Inc. (Nasdaq: VNOM), our publicly traded subsidiary, from February 2014 to February 2025 and as a director of Viper Energy, Inc. since February 2014. Mr. Stice also served as the Chief Executive Officer and as a director of the general partner of Rattler Midstream LP, which was acquired by Diamondback in a merger in August 2022 and is no longer publicly traded, since July 2018. Prior to these positions with Diamondback, Viper and the general partner of Rattler, he served as our President and Chief Operating Officer from April 2011 to January 2012. From November 2010 to April 2011, Mr. Stice served as a Production Manager of Apache Corporation, an oil and gas exploration company. He served as a Vice President of Laredo Petroleum Holdings, Inc., an oil and gas exploration and production company, from September 2008 to September 2010 and as a Development Manager of ConocoPhillips/Burlington Resources Mid Continent Business Unit, an oil and gas exploration company, from April 2006 until August 2008. Prior to that, Mr. Stice held a series of positions of increasing responsibilities at Burlington Resources until that company was acquired by ConocoPhillips in March 2006. He started his career with Mobil Oil in 1985. Mr. Stice has 40 years of industry experience and over 32 years of management experience. Mr. Stice graduated from Texas A&amp;M University with a Bachelor of Science degree in Petroleum Engineering. Mr. Stice is a registered engineer in the State of Texas, and is a 43-year member of the Society of Petroleum Engineers. He also serves on industry boards for the Permian Strategic Partnership and the Texas A&amp;M Petroleum Engineering Advisory Council. Additionally, he is on the board of the Dynamic Catholic Institute and on local community boards for the Permian Basin Medical Center and the Midland College Foundation. We believe that Mr. Stice’s leadership within the Company, his management experience and his knowledge of the critical internal and external challenges facing the Company and the oil and natural gas industry as a whole qualify him for service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6350</wp:posOffset>
            </wp:positionV>
            <wp:extent cx="7141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1240" w:space="80"/>
            <w:col w:w="9920"/>
          </w:cols>
          <w:pgMar w:left="320" w:top="231" w:right="339" w:bottom="1440" w:gutter="0" w:footer="0" w:header="0"/>
          <w:type w:val="continuous"/>
        </w:sectPr>
      </w:pPr>
    </w:p>
    <w:p>
      <w:pPr>
        <w:ind w:left="300" w:hanging="299"/>
        <w:spacing w:after="0" w:line="285" w:lineRule="auto"/>
        <w:tabs>
          <w:tab w:leader="none" w:pos="30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As previously announced, immediately following the conclusion of the 2026 Annual Meeting, Mr. Stice shall transition from Executive Chairman of the Company to non-executive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172085</wp:posOffset>
            </wp:positionV>
            <wp:extent cx="7141210" cy="7531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753110"/>
                    </a:xfrm>
                    <a:prstGeom prst="rect">
                      <a:avLst/>
                    </a:prstGeom>
                    <a:noFill/>
                  </pic:spPr>
                </pic:pic>
              </a:graphicData>
            </a:graphic>
          </wp:anchor>
        </w:drawing>
      </w:r>
    </w:p>
    <w:p>
      <w:pPr>
        <w:spacing w:after="0" w:line="285" w:lineRule="exact"/>
        <w:rPr>
          <w:sz w:val="20"/>
          <w:szCs w:val="20"/>
          <w:color w:val="auto"/>
        </w:rPr>
      </w:pPr>
    </w:p>
    <w:p>
      <w:pPr>
        <w:ind w:left="1320"/>
        <w:spacing w:after="0"/>
        <w:rPr>
          <w:sz w:val="20"/>
          <w:szCs w:val="20"/>
          <w:color w:val="auto"/>
        </w:rPr>
      </w:pPr>
      <w:r>
        <w:rPr>
          <w:rFonts w:ascii="Arial" w:cs="Arial" w:eastAsia="Arial" w:hAnsi="Arial"/>
          <w:sz w:val="17"/>
          <w:szCs w:val="17"/>
          <w:b w:val="1"/>
          <w:bCs w:val="1"/>
          <w:color w:val="auto"/>
        </w:rPr>
        <w:t>VINCENT K. BROOKS</w:t>
      </w:r>
    </w:p>
    <w:p>
      <w:pPr>
        <w:spacing w:after="0" w:line="49" w:lineRule="exact"/>
        <w:rPr>
          <w:sz w:val="20"/>
          <w:szCs w:val="20"/>
          <w:color w:val="auto"/>
        </w:rPr>
      </w:pPr>
    </w:p>
    <w:tbl>
      <w:tblPr>
        <w:tblLayout w:type="fixed"/>
        <w:tblInd w:w="1320" w:type="dxa"/>
        <w:tblCellMar>
          <w:top w:w="0" w:type="dxa"/>
          <w:left w:w="0" w:type="dxa"/>
          <w:bottom w:w="0" w:type="dxa"/>
          <w:right w:w="0" w:type="dxa"/>
        </w:tblCellMar>
      </w:tblPr>
      <w:tr>
        <w:trPr>
          <w:trHeight w:val="177"/>
        </w:trPr>
        <w:tc>
          <w:tcPr>
            <w:tcW w:w="4220" w:type="dxa"/>
            <w:vAlign w:val="bottom"/>
            <w:gridSpan w:val="2"/>
          </w:tcPr>
          <w:p>
            <w:pPr>
              <w:spacing w:after="0"/>
              <w:rPr>
                <w:sz w:val="20"/>
                <w:szCs w:val="20"/>
                <w:color w:val="auto"/>
              </w:rPr>
            </w:pPr>
            <w:r>
              <w:rPr>
                <w:rFonts w:ascii="Arial" w:cs="Arial" w:eastAsia="Arial" w:hAnsi="Arial"/>
                <w:sz w:val="15"/>
                <w:szCs w:val="15"/>
                <w:b w:val="1"/>
                <w:bCs w:val="1"/>
                <w:color w:val="A26F2A"/>
              </w:rPr>
              <w:t>Skills and Qualifications:</w:t>
            </w:r>
          </w:p>
        </w:tc>
        <w:tc>
          <w:tcPr>
            <w:tcW w:w="108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177"/>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4100" w:type="dxa"/>
            <w:vAlign w:val="bottom"/>
          </w:tcPr>
          <w:p>
            <w:pPr>
              <w:ind w:left="60"/>
              <w:spacing w:after="0"/>
              <w:rPr>
                <w:sz w:val="20"/>
                <w:szCs w:val="20"/>
                <w:color w:val="auto"/>
              </w:rPr>
            </w:pPr>
            <w:r>
              <w:rPr>
                <w:rFonts w:ascii="Arial" w:cs="Arial" w:eastAsia="Arial" w:hAnsi="Arial"/>
                <w:sz w:val="15"/>
                <w:szCs w:val="15"/>
                <w:color w:val="auto"/>
              </w:rPr>
              <w:t>Corporate Governance</w:t>
            </w:r>
          </w:p>
        </w:tc>
        <w:tc>
          <w:tcPr>
            <w:tcW w:w="1080" w:type="dxa"/>
            <w:vAlign w:val="bottom"/>
          </w:tcPr>
          <w:p>
            <w:pPr>
              <w:ind w:left="980"/>
              <w:spacing w:after="0"/>
              <w:rPr>
                <w:sz w:val="20"/>
                <w:szCs w:val="20"/>
                <w:color w:val="auto"/>
              </w:rPr>
            </w:pPr>
            <w:r>
              <w:rPr>
                <w:rFonts w:ascii="Arial" w:cs="Arial" w:eastAsia="Arial" w:hAnsi="Arial"/>
                <w:sz w:val="15"/>
                <w:szCs w:val="15"/>
                <w:color w:val="A26F2A"/>
              </w:rPr>
              <w:t>•</w:t>
            </w:r>
          </w:p>
        </w:tc>
        <w:tc>
          <w:tcPr>
            <w:tcW w:w="3200" w:type="dxa"/>
            <w:vAlign w:val="bottom"/>
          </w:tcPr>
          <w:p>
            <w:pPr>
              <w:ind w:left="80"/>
              <w:spacing w:after="0"/>
              <w:rPr>
                <w:sz w:val="20"/>
                <w:szCs w:val="20"/>
                <w:color w:val="auto"/>
              </w:rPr>
            </w:pPr>
            <w:r>
              <w:rPr>
                <w:rFonts w:ascii="Arial" w:cs="Arial" w:eastAsia="Arial" w:hAnsi="Arial"/>
                <w:sz w:val="15"/>
                <w:szCs w:val="15"/>
                <w:color w:val="auto"/>
              </w:rPr>
              <w:t>Risk Management</w:t>
            </w:r>
          </w:p>
        </w:tc>
      </w:tr>
      <w:tr>
        <w:trPr>
          <w:trHeight w:val="177"/>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4100" w:type="dxa"/>
            <w:vAlign w:val="bottom"/>
          </w:tcPr>
          <w:p>
            <w:pPr>
              <w:ind w:left="60"/>
              <w:spacing w:after="0"/>
              <w:rPr>
                <w:sz w:val="20"/>
                <w:szCs w:val="20"/>
                <w:color w:val="auto"/>
              </w:rPr>
            </w:pPr>
            <w:r>
              <w:rPr>
                <w:rFonts w:ascii="Arial" w:cs="Arial" w:eastAsia="Arial" w:hAnsi="Arial"/>
                <w:sz w:val="15"/>
                <w:szCs w:val="15"/>
                <w:color w:val="auto"/>
              </w:rPr>
              <w:t>Government, Legal &amp; Regulatory</w:t>
            </w:r>
          </w:p>
        </w:tc>
        <w:tc>
          <w:tcPr>
            <w:tcW w:w="1080" w:type="dxa"/>
            <w:vAlign w:val="bottom"/>
          </w:tcPr>
          <w:p>
            <w:pPr>
              <w:ind w:left="980"/>
              <w:spacing w:after="0"/>
              <w:rPr>
                <w:sz w:val="20"/>
                <w:szCs w:val="20"/>
                <w:color w:val="auto"/>
              </w:rPr>
            </w:pPr>
            <w:r>
              <w:rPr>
                <w:rFonts w:ascii="Arial" w:cs="Arial" w:eastAsia="Arial" w:hAnsi="Arial"/>
                <w:sz w:val="15"/>
                <w:szCs w:val="15"/>
                <w:color w:val="A26F2A"/>
              </w:rPr>
              <w:t>•</w:t>
            </w:r>
          </w:p>
        </w:tc>
        <w:tc>
          <w:tcPr>
            <w:tcW w:w="3200" w:type="dxa"/>
            <w:vAlign w:val="bottom"/>
          </w:tcPr>
          <w:p>
            <w:pPr>
              <w:ind w:left="80"/>
              <w:spacing w:after="0"/>
              <w:rPr>
                <w:sz w:val="20"/>
                <w:szCs w:val="20"/>
                <w:color w:val="auto"/>
              </w:rPr>
            </w:pPr>
            <w:r>
              <w:rPr>
                <w:rFonts w:ascii="Arial" w:cs="Arial" w:eastAsia="Arial" w:hAnsi="Arial"/>
                <w:sz w:val="15"/>
                <w:szCs w:val="15"/>
                <w:color w:val="auto"/>
              </w:rPr>
              <w:t>Congressional Engagement/National Security</w:t>
            </w:r>
          </w:p>
        </w:tc>
      </w:tr>
      <w:tr>
        <w:trPr>
          <w:trHeight w:val="177"/>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4100" w:type="dxa"/>
            <w:vAlign w:val="bottom"/>
          </w:tcPr>
          <w:p>
            <w:pPr>
              <w:ind w:left="60"/>
              <w:spacing w:after="0"/>
              <w:rPr>
                <w:sz w:val="20"/>
                <w:szCs w:val="20"/>
                <w:color w:val="auto"/>
              </w:rPr>
            </w:pPr>
            <w:r>
              <w:rPr>
                <w:rFonts w:ascii="Arial" w:cs="Arial" w:eastAsia="Arial" w:hAnsi="Arial"/>
                <w:sz w:val="15"/>
                <w:szCs w:val="15"/>
                <w:color w:val="auto"/>
              </w:rPr>
              <w:t>Environmental, Health, Safety &amp; Sustainability</w:t>
            </w:r>
          </w:p>
        </w:tc>
        <w:tc>
          <w:tcPr>
            <w:tcW w:w="4280" w:type="dxa"/>
            <w:vAlign w:val="bottom"/>
            <w:gridSpan w:val="2"/>
          </w:tcPr>
          <w:p>
            <w:pPr>
              <w:ind w:left="98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Technology and Cyber Defense and Protection</w:t>
            </w:r>
          </w:p>
        </w:tc>
      </w:tr>
      <w:tr>
        <w:trPr>
          <w:trHeight w:val="191"/>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4100" w:type="dxa"/>
            <w:vAlign w:val="bottom"/>
          </w:tcPr>
          <w:p>
            <w:pPr>
              <w:ind w:left="60"/>
              <w:spacing w:after="0"/>
              <w:rPr>
                <w:sz w:val="20"/>
                <w:szCs w:val="20"/>
                <w:color w:val="auto"/>
              </w:rPr>
            </w:pPr>
            <w:r>
              <w:rPr>
                <w:rFonts w:ascii="Arial" w:cs="Arial" w:eastAsia="Arial" w:hAnsi="Arial"/>
                <w:sz w:val="15"/>
                <w:szCs w:val="15"/>
                <w:color w:val="auto"/>
              </w:rPr>
              <w:t>Executive Experience</w:t>
            </w:r>
          </w:p>
        </w:tc>
        <w:tc>
          <w:tcPr>
            <w:tcW w:w="1080" w:type="dxa"/>
            <w:vAlign w:val="bottom"/>
          </w:tcPr>
          <w:p>
            <w:pPr>
              <w:spacing w:after="0"/>
              <w:rPr>
                <w:sz w:val="16"/>
                <w:szCs w:val="16"/>
                <w:color w:val="auto"/>
              </w:rPr>
            </w:pPr>
          </w:p>
        </w:tc>
        <w:tc>
          <w:tcPr>
            <w:tcW w:w="3200" w:type="dxa"/>
            <w:vAlign w:val="bottom"/>
          </w:tcPr>
          <w:p>
            <w:pPr>
              <w:spacing w:after="0"/>
              <w:rPr>
                <w:sz w:val="16"/>
                <w:szCs w:val="16"/>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9"/>
        </w:trPr>
        <w:tc>
          <w:tcPr>
            <w:tcW w:w="900" w:type="dxa"/>
            <w:vAlign w:val="bottom"/>
            <w:vMerge w:val="restart"/>
          </w:tcPr>
          <w:p>
            <w:pPr>
              <w:spacing w:after="0"/>
              <w:rPr>
                <w:sz w:val="20"/>
                <w:szCs w:val="20"/>
                <w:color w:val="auto"/>
              </w:rPr>
            </w:pPr>
            <w:r>
              <w:rPr>
                <w:rFonts w:ascii="Arial" w:cs="Arial" w:eastAsia="Arial" w:hAnsi="Arial"/>
                <w:sz w:val="15"/>
                <w:szCs w:val="15"/>
                <w:b w:val="1"/>
                <w:bCs w:val="1"/>
                <w:color w:val="auto"/>
              </w:rPr>
              <w:t>Age: 67</w:t>
            </w:r>
          </w:p>
        </w:tc>
        <w:tc>
          <w:tcPr>
            <w:tcW w:w="4480" w:type="dxa"/>
            <w:vAlign w:val="bottom"/>
          </w:tcPr>
          <w:p>
            <w:pPr>
              <w:ind w:left="36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Executive Compensation and Human Capital Management</w:t>
            </w:r>
          </w:p>
        </w:tc>
        <w:tc>
          <w:tcPr>
            <w:tcW w:w="0" w:type="dxa"/>
            <w:vAlign w:val="bottom"/>
          </w:tcPr>
          <w:p>
            <w:pPr>
              <w:spacing w:after="0"/>
              <w:rPr>
                <w:sz w:val="1"/>
                <w:szCs w:val="1"/>
                <w:color w:val="auto"/>
              </w:rPr>
            </w:pPr>
          </w:p>
        </w:tc>
      </w:tr>
      <w:tr>
        <w:trPr>
          <w:trHeight w:val="91"/>
        </w:trPr>
        <w:tc>
          <w:tcPr>
            <w:tcW w:w="900" w:type="dxa"/>
            <w:vAlign w:val="bottom"/>
            <w:vMerge w:val="continue"/>
          </w:tcPr>
          <w:p>
            <w:pPr>
              <w:spacing w:after="0"/>
              <w:rPr>
                <w:sz w:val="7"/>
                <w:szCs w:val="7"/>
                <w:color w:val="auto"/>
              </w:rPr>
            </w:pPr>
          </w:p>
        </w:tc>
        <w:tc>
          <w:tcPr>
            <w:tcW w:w="4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-48260</wp:posOffset>
            </wp:positionV>
            <wp:extent cx="63315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31585" cy="825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p>
      <w:pPr>
        <w:spacing w:after="0" w:line="24" w:lineRule="exact"/>
        <w:rPr>
          <w:sz w:val="20"/>
          <w:szCs w:val="20"/>
          <w:color w:val="auto"/>
        </w:rPr>
      </w:pPr>
    </w:p>
    <w:p>
      <w:pPr>
        <w:ind w:left="60" w:right="380"/>
        <w:spacing w:after="0" w:line="329" w:lineRule="auto"/>
        <w:rPr>
          <w:sz w:val="20"/>
          <w:szCs w:val="20"/>
          <w:color w:val="auto"/>
        </w:rPr>
      </w:pPr>
      <w:r>
        <w:rPr>
          <w:rFonts w:ascii="Arial" w:cs="Arial" w:eastAsia="Arial" w:hAnsi="Arial"/>
          <w:sz w:val="14"/>
          <w:szCs w:val="14"/>
          <w:b w:val="1"/>
          <w:bCs w:val="1"/>
          <w:color w:val="auto"/>
        </w:rPr>
        <w:t>Director since: 2020</w:t>
      </w:r>
    </w:p>
    <w:p>
      <w:pPr>
        <w:ind w:left="60" w:right="100"/>
        <w:spacing w:after="0" w:line="360" w:lineRule="auto"/>
        <w:rPr>
          <w:sz w:val="20"/>
          <w:szCs w:val="20"/>
          <w:color w:val="auto"/>
        </w:rPr>
      </w:pPr>
      <w:r>
        <w:rPr>
          <w:rFonts w:ascii="Arial" w:cs="Arial" w:eastAsia="Arial" w:hAnsi="Arial"/>
          <w:sz w:val="15"/>
          <w:szCs w:val="15"/>
          <w:b w:val="1"/>
          <w:bCs w:val="1"/>
          <w:color w:val="A26F2A"/>
        </w:rPr>
        <w:t xml:space="preserve">INDEPENDENT </w:t>
      </w:r>
      <w:r>
        <w:rPr>
          <w:rFonts w:ascii="Arial" w:cs="Arial" w:eastAsia="Arial" w:hAnsi="Arial"/>
          <w:sz w:val="15"/>
          <w:szCs w:val="15"/>
          <w:b w:val="1"/>
          <w:bCs w:val="1"/>
          <w:color w:val="000000"/>
        </w:rPr>
        <w:t>Committees:</w:t>
      </w:r>
    </w:p>
    <w:p>
      <w:pPr>
        <w:ind w:left="240" w:hanging="189"/>
        <w:spacing w:after="0"/>
        <w:tabs>
          <w:tab w:leader="none" w:pos="240" w:val="left"/>
        </w:tabs>
        <w:numPr>
          <w:ilvl w:val="0"/>
          <w:numId w:val="11"/>
        </w:numPr>
        <w:rPr>
          <w:rFonts w:ascii="Arial" w:cs="Arial" w:eastAsia="Arial" w:hAnsi="Arial"/>
          <w:sz w:val="15"/>
          <w:szCs w:val="15"/>
          <w:color w:val="A26F2A"/>
        </w:rPr>
      </w:pPr>
      <w:r>
        <w:rPr>
          <w:rFonts w:ascii="Arial" w:cs="Arial" w:eastAsia="Arial" w:hAnsi="Arial"/>
          <w:sz w:val="15"/>
          <w:szCs w:val="15"/>
          <w:color w:val="auto"/>
        </w:rPr>
        <w:t>Audit</w:t>
      </w:r>
    </w:p>
    <w:p>
      <w:pPr>
        <w:spacing w:after="0" w:line="92" w:lineRule="exact"/>
        <w:rPr>
          <w:rFonts w:ascii="Arial" w:cs="Arial" w:eastAsia="Arial" w:hAnsi="Arial"/>
          <w:sz w:val="15"/>
          <w:szCs w:val="15"/>
          <w:color w:val="A26F2A"/>
        </w:rPr>
      </w:pPr>
    </w:p>
    <w:p>
      <w:pPr>
        <w:ind w:left="220" w:right="60" w:hanging="169"/>
        <w:spacing w:after="0" w:line="264" w:lineRule="auto"/>
        <w:tabs>
          <w:tab w:leader="none" w:pos="231" w:val="left"/>
        </w:tabs>
        <w:numPr>
          <w:ilvl w:val="0"/>
          <w:numId w:val="11"/>
        </w:numPr>
        <w:rPr>
          <w:rFonts w:ascii="Arial" w:cs="Arial" w:eastAsia="Arial" w:hAnsi="Arial"/>
          <w:sz w:val="15"/>
          <w:szCs w:val="15"/>
          <w:color w:val="A26F2A"/>
        </w:rPr>
      </w:pPr>
      <w:r>
        <w:rPr>
          <w:rFonts w:ascii="Arial" w:cs="Arial" w:eastAsia="Arial" w:hAnsi="Arial"/>
          <w:sz w:val="15"/>
          <w:szCs w:val="15"/>
          <w:color w:val="auto"/>
        </w:rPr>
        <w:t>Nominating and Corporate Governance</w:t>
      </w:r>
    </w:p>
    <w:p>
      <w:pPr>
        <w:spacing w:after="0" w:line="36" w:lineRule="exact"/>
        <w:rPr>
          <w:rFonts w:ascii="Arial" w:cs="Arial" w:eastAsia="Arial" w:hAnsi="Arial"/>
          <w:sz w:val="15"/>
          <w:szCs w:val="15"/>
          <w:color w:val="A26F2A"/>
        </w:rPr>
      </w:pPr>
    </w:p>
    <w:p>
      <w:pPr>
        <w:ind w:left="220" w:right="60" w:hanging="169"/>
        <w:spacing w:after="0" w:line="258" w:lineRule="auto"/>
        <w:tabs>
          <w:tab w:leader="none" w:pos="231" w:val="left"/>
        </w:tabs>
        <w:numPr>
          <w:ilvl w:val="0"/>
          <w:numId w:val="11"/>
        </w:numPr>
        <w:rPr>
          <w:rFonts w:ascii="Arial" w:cs="Arial" w:eastAsia="Arial" w:hAnsi="Arial"/>
          <w:sz w:val="15"/>
          <w:szCs w:val="15"/>
          <w:color w:val="A26F2A"/>
        </w:rPr>
      </w:pPr>
      <w:r>
        <w:rPr>
          <w:rFonts w:ascii="Arial" w:cs="Arial" w:eastAsia="Arial" w:hAnsi="Arial"/>
          <w:sz w:val="15"/>
          <w:szCs w:val="15"/>
          <w:color w:val="auto"/>
        </w:rPr>
        <w:t>Safety, Sustainability and Corporate Responsibility</w:t>
      </w:r>
    </w:p>
    <w:p>
      <w:pPr>
        <w:spacing w:after="0" w:line="53" w:lineRule="exact"/>
        <w:rPr>
          <w:sz w:val="20"/>
          <w:szCs w:val="20"/>
          <w:color w:val="auto"/>
        </w:rPr>
      </w:pPr>
    </w:p>
    <w:p>
      <w:pPr>
        <w:ind w:left="60"/>
        <w:spacing w:after="0" w:line="269" w:lineRule="auto"/>
        <w:rPr>
          <w:sz w:val="20"/>
          <w:szCs w:val="20"/>
          <w:color w:val="auto"/>
        </w:rPr>
      </w:pPr>
      <w:r>
        <w:rPr>
          <w:rFonts w:ascii="Arial" w:cs="Arial" w:eastAsia="Arial" w:hAnsi="Arial"/>
          <w:sz w:val="15"/>
          <w:szCs w:val="15"/>
          <w:b w:val="1"/>
          <w:bCs w:val="1"/>
          <w:color w:val="auto"/>
        </w:rPr>
        <w:t>Other Current Public Company Directorships:</w:t>
      </w:r>
    </w:p>
    <w:p>
      <w:pPr>
        <w:spacing w:after="0" w:line="38" w:lineRule="exact"/>
        <w:rPr>
          <w:sz w:val="20"/>
          <w:szCs w:val="20"/>
          <w:color w:val="auto"/>
        </w:rPr>
      </w:pPr>
    </w:p>
    <w:p>
      <w:pPr>
        <w:ind w:left="220" w:right="100" w:hanging="169"/>
        <w:spacing w:after="0" w:line="282" w:lineRule="auto"/>
        <w:tabs>
          <w:tab w:leader="none" w:pos="231" w:val="left"/>
        </w:tabs>
        <w:numPr>
          <w:ilvl w:val="0"/>
          <w:numId w:val="12"/>
        </w:numPr>
        <w:rPr>
          <w:rFonts w:ascii="Arial" w:cs="Arial" w:eastAsia="Arial" w:hAnsi="Arial"/>
          <w:sz w:val="15"/>
          <w:szCs w:val="15"/>
          <w:color w:val="A26F2A"/>
        </w:rPr>
      </w:pPr>
      <w:r>
        <w:rPr>
          <w:rFonts w:ascii="Arial" w:cs="Arial" w:eastAsia="Arial" w:hAnsi="Arial"/>
          <w:sz w:val="15"/>
          <w:szCs w:val="15"/>
          <w:color w:val="auto"/>
        </w:rPr>
        <w:t>Amentum Holdings, Inc.</w:t>
      </w:r>
    </w:p>
    <w:p>
      <w:pPr>
        <w:spacing w:after="0" w:line="20" w:lineRule="exact"/>
        <w:rPr>
          <w:sz w:val="20"/>
          <w:szCs w:val="20"/>
          <w:color w:val="auto"/>
        </w:rPr>
      </w:pPr>
      <w:r>
        <w:rPr>
          <w:sz w:val="20"/>
          <w:szCs w:val="20"/>
          <w:color w:val="auto"/>
        </w:rPr>
        <w:br w:type="column"/>
      </w:r>
    </w:p>
    <w:p>
      <w:pPr>
        <w:jc w:val="both"/>
        <w:ind w:right="40"/>
        <w:spacing w:after="0" w:line="246" w:lineRule="auto"/>
        <w:rPr>
          <w:sz w:val="20"/>
          <w:szCs w:val="20"/>
          <w:color w:val="auto"/>
        </w:rPr>
      </w:pPr>
      <w:r>
        <w:rPr>
          <w:rFonts w:ascii="Arial" w:cs="Arial" w:eastAsia="Arial" w:hAnsi="Arial"/>
          <w:sz w:val="15"/>
          <w:szCs w:val="15"/>
          <w:color w:val="auto"/>
        </w:rPr>
        <w:t>Vincent “Vince” Brooks has served as a director of Diamondback since April 2020. He is a career Army officer who served in the U.S. Army for over 42 years, retiring from active duty in 2019 as a four-star general. General Brooks spent his final seventeen years as a general officer and in nearly all those years in command of large, complex military organizations in challenging situations. During his tenure in the Army, he gained uncommon global experience in leading through complex, ambiguous situations with significant national security interests and risks at stake. He handled crisis management, public communications, risk management and mitigation, budgetary assessment, leadership and management, international relations and interactions, cyber defense and protection, congressional engagement and strategic planning. General Brooks has served as a principal of WestExec Advisors LLC since 2020. General Brooks also served on the board of Jacobs Solutions, Inc. (NYSE: J) from 2020 until the closing of Amentum Holdings, Inc.’s merger with Jacobs’ Critical Mission Solutions and Cyber Intelligence businesses in 2024 and now sits on the board, and serves on the audit committee and nominating and governance committee, of Amentum Holdings, Inc. (NYSE: AMTM). General Brooks also previously served as a director and member of the talent management and compensation committee and the risk committee of Verisk Analytics (Nasdaq: VRSK) until he retired from the board in May 2025. General Brooks serves as Vice Chair of the Gary Sinise Foundation, is a visiting Senior Fellow at Harvard Kennedy School’s Belfer Center for Science and International Affairs, is a Distinguished Fellow at the University of Texas with both the Clements Center for National Security and the Strauss Center for International Security and Law. General Brooks holds a Bachelor of Science in Engineering from the U.S. Military Academy at West Point, a Master of Military Art and Science from the U.S. Army School of Advanced Military Studies and holds an honorary Doctor of Laws from the New England School of Law and an honorary Doctor of Humanities from New England Law | Boston. He became a Certified Corporate Director by the National Association of Corporate Directors (NACD) in 2020 and is NACD Certified in cyber security oversight. We believe that General Brooks’ strong leadership skills, together with his knowledge of global policy, strategy, and geopolitical matters qualify him for service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302260</wp:posOffset>
            </wp:positionV>
            <wp:extent cx="71412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653" w:lineRule="exact"/>
        <w:rPr>
          <w:sz w:val="20"/>
          <w:szCs w:val="20"/>
          <w:color w:val="auto"/>
        </w:rPr>
      </w:pPr>
    </w:p>
    <w:p>
      <w:pPr>
        <w:sectPr>
          <w:pgSz w:w="11900" w:h="16838" w:orient="portrait"/>
          <w:cols w:equalWidth="0" w:num="2">
            <w:col w:w="1240" w:space="80"/>
            <w:col w:w="9920"/>
          </w:cols>
          <w:pgMar w:left="320" w:top="231" w:right="339" w:bottom="1440" w:gutter="0" w:footer="0" w:header="0"/>
          <w:type w:val="continuous"/>
        </w:sect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53110" cy="7613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53110" cy="76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Age: 62</w:t>
      </w:r>
    </w:p>
    <w:p>
      <w:pPr>
        <w:spacing w:after="0" w:line="55" w:lineRule="exact"/>
        <w:rPr>
          <w:sz w:val="20"/>
          <w:szCs w:val="20"/>
          <w:color w:val="auto"/>
        </w:rPr>
      </w:pPr>
    </w:p>
    <w:p>
      <w:pPr>
        <w:ind w:left="60" w:right="280"/>
        <w:spacing w:after="0" w:line="319" w:lineRule="auto"/>
        <w:rPr>
          <w:sz w:val="20"/>
          <w:szCs w:val="20"/>
          <w:color w:val="auto"/>
        </w:rPr>
      </w:pPr>
      <w:r>
        <w:rPr>
          <w:rFonts w:ascii="Arial" w:cs="Arial" w:eastAsia="Arial" w:hAnsi="Arial"/>
          <w:sz w:val="14"/>
          <w:szCs w:val="14"/>
          <w:b w:val="1"/>
          <w:bCs w:val="1"/>
          <w:color w:val="auto"/>
        </w:rPr>
        <w:t>Director since: 2025</w:t>
      </w:r>
    </w:p>
    <w:p>
      <w:pPr>
        <w:spacing w:after="0" w:line="1" w:lineRule="exact"/>
        <w:rPr>
          <w:sz w:val="20"/>
          <w:szCs w:val="20"/>
          <w:color w:val="auto"/>
        </w:rPr>
      </w:pPr>
    </w:p>
    <w:p>
      <w:pPr>
        <w:ind w:left="60"/>
        <w:spacing w:after="0" w:line="368" w:lineRule="auto"/>
        <w:rPr>
          <w:sz w:val="20"/>
          <w:szCs w:val="20"/>
          <w:color w:val="auto"/>
        </w:rPr>
      </w:pPr>
      <w:r>
        <w:rPr>
          <w:rFonts w:ascii="Arial" w:cs="Arial" w:eastAsia="Arial" w:hAnsi="Arial"/>
          <w:sz w:val="15"/>
          <w:szCs w:val="15"/>
          <w:b w:val="1"/>
          <w:bCs w:val="1"/>
          <w:color w:val="A26F2A"/>
        </w:rPr>
        <w:t xml:space="preserve">INDEPENDENT </w:t>
      </w:r>
      <w:r>
        <w:rPr>
          <w:rFonts w:ascii="Arial" w:cs="Arial" w:eastAsia="Arial" w:hAnsi="Arial"/>
          <w:sz w:val="15"/>
          <w:szCs w:val="15"/>
          <w:b w:val="1"/>
          <w:bCs w:val="1"/>
          <w:color w:val="000000"/>
        </w:rPr>
        <w:t>Committees:</w:t>
      </w:r>
    </w:p>
    <w:p>
      <w:pPr>
        <w:spacing w:after="0" w:line="1" w:lineRule="exact"/>
        <w:rPr>
          <w:sz w:val="20"/>
          <w:szCs w:val="20"/>
          <w:color w:val="auto"/>
        </w:rPr>
      </w:pPr>
    </w:p>
    <w:p>
      <w:pPr>
        <w:ind w:left="240" w:hanging="189"/>
        <w:spacing w:after="0"/>
        <w:tabs>
          <w:tab w:leader="none" w:pos="240" w:val="left"/>
        </w:tabs>
        <w:numPr>
          <w:ilvl w:val="0"/>
          <w:numId w:val="13"/>
        </w:numPr>
        <w:rPr>
          <w:rFonts w:ascii="Arial" w:cs="Arial" w:eastAsia="Arial" w:hAnsi="Arial"/>
          <w:sz w:val="15"/>
          <w:szCs w:val="15"/>
          <w:color w:val="A26F2A"/>
        </w:rPr>
      </w:pPr>
      <w:r>
        <w:rPr>
          <w:rFonts w:ascii="Arial" w:cs="Arial" w:eastAsia="Arial" w:hAnsi="Arial"/>
          <w:sz w:val="15"/>
          <w:szCs w:val="15"/>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1044575</wp:posOffset>
            </wp:positionV>
            <wp:extent cx="753110" cy="7613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53110" cy="761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DARIN G. HOLDERNESS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-128905</wp:posOffset>
            </wp:positionV>
            <wp:extent cx="6331585" cy="160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31585" cy="16002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140" w:type="dxa"/>
            <w:vAlign w:val="bottom"/>
            <w:gridSpan w:val="2"/>
          </w:tcPr>
          <w:p>
            <w:pPr>
              <w:spacing w:after="0"/>
              <w:rPr>
                <w:sz w:val="20"/>
                <w:szCs w:val="20"/>
                <w:color w:val="auto"/>
              </w:rPr>
            </w:pPr>
            <w:r>
              <w:rPr>
                <w:rFonts w:ascii="Arial" w:cs="Arial" w:eastAsia="Arial" w:hAnsi="Arial"/>
                <w:sz w:val="15"/>
                <w:szCs w:val="15"/>
                <w:b w:val="1"/>
                <w:bCs w:val="1"/>
                <w:color w:val="A26F2A"/>
              </w:rPr>
              <w:t>Skills and Qualifications:</w:t>
            </w:r>
          </w:p>
        </w:tc>
        <w:tc>
          <w:tcPr>
            <w:tcW w:w="1160" w:type="dxa"/>
            <w:vAlign w:val="bottom"/>
          </w:tcPr>
          <w:p>
            <w:pPr>
              <w:spacing w:after="0"/>
              <w:rPr>
                <w:sz w:val="15"/>
                <w:szCs w:val="15"/>
                <w:color w:val="auto"/>
              </w:rPr>
            </w:pPr>
          </w:p>
        </w:tc>
        <w:tc>
          <w:tcPr>
            <w:tcW w:w="4020" w:type="dxa"/>
            <w:vAlign w:val="bottom"/>
          </w:tcPr>
          <w:p>
            <w:pPr>
              <w:spacing w:after="0"/>
              <w:rPr>
                <w:sz w:val="15"/>
                <w:szCs w:val="15"/>
                <w:color w:val="auto"/>
              </w:rPr>
            </w:pPr>
          </w:p>
        </w:tc>
      </w:tr>
      <w:tr>
        <w:trPr>
          <w:trHeight w:val="177"/>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4020" w:type="dxa"/>
            <w:vAlign w:val="bottom"/>
          </w:tcPr>
          <w:p>
            <w:pPr>
              <w:ind w:left="60"/>
              <w:spacing w:after="0"/>
              <w:rPr>
                <w:sz w:val="20"/>
                <w:szCs w:val="20"/>
                <w:color w:val="auto"/>
              </w:rPr>
            </w:pPr>
            <w:r>
              <w:rPr>
                <w:rFonts w:ascii="Arial" w:cs="Arial" w:eastAsia="Arial" w:hAnsi="Arial"/>
                <w:sz w:val="15"/>
                <w:szCs w:val="15"/>
                <w:color w:val="auto"/>
              </w:rPr>
              <w:t>Financial Reporting/Accounting Experience</w:t>
            </w:r>
          </w:p>
        </w:tc>
        <w:tc>
          <w:tcPr>
            <w:tcW w:w="1160" w:type="dxa"/>
            <w:vAlign w:val="bottom"/>
          </w:tcPr>
          <w:p>
            <w:pPr>
              <w:ind w:left="1060"/>
              <w:spacing w:after="0"/>
              <w:rPr>
                <w:sz w:val="20"/>
                <w:szCs w:val="20"/>
                <w:color w:val="auto"/>
              </w:rPr>
            </w:pPr>
            <w:r>
              <w:rPr>
                <w:rFonts w:ascii="Arial" w:cs="Arial" w:eastAsia="Arial" w:hAnsi="Arial"/>
                <w:sz w:val="15"/>
                <w:szCs w:val="15"/>
                <w:color w:val="A26F2A"/>
              </w:rPr>
              <w:t>•</w:t>
            </w:r>
          </w:p>
        </w:tc>
        <w:tc>
          <w:tcPr>
            <w:tcW w:w="4020" w:type="dxa"/>
            <w:vAlign w:val="bottom"/>
          </w:tcPr>
          <w:p>
            <w:pPr>
              <w:ind w:left="80"/>
              <w:spacing w:after="0"/>
              <w:rPr>
                <w:sz w:val="20"/>
                <w:szCs w:val="20"/>
                <w:color w:val="auto"/>
              </w:rPr>
            </w:pPr>
            <w:r>
              <w:rPr>
                <w:rFonts w:ascii="Arial" w:cs="Arial" w:eastAsia="Arial" w:hAnsi="Arial"/>
                <w:sz w:val="15"/>
                <w:szCs w:val="15"/>
                <w:color w:val="auto"/>
              </w:rPr>
              <w:t>Corporate Governance</w:t>
            </w:r>
          </w:p>
        </w:tc>
      </w:tr>
      <w:tr>
        <w:trPr>
          <w:trHeight w:val="177"/>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4020" w:type="dxa"/>
            <w:vAlign w:val="bottom"/>
          </w:tcPr>
          <w:p>
            <w:pPr>
              <w:ind w:left="60"/>
              <w:spacing w:after="0"/>
              <w:rPr>
                <w:sz w:val="20"/>
                <w:szCs w:val="20"/>
                <w:color w:val="auto"/>
              </w:rPr>
            </w:pPr>
            <w:r>
              <w:rPr>
                <w:rFonts w:ascii="Arial" w:cs="Arial" w:eastAsia="Arial" w:hAnsi="Arial"/>
                <w:sz w:val="15"/>
                <w:szCs w:val="15"/>
                <w:color w:val="auto"/>
              </w:rPr>
              <w:t>Executive Experience</w:t>
            </w:r>
          </w:p>
        </w:tc>
        <w:tc>
          <w:tcPr>
            <w:tcW w:w="5180" w:type="dxa"/>
            <w:vAlign w:val="bottom"/>
            <w:gridSpan w:val="2"/>
          </w:tcPr>
          <w:p>
            <w:pPr>
              <w:ind w:left="106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Executive Compensation and Human Capital Management</w:t>
            </w:r>
          </w:p>
        </w:tc>
      </w:tr>
      <w:tr>
        <w:trPr>
          <w:trHeight w:val="191"/>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4020" w:type="dxa"/>
            <w:vAlign w:val="bottom"/>
          </w:tcPr>
          <w:p>
            <w:pPr>
              <w:ind w:left="60"/>
              <w:spacing w:after="0"/>
              <w:rPr>
                <w:sz w:val="20"/>
                <w:szCs w:val="20"/>
                <w:color w:val="auto"/>
              </w:rPr>
            </w:pPr>
            <w:r>
              <w:rPr>
                <w:rFonts w:ascii="Arial" w:cs="Arial" w:eastAsia="Arial" w:hAnsi="Arial"/>
                <w:sz w:val="15"/>
                <w:szCs w:val="15"/>
                <w:color w:val="auto"/>
              </w:rPr>
              <w:t>M&amp;A/Finance/Capital Markets</w:t>
            </w:r>
          </w:p>
        </w:tc>
        <w:tc>
          <w:tcPr>
            <w:tcW w:w="1160" w:type="dxa"/>
            <w:vAlign w:val="bottom"/>
          </w:tcPr>
          <w:p>
            <w:pPr>
              <w:ind w:left="1060"/>
              <w:spacing w:after="0"/>
              <w:rPr>
                <w:sz w:val="20"/>
                <w:szCs w:val="20"/>
                <w:color w:val="auto"/>
              </w:rPr>
            </w:pPr>
            <w:r>
              <w:rPr>
                <w:rFonts w:ascii="Arial" w:cs="Arial" w:eastAsia="Arial" w:hAnsi="Arial"/>
                <w:sz w:val="15"/>
                <w:szCs w:val="15"/>
                <w:color w:val="A26F2A"/>
              </w:rPr>
              <w:t>•</w:t>
            </w:r>
          </w:p>
        </w:tc>
        <w:tc>
          <w:tcPr>
            <w:tcW w:w="4020" w:type="dxa"/>
            <w:vAlign w:val="bottom"/>
          </w:tcPr>
          <w:p>
            <w:pPr>
              <w:ind w:left="80"/>
              <w:spacing w:after="0"/>
              <w:rPr>
                <w:sz w:val="20"/>
                <w:szCs w:val="20"/>
                <w:color w:val="auto"/>
              </w:rPr>
            </w:pPr>
            <w:r>
              <w:rPr>
                <w:rFonts w:ascii="Arial" w:cs="Arial" w:eastAsia="Arial" w:hAnsi="Arial"/>
                <w:sz w:val="15"/>
                <w:szCs w:val="15"/>
                <w:color w:val="auto"/>
              </w:rPr>
              <w:t>Technology and Cyber Defense and Protection</w:t>
            </w:r>
          </w:p>
        </w:tc>
      </w:tr>
    </w:tbl>
    <w:p>
      <w:pPr>
        <w:ind w:left="180" w:hanging="174"/>
        <w:spacing w:after="0"/>
        <w:tabs>
          <w:tab w:leader="none" w:pos="180" w:val="left"/>
        </w:tabs>
        <w:numPr>
          <w:ilvl w:val="0"/>
          <w:numId w:val="14"/>
        </w:numPr>
        <w:rPr>
          <w:rFonts w:ascii="Arial" w:cs="Arial" w:eastAsia="Arial" w:hAnsi="Arial"/>
          <w:sz w:val="15"/>
          <w:szCs w:val="15"/>
          <w:color w:val="A26F2A"/>
        </w:rPr>
      </w:pPr>
      <w:r>
        <w:rPr>
          <w:rFonts w:ascii="Arial" w:cs="Arial" w:eastAsia="Arial" w:hAnsi="Arial"/>
          <w:sz w:val="15"/>
          <w:szCs w:val="15"/>
          <w:color w:val="auto"/>
        </w:rPr>
        <w:t>Industry Background</w:t>
      </w:r>
    </w:p>
    <w:p>
      <w:pPr>
        <w:spacing w:after="0" w:line="4" w:lineRule="exact"/>
        <w:rPr>
          <w:rFonts w:ascii="Arial" w:cs="Arial" w:eastAsia="Arial" w:hAnsi="Arial"/>
          <w:sz w:val="15"/>
          <w:szCs w:val="15"/>
          <w:color w:val="A26F2A"/>
        </w:rPr>
      </w:pPr>
    </w:p>
    <w:p>
      <w:pPr>
        <w:ind w:left="180" w:hanging="174"/>
        <w:spacing w:after="0"/>
        <w:tabs>
          <w:tab w:leader="none" w:pos="180" w:val="left"/>
        </w:tabs>
        <w:numPr>
          <w:ilvl w:val="0"/>
          <w:numId w:val="14"/>
        </w:numPr>
        <w:rPr>
          <w:rFonts w:ascii="Arial" w:cs="Arial" w:eastAsia="Arial" w:hAnsi="Arial"/>
          <w:sz w:val="15"/>
          <w:szCs w:val="15"/>
          <w:color w:val="A26F2A"/>
        </w:rPr>
      </w:pPr>
      <w:r>
        <w:rPr>
          <w:rFonts w:ascii="Arial" w:cs="Arial" w:eastAsia="Arial" w:hAnsi="Arial"/>
          <w:sz w:val="15"/>
          <w:szCs w:val="15"/>
          <w:color w:val="auto"/>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25400</wp:posOffset>
            </wp:positionV>
            <wp:extent cx="63315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31585" cy="8255"/>
                    </a:xfrm>
                    <a:prstGeom prst="rect">
                      <a:avLst/>
                    </a:prstGeom>
                    <a:noFill/>
                  </pic:spPr>
                </pic:pic>
              </a:graphicData>
            </a:graphic>
          </wp:anchor>
        </w:drawing>
      </w:r>
    </w:p>
    <w:p>
      <w:pPr>
        <w:spacing w:after="0" w:line="84" w:lineRule="exact"/>
        <w:rPr>
          <w:sz w:val="20"/>
          <w:szCs w:val="20"/>
          <w:color w:val="auto"/>
        </w:rPr>
      </w:pPr>
    </w:p>
    <w:p>
      <w:pPr>
        <w:jc w:val="both"/>
        <w:ind w:right="40"/>
        <w:spacing w:after="0" w:line="248" w:lineRule="auto"/>
        <w:rPr>
          <w:sz w:val="20"/>
          <w:szCs w:val="20"/>
          <w:color w:val="auto"/>
        </w:rPr>
      </w:pPr>
      <w:r>
        <w:rPr>
          <w:rFonts w:ascii="Arial" w:cs="Arial" w:eastAsia="Arial" w:hAnsi="Arial"/>
          <w:sz w:val="15"/>
          <w:szCs w:val="15"/>
          <w:color w:val="auto"/>
        </w:rPr>
        <w:t>Mr. Holderness has served as a director of Diamondback since February 2025. Mr. Holderness currently serves on the board of JMR Services LLC. He previously served on the board of Rock Solid Lifestyles, Inc. from September 2016 to April 2024. He was also a founder and served as Chief Financial Officer of P&amp;A Exchange LLC from March 2021 to December 2023. Prior to that, Mr. Holderness served on the board of Penn Virginia Corporation (now Baytex Energy USA, Inc.) from September 2016 to October 2021, where he served as the chair of the audit committee during his tenure on the board and as Chairman of the Board from February 2018 until January 2021. Mr. Holderness served as the Chief Financial Officer of ProPetro Holding Corp. (NYSE: PUMP) from October 2019 to November 2020. Prior to his time at ProPetro, Mr. Holderness served as an advisor to Concho Resources Inc. from May 2016 to January 2017 following his employment at Concho where he served as the Senior Vice President, Chief Financial Officer and Treasurer from August 2008 to May 2016. Before Concho, Mr. Holderness served in various roles in the energy industry including Senior Vice President and Chief Financial Officer of Eagle Rock Energy Partners, Vice President and Chief Accounting Officer of Pioneer Natural Resources Company, Vice President and Chief Financial Officer of Basic Energy Services, Inc., and Vice President and Controller of Pure Resources, Inc. He began his career at KPMG in May 1986 after earning a Bachelor of Business Administration in Accounting degree from Boise State University and is a Certified Public Accountant. We believe that Mr. Holderness’s strong executive management experience, industry expertise, and extensive background in accounting, including previous experience as chief accounting officer and chair of an audit committee, qualify him for service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10160</wp:posOffset>
            </wp:positionV>
            <wp:extent cx="71412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218440</wp:posOffset>
            </wp:positionV>
            <wp:extent cx="6331585" cy="168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31585"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40" w:space="180"/>
            <w:col w:w="9920"/>
          </w:cols>
          <w:pgMar w:left="320" w:top="231" w:right="339" w:bottom="1440" w:gutter="0" w:footer="0" w:header="0"/>
        </w:sectPr>
      </w:pPr>
    </w:p>
    <w:p>
      <w:pPr>
        <w:spacing w:after="0" w:line="178" w:lineRule="exact"/>
        <w:rPr>
          <w:sz w:val="20"/>
          <w:szCs w:val="20"/>
          <w:color w:val="auto"/>
        </w:rPr>
      </w:pPr>
    </w:p>
    <w:p>
      <w:pPr>
        <w:ind w:left="1320"/>
        <w:spacing w:after="0"/>
        <w:rPr>
          <w:sz w:val="20"/>
          <w:szCs w:val="20"/>
          <w:color w:val="auto"/>
        </w:rPr>
      </w:pPr>
      <w:r>
        <w:rPr>
          <w:rFonts w:ascii="Arial" w:cs="Arial" w:eastAsia="Arial" w:hAnsi="Arial"/>
          <w:sz w:val="17"/>
          <w:szCs w:val="17"/>
          <w:b w:val="1"/>
          <w:bCs w:val="1"/>
          <w:color w:val="auto"/>
        </w:rPr>
        <w:t>REBECCA A. KLEIN</w:t>
      </w:r>
    </w:p>
    <w:p>
      <w:pPr>
        <w:spacing w:after="0" w:line="49"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26F2A"/>
        </w:rPr>
        <w:t>Skills and Qualifications:</w:t>
      </w:r>
    </w:p>
    <w:p>
      <w:pPr>
        <w:spacing w:after="0" w:line="18" w:lineRule="exact"/>
        <w:rPr>
          <w:sz w:val="20"/>
          <w:szCs w:val="20"/>
          <w:color w:val="auto"/>
        </w:rPr>
      </w:pPr>
    </w:p>
    <w:p>
      <w:pPr>
        <w:ind w:left="1320"/>
        <w:spacing w:after="0"/>
        <w:tabs>
          <w:tab w:leader="none" w:pos="1480" w:val="left"/>
          <w:tab w:leader="none" w:pos="6500" w:val="left"/>
          <w:tab w:leader="none" w:pos="6680" w:val="left"/>
        </w:tabs>
        <w:rPr>
          <w:sz w:val="20"/>
          <w:szCs w:val="20"/>
          <w:color w:val="auto"/>
        </w:rPr>
      </w:pPr>
      <w:r>
        <w:rPr>
          <w:rFonts w:ascii="Arial" w:cs="Arial" w:eastAsia="Arial" w:hAnsi="Arial"/>
          <w:sz w:val="15"/>
          <w:szCs w:val="15"/>
          <w:color w:val="A26F2A"/>
        </w:rPr>
        <w:t>•</w:t>
      </w:r>
      <w:r>
        <w:rPr>
          <w:rFonts w:ascii="Arial" w:cs="Arial" w:eastAsia="Arial" w:hAnsi="Arial"/>
          <w:sz w:val="15"/>
          <w:szCs w:val="15"/>
          <w:color w:val="auto"/>
        </w:rPr>
        <w:tab/>
        <w:t>Government, Legal &amp; Regulatory</w:t>
      </w:r>
      <w:r>
        <w:rPr>
          <w:sz w:val="20"/>
          <w:szCs w:val="20"/>
          <w:color w:val="auto"/>
        </w:rPr>
        <w:tab/>
      </w:r>
      <w:r>
        <w:rPr>
          <w:rFonts w:ascii="Arial" w:cs="Arial" w:eastAsia="Arial" w:hAnsi="Arial"/>
          <w:sz w:val="15"/>
          <w:szCs w:val="15"/>
          <w:color w:val="A26F2A"/>
        </w:rPr>
        <w:t>•</w:t>
      </w:r>
      <w:r>
        <w:rPr>
          <w:rFonts w:ascii="Arial" w:cs="Arial" w:eastAsia="Arial" w:hAnsi="Arial"/>
          <w:sz w:val="15"/>
          <w:szCs w:val="15"/>
          <w:color w:val="auto"/>
        </w:rPr>
        <w:tab/>
        <w:t>Executive Compensation and Human Capital Management</w:t>
      </w:r>
    </w:p>
    <w:p>
      <w:pPr>
        <w:spacing w:after="0" w:line="4" w:lineRule="exact"/>
        <w:rPr>
          <w:sz w:val="20"/>
          <w:szCs w:val="20"/>
          <w:color w:val="auto"/>
        </w:rPr>
      </w:pPr>
    </w:p>
    <w:p>
      <w:pPr>
        <w:ind w:left="1320"/>
        <w:spacing w:after="0"/>
        <w:tabs>
          <w:tab w:leader="none" w:pos="1480" w:val="left"/>
          <w:tab w:leader="none" w:pos="6500" w:val="left"/>
          <w:tab w:leader="none" w:pos="6680" w:val="left"/>
        </w:tabs>
        <w:rPr>
          <w:sz w:val="20"/>
          <w:szCs w:val="20"/>
          <w:color w:val="auto"/>
        </w:rPr>
      </w:pPr>
      <w:r>
        <w:rPr>
          <w:rFonts w:ascii="Arial" w:cs="Arial" w:eastAsia="Arial" w:hAnsi="Arial"/>
          <w:sz w:val="15"/>
          <w:szCs w:val="15"/>
          <w:color w:val="A26F2A"/>
        </w:rPr>
        <w:t>•</w:t>
      </w:r>
      <w:r>
        <w:rPr>
          <w:rFonts w:ascii="Arial" w:cs="Arial" w:eastAsia="Arial" w:hAnsi="Arial"/>
          <w:sz w:val="15"/>
          <w:szCs w:val="15"/>
          <w:color w:val="auto"/>
        </w:rPr>
        <w:tab/>
        <w:t>Environmental, Health, Safety &amp; Sustainability</w:t>
      </w:r>
      <w:r>
        <w:rPr>
          <w:sz w:val="20"/>
          <w:szCs w:val="20"/>
          <w:color w:val="auto"/>
        </w:rPr>
        <w:tab/>
      </w:r>
      <w:r>
        <w:rPr>
          <w:rFonts w:ascii="Arial" w:cs="Arial" w:eastAsia="Arial" w:hAnsi="Arial"/>
          <w:sz w:val="15"/>
          <w:szCs w:val="15"/>
          <w:color w:val="A26F2A"/>
        </w:rPr>
        <w:t>•</w:t>
      </w:r>
      <w:r>
        <w:rPr>
          <w:rFonts w:ascii="Arial" w:cs="Arial" w:eastAsia="Arial" w:hAnsi="Arial"/>
          <w:sz w:val="15"/>
          <w:szCs w:val="15"/>
          <w:color w:val="auto"/>
        </w:rPr>
        <w:tab/>
        <w:t>Risk Management</w:t>
      </w:r>
    </w:p>
    <w:p>
      <w:pPr>
        <w:spacing w:after="0" w:line="4" w:lineRule="exact"/>
        <w:rPr>
          <w:sz w:val="20"/>
          <w:szCs w:val="20"/>
          <w:color w:val="auto"/>
        </w:rPr>
      </w:pPr>
    </w:p>
    <w:p>
      <w:pPr>
        <w:ind w:left="1500" w:hanging="174"/>
        <w:spacing w:after="0"/>
        <w:tabs>
          <w:tab w:leader="none" w:pos="1500" w:val="left"/>
        </w:tabs>
        <w:numPr>
          <w:ilvl w:val="0"/>
          <w:numId w:val="15"/>
        </w:numPr>
        <w:rPr>
          <w:rFonts w:ascii="Arial" w:cs="Arial" w:eastAsia="Arial" w:hAnsi="Arial"/>
          <w:sz w:val="15"/>
          <w:szCs w:val="15"/>
          <w:color w:val="A26F2A"/>
        </w:rPr>
      </w:pPr>
      <w:r>
        <w:rPr>
          <w:rFonts w:ascii="Arial" w:cs="Arial" w:eastAsia="Arial" w:hAnsi="Arial"/>
          <w:sz w:val="15"/>
          <w:szCs w:val="15"/>
          <w:color w:val="auto"/>
        </w:rPr>
        <w:t>Technology and Cyber Defense and Protection</w:t>
      </w:r>
    </w:p>
    <w:p>
      <w:pPr>
        <w:spacing w:after="0" w:line="4" w:lineRule="exact"/>
        <w:rPr>
          <w:rFonts w:ascii="Arial" w:cs="Arial" w:eastAsia="Arial" w:hAnsi="Arial"/>
          <w:sz w:val="15"/>
          <w:szCs w:val="15"/>
          <w:color w:val="A26F2A"/>
        </w:rPr>
      </w:pPr>
    </w:p>
    <w:p>
      <w:pPr>
        <w:ind w:left="1500" w:hanging="174"/>
        <w:spacing w:after="0"/>
        <w:tabs>
          <w:tab w:leader="none" w:pos="1500" w:val="left"/>
        </w:tabs>
        <w:numPr>
          <w:ilvl w:val="0"/>
          <w:numId w:val="15"/>
        </w:numPr>
        <w:rPr>
          <w:rFonts w:ascii="Arial" w:cs="Arial" w:eastAsia="Arial" w:hAnsi="Arial"/>
          <w:sz w:val="15"/>
          <w:szCs w:val="15"/>
          <w:color w:val="A26F2A"/>
        </w:rPr>
      </w:pPr>
      <w:r>
        <w:rPr>
          <w:rFonts w:ascii="Arial" w:cs="Arial" w:eastAsia="Arial" w:hAnsi="Arial"/>
          <w:sz w:val="15"/>
          <w:szCs w:val="15"/>
          <w:color w:val="auto"/>
        </w:rPr>
        <w:t>Executive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25400</wp:posOffset>
            </wp:positionV>
            <wp:extent cx="63315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31585" cy="825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p>
      <w:pPr>
        <w:spacing w:after="0" w:line="9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Age: 61</w:t>
      </w:r>
    </w:p>
    <w:p>
      <w:pPr>
        <w:spacing w:after="0" w:line="55" w:lineRule="exact"/>
        <w:rPr>
          <w:sz w:val="20"/>
          <w:szCs w:val="20"/>
          <w:color w:val="auto"/>
        </w:rPr>
      </w:pPr>
    </w:p>
    <w:p>
      <w:pPr>
        <w:ind w:left="60" w:right="380"/>
        <w:spacing w:after="0" w:line="329" w:lineRule="auto"/>
        <w:rPr>
          <w:sz w:val="20"/>
          <w:szCs w:val="20"/>
          <w:color w:val="auto"/>
        </w:rPr>
      </w:pPr>
      <w:r>
        <w:rPr>
          <w:rFonts w:ascii="Arial" w:cs="Arial" w:eastAsia="Arial" w:hAnsi="Arial"/>
          <w:sz w:val="14"/>
          <w:szCs w:val="14"/>
          <w:b w:val="1"/>
          <w:bCs w:val="1"/>
          <w:color w:val="auto"/>
        </w:rPr>
        <w:t>Director since: 2022</w:t>
      </w:r>
    </w:p>
    <w:p>
      <w:pPr>
        <w:ind w:left="60" w:right="100"/>
        <w:spacing w:after="0" w:line="360" w:lineRule="auto"/>
        <w:rPr>
          <w:sz w:val="20"/>
          <w:szCs w:val="20"/>
          <w:color w:val="auto"/>
        </w:rPr>
      </w:pPr>
      <w:r>
        <w:rPr>
          <w:rFonts w:ascii="Arial" w:cs="Arial" w:eastAsia="Arial" w:hAnsi="Arial"/>
          <w:sz w:val="15"/>
          <w:szCs w:val="15"/>
          <w:b w:val="1"/>
          <w:bCs w:val="1"/>
          <w:color w:val="A26F2A"/>
        </w:rPr>
        <w:t xml:space="preserve">INDEPENDENT </w:t>
      </w:r>
      <w:r>
        <w:rPr>
          <w:rFonts w:ascii="Arial" w:cs="Arial" w:eastAsia="Arial" w:hAnsi="Arial"/>
          <w:sz w:val="15"/>
          <w:szCs w:val="15"/>
          <w:b w:val="1"/>
          <w:bCs w:val="1"/>
          <w:color w:val="000000"/>
        </w:rPr>
        <w:t>Committees:</w:t>
      </w:r>
    </w:p>
    <w:p>
      <w:pPr>
        <w:ind w:left="220" w:right="60" w:hanging="169"/>
        <w:spacing w:after="0" w:line="258" w:lineRule="auto"/>
        <w:tabs>
          <w:tab w:leader="none" w:pos="231" w:val="left"/>
        </w:tabs>
        <w:numPr>
          <w:ilvl w:val="0"/>
          <w:numId w:val="16"/>
        </w:numPr>
        <w:rPr>
          <w:rFonts w:ascii="Arial" w:cs="Arial" w:eastAsia="Arial" w:hAnsi="Arial"/>
          <w:sz w:val="15"/>
          <w:szCs w:val="15"/>
          <w:color w:val="A26F2A"/>
        </w:rPr>
      </w:pPr>
      <w:r>
        <w:rPr>
          <w:rFonts w:ascii="Arial" w:cs="Arial" w:eastAsia="Arial" w:hAnsi="Arial"/>
          <w:sz w:val="15"/>
          <w:szCs w:val="15"/>
          <w:color w:val="auto"/>
        </w:rPr>
        <w:t>Safety, Sustainability and Corporate Responsibility</w:t>
      </w:r>
    </w:p>
    <w:p>
      <w:pPr>
        <w:spacing w:after="0" w:line="53" w:lineRule="exact"/>
        <w:rPr>
          <w:sz w:val="20"/>
          <w:szCs w:val="20"/>
          <w:color w:val="auto"/>
        </w:rPr>
      </w:pPr>
    </w:p>
    <w:p>
      <w:pPr>
        <w:ind w:left="60"/>
        <w:spacing w:after="0" w:line="269" w:lineRule="auto"/>
        <w:rPr>
          <w:sz w:val="20"/>
          <w:szCs w:val="20"/>
          <w:color w:val="auto"/>
        </w:rPr>
      </w:pPr>
      <w:r>
        <w:rPr>
          <w:rFonts w:ascii="Arial" w:cs="Arial" w:eastAsia="Arial" w:hAnsi="Arial"/>
          <w:sz w:val="15"/>
          <w:szCs w:val="15"/>
          <w:b w:val="1"/>
          <w:bCs w:val="1"/>
          <w:color w:val="auto"/>
        </w:rPr>
        <w:t>Other Current Public Company Directorships:</w:t>
      </w:r>
    </w:p>
    <w:p>
      <w:pPr>
        <w:spacing w:after="0" w:line="38" w:lineRule="exact"/>
        <w:rPr>
          <w:sz w:val="20"/>
          <w:szCs w:val="20"/>
          <w:color w:val="auto"/>
        </w:rPr>
      </w:pPr>
    </w:p>
    <w:p>
      <w:pPr>
        <w:ind w:left="220" w:right="220" w:hanging="169"/>
        <w:spacing w:after="0" w:line="282" w:lineRule="auto"/>
        <w:tabs>
          <w:tab w:leader="none" w:pos="231" w:val="left"/>
        </w:tabs>
        <w:numPr>
          <w:ilvl w:val="0"/>
          <w:numId w:val="17"/>
        </w:numPr>
        <w:rPr>
          <w:rFonts w:ascii="Arial" w:cs="Arial" w:eastAsia="Arial" w:hAnsi="Arial"/>
          <w:sz w:val="15"/>
          <w:szCs w:val="15"/>
          <w:color w:val="A26F2A"/>
        </w:rPr>
      </w:pPr>
      <w:r>
        <w:rPr>
          <w:rFonts w:ascii="Arial" w:cs="Arial" w:eastAsia="Arial" w:hAnsi="Arial"/>
          <w:sz w:val="15"/>
          <w:szCs w:val="15"/>
          <w:color w:val="auto"/>
        </w:rPr>
        <w:t>Avista Corporation</w:t>
      </w:r>
    </w:p>
    <w:p>
      <w:pPr>
        <w:spacing w:after="0" w:line="23" w:lineRule="exact"/>
        <w:rPr>
          <w:rFonts w:ascii="Arial" w:cs="Arial" w:eastAsia="Arial" w:hAnsi="Arial"/>
          <w:sz w:val="15"/>
          <w:szCs w:val="15"/>
          <w:color w:val="A26F2A"/>
        </w:rPr>
      </w:pPr>
    </w:p>
    <w:p>
      <w:pPr>
        <w:ind w:left="240" w:hanging="189"/>
        <w:spacing w:after="0"/>
        <w:tabs>
          <w:tab w:leader="none" w:pos="240" w:val="left"/>
        </w:tabs>
        <w:numPr>
          <w:ilvl w:val="0"/>
          <w:numId w:val="17"/>
        </w:numPr>
        <w:rPr>
          <w:rFonts w:ascii="Arial" w:cs="Arial" w:eastAsia="Arial" w:hAnsi="Arial"/>
          <w:sz w:val="15"/>
          <w:szCs w:val="15"/>
          <w:color w:val="A26F2A"/>
        </w:rPr>
      </w:pPr>
      <w:r>
        <w:rPr>
          <w:rFonts w:ascii="Arial" w:cs="Arial" w:eastAsia="Arial" w:hAnsi="Arial"/>
          <w:sz w:val="15"/>
          <w:szCs w:val="15"/>
          <w:color w:val="auto"/>
        </w:rPr>
        <w:t>H2O America</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ind w:right="40"/>
        <w:spacing w:after="0" w:line="248" w:lineRule="auto"/>
        <w:rPr>
          <w:sz w:val="20"/>
          <w:szCs w:val="20"/>
          <w:color w:val="auto"/>
        </w:rPr>
      </w:pPr>
      <w:r>
        <w:rPr>
          <w:rFonts w:ascii="Arial" w:cs="Arial" w:eastAsia="Arial" w:hAnsi="Arial"/>
          <w:sz w:val="15"/>
          <w:szCs w:val="15"/>
          <w:color w:val="auto"/>
        </w:rPr>
        <w:t>Ms. Klein has served as a director of the Company since July 2022. Ms. Klein is currently the Principal of Klein Energy, LLC, an energy consulting company based in Austin, Texas. Over the last 25 years, she has worked in Washington, D.C. and in Texas in the energy, telecommunications, and national security arenas. Ms. Klein’s professional experience also includes service with KPMG Consulting (now Deloitte) where she headed the development of the company’s Office of Government Affairs and Industry Relations in Washington, D.C. She also served as a Senior Fellow with Georgetown University’s McDonough School of Business. Ms. Klein was the Chairman of the Public Utility Commission of Texas. She has served as chair of the board of the Lower Colorado River Authority, a public power utility owning generation, transmission, and water services across the central Texas area. In addition, she sits on the boards of Avista Corporation (NYSE: AVA), a publicly traded utility in the Pacific Northwest and H2O America (NYSE: HTO), a publicly traded water company which operates in California, Texas, Connecticut, and Maine. She is also an independent advisor to Riverbend X, LP, an affiliate of Riverbend Energy Group focused on making energy transition related investments. She is also the Founder and a director of the Texas Energy Poverty Research Institute. She earned a Juris Doctor from St. Mary’s University School of Law in San Antonio, Texas. Ms. Klein also holds a Master of Arts in National Security Studies from Georgetown University, a Bachelor of Arts in Human Biology from Stanford University, and a Master of Business Administration from MIT. Ms. Klein is a retired Lieutenant Colonel with the U.S. Air Force Reserve. She is a member of the State Bar of Texas. We believe that Ms. Klein’s strong executive management experience, knowledge of the energy, renewables and public utility industries, public policy and regulatory experience and service on boards of other public companies qualify her for service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361950</wp:posOffset>
            </wp:positionV>
            <wp:extent cx="71412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715" w:lineRule="exact"/>
        <w:rPr>
          <w:sz w:val="20"/>
          <w:szCs w:val="20"/>
          <w:color w:val="auto"/>
        </w:rPr>
      </w:pPr>
    </w:p>
    <w:p>
      <w:pPr>
        <w:sectPr>
          <w:pgSz w:w="11900" w:h="16838" w:orient="portrait"/>
          <w:cols w:equalWidth="0" w:num="2">
            <w:col w:w="1240" w:space="80"/>
            <w:col w:w="9920"/>
          </w:cols>
          <w:pgMar w:left="320" w:top="231" w:right="339" w:bottom="1440" w:gutter="0" w:footer="0" w:header="0"/>
          <w:type w:val="continuous"/>
        </w:sectPr>
      </w:pPr>
    </w:p>
    <w:p>
      <w:pPr>
        <w:spacing w:after="0" w:line="31"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7" w:name="page18"/>
    <w:bookmarkEnd w:id="17"/>
    <w:p>
      <w:pPr>
        <w:spacing w:after="0" w:line="204" w:lineRule="auto"/>
        <w:framePr w:w="620" w:h="137" w:wrap="auto" w:vAnchor="page" w:hAnchor="page" w:x="340" w:y="6995"/>
        <w:rPr>
          <w:rFonts w:ascii="Arial" w:cs="Arial" w:eastAsia="Arial" w:hAnsi="Arial"/>
          <w:sz w:val="14"/>
          <w:szCs w:val="14"/>
          <w:b w:val="1"/>
          <w:bCs w:val="1"/>
          <w:color w:val="auto"/>
        </w:rPr>
      </w:pPr>
      <w:r>
        <w:rPr>
          <w:rFonts w:ascii="Arial" w:cs="Arial" w:eastAsia="Arial" w:hAnsi="Arial"/>
          <w:sz w:val="14"/>
          <w:szCs w:val="14"/>
          <w:b w:val="1"/>
          <w:bCs w:val="1"/>
          <w:color w:val="auto"/>
        </w:rPr>
        <w:t>Age: 65</w:t>
      </w:r>
    </w:p>
    <w:p>
      <w:pPr>
        <w:spacing w:after="0" w:line="233" w:lineRule="auto"/>
        <w:framePr w:w="880" w:h="314" w:wrap="auto" w:vAnchor="page" w:hAnchor="page" w:x="340" w:y="7223"/>
        <w:rPr>
          <w:rFonts w:ascii="Arial" w:cs="Arial" w:eastAsia="Arial" w:hAnsi="Arial"/>
          <w:sz w:val="14"/>
          <w:szCs w:val="14"/>
          <w:b w:val="1"/>
          <w:bCs w:val="1"/>
          <w:color w:val="auto"/>
        </w:rPr>
      </w:pPr>
      <w:r>
        <w:rPr>
          <w:rFonts w:ascii="Arial" w:cs="Arial" w:eastAsia="Arial" w:hAnsi="Arial"/>
          <w:sz w:val="14"/>
          <w:szCs w:val="14"/>
          <w:b w:val="1"/>
          <w:bCs w:val="1"/>
          <w:color w:val="auto"/>
        </w:rPr>
        <w:t>Director since: 2024</w:t>
      </w:r>
    </w:p>
    <w:p>
      <w:pPr>
        <w:spacing w:after="0" w:line="204" w:lineRule="auto"/>
        <w:framePr w:w="980" w:h="137" w:wrap="auto" w:vAnchor="page" w:hAnchor="page" w:x="340" w:y="7652"/>
        <w:rPr>
          <w:rFonts w:ascii="Arial" w:cs="Arial" w:eastAsia="Arial" w:hAnsi="Arial"/>
          <w:sz w:val="14"/>
          <w:szCs w:val="14"/>
          <w:b w:val="1"/>
          <w:bCs w:val="1"/>
          <w:color w:val="auto"/>
        </w:rPr>
      </w:pPr>
      <w:r>
        <w:rPr>
          <w:rFonts w:ascii="Arial" w:cs="Arial" w:eastAsia="Arial" w:hAnsi="Arial"/>
          <w:sz w:val="14"/>
          <w:szCs w:val="14"/>
          <w:b w:val="1"/>
          <w:bCs w:val="1"/>
          <w:color w:val="auto"/>
        </w:rPr>
        <w:t>Committees:</w:t>
      </w:r>
    </w:p>
    <w:p>
      <w:pPr>
        <w:spacing w:after="0" w:line="234" w:lineRule="auto"/>
        <w:framePr w:w="1200" w:h="844" w:wrap="auto" w:vAnchor="page" w:hAnchor="page" w:x="340" w:y="7917"/>
        <w:rPr>
          <w:rFonts w:ascii="Arial" w:cs="Arial" w:eastAsia="Arial" w:hAnsi="Arial"/>
          <w:sz w:val="15"/>
          <w:szCs w:val="15"/>
          <w:b w:val="1"/>
          <w:bCs w:val="1"/>
          <w:color w:val="000000"/>
        </w:rPr>
      </w:pPr>
      <w:r>
        <w:rPr>
          <w:rFonts w:ascii="Arial" w:cs="Arial" w:eastAsia="Arial" w:hAnsi="Arial"/>
          <w:sz w:val="15"/>
          <w:szCs w:val="15"/>
          <w:b w:val="1"/>
          <w:bCs w:val="1"/>
          <w:color w:val="A26F2A"/>
        </w:rPr>
        <w:t xml:space="preserve">• </w:t>
      </w:r>
      <w:r>
        <w:rPr>
          <w:rFonts w:ascii="Arial" w:cs="Arial" w:eastAsia="Arial" w:hAnsi="Arial"/>
          <w:sz w:val="15"/>
          <w:szCs w:val="15"/>
          <w:b w:val="1"/>
          <w:bCs w:val="1"/>
          <w:color w:val="000000"/>
        </w:rPr>
        <w:t>Safety,</w:t>
      </w:r>
      <w:r>
        <w:rPr>
          <w:rFonts w:ascii="Arial" w:cs="Arial" w:eastAsia="Arial" w:hAnsi="Arial"/>
          <w:sz w:val="15"/>
          <w:szCs w:val="15"/>
          <w:b w:val="1"/>
          <w:bCs w:val="1"/>
          <w:color w:val="A26F2A"/>
        </w:rPr>
        <w:t xml:space="preserve"> </w:t>
      </w:r>
      <w:r>
        <w:rPr>
          <w:rFonts w:ascii="Arial" w:cs="Arial" w:eastAsia="Arial" w:hAnsi="Arial"/>
          <w:sz w:val="15"/>
          <w:szCs w:val="15"/>
          <w:b w:val="1"/>
          <w:bCs w:val="1"/>
          <w:color w:val="000000"/>
        </w:rPr>
        <w:t>Sustainability and Corporate Responsibility Committee</w:t>
      </w:r>
    </w:p>
    <w:p>
      <w:pPr>
        <w:spacing w:after="0" w:line="195" w:lineRule="auto"/>
        <w:framePr w:w="1180" w:h="122" w:wrap="auto" w:vAnchor="page" w:hAnchor="page" w:x="280" w:y="245"/>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t>Back to Contents</w:t>
      </w:r>
    </w:p>
    <w:p>
      <w:pPr>
        <w:ind w:left="13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353695</wp:posOffset>
            </wp:positionV>
            <wp:extent cx="7141210" cy="7613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210" cy="761365"/>
                    </a:xfrm>
                    <a:prstGeom prst="rect">
                      <a:avLst/>
                    </a:prstGeom>
                    <a:noFill/>
                  </pic:spPr>
                </pic:pic>
              </a:graphicData>
            </a:graphic>
          </wp:anchor>
        </w:drawing>
        <w:t>STEPHANIE K. MAINS</w:t>
      </w:r>
    </w:p>
    <w:p>
      <w:pPr>
        <w:spacing w:after="0" w:line="62" w:lineRule="exact"/>
        <w:rPr>
          <w:rFonts w:ascii="Arial" w:cs="Arial" w:eastAsia="Arial" w:hAnsi="Arial"/>
          <w:sz w:val="13"/>
          <w:szCs w:val="13"/>
          <w:b w:val="1"/>
          <w:bCs w:val="1"/>
          <w:u w:val="single" w:color="auto"/>
          <w:color w:val="0000EE"/>
        </w:rPr>
      </w:pPr>
    </w:p>
    <w:tbl>
      <w:tblPr>
        <w:tblLayout w:type="fixed"/>
        <w:tblInd w:w="0" w:type="dxa"/>
        <w:tblCellMar>
          <w:top w:w="0" w:type="dxa"/>
          <w:left w:w="0" w:type="dxa"/>
          <w:bottom w:w="0" w:type="dxa"/>
          <w:right w:w="0" w:type="dxa"/>
        </w:tblCellMar>
      </w:tblPr>
      <w:tr>
        <w:trPr>
          <w:trHeight w:val="177"/>
        </w:trPr>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60" w:type="dxa"/>
            <w:vAlign w:val="bottom"/>
            <w:gridSpan w:val="2"/>
          </w:tcPr>
          <w:p>
            <w:pPr>
              <w:ind w:left="40"/>
              <w:spacing w:after="0"/>
              <w:rPr>
                <w:sz w:val="20"/>
                <w:szCs w:val="20"/>
                <w:color w:val="auto"/>
              </w:rPr>
            </w:pPr>
            <w:r>
              <w:rPr>
                <w:rFonts w:ascii="Arial" w:cs="Arial" w:eastAsia="Arial" w:hAnsi="Arial"/>
                <w:sz w:val="15"/>
                <w:szCs w:val="15"/>
                <w:b w:val="1"/>
                <w:bCs w:val="1"/>
                <w:color w:val="A26F2A"/>
              </w:rPr>
              <w:t>Skills and Qualifications:</w:t>
            </w:r>
          </w:p>
        </w:tc>
        <w:tc>
          <w:tcPr>
            <w:tcW w:w="10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Arial" w:cs="Arial" w:eastAsia="Arial" w:hAnsi="Arial"/>
                <w:sz w:val="15"/>
                <w:szCs w:val="15"/>
                <w:color w:val="A26F2A"/>
              </w:rPr>
              <w:t>•</w:t>
            </w:r>
          </w:p>
        </w:tc>
        <w:tc>
          <w:tcPr>
            <w:tcW w:w="4100" w:type="dxa"/>
            <w:vAlign w:val="bottom"/>
          </w:tcPr>
          <w:p>
            <w:pPr>
              <w:ind w:left="60"/>
              <w:spacing w:after="0"/>
              <w:rPr>
                <w:sz w:val="20"/>
                <w:szCs w:val="20"/>
                <w:color w:val="auto"/>
              </w:rPr>
            </w:pPr>
            <w:r>
              <w:rPr>
                <w:rFonts w:ascii="Arial" w:cs="Arial" w:eastAsia="Arial" w:hAnsi="Arial"/>
                <w:sz w:val="15"/>
                <w:szCs w:val="15"/>
                <w:color w:val="auto"/>
              </w:rPr>
              <w:t>Corporate Governance</w:t>
            </w:r>
          </w:p>
        </w:tc>
        <w:tc>
          <w:tcPr>
            <w:tcW w:w="1080" w:type="dxa"/>
            <w:vAlign w:val="bottom"/>
          </w:tcPr>
          <w:p>
            <w:pPr>
              <w:ind w:left="980"/>
              <w:spacing w:after="0"/>
              <w:rPr>
                <w:sz w:val="20"/>
                <w:szCs w:val="20"/>
                <w:color w:val="auto"/>
              </w:rPr>
            </w:pPr>
            <w:r>
              <w:rPr>
                <w:rFonts w:ascii="Arial" w:cs="Arial" w:eastAsia="Arial" w:hAnsi="Arial"/>
                <w:sz w:val="15"/>
                <w:szCs w:val="15"/>
                <w:color w:val="A26F2A"/>
              </w:rPr>
              <w:t>•</w:t>
            </w:r>
          </w:p>
        </w:tc>
        <w:tc>
          <w:tcPr>
            <w:tcW w:w="4620" w:type="dxa"/>
            <w:vAlign w:val="bottom"/>
          </w:tcPr>
          <w:p>
            <w:pPr>
              <w:ind w:left="80"/>
              <w:spacing w:after="0"/>
              <w:rPr>
                <w:sz w:val="20"/>
                <w:szCs w:val="20"/>
                <w:color w:val="auto"/>
              </w:rPr>
            </w:pPr>
            <w:r>
              <w:rPr>
                <w:rFonts w:ascii="Arial" w:cs="Arial" w:eastAsia="Arial" w:hAnsi="Arial"/>
                <w:sz w:val="15"/>
                <w:szCs w:val="15"/>
                <w:color w:val="auto"/>
              </w:rPr>
              <w:t>Executive Experience</w:t>
            </w: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Arial" w:cs="Arial" w:eastAsia="Arial" w:hAnsi="Arial"/>
                <w:sz w:val="15"/>
                <w:szCs w:val="15"/>
                <w:color w:val="A26F2A"/>
              </w:rPr>
              <w:t>•</w:t>
            </w:r>
          </w:p>
        </w:tc>
        <w:tc>
          <w:tcPr>
            <w:tcW w:w="4100" w:type="dxa"/>
            <w:vAlign w:val="bottom"/>
          </w:tcPr>
          <w:p>
            <w:pPr>
              <w:ind w:left="60"/>
              <w:spacing w:after="0"/>
              <w:rPr>
                <w:sz w:val="20"/>
                <w:szCs w:val="20"/>
                <w:color w:val="auto"/>
              </w:rPr>
            </w:pPr>
            <w:r>
              <w:rPr>
                <w:rFonts w:ascii="Arial" w:cs="Arial" w:eastAsia="Arial" w:hAnsi="Arial"/>
                <w:sz w:val="15"/>
                <w:szCs w:val="15"/>
                <w:color w:val="auto"/>
              </w:rPr>
              <w:t>M&amp;A/Finance/Capital Markets</w:t>
            </w:r>
          </w:p>
        </w:tc>
        <w:tc>
          <w:tcPr>
            <w:tcW w:w="5700" w:type="dxa"/>
            <w:vAlign w:val="bottom"/>
            <w:gridSpan w:val="2"/>
          </w:tcPr>
          <w:p>
            <w:pPr>
              <w:ind w:left="98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Executive Compensation and Human Capital Management</w:t>
            </w: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Arial" w:cs="Arial" w:eastAsia="Arial" w:hAnsi="Arial"/>
                <w:sz w:val="15"/>
                <w:szCs w:val="15"/>
                <w:color w:val="A26F2A"/>
              </w:rPr>
              <w:t>•</w:t>
            </w:r>
          </w:p>
        </w:tc>
        <w:tc>
          <w:tcPr>
            <w:tcW w:w="4100" w:type="dxa"/>
            <w:vAlign w:val="bottom"/>
          </w:tcPr>
          <w:p>
            <w:pPr>
              <w:ind w:left="60"/>
              <w:spacing w:after="0"/>
              <w:rPr>
                <w:sz w:val="20"/>
                <w:szCs w:val="20"/>
                <w:color w:val="auto"/>
              </w:rPr>
            </w:pPr>
            <w:r>
              <w:rPr>
                <w:rFonts w:ascii="Arial" w:cs="Arial" w:eastAsia="Arial" w:hAnsi="Arial"/>
                <w:sz w:val="15"/>
                <w:szCs w:val="15"/>
                <w:color w:val="auto"/>
              </w:rPr>
              <w:t>Financial Reporting/Accounting Experience</w:t>
            </w:r>
          </w:p>
        </w:tc>
        <w:tc>
          <w:tcPr>
            <w:tcW w:w="1080" w:type="dxa"/>
            <w:vAlign w:val="bottom"/>
          </w:tcPr>
          <w:p>
            <w:pPr>
              <w:ind w:left="980"/>
              <w:spacing w:after="0"/>
              <w:rPr>
                <w:sz w:val="20"/>
                <w:szCs w:val="20"/>
                <w:color w:val="auto"/>
              </w:rPr>
            </w:pPr>
            <w:r>
              <w:rPr>
                <w:rFonts w:ascii="Arial" w:cs="Arial" w:eastAsia="Arial" w:hAnsi="Arial"/>
                <w:sz w:val="15"/>
                <w:szCs w:val="15"/>
                <w:color w:val="A26F2A"/>
              </w:rPr>
              <w:t>•</w:t>
            </w:r>
          </w:p>
        </w:tc>
        <w:tc>
          <w:tcPr>
            <w:tcW w:w="4620" w:type="dxa"/>
            <w:vAlign w:val="bottom"/>
          </w:tcPr>
          <w:p>
            <w:pPr>
              <w:ind w:left="80"/>
              <w:spacing w:after="0"/>
              <w:rPr>
                <w:sz w:val="20"/>
                <w:szCs w:val="20"/>
                <w:color w:val="auto"/>
              </w:rPr>
            </w:pPr>
            <w:r>
              <w:rPr>
                <w:rFonts w:ascii="Arial" w:cs="Arial" w:eastAsia="Arial" w:hAnsi="Arial"/>
                <w:sz w:val="15"/>
                <w:szCs w:val="15"/>
                <w:color w:val="auto"/>
              </w:rPr>
              <w:t>Risk Management</w:t>
            </w: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Arial" w:cs="Arial" w:eastAsia="Arial" w:hAnsi="Arial"/>
                <w:sz w:val="15"/>
                <w:szCs w:val="15"/>
                <w:color w:val="A26F2A"/>
              </w:rPr>
              <w:t>•</w:t>
            </w:r>
          </w:p>
        </w:tc>
        <w:tc>
          <w:tcPr>
            <w:tcW w:w="4100" w:type="dxa"/>
            <w:vAlign w:val="bottom"/>
          </w:tcPr>
          <w:p>
            <w:pPr>
              <w:ind w:left="60"/>
              <w:spacing w:after="0"/>
              <w:rPr>
                <w:sz w:val="20"/>
                <w:szCs w:val="20"/>
                <w:color w:val="auto"/>
              </w:rPr>
            </w:pPr>
            <w:r>
              <w:rPr>
                <w:rFonts w:ascii="Arial" w:cs="Arial" w:eastAsia="Arial" w:hAnsi="Arial"/>
                <w:sz w:val="15"/>
                <w:szCs w:val="15"/>
                <w:color w:val="auto"/>
              </w:rPr>
              <w:t>Environmental, Health, Safety &amp; Sustainability</w:t>
            </w:r>
          </w:p>
        </w:tc>
        <w:tc>
          <w:tcPr>
            <w:tcW w:w="5700" w:type="dxa"/>
            <w:vAlign w:val="bottom"/>
            <w:gridSpan w:val="2"/>
          </w:tcPr>
          <w:p>
            <w:pPr>
              <w:ind w:left="98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Technology and Cyber Defense and Protection</w:t>
            </w:r>
          </w:p>
        </w:tc>
        <w:tc>
          <w:tcPr>
            <w:tcW w:w="0" w:type="dxa"/>
            <w:vAlign w:val="bottom"/>
          </w:tcPr>
          <w:p>
            <w:pPr>
              <w:spacing w:after="0"/>
              <w:rPr>
                <w:sz w:val="1"/>
                <w:szCs w:val="1"/>
                <w:color w:val="auto"/>
              </w:rPr>
            </w:pPr>
          </w:p>
        </w:tc>
      </w:tr>
      <w:tr>
        <w:trPr>
          <w:trHeight w:val="199"/>
        </w:trPr>
        <w:tc>
          <w:tcPr>
            <w:tcW w:w="12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Age: 58</w:t>
            </w:r>
          </w:p>
        </w:tc>
        <w:tc>
          <w:tcPr>
            <w:tcW w:w="160" w:type="dxa"/>
            <w:vAlign w:val="bottom"/>
          </w:tcPr>
          <w:p>
            <w:pPr>
              <w:ind w:left="40"/>
              <w:spacing w:after="0"/>
              <w:rPr>
                <w:sz w:val="20"/>
                <w:szCs w:val="20"/>
                <w:color w:val="auto"/>
              </w:rPr>
            </w:pPr>
            <w:r>
              <w:rPr>
                <w:rFonts w:ascii="Arial" w:cs="Arial" w:eastAsia="Arial" w:hAnsi="Arial"/>
                <w:sz w:val="15"/>
                <w:szCs w:val="15"/>
                <w:color w:val="A26F2A"/>
              </w:rPr>
              <w:t>•</w:t>
            </w:r>
          </w:p>
        </w:tc>
        <w:tc>
          <w:tcPr>
            <w:tcW w:w="4100" w:type="dxa"/>
            <w:vAlign w:val="bottom"/>
          </w:tcPr>
          <w:p>
            <w:pPr>
              <w:ind w:left="60"/>
              <w:spacing w:after="0"/>
              <w:rPr>
                <w:sz w:val="20"/>
                <w:szCs w:val="20"/>
                <w:color w:val="auto"/>
              </w:rPr>
            </w:pPr>
            <w:r>
              <w:rPr>
                <w:rFonts w:ascii="Arial" w:cs="Arial" w:eastAsia="Arial" w:hAnsi="Arial"/>
                <w:sz w:val="15"/>
                <w:szCs w:val="15"/>
                <w:color w:val="auto"/>
              </w:rPr>
              <w:t>Industry Background</w:t>
            </w:r>
          </w:p>
        </w:tc>
        <w:tc>
          <w:tcPr>
            <w:tcW w:w="10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28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280" w:type="dxa"/>
            <w:vAlign w:val="bottom"/>
            <w:gridSpan w:val="2"/>
            <w:vMerge w:val="continue"/>
          </w:tcPr>
          <w:p>
            <w:pPr>
              <w:spacing w:after="0"/>
              <w:rPr>
                <w:sz w:val="6"/>
                <w:szCs w:val="6"/>
                <w:color w:val="auto"/>
              </w:rPr>
            </w:pPr>
          </w:p>
        </w:tc>
        <w:tc>
          <w:tcPr>
            <w:tcW w:w="9960" w:type="dxa"/>
            <w:vAlign w:val="bottom"/>
            <w:gridSpan w:val="4"/>
            <w:vMerge w:val="restart"/>
          </w:tcPr>
          <w:p>
            <w:pPr>
              <w:ind w:left="40"/>
              <w:spacing w:after="0"/>
              <w:rPr>
                <w:sz w:val="20"/>
                <w:szCs w:val="20"/>
                <w:color w:val="auto"/>
              </w:rPr>
            </w:pPr>
            <w:r>
              <w:rPr>
                <w:rFonts w:ascii="Arial" w:cs="Arial" w:eastAsia="Arial" w:hAnsi="Arial"/>
                <w:sz w:val="15"/>
                <w:szCs w:val="15"/>
                <w:color w:val="auto"/>
              </w:rPr>
              <w:t>Ms. Mains has served as a director of the Company since April 2020. Ms. Mains has over 30 years of experience across diverse industry</w:t>
            </w:r>
          </w:p>
        </w:tc>
        <w:tc>
          <w:tcPr>
            <w:tcW w:w="0" w:type="dxa"/>
            <w:vAlign w:val="bottom"/>
          </w:tcPr>
          <w:p>
            <w:pPr>
              <w:spacing w:after="0"/>
              <w:rPr>
                <w:sz w:val="1"/>
                <w:szCs w:val="1"/>
                <w:color w:val="auto"/>
              </w:rPr>
            </w:pPr>
          </w:p>
        </w:tc>
      </w:tr>
      <w:tr>
        <w:trPr>
          <w:trHeight w:val="146"/>
        </w:trPr>
        <w:tc>
          <w:tcPr>
            <w:tcW w:w="12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Director</w:t>
            </w:r>
          </w:p>
        </w:tc>
        <w:tc>
          <w:tcPr>
            <w:tcW w:w="99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280" w:type="dxa"/>
            <w:vAlign w:val="bottom"/>
            <w:gridSpan w:val="2"/>
            <w:vMerge w:val="continue"/>
          </w:tcPr>
          <w:p>
            <w:pPr>
              <w:spacing w:after="0"/>
              <w:rPr>
                <w:sz w:val="4"/>
                <w:szCs w:val="4"/>
                <w:color w:val="auto"/>
              </w:rPr>
            </w:pPr>
          </w:p>
        </w:tc>
        <w:tc>
          <w:tcPr>
            <w:tcW w:w="9960" w:type="dxa"/>
            <w:vAlign w:val="bottom"/>
            <w:gridSpan w:val="4"/>
            <w:vMerge w:val="restart"/>
          </w:tcPr>
          <w:p>
            <w:pPr>
              <w:ind w:left="40"/>
              <w:spacing w:after="0"/>
              <w:rPr>
                <w:sz w:val="20"/>
                <w:szCs w:val="20"/>
                <w:color w:val="auto"/>
              </w:rPr>
            </w:pPr>
            <w:r>
              <w:rPr>
                <w:rFonts w:ascii="Arial" w:cs="Arial" w:eastAsia="Arial" w:hAnsi="Arial"/>
                <w:sz w:val="15"/>
                <w:szCs w:val="15"/>
                <w:color w:val="auto"/>
              </w:rPr>
              <w:t>segments, including aviation, energy, and transportation. Within the last 15 years, Ms. Mains has been building and expanding global businesses</w:t>
            </w:r>
          </w:p>
        </w:tc>
        <w:tc>
          <w:tcPr>
            <w:tcW w:w="0" w:type="dxa"/>
            <w:vAlign w:val="bottom"/>
          </w:tcPr>
          <w:p>
            <w:pPr>
              <w:spacing w:after="0"/>
              <w:rPr>
                <w:sz w:val="1"/>
                <w:szCs w:val="1"/>
                <w:color w:val="auto"/>
              </w:rPr>
            </w:pPr>
          </w:p>
        </w:tc>
      </w:tr>
      <w:tr>
        <w:trPr>
          <w:trHeight w:val="126"/>
        </w:trPr>
        <w:tc>
          <w:tcPr>
            <w:tcW w:w="12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since: 2020</w:t>
            </w:r>
          </w:p>
        </w:tc>
        <w:tc>
          <w:tcPr>
            <w:tcW w:w="99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80" w:type="dxa"/>
            <w:vAlign w:val="bottom"/>
            <w:gridSpan w:val="2"/>
            <w:vMerge w:val="continue"/>
          </w:tcPr>
          <w:p>
            <w:pPr>
              <w:spacing w:after="0"/>
              <w:rPr>
                <w:sz w:val="7"/>
                <w:szCs w:val="7"/>
                <w:color w:val="auto"/>
              </w:rPr>
            </w:pPr>
          </w:p>
        </w:tc>
        <w:tc>
          <w:tcPr>
            <w:tcW w:w="9960" w:type="dxa"/>
            <w:vAlign w:val="bottom"/>
            <w:gridSpan w:val="4"/>
            <w:vMerge w:val="restart"/>
          </w:tcPr>
          <w:p>
            <w:pPr>
              <w:ind w:left="40"/>
              <w:spacing w:after="0"/>
              <w:rPr>
                <w:sz w:val="20"/>
                <w:szCs w:val="20"/>
                <w:color w:val="auto"/>
              </w:rPr>
            </w:pPr>
            <w:r>
              <w:rPr>
                <w:rFonts w:ascii="Arial" w:cs="Arial" w:eastAsia="Arial" w:hAnsi="Arial"/>
                <w:sz w:val="15"/>
                <w:szCs w:val="15"/>
                <w:color w:val="auto"/>
              </w:rPr>
              <w:t>serving the oil and gas, utility, distributed power, and electrification spaces. In 2020, she held the interim CEO role for GE Power Conversion, a $1B</w:t>
            </w:r>
          </w:p>
        </w:tc>
        <w:tc>
          <w:tcPr>
            <w:tcW w:w="0" w:type="dxa"/>
            <w:vAlign w:val="bottom"/>
          </w:tcPr>
          <w:p>
            <w:pPr>
              <w:spacing w:after="0"/>
              <w:rPr>
                <w:sz w:val="1"/>
                <w:szCs w:val="1"/>
                <w:color w:val="auto"/>
              </w:rPr>
            </w:pPr>
          </w:p>
        </w:tc>
      </w:tr>
      <w:tr>
        <w:trPr>
          <w:trHeight w:val="96"/>
        </w:trPr>
        <w:tc>
          <w:tcPr>
            <w:tcW w:w="12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26F2A"/>
              </w:rPr>
              <w:t>INDEPENDENT</w:t>
            </w:r>
          </w:p>
        </w:tc>
        <w:tc>
          <w:tcPr>
            <w:tcW w:w="99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280" w:type="dxa"/>
            <w:vAlign w:val="bottom"/>
            <w:gridSpan w:val="2"/>
            <w:vMerge w:val="continue"/>
          </w:tcPr>
          <w:p>
            <w:pPr>
              <w:spacing w:after="0"/>
              <w:rPr>
                <w:sz w:val="15"/>
                <w:szCs w:val="15"/>
                <w:color w:val="auto"/>
              </w:rPr>
            </w:pPr>
          </w:p>
        </w:tc>
        <w:tc>
          <w:tcPr>
            <w:tcW w:w="9960" w:type="dxa"/>
            <w:vAlign w:val="bottom"/>
            <w:gridSpan w:val="4"/>
          </w:tcPr>
          <w:p>
            <w:pPr>
              <w:ind w:left="40"/>
              <w:spacing w:after="0"/>
              <w:rPr>
                <w:sz w:val="20"/>
                <w:szCs w:val="20"/>
                <w:color w:val="auto"/>
              </w:rPr>
            </w:pPr>
            <w:r>
              <w:rPr>
                <w:rFonts w:ascii="Arial" w:cs="Arial" w:eastAsia="Arial" w:hAnsi="Arial"/>
                <w:sz w:val="15"/>
                <w:szCs w:val="15"/>
                <w:color w:val="auto"/>
              </w:rPr>
              <w:t>advanced electrification and digital solutions business, leading the business to a profitable turnaround through COVID-19. From 2015-2019, she</w:t>
            </w:r>
          </w:p>
        </w:tc>
        <w:tc>
          <w:tcPr>
            <w:tcW w:w="0" w:type="dxa"/>
            <w:vAlign w:val="bottom"/>
          </w:tcPr>
          <w:p>
            <w:pPr>
              <w:spacing w:after="0"/>
              <w:rPr>
                <w:sz w:val="1"/>
                <w:szCs w:val="1"/>
                <w:color w:val="auto"/>
              </w:rPr>
            </w:pPr>
          </w:p>
        </w:tc>
      </w:tr>
      <w:tr>
        <w:trPr>
          <w:trHeight w:val="177"/>
        </w:trPr>
        <w:tc>
          <w:tcPr>
            <w:tcW w:w="12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Committees:</w:t>
            </w:r>
          </w:p>
        </w:tc>
        <w:tc>
          <w:tcPr>
            <w:tcW w:w="9960" w:type="dxa"/>
            <w:vAlign w:val="bottom"/>
            <w:gridSpan w:val="4"/>
          </w:tcPr>
          <w:p>
            <w:pPr>
              <w:ind w:left="40"/>
              <w:spacing w:after="0"/>
              <w:rPr>
                <w:sz w:val="20"/>
                <w:szCs w:val="20"/>
                <w:color w:val="auto"/>
              </w:rPr>
            </w:pPr>
            <w:r>
              <w:rPr>
                <w:rFonts w:ascii="Arial" w:cs="Arial" w:eastAsia="Arial" w:hAnsi="Arial"/>
                <w:sz w:val="15"/>
                <w:szCs w:val="15"/>
                <w:color w:val="auto"/>
              </w:rPr>
              <w:t>served as the President and CEO of Industrial Solutions, a GE and later ABB company. She led Industrial Solutions, a $2.7B GE business</w:t>
            </w:r>
          </w:p>
        </w:tc>
        <w:tc>
          <w:tcPr>
            <w:tcW w:w="0" w:type="dxa"/>
            <w:vAlign w:val="bottom"/>
          </w:tcPr>
          <w:p>
            <w:pPr>
              <w:spacing w:after="0"/>
              <w:rPr>
                <w:sz w:val="1"/>
                <w:szCs w:val="1"/>
                <w:color w:val="auto"/>
              </w:rPr>
            </w:pPr>
          </w:p>
        </w:tc>
      </w:tr>
      <w:tr>
        <w:trPr>
          <w:trHeight w:val="81"/>
        </w:trPr>
        <w:tc>
          <w:tcPr>
            <w:tcW w:w="1280" w:type="dxa"/>
            <w:vAlign w:val="bottom"/>
            <w:gridSpan w:val="2"/>
            <w:vMerge w:val="continue"/>
          </w:tcPr>
          <w:p>
            <w:pPr>
              <w:spacing w:after="0"/>
              <w:rPr>
                <w:sz w:val="7"/>
                <w:szCs w:val="7"/>
                <w:color w:val="auto"/>
              </w:rPr>
            </w:pPr>
          </w:p>
        </w:tc>
        <w:tc>
          <w:tcPr>
            <w:tcW w:w="9960" w:type="dxa"/>
            <w:vAlign w:val="bottom"/>
            <w:gridSpan w:val="4"/>
            <w:vMerge w:val="restart"/>
          </w:tcPr>
          <w:p>
            <w:pPr>
              <w:ind w:left="40"/>
              <w:spacing w:after="0"/>
              <w:rPr>
                <w:sz w:val="20"/>
                <w:szCs w:val="20"/>
                <w:color w:val="auto"/>
              </w:rPr>
            </w:pPr>
            <w:r>
              <w:rPr>
                <w:rFonts w:ascii="Arial" w:cs="Arial" w:eastAsia="Arial" w:hAnsi="Arial"/>
                <w:sz w:val="15"/>
                <w:szCs w:val="15"/>
                <w:color w:val="auto"/>
              </w:rPr>
              <w:t>delivering technologies that distribute, protect and control electricity, through a transformation and divestiture to ABB. From 2013-2015, Ms. Mains</w:t>
            </w:r>
          </w:p>
        </w:tc>
        <w:tc>
          <w:tcPr>
            <w:tcW w:w="0" w:type="dxa"/>
            <w:vAlign w:val="bottom"/>
          </w:tcPr>
          <w:p>
            <w:pPr>
              <w:spacing w:after="0"/>
              <w:rPr>
                <w:sz w:val="1"/>
                <w:szCs w:val="1"/>
                <w:color w:val="auto"/>
              </w:rPr>
            </w:pPr>
          </w:p>
        </w:tc>
      </w:tr>
      <w:tr>
        <w:trPr>
          <w:trHeight w:val="96"/>
        </w:trPr>
        <w:tc>
          <w:tcPr>
            <w:tcW w:w="160" w:type="dxa"/>
            <w:vAlign w:val="bottom"/>
            <w:vMerge w:val="restart"/>
          </w:tcPr>
          <w:p>
            <w:pPr>
              <w:ind w:left="60"/>
              <w:spacing w:after="0"/>
              <w:rPr>
                <w:sz w:val="20"/>
                <w:szCs w:val="20"/>
                <w:color w:val="auto"/>
              </w:rPr>
            </w:pPr>
            <w:r>
              <w:rPr>
                <w:rFonts w:ascii="Arial" w:cs="Arial" w:eastAsia="Arial" w:hAnsi="Arial"/>
                <w:sz w:val="15"/>
                <w:szCs w:val="15"/>
                <w:color w:val="A26F2A"/>
              </w:rPr>
              <w:t>•</w:t>
            </w:r>
          </w:p>
        </w:tc>
        <w:tc>
          <w:tcPr>
            <w:tcW w:w="1120" w:type="dxa"/>
            <w:vAlign w:val="bottom"/>
            <w:vMerge w:val="restart"/>
          </w:tcPr>
          <w:p>
            <w:pPr>
              <w:ind w:left="80"/>
              <w:spacing w:after="0"/>
              <w:rPr>
                <w:sz w:val="20"/>
                <w:szCs w:val="20"/>
                <w:color w:val="auto"/>
              </w:rPr>
            </w:pPr>
            <w:r>
              <w:rPr>
                <w:rFonts w:ascii="Arial" w:cs="Arial" w:eastAsia="Arial" w:hAnsi="Arial"/>
                <w:sz w:val="15"/>
                <w:szCs w:val="15"/>
                <w:color w:val="auto"/>
              </w:rPr>
              <w:t>Audit</w:t>
            </w:r>
          </w:p>
        </w:tc>
        <w:tc>
          <w:tcPr>
            <w:tcW w:w="99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6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960" w:type="dxa"/>
            <w:vAlign w:val="bottom"/>
            <w:gridSpan w:val="4"/>
          </w:tcPr>
          <w:p>
            <w:pPr>
              <w:ind w:left="40"/>
              <w:spacing w:after="0"/>
              <w:rPr>
                <w:sz w:val="20"/>
                <w:szCs w:val="20"/>
                <w:color w:val="auto"/>
              </w:rPr>
            </w:pPr>
            <w:r>
              <w:rPr>
                <w:rFonts w:ascii="Arial" w:cs="Arial" w:eastAsia="Arial" w:hAnsi="Arial"/>
                <w:sz w:val="15"/>
                <w:szCs w:val="15"/>
                <w:color w:val="auto"/>
              </w:rPr>
              <w:t>served as President and CEO of GE Distributed Power Global Services, where she integrated and grew a $2.2B global business platform, servicing</w:t>
            </w:r>
          </w:p>
        </w:tc>
        <w:tc>
          <w:tcPr>
            <w:tcW w:w="0" w:type="dxa"/>
            <w:vAlign w:val="bottom"/>
          </w:tcPr>
          <w:p>
            <w:pPr>
              <w:spacing w:after="0"/>
              <w:rPr>
                <w:sz w:val="1"/>
                <w:szCs w:val="1"/>
                <w:color w:val="auto"/>
              </w:rPr>
            </w:pPr>
          </w:p>
        </w:tc>
      </w:tr>
      <w:tr>
        <w:trPr>
          <w:trHeight w:val="189"/>
        </w:trPr>
        <w:tc>
          <w:tcPr>
            <w:tcW w:w="160" w:type="dxa"/>
            <w:vAlign w:val="bottom"/>
          </w:tcPr>
          <w:p>
            <w:pPr>
              <w:ind w:left="60"/>
              <w:spacing w:after="0"/>
              <w:rPr>
                <w:sz w:val="20"/>
                <w:szCs w:val="20"/>
                <w:color w:val="auto"/>
              </w:rPr>
            </w:pPr>
            <w:r>
              <w:rPr>
                <w:rFonts w:ascii="Arial" w:cs="Arial" w:eastAsia="Arial" w:hAnsi="Arial"/>
                <w:sz w:val="15"/>
                <w:szCs w:val="15"/>
                <w:color w:val="A26F2A"/>
              </w:rPr>
              <w:t>•</w:t>
            </w:r>
          </w:p>
        </w:tc>
        <w:tc>
          <w:tcPr>
            <w:tcW w:w="1120" w:type="dxa"/>
            <w:vAlign w:val="bottom"/>
          </w:tcPr>
          <w:p>
            <w:pPr>
              <w:ind w:left="80"/>
              <w:spacing w:after="0"/>
              <w:rPr>
                <w:sz w:val="20"/>
                <w:szCs w:val="20"/>
                <w:color w:val="auto"/>
              </w:rPr>
            </w:pPr>
            <w:r>
              <w:rPr>
                <w:rFonts w:ascii="Arial" w:cs="Arial" w:eastAsia="Arial" w:hAnsi="Arial"/>
                <w:sz w:val="15"/>
                <w:szCs w:val="15"/>
                <w:color w:val="auto"/>
              </w:rPr>
              <w:t>Compensation</w:t>
            </w:r>
          </w:p>
        </w:tc>
        <w:tc>
          <w:tcPr>
            <w:tcW w:w="9960" w:type="dxa"/>
            <w:vAlign w:val="bottom"/>
            <w:gridSpan w:val="4"/>
          </w:tcPr>
          <w:p>
            <w:pPr>
              <w:ind w:left="40"/>
              <w:spacing w:after="0"/>
              <w:rPr>
                <w:sz w:val="20"/>
                <w:szCs w:val="20"/>
                <w:color w:val="auto"/>
              </w:rPr>
            </w:pPr>
            <w:r>
              <w:rPr>
                <w:rFonts w:ascii="Arial" w:cs="Arial" w:eastAsia="Arial" w:hAnsi="Arial"/>
                <w:sz w:val="15"/>
                <w:szCs w:val="15"/>
                <w:color w:val="auto"/>
              </w:rPr>
              <w:t>technologies that provide at the point of use power to the oil and gas, utilities, mining, and industrial segments. From 2006 until 2013, she held</w:t>
            </w:r>
          </w:p>
        </w:tc>
        <w:tc>
          <w:tcPr>
            <w:tcW w:w="0" w:type="dxa"/>
            <w:vAlign w:val="bottom"/>
          </w:tcPr>
          <w:p>
            <w:pPr>
              <w:spacing w:after="0"/>
              <w:rPr>
                <w:sz w:val="1"/>
                <w:szCs w:val="1"/>
                <w:color w:val="auto"/>
              </w:rPr>
            </w:pPr>
          </w:p>
        </w:tc>
      </w:tr>
      <w:tr>
        <w:trPr>
          <w:trHeight w:val="164"/>
        </w:trPr>
        <w:tc>
          <w:tcPr>
            <w:tcW w:w="12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Other Current</w:t>
            </w:r>
          </w:p>
        </w:tc>
        <w:tc>
          <w:tcPr>
            <w:tcW w:w="9960" w:type="dxa"/>
            <w:vAlign w:val="bottom"/>
            <w:gridSpan w:val="4"/>
          </w:tcPr>
          <w:p>
            <w:pPr>
              <w:ind w:left="40"/>
              <w:spacing w:after="0" w:line="164" w:lineRule="exact"/>
              <w:rPr>
                <w:sz w:val="20"/>
                <w:szCs w:val="20"/>
                <w:color w:val="auto"/>
              </w:rPr>
            </w:pPr>
            <w:r>
              <w:rPr>
                <w:rFonts w:ascii="Arial" w:cs="Arial" w:eastAsia="Arial" w:hAnsi="Arial"/>
                <w:sz w:val="15"/>
                <w:szCs w:val="15"/>
                <w:color w:val="auto"/>
              </w:rPr>
              <w:t>positions of increasing responsibility in GE Energy from General Manager to Vice President. During this time, she led the global build-out and</w:t>
            </w:r>
          </w:p>
        </w:tc>
        <w:tc>
          <w:tcPr>
            <w:tcW w:w="0" w:type="dxa"/>
            <w:vAlign w:val="bottom"/>
          </w:tcPr>
          <w:p>
            <w:pPr>
              <w:spacing w:after="0"/>
              <w:rPr>
                <w:sz w:val="1"/>
                <w:szCs w:val="1"/>
                <w:color w:val="auto"/>
              </w:rPr>
            </w:pPr>
          </w:p>
        </w:tc>
      </w:tr>
      <w:tr>
        <w:trPr>
          <w:trHeight w:val="151"/>
        </w:trPr>
        <w:tc>
          <w:tcPr>
            <w:tcW w:w="1280" w:type="dxa"/>
            <w:vAlign w:val="bottom"/>
            <w:gridSpan w:val="2"/>
            <w:vMerge w:val="continue"/>
          </w:tcPr>
          <w:p>
            <w:pPr>
              <w:spacing w:after="0"/>
              <w:rPr>
                <w:sz w:val="13"/>
                <w:szCs w:val="13"/>
                <w:color w:val="auto"/>
              </w:rPr>
            </w:pPr>
          </w:p>
        </w:tc>
        <w:tc>
          <w:tcPr>
            <w:tcW w:w="9960" w:type="dxa"/>
            <w:vAlign w:val="bottom"/>
            <w:gridSpan w:val="4"/>
          </w:tcPr>
          <w:p>
            <w:pPr>
              <w:ind w:left="40"/>
              <w:spacing w:after="0" w:line="151" w:lineRule="exact"/>
              <w:rPr>
                <w:sz w:val="20"/>
                <w:szCs w:val="20"/>
                <w:color w:val="auto"/>
              </w:rPr>
            </w:pPr>
            <w:r>
              <w:rPr>
                <w:rFonts w:ascii="Arial" w:cs="Arial" w:eastAsia="Arial" w:hAnsi="Arial"/>
                <w:sz w:val="15"/>
                <w:szCs w:val="15"/>
                <w:color w:val="auto"/>
              </w:rPr>
              <w:t>transformation of a $4B service operation providing power equipment and services to utility and oil and gas customers. Prior to joining GE Energy,</w:t>
            </w:r>
          </w:p>
        </w:tc>
        <w:tc>
          <w:tcPr>
            <w:tcW w:w="0" w:type="dxa"/>
            <w:vAlign w:val="bottom"/>
          </w:tcPr>
          <w:p>
            <w:pPr>
              <w:spacing w:after="0"/>
              <w:rPr>
                <w:sz w:val="1"/>
                <w:szCs w:val="1"/>
                <w:color w:val="auto"/>
              </w:rPr>
            </w:pPr>
          </w:p>
        </w:tc>
      </w:tr>
      <w:tr>
        <w:trPr>
          <w:trHeight w:val="177"/>
        </w:trPr>
        <w:tc>
          <w:tcPr>
            <w:tcW w:w="1280" w:type="dxa"/>
            <w:vAlign w:val="bottom"/>
            <w:gridSpan w:val="2"/>
          </w:tcPr>
          <w:p>
            <w:pPr>
              <w:ind w:left="60"/>
              <w:spacing w:after="0"/>
              <w:rPr>
                <w:sz w:val="20"/>
                <w:szCs w:val="20"/>
                <w:color w:val="auto"/>
              </w:rPr>
            </w:pPr>
            <w:r>
              <w:rPr>
                <w:rFonts w:ascii="Arial" w:cs="Arial" w:eastAsia="Arial" w:hAnsi="Arial"/>
                <w:sz w:val="15"/>
                <w:szCs w:val="15"/>
                <w:b w:val="1"/>
                <w:bCs w:val="1"/>
                <w:color w:val="auto"/>
              </w:rPr>
              <w:t>Public Company</w:t>
            </w:r>
          </w:p>
        </w:tc>
        <w:tc>
          <w:tcPr>
            <w:tcW w:w="9960" w:type="dxa"/>
            <w:vAlign w:val="bottom"/>
            <w:gridSpan w:val="4"/>
          </w:tcPr>
          <w:p>
            <w:pPr>
              <w:ind w:left="40"/>
              <w:spacing w:after="0"/>
              <w:rPr>
                <w:sz w:val="20"/>
                <w:szCs w:val="20"/>
                <w:color w:val="auto"/>
              </w:rPr>
            </w:pPr>
            <w:r>
              <w:rPr>
                <w:rFonts w:ascii="Arial" w:cs="Arial" w:eastAsia="Arial" w:hAnsi="Arial"/>
                <w:sz w:val="15"/>
                <w:szCs w:val="15"/>
                <w:color w:val="auto"/>
              </w:rPr>
              <w:t>she spent 16 years across multiple GE businesses in financial and leadership positions, including CFO of GE Aviation Services-Contractual</w:t>
            </w:r>
          </w:p>
        </w:tc>
        <w:tc>
          <w:tcPr>
            <w:tcW w:w="0" w:type="dxa"/>
            <w:vAlign w:val="bottom"/>
          </w:tcPr>
          <w:p>
            <w:pPr>
              <w:spacing w:after="0"/>
              <w:rPr>
                <w:sz w:val="1"/>
                <w:szCs w:val="1"/>
                <w:color w:val="auto"/>
              </w:rPr>
            </w:pPr>
          </w:p>
        </w:tc>
      </w:tr>
      <w:tr>
        <w:trPr>
          <w:trHeight w:val="202"/>
        </w:trPr>
        <w:tc>
          <w:tcPr>
            <w:tcW w:w="1280" w:type="dxa"/>
            <w:vAlign w:val="bottom"/>
            <w:gridSpan w:val="2"/>
          </w:tcPr>
          <w:p>
            <w:pPr>
              <w:ind w:left="60"/>
              <w:spacing w:after="0"/>
              <w:rPr>
                <w:sz w:val="20"/>
                <w:szCs w:val="20"/>
                <w:color w:val="auto"/>
              </w:rPr>
            </w:pPr>
            <w:r>
              <w:rPr>
                <w:rFonts w:ascii="Arial" w:cs="Arial" w:eastAsia="Arial" w:hAnsi="Arial"/>
                <w:sz w:val="15"/>
                <w:szCs w:val="15"/>
                <w:b w:val="1"/>
                <w:bCs w:val="1"/>
                <w:color w:val="auto"/>
              </w:rPr>
              <w:t>Directorships:</w:t>
            </w:r>
          </w:p>
        </w:tc>
        <w:tc>
          <w:tcPr>
            <w:tcW w:w="9960" w:type="dxa"/>
            <w:vAlign w:val="bottom"/>
            <w:gridSpan w:val="4"/>
          </w:tcPr>
          <w:p>
            <w:pPr>
              <w:ind w:left="40"/>
              <w:spacing w:after="0"/>
              <w:rPr>
                <w:sz w:val="20"/>
                <w:szCs w:val="20"/>
                <w:color w:val="auto"/>
              </w:rPr>
            </w:pPr>
            <w:r>
              <w:rPr>
                <w:rFonts w:ascii="Arial" w:cs="Arial" w:eastAsia="Arial" w:hAnsi="Arial"/>
                <w:sz w:val="15"/>
                <w:szCs w:val="15"/>
                <w:color w:val="auto"/>
              </w:rPr>
              <w:t>Services and Material Solutions, a $4B aviation material services business. Ms. Mains retired as the CEO of LSC Communications-MCL, a portfolio</w:t>
            </w:r>
          </w:p>
        </w:tc>
        <w:tc>
          <w:tcPr>
            <w:tcW w:w="0" w:type="dxa"/>
            <w:vAlign w:val="bottom"/>
          </w:tcPr>
          <w:p>
            <w:pPr>
              <w:spacing w:after="0"/>
              <w:rPr>
                <w:sz w:val="1"/>
                <w:szCs w:val="1"/>
                <w:color w:val="auto"/>
              </w:rPr>
            </w:pPr>
          </w:p>
        </w:tc>
      </w:tr>
      <w:tr>
        <w:trPr>
          <w:trHeight w:val="177"/>
        </w:trPr>
        <w:tc>
          <w:tcPr>
            <w:tcW w:w="160" w:type="dxa"/>
            <w:vAlign w:val="bottom"/>
          </w:tcPr>
          <w:p>
            <w:pPr>
              <w:ind w:left="60"/>
              <w:spacing w:after="0"/>
              <w:rPr>
                <w:sz w:val="20"/>
                <w:szCs w:val="20"/>
                <w:color w:val="auto"/>
              </w:rPr>
            </w:pPr>
            <w:r>
              <w:rPr>
                <w:rFonts w:ascii="Arial" w:cs="Arial" w:eastAsia="Arial" w:hAnsi="Arial"/>
                <w:sz w:val="15"/>
                <w:szCs w:val="15"/>
                <w:color w:val="A26F2A"/>
              </w:rPr>
              <w:t>•</w:t>
            </w:r>
          </w:p>
        </w:tc>
        <w:tc>
          <w:tcPr>
            <w:tcW w:w="1120" w:type="dxa"/>
            <w:vAlign w:val="bottom"/>
          </w:tcPr>
          <w:p>
            <w:pPr>
              <w:ind w:left="80"/>
              <w:spacing w:after="0"/>
              <w:rPr>
                <w:sz w:val="20"/>
                <w:szCs w:val="20"/>
                <w:color w:val="auto"/>
              </w:rPr>
            </w:pPr>
            <w:r>
              <w:rPr>
                <w:rFonts w:ascii="Arial" w:cs="Arial" w:eastAsia="Arial" w:hAnsi="Arial"/>
                <w:sz w:val="15"/>
                <w:szCs w:val="15"/>
                <w:color w:val="auto"/>
              </w:rPr>
              <w:t>Gates</w:t>
            </w:r>
          </w:p>
        </w:tc>
        <w:tc>
          <w:tcPr>
            <w:tcW w:w="9960" w:type="dxa"/>
            <w:vAlign w:val="bottom"/>
            <w:gridSpan w:val="4"/>
          </w:tcPr>
          <w:p>
            <w:pPr>
              <w:ind w:left="40"/>
              <w:spacing w:after="0"/>
              <w:rPr>
                <w:sz w:val="20"/>
                <w:szCs w:val="20"/>
                <w:color w:val="auto"/>
              </w:rPr>
            </w:pPr>
            <w:r>
              <w:rPr>
                <w:rFonts w:ascii="Arial" w:cs="Arial" w:eastAsia="Arial" w:hAnsi="Arial"/>
                <w:sz w:val="15"/>
                <w:szCs w:val="15"/>
                <w:color w:val="auto"/>
              </w:rPr>
              <w:t>company of Atlas Holdings, LLC in 2025. She continues to serve as a director, audit committee member and nominating and governance</w:t>
            </w: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5"/>
                <w:szCs w:val="15"/>
                <w:color w:val="auto"/>
              </w:rPr>
              <w:t>Industrial</w:t>
            </w:r>
          </w:p>
        </w:tc>
        <w:tc>
          <w:tcPr>
            <w:tcW w:w="9960" w:type="dxa"/>
            <w:vAlign w:val="bottom"/>
            <w:gridSpan w:val="4"/>
          </w:tcPr>
          <w:p>
            <w:pPr>
              <w:ind w:left="40"/>
              <w:spacing w:after="0"/>
              <w:rPr>
                <w:sz w:val="20"/>
                <w:szCs w:val="20"/>
                <w:color w:val="auto"/>
              </w:rPr>
            </w:pPr>
            <w:r>
              <w:rPr>
                <w:rFonts w:ascii="Arial" w:cs="Arial" w:eastAsia="Arial" w:hAnsi="Arial"/>
                <w:sz w:val="15"/>
                <w:szCs w:val="15"/>
                <w:color w:val="auto"/>
              </w:rPr>
              <w:t>committee member of Gates Industrial Corporation plc (NYSE: GTES), a director, audit committee member, compensation and human capital</w:t>
            </w: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5"/>
                <w:szCs w:val="15"/>
                <w:color w:val="auto"/>
              </w:rPr>
              <w:t>Corporation plc</w:t>
            </w:r>
          </w:p>
        </w:tc>
        <w:tc>
          <w:tcPr>
            <w:tcW w:w="9960" w:type="dxa"/>
            <w:vAlign w:val="bottom"/>
            <w:gridSpan w:val="4"/>
          </w:tcPr>
          <w:p>
            <w:pPr>
              <w:ind w:left="40"/>
              <w:spacing w:after="0"/>
              <w:rPr>
                <w:sz w:val="20"/>
                <w:szCs w:val="20"/>
                <w:color w:val="auto"/>
              </w:rPr>
            </w:pPr>
            <w:r>
              <w:rPr>
                <w:rFonts w:ascii="Arial" w:cs="Arial" w:eastAsia="Arial" w:hAnsi="Arial"/>
                <w:sz w:val="15"/>
                <w:szCs w:val="15"/>
                <w:color w:val="auto"/>
              </w:rPr>
              <w:t>committee member, and strategy, acquisition and capital development committee member of LCI Industries (NYSE: LCII), and is a member of the</w:t>
            </w:r>
          </w:p>
        </w:tc>
        <w:tc>
          <w:tcPr>
            <w:tcW w:w="0" w:type="dxa"/>
            <w:vAlign w:val="bottom"/>
          </w:tcPr>
          <w:p>
            <w:pPr>
              <w:spacing w:after="0"/>
              <w:rPr>
                <w:sz w:val="1"/>
                <w:szCs w:val="1"/>
                <w:color w:val="auto"/>
              </w:rPr>
            </w:pPr>
          </w:p>
        </w:tc>
      </w:tr>
      <w:tr>
        <w:trPr>
          <w:trHeight w:val="177"/>
        </w:trPr>
        <w:tc>
          <w:tcPr>
            <w:tcW w:w="160" w:type="dxa"/>
            <w:vAlign w:val="bottom"/>
            <w:vMerge w:val="restart"/>
          </w:tcPr>
          <w:p>
            <w:pPr>
              <w:ind w:left="60"/>
              <w:spacing w:after="0"/>
              <w:rPr>
                <w:sz w:val="20"/>
                <w:szCs w:val="20"/>
                <w:color w:val="auto"/>
              </w:rPr>
            </w:pPr>
            <w:r>
              <w:rPr>
                <w:rFonts w:ascii="Arial" w:cs="Arial" w:eastAsia="Arial" w:hAnsi="Arial"/>
                <w:sz w:val="15"/>
                <w:szCs w:val="15"/>
                <w:color w:val="A26F2A"/>
              </w:rPr>
              <w:t>•</w:t>
            </w:r>
          </w:p>
        </w:tc>
        <w:tc>
          <w:tcPr>
            <w:tcW w:w="1120" w:type="dxa"/>
            <w:vAlign w:val="bottom"/>
            <w:vMerge w:val="restart"/>
          </w:tcPr>
          <w:p>
            <w:pPr>
              <w:ind w:left="80"/>
              <w:spacing w:after="0"/>
              <w:rPr>
                <w:sz w:val="20"/>
                <w:szCs w:val="20"/>
                <w:color w:val="auto"/>
              </w:rPr>
            </w:pPr>
            <w:r>
              <w:rPr>
                <w:rFonts w:ascii="Arial" w:cs="Arial" w:eastAsia="Arial" w:hAnsi="Arial"/>
                <w:sz w:val="15"/>
                <w:szCs w:val="15"/>
                <w:color w:val="auto"/>
              </w:rPr>
              <w:t>LCI Industries</w:t>
            </w:r>
          </w:p>
        </w:tc>
        <w:tc>
          <w:tcPr>
            <w:tcW w:w="9960" w:type="dxa"/>
            <w:vAlign w:val="bottom"/>
            <w:gridSpan w:val="4"/>
          </w:tcPr>
          <w:p>
            <w:pPr>
              <w:ind w:left="40"/>
              <w:spacing w:after="0"/>
              <w:rPr>
                <w:sz w:val="20"/>
                <w:szCs w:val="20"/>
                <w:color w:val="auto"/>
              </w:rPr>
            </w:pPr>
            <w:r>
              <w:rPr>
                <w:rFonts w:ascii="Arial" w:cs="Arial" w:eastAsia="Arial" w:hAnsi="Arial"/>
                <w:sz w:val="15"/>
                <w:szCs w:val="15"/>
                <w:color w:val="auto"/>
              </w:rPr>
              <w:t>board of managers for Stryten Manufacturing, a privately held portfolio company of Atlas Holdings, LLC. Ms. Mains holds a B.B.A in Finance from</w:t>
            </w:r>
          </w:p>
        </w:tc>
        <w:tc>
          <w:tcPr>
            <w:tcW w:w="0" w:type="dxa"/>
            <w:vAlign w:val="bottom"/>
          </w:tcPr>
          <w:p>
            <w:pPr>
              <w:spacing w:after="0"/>
              <w:rPr>
                <w:sz w:val="1"/>
                <w:szCs w:val="1"/>
                <w:color w:val="auto"/>
              </w:rPr>
            </w:pPr>
          </w:p>
        </w:tc>
      </w:tr>
      <w:tr>
        <w:trPr>
          <w:trHeight w:val="177"/>
        </w:trPr>
        <w:tc>
          <w:tcPr>
            <w:tcW w:w="16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960" w:type="dxa"/>
            <w:vAlign w:val="bottom"/>
            <w:gridSpan w:val="4"/>
          </w:tcPr>
          <w:p>
            <w:pPr>
              <w:ind w:left="40"/>
              <w:spacing w:after="0"/>
              <w:rPr>
                <w:sz w:val="20"/>
                <w:szCs w:val="20"/>
                <w:color w:val="auto"/>
              </w:rPr>
            </w:pPr>
            <w:r>
              <w:rPr>
                <w:rFonts w:ascii="Arial" w:cs="Arial" w:eastAsia="Arial" w:hAnsi="Arial"/>
                <w:sz w:val="15"/>
                <w:szCs w:val="15"/>
                <w:color w:val="auto"/>
              </w:rPr>
              <w:t>the University of Kentucky. We believe that Ms. Mains’ strong financial and executive management experience, knowledge of the energy, electrical</w:t>
            </w: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960" w:type="dxa"/>
            <w:vAlign w:val="bottom"/>
            <w:gridSpan w:val="4"/>
          </w:tcPr>
          <w:p>
            <w:pPr>
              <w:ind w:left="40"/>
              <w:spacing w:after="0"/>
              <w:rPr>
                <w:sz w:val="20"/>
                <w:szCs w:val="20"/>
                <w:color w:val="auto"/>
              </w:rPr>
            </w:pPr>
            <w:r>
              <w:rPr>
                <w:rFonts w:ascii="Arial" w:cs="Arial" w:eastAsia="Arial" w:hAnsi="Arial"/>
                <w:sz w:val="15"/>
                <w:szCs w:val="15"/>
                <w:color w:val="auto"/>
              </w:rPr>
              <w:t>infrastructure, aviation, and transportation industries, and service on boards of other public companies qualify her for service on our board of</w:t>
            </w:r>
          </w:p>
        </w:tc>
        <w:tc>
          <w:tcPr>
            <w:tcW w:w="0" w:type="dxa"/>
            <w:vAlign w:val="bottom"/>
          </w:tcPr>
          <w:p>
            <w:pPr>
              <w:spacing w:after="0"/>
              <w:rPr>
                <w:sz w:val="1"/>
                <w:szCs w:val="1"/>
                <w:color w:val="auto"/>
              </w:rPr>
            </w:pPr>
          </w:p>
        </w:tc>
      </w:tr>
      <w:tr>
        <w:trPr>
          <w:trHeight w:val="207"/>
        </w:trPr>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color w:val="auto"/>
              </w:rPr>
              <w:t>directors.</w:t>
            </w:r>
          </w:p>
        </w:tc>
        <w:tc>
          <w:tcPr>
            <w:tcW w:w="108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141210" cy="7531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1210" cy="753110"/>
                    </a:xfrm>
                    <a:prstGeom prst="rect">
                      <a:avLst/>
                    </a:prstGeom>
                    <a:noFill/>
                  </pic:spPr>
                </pic:pic>
              </a:graphicData>
            </a:graphic>
          </wp:anchor>
        </w:drawing>
      </w:r>
    </w:p>
    <w:p>
      <w:pPr>
        <w:spacing w:after="0" w:line="329" w:lineRule="exact"/>
        <w:rPr>
          <w:rFonts w:ascii="Arial" w:cs="Arial" w:eastAsia="Arial" w:hAnsi="Arial"/>
          <w:sz w:val="13"/>
          <w:szCs w:val="13"/>
          <w:b w:val="1"/>
          <w:bCs w:val="1"/>
          <w:u w:val="single" w:color="auto"/>
          <w:color w:val="0000EE"/>
        </w:rPr>
      </w:pPr>
    </w:p>
    <w:p>
      <w:pPr>
        <w:ind w:left="1320"/>
        <w:spacing w:after="0"/>
        <w:rPr>
          <w:sz w:val="20"/>
          <w:szCs w:val="20"/>
          <w:color w:val="auto"/>
        </w:rPr>
      </w:pPr>
      <w:r>
        <w:rPr>
          <w:rFonts w:ascii="Arial" w:cs="Arial" w:eastAsia="Arial" w:hAnsi="Arial"/>
          <w:sz w:val="17"/>
          <w:szCs w:val="17"/>
          <w:b w:val="1"/>
          <w:bCs w:val="1"/>
          <w:color w:val="auto"/>
        </w:rPr>
        <w:t>CHARLES A. MELOY</w:t>
      </w:r>
    </w:p>
    <w:p>
      <w:pPr>
        <w:spacing w:after="0" w:line="49" w:lineRule="exact"/>
        <w:rPr>
          <w:rFonts w:ascii="Arial" w:cs="Arial" w:eastAsia="Arial" w:hAnsi="Arial"/>
          <w:sz w:val="13"/>
          <w:szCs w:val="13"/>
          <w:b w:val="1"/>
          <w:bCs w:val="1"/>
          <w:u w:val="single" w:color="auto"/>
          <w:color w:val="0000EE"/>
        </w:rPr>
      </w:pPr>
    </w:p>
    <w:tbl>
      <w:tblPr>
        <w:tblLayout w:type="fixed"/>
        <w:tblInd w:w="1280" w:type="dxa"/>
        <w:tblCellMar>
          <w:top w:w="0" w:type="dxa"/>
          <w:left w:w="0" w:type="dxa"/>
          <w:bottom w:w="0" w:type="dxa"/>
          <w:right w:w="0" w:type="dxa"/>
        </w:tblCellMar>
      </w:tblPr>
      <w:tr>
        <w:trPr>
          <w:trHeight w:val="177"/>
        </w:trPr>
        <w:tc>
          <w:tcPr>
            <w:tcW w:w="3740" w:type="dxa"/>
            <w:vAlign w:val="bottom"/>
            <w:gridSpan w:val="2"/>
          </w:tcPr>
          <w:p>
            <w:pPr>
              <w:ind w:left="40"/>
              <w:spacing w:after="0"/>
              <w:rPr>
                <w:sz w:val="20"/>
                <w:szCs w:val="20"/>
                <w:color w:val="auto"/>
              </w:rPr>
            </w:pPr>
            <w:r>
              <w:rPr>
                <w:rFonts w:ascii="Arial" w:cs="Arial" w:eastAsia="Arial" w:hAnsi="Arial"/>
                <w:sz w:val="15"/>
                <w:szCs w:val="15"/>
                <w:b w:val="1"/>
                <w:bCs w:val="1"/>
                <w:color w:val="A26F2A"/>
              </w:rPr>
              <w:t>Skills and Qualifications:</w:t>
            </w:r>
          </w:p>
        </w:tc>
        <w:tc>
          <w:tcPr>
            <w:tcW w:w="1600" w:type="dxa"/>
            <w:vAlign w:val="bottom"/>
          </w:tcPr>
          <w:p>
            <w:pPr>
              <w:spacing w:after="0"/>
              <w:rPr>
                <w:sz w:val="15"/>
                <w:szCs w:val="15"/>
                <w:color w:val="auto"/>
              </w:rPr>
            </w:pPr>
          </w:p>
        </w:tc>
        <w:tc>
          <w:tcPr>
            <w:tcW w:w="4620" w:type="dxa"/>
            <w:vAlign w:val="bottom"/>
          </w:tcPr>
          <w:p>
            <w:pPr>
              <w:spacing w:after="0"/>
              <w:rPr>
                <w:sz w:val="15"/>
                <w:szCs w:val="15"/>
                <w:color w:val="auto"/>
              </w:rPr>
            </w:pPr>
          </w:p>
        </w:tc>
      </w:tr>
      <w:tr>
        <w:trPr>
          <w:trHeight w:val="177"/>
        </w:trPr>
        <w:tc>
          <w:tcPr>
            <w:tcW w:w="160" w:type="dxa"/>
            <w:vAlign w:val="bottom"/>
          </w:tcPr>
          <w:p>
            <w:pPr>
              <w:ind w:left="40"/>
              <w:spacing w:after="0"/>
              <w:rPr>
                <w:sz w:val="20"/>
                <w:szCs w:val="20"/>
                <w:color w:val="auto"/>
              </w:rPr>
            </w:pPr>
            <w:r>
              <w:rPr>
                <w:rFonts w:ascii="Arial" w:cs="Arial" w:eastAsia="Arial" w:hAnsi="Arial"/>
                <w:sz w:val="15"/>
                <w:szCs w:val="15"/>
                <w:color w:val="A26F2A"/>
              </w:rPr>
              <w:t>•</w:t>
            </w:r>
          </w:p>
        </w:tc>
        <w:tc>
          <w:tcPr>
            <w:tcW w:w="3580" w:type="dxa"/>
            <w:vAlign w:val="bottom"/>
          </w:tcPr>
          <w:p>
            <w:pPr>
              <w:ind w:left="60"/>
              <w:spacing w:after="0"/>
              <w:rPr>
                <w:sz w:val="20"/>
                <w:szCs w:val="20"/>
                <w:color w:val="auto"/>
              </w:rPr>
            </w:pPr>
            <w:r>
              <w:rPr>
                <w:rFonts w:ascii="Arial" w:cs="Arial" w:eastAsia="Arial" w:hAnsi="Arial"/>
                <w:sz w:val="15"/>
                <w:szCs w:val="15"/>
                <w:color w:val="auto"/>
              </w:rPr>
              <w:t>Industry Background</w:t>
            </w:r>
          </w:p>
        </w:tc>
        <w:tc>
          <w:tcPr>
            <w:tcW w:w="6220" w:type="dxa"/>
            <w:vAlign w:val="bottom"/>
            <w:gridSpan w:val="2"/>
          </w:tcPr>
          <w:p>
            <w:pPr>
              <w:ind w:left="150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Environmental, Health, Safety &amp; Sustainability</w:t>
            </w:r>
          </w:p>
        </w:tc>
      </w:tr>
      <w:tr>
        <w:trPr>
          <w:trHeight w:val="177"/>
        </w:trPr>
        <w:tc>
          <w:tcPr>
            <w:tcW w:w="160" w:type="dxa"/>
            <w:vAlign w:val="bottom"/>
          </w:tcPr>
          <w:p>
            <w:pPr>
              <w:ind w:left="40"/>
              <w:spacing w:after="0"/>
              <w:rPr>
                <w:sz w:val="20"/>
                <w:szCs w:val="20"/>
                <w:color w:val="auto"/>
              </w:rPr>
            </w:pPr>
            <w:r>
              <w:rPr>
                <w:rFonts w:ascii="Arial" w:cs="Arial" w:eastAsia="Arial" w:hAnsi="Arial"/>
                <w:sz w:val="15"/>
                <w:szCs w:val="15"/>
                <w:color w:val="A26F2A"/>
              </w:rPr>
              <w:t>•</w:t>
            </w:r>
          </w:p>
        </w:tc>
        <w:tc>
          <w:tcPr>
            <w:tcW w:w="3580" w:type="dxa"/>
            <w:vAlign w:val="bottom"/>
          </w:tcPr>
          <w:p>
            <w:pPr>
              <w:ind w:left="60"/>
              <w:spacing w:after="0"/>
              <w:rPr>
                <w:sz w:val="20"/>
                <w:szCs w:val="20"/>
                <w:color w:val="auto"/>
              </w:rPr>
            </w:pPr>
            <w:r>
              <w:rPr>
                <w:rFonts w:ascii="Arial" w:cs="Arial" w:eastAsia="Arial" w:hAnsi="Arial"/>
                <w:sz w:val="15"/>
                <w:szCs w:val="15"/>
                <w:color w:val="auto"/>
              </w:rPr>
              <w:t>Executive Experience</w:t>
            </w:r>
          </w:p>
        </w:tc>
        <w:tc>
          <w:tcPr>
            <w:tcW w:w="1600" w:type="dxa"/>
            <w:vAlign w:val="bottom"/>
          </w:tcPr>
          <w:p>
            <w:pPr>
              <w:ind w:left="1500"/>
              <w:spacing w:after="0"/>
              <w:rPr>
                <w:sz w:val="20"/>
                <w:szCs w:val="20"/>
                <w:color w:val="auto"/>
              </w:rPr>
            </w:pPr>
            <w:r>
              <w:rPr>
                <w:rFonts w:ascii="Arial" w:cs="Arial" w:eastAsia="Arial" w:hAnsi="Arial"/>
                <w:sz w:val="15"/>
                <w:szCs w:val="15"/>
                <w:color w:val="A26F2A"/>
              </w:rPr>
              <w:t>•</w:t>
            </w:r>
          </w:p>
        </w:tc>
        <w:tc>
          <w:tcPr>
            <w:tcW w:w="4620" w:type="dxa"/>
            <w:vAlign w:val="bottom"/>
          </w:tcPr>
          <w:p>
            <w:pPr>
              <w:ind w:left="80"/>
              <w:spacing w:after="0"/>
              <w:rPr>
                <w:sz w:val="20"/>
                <w:szCs w:val="20"/>
                <w:color w:val="auto"/>
              </w:rPr>
            </w:pPr>
            <w:r>
              <w:rPr>
                <w:rFonts w:ascii="Arial" w:cs="Arial" w:eastAsia="Arial" w:hAnsi="Arial"/>
                <w:sz w:val="15"/>
                <w:szCs w:val="15"/>
                <w:color w:val="auto"/>
              </w:rPr>
              <w:t>Risk Management</w:t>
            </w:r>
          </w:p>
        </w:tc>
      </w:tr>
      <w:tr>
        <w:trPr>
          <w:trHeight w:val="199"/>
        </w:trPr>
        <w:tc>
          <w:tcPr>
            <w:tcW w:w="160" w:type="dxa"/>
            <w:vAlign w:val="bottom"/>
          </w:tcPr>
          <w:p>
            <w:pPr>
              <w:ind w:left="40"/>
              <w:spacing w:after="0"/>
              <w:rPr>
                <w:sz w:val="20"/>
                <w:szCs w:val="20"/>
                <w:color w:val="auto"/>
              </w:rPr>
            </w:pPr>
            <w:r>
              <w:rPr>
                <w:rFonts w:ascii="Arial" w:cs="Arial" w:eastAsia="Arial" w:hAnsi="Arial"/>
                <w:sz w:val="15"/>
                <w:szCs w:val="15"/>
                <w:color w:val="A26F2A"/>
              </w:rPr>
              <w:t>•</w:t>
            </w:r>
          </w:p>
        </w:tc>
        <w:tc>
          <w:tcPr>
            <w:tcW w:w="3580" w:type="dxa"/>
            <w:vAlign w:val="bottom"/>
          </w:tcPr>
          <w:p>
            <w:pPr>
              <w:ind w:left="60"/>
              <w:spacing w:after="0"/>
              <w:rPr>
                <w:sz w:val="20"/>
                <w:szCs w:val="20"/>
                <w:color w:val="auto"/>
              </w:rPr>
            </w:pPr>
            <w:r>
              <w:rPr>
                <w:rFonts w:ascii="Arial" w:cs="Arial" w:eastAsia="Arial" w:hAnsi="Arial"/>
                <w:sz w:val="15"/>
                <w:szCs w:val="15"/>
                <w:color w:val="auto"/>
              </w:rPr>
              <w:t>M&amp;A/Finance/Capital Markets</w:t>
            </w:r>
          </w:p>
        </w:tc>
        <w:tc>
          <w:tcPr>
            <w:tcW w:w="1600" w:type="dxa"/>
            <w:vAlign w:val="bottom"/>
          </w:tcPr>
          <w:p>
            <w:pPr>
              <w:ind w:left="1500"/>
              <w:spacing w:after="0"/>
              <w:rPr>
                <w:sz w:val="20"/>
                <w:szCs w:val="20"/>
                <w:color w:val="auto"/>
              </w:rPr>
            </w:pPr>
            <w:r>
              <w:rPr>
                <w:rFonts w:ascii="Arial" w:cs="Arial" w:eastAsia="Arial" w:hAnsi="Arial"/>
                <w:sz w:val="15"/>
                <w:szCs w:val="15"/>
                <w:color w:val="A26F2A"/>
              </w:rPr>
              <w:t>•</w:t>
            </w:r>
          </w:p>
        </w:tc>
        <w:tc>
          <w:tcPr>
            <w:tcW w:w="4620" w:type="dxa"/>
            <w:vAlign w:val="bottom"/>
          </w:tcPr>
          <w:p>
            <w:pPr>
              <w:ind w:left="80"/>
              <w:spacing w:after="0"/>
              <w:rPr>
                <w:sz w:val="20"/>
                <w:szCs w:val="20"/>
                <w:color w:val="auto"/>
              </w:rPr>
            </w:pPr>
            <w:r>
              <w:rPr>
                <w:rFonts w:ascii="Arial" w:cs="Arial" w:eastAsia="Arial" w:hAnsi="Arial"/>
                <w:sz w:val="15"/>
                <w:szCs w:val="15"/>
                <w:color w:val="auto"/>
              </w:rPr>
              <w:t>Executive Compensation and Human Capital Management</w:t>
            </w:r>
          </w:p>
        </w:tc>
      </w:tr>
      <w:tr>
        <w:trPr>
          <w:trHeight w:val="28"/>
        </w:trPr>
        <w:tc>
          <w:tcPr>
            <w:tcW w:w="1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bl>
    <w:p>
      <w:pPr>
        <w:spacing w:after="0" w:line="51" w:lineRule="exact"/>
        <w:rPr>
          <w:rFonts w:ascii="Arial" w:cs="Arial" w:eastAsia="Arial" w:hAnsi="Arial"/>
          <w:sz w:val="13"/>
          <w:szCs w:val="13"/>
          <w:b w:val="1"/>
          <w:bCs w:val="1"/>
          <w:u w:val="single" w:color="auto"/>
          <w:color w:val="0000EE"/>
        </w:rPr>
      </w:pPr>
    </w:p>
    <w:p>
      <w:pPr>
        <w:jc w:val="both"/>
        <w:ind w:left="1320" w:right="40"/>
        <w:spacing w:after="0" w:line="250" w:lineRule="auto"/>
        <w:rPr>
          <w:sz w:val="20"/>
          <w:szCs w:val="20"/>
          <w:color w:val="auto"/>
        </w:rPr>
      </w:pPr>
      <w:r>
        <w:rPr>
          <w:rFonts w:ascii="Arial" w:cs="Arial" w:eastAsia="Arial" w:hAnsi="Arial"/>
          <w:sz w:val="15"/>
          <w:szCs w:val="15"/>
          <w:color w:val="auto"/>
        </w:rPr>
        <w:t>Mr. Meloy has served as a director of Diamondback since September 2024. Mr. Meloy previously served as President and Chief Executive Officer of Endeavor Energy Resources L.P. from February 2016 until his retirement in September 2020. Prior to his employment with Endeavor, he was Executive Vice President of U.S. Onshore Exploration and Production at Anadarko Petroleum Corporation, until his retirement in 2015. Prior to his work at Anadarko, he served as Vice President of Exploration and Production for Kerr-McGee Corporation. Mr. Meloy graduated from Texas A&amp;M with a Bachelor of Science in Chemical Engineering in 1982. Mr. Meloy has previously served on the boards of directors for Western Gas Equity Partners and the Independent Producers of America Association and as a member of the API Upstream Committee. He is a member of the Society of Petroleum Engineers and the Texas Professional Engineers. We believe that Mr. Meloy’s strong financial and executive management experience, extensive industry knowledge, and familiarity with the legacy Endeavor assets and employees qualify him for service on our board of directors.</w:t>
      </w:r>
    </w:p>
    <w:p>
      <w:pPr>
        <w:spacing w:after="0" w:line="20" w:lineRule="exact"/>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column">
              <wp:posOffset>635</wp:posOffset>
            </wp:positionH>
            <wp:positionV relativeFrom="paragraph">
              <wp:posOffset>361315</wp:posOffset>
            </wp:positionV>
            <wp:extent cx="71412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0" w:lineRule="exact"/>
        <w:rPr>
          <w:rFonts w:ascii="Arial" w:cs="Arial" w:eastAsia="Arial" w:hAnsi="Arial"/>
          <w:sz w:val="13"/>
          <w:szCs w:val="13"/>
          <w:b w:val="1"/>
          <w:bCs w:val="1"/>
          <w:u w:val="single" w:color="auto"/>
          <w:color w:val="0000EE"/>
        </w:rPr>
      </w:pPr>
    </w:p>
    <w:p>
      <w:pPr>
        <w:spacing w:after="0" w:line="200" w:lineRule="exact"/>
        <w:rPr>
          <w:rFonts w:ascii="Arial" w:cs="Arial" w:eastAsia="Arial" w:hAnsi="Arial"/>
          <w:sz w:val="13"/>
          <w:szCs w:val="13"/>
          <w:b w:val="1"/>
          <w:bCs w:val="1"/>
          <w:u w:val="single" w:color="auto"/>
          <w:color w:val="0000EE"/>
        </w:rPr>
      </w:pPr>
    </w:p>
    <w:p>
      <w:pPr>
        <w:spacing w:after="0" w:line="326" w:lineRule="exact"/>
        <w:rPr>
          <w:rFonts w:ascii="Arial" w:cs="Arial" w:eastAsia="Arial" w:hAnsi="Arial"/>
          <w:sz w:val="13"/>
          <w:szCs w:val="13"/>
          <w:b w:val="1"/>
          <w:bCs w:val="1"/>
          <w:u w:val="single" w:color="auto"/>
          <w:color w:val="0000EE"/>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15</w:t>
      </w:r>
    </w:p>
    <w:p>
      <w:pPr>
        <w:spacing w:after="0" w:line="20" w:lineRule="exact"/>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41210" cy="793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1210" cy="793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Age: 70</w:t>
      </w:r>
    </w:p>
    <w:p>
      <w:pPr>
        <w:spacing w:after="0" w:line="55" w:lineRule="exact"/>
        <w:rPr>
          <w:sz w:val="20"/>
          <w:szCs w:val="20"/>
          <w:color w:val="auto"/>
        </w:rPr>
      </w:pPr>
    </w:p>
    <w:p>
      <w:pPr>
        <w:ind w:left="60" w:right="380"/>
        <w:spacing w:after="0" w:line="319" w:lineRule="auto"/>
        <w:rPr>
          <w:sz w:val="20"/>
          <w:szCs w:val="20"/>
          <w:color w:val="auto"/>
        </w:rPr>
      </w:pPr>
      <w:r>
        <w:rPr>
          <w:rFonts w:ascii="Arial" w:cs="Arial" w:eastAsia="Arial" w:hAnsi="Arial"/>
          <w:sz w:val="14"/>
          <w:szCs w:val="14"/>
          <w:b w:val="1"/>
          <w:bCs w:val="1"/>
          <w:color w:val="auto"/>
        </w:rPr>
        <w:t>Director since: 2012</w:t>
      </w:r>
    </w:p>
    <w:p>
      <w:pPr>
        <w:spacing w:after="0" w:line="1" w:lineRule="exact"/>
        <w:rPr>
          <w:sz w:val="20"/>
          <w:szCs w:val="20"/>
          <w:color w:val="auto"/>
        </w:rPr>
      </w:pPr>
    </w:p>
    <w:p>
      <w:pPr>
        <w:ind w:left="60" w:right="100"/>
        <w:spacing w:after="0" w:line="368" w:lineRule="auto"/>
        <w:rPr>
          <w:sz w:val="20"/>
          <w:szCs w:val="20"/>
          <w:color w:val="auto"/>
        </w:rPr>
      </w:pPr>
      <w:r>
        <w:rPr>
          <w:rFonts w:ascii="Arial" w:cs="Arial" w:eastAsia="Arial" w:hAnsi="Arial"/>
          <w:sz w:val="15"/>
          <w:szCs w:val="15"/>
          <w:b w:val="1"/>
          <w:bCs w:val="1"/>
          <w:color w:val="A26F2A"/>
        </w:rPr>
        <w:t xml:space="preserve">INDEPENDENT </w:t>
      </w:r>
      <w:r>
        <w:rPr>
          <w:rFonts w:ascii="Arial" w:cs="Arial" w:eastAsia="Arial" w:hAnsi="Arial"/>
          <w:sz w:val="15"/>
          <w:szCs w:val="15"/>
          <w:b w:val="1"/>
          <w:bCs w:val="1"/>
          <w:color w:val="000000"/>
        </w:rPr>
        <w:t>Committees:</w:t>
      </w:r>
    </w:p>
    <w:p>
      <w:pPr>
        <w:spacing w:after="0" w:line="1" w:lineRule="exact"/>
        <w:rPr>
          <w:sz w:val="20"/>
          <w:szCs w:val="20"/>
          <w:color w:val="auto"/>
        </w:rPr>
      </w:pPr>
    </w:p>
    <w:p>
      <w:pPr>
        <w:ind w:left="240" w:hanging="189"/>
        <w:spacing w:after="0"/>
        <w:tabs>
          <w:tab w:leader="none" w:pos="240" w:val="left"/>
        </w:tabs>
        <w:numPr>
          <w:ilvl w:val="0"/>
          <w:numId w:val="18"/>
        </w:numPr>
        <w:rPr>
          <w:rFonts w:ascii="Arial" w:cs="Arial" w:eastAsia="Arial" w:hAnsi="Arial"/>
          <w:sz w:val="15"/>
          <w:szCs w:val="15"/>
          <w:color w:val="A26F2A"/>
        </w:rPr>
      </w:pPr>
      <w:r>
        <w:rPr>
          <w:rFonts w:ascii="Arial" w:cs="Arial" w:eastAsia="Arial" w:hAnsi="Arial"/>
          <w:sz w:val="15"/>
          <w:szCs w:val="15"/>
          <w:color w:val="auto"/>
        </w:rPr>
        <w:t>Audit</w:t>
      </w:r>
    </w:p>
    <w:p>
      <w:pPr>
        <w:spacing w:after="0" w:line="79" w:lineRule="exact"/>
        <w:rPr>
          <w:rFonts w:ascii="Arial" w:cs="Arial" w:eastAsia="Arial" w:hAnsi="Arial"/>
          <w:sz w:val="15"/>
          <w:szCs w:val="15"/>
          <w:color w:val="A26F2A"/>
        </w:rPr>
      </w:pPr>
    </w:p>
    <w:p>
      <w:pPr>
        <w:ind w:left="240" w:hanging="189"/>
        <w:spacing w:after="0"/>
        <w:tabs>
          <w:tab w:leader="none" w:pos="240" w:val="left"/>
        </w:tabs>
        <w:numPr>
          <w:ilvl w:val="0"/>
          <w:numId w:val="18"/>
        </w:numPr>
        <w:rPr>
          <w:rFonts w:ascii="Arial" w:cs="Arial" w:eastAsia="Arial" w:hAnsi="Arial"/>
          <w:sz w:val="15"/>
          <w:szCs w:val="15"/>
          <w:color w:val="A26F2A"/>
        </w:rPr>
      </w:pPr>
      <w:r>
        <w:rPr>
          <w:rFonts w:ascii="Arial" w:cs="Arial" w:eastAsia="Arial" w:hAnsi="Arial"/>
          <w:sz w:val="15"/>
          <w:szCs w:val="15"/>
          <w:color w:val="auto"/>
        </w:rPr>
        <w:t>Compensation</w:t>
      </w:r>
    </w:p>
    <w:p>
      <w:pPr>
        <w:spacing w:after="0" w:line="92" w:lineRule="exact"/>
        <w:rPr>
          <w:rFonts w:ascii="Arial" w:cs="Arial" w:eastAsia="Arial" w:hAnsi="Arial"/>
          <w:sz w:val="15"/>
          <w:szCs w:val="15"/>
          <w:color w:val="A26F2A"/>
        </w:rPr>
      </w:pPr>
    </w:p>
    <w:p>
      <w:pPr>
        <w:ind w:left="220" w:right="60" w:hanging="169"/>
        <w:spacing w:after="0" w:line="264" w:lineRule="auto"/>
        <w:tabs>
          <w:tab w:leader="none" w:pos="231" w:val="left"/>
        </w:tabs>
        <w:numPr>
          <w:ilvl w:val="0"/>
          <w:numId w:val="18"/>
        </w:numPr>
        <w:rPr>
          <w:rFonts w:ascii="Arial" w:cs="Arial" w:eastAsia="Arial" w:hAnsi="Arial"/>
          <w:sz w:val="15"/>
          <w:szCs w:val="15"/>
          <w:color w:val="A26F2A"/>
        </w:rPr>
      </w:pPr>
      <w:r>
        <w:rPr>
          <w:rFonts w:ascii="Arial" w:cs="Arial" w:eastAsia="Arial" w:hAnsi="Arial"/>
          <w:sz w:val="15"/>
          <w:szCs w:val="15"/>
          <w:color w:val="auto"/>
        </w:rPr>
        <w:t>Nominating and Corporate Governance</w:t>
      </w:r>
    </w:p>
    <w:p>
      <w:pPr>
        <w:spacing w:after="0" w:line="49" w:lineRule="exact"/>
        <w:rPr>
          <w:sz w:val="20"/>
          <w:szCs w:val="20"/>
          <w:color w:val="auto"/>
        </w:rPr>
      </w:pPr>
    </w:p>
    <w:p>
      <w:pPr>
        <w:ind w:left="60"/>
        <w:spacing w:after="0" w:line="269" w:lineRule="auto"/>
        <w:rPr>
          <w:sz w:val="20"/>
          <w:szCs w:val="20"/>
          <w:color w:val="auto"/>
        </w:rPr>
      </w:pPr>
      <w:r>
        <w:rPr>
          <w:rFonts w:ascii="Arial" w:cs="Arial" w:eastAsia="Arial" w:hAnsi="Arial"/>
          <w:sz w:val="15"/>
          <w:szCs w:val="15"/>
          <w:b w:val="1"/>
          <w:bCs w:val="1"/>
          <w:color w:val="auto"/>
        </w:rPr>
        <w:t>Other Current Public Company Directorships:</w:t>
      </w:r>
    </w:p>
    <w:p>
      <w:pPr>
        <w:spacing w:after="0" w:line="26" w:lineRule="exact"/>
        <w:rPr>
          <w:sz w:val="20"/>
          <w:szCs w:val="20"/>
          <w:color w:val="auto"/>
        </w:rPr>
      </w:pPr>
    </w:p>
    <w:p>
      <w:pPr>
        <w:ind w:left="220" w:right="160" w:hanging="169"/>
        <w:spacing w:after="0" w:line="264" w:lineRule="auto"/>
        <w:tabs>
          <w:tab w:leader="none" w:pos="231" w:val="left"/>
        </w:tabs>
        <w:numPr>
          <w:ilvl w:val="0"/>
          <w:numId w:val="19"/>
        </w:numPr>
        <w:rPr>
          <w:rFonts w:ascii="Arial" w:cs="Arial" w:eastAsia="Arial" w:hAnsi="Arial"/>
          <w:sz w:val="15"/>
          <w:szCs w:val="15"/>
          <w:color w:val="A26F2A"/>
        </w:rPr>
      </w:pPr>
      <w:r>
        <w:rPr>
          <w:rFonts w:ascii="Arial" w:cs="Arial" w:eastAsia="Arial" w:hAnsi="Arial"/>
          <w:sz w:val="15"/>
          <w:szCs w:val="15"/>
          <w:color w:val="auto"/>
        </w:rPr>
        <w:t>Mammoth Energy Services,Inc.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247650</wp:posOffset>
            </wp:positionV>
            <wp:extent cx="753110" cy="7531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53110" cy="753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 L. PLAUMANN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140" w:type="dxa"/>
            <w:vAlign w:val="bottom"/>
            <w:gridSpan w:val="2"/>
          </w:tcPr>
          <w:p>
            <w:pPr>
              <w:spacing w:after="0"/>
              <w:rPr>
                <w:sz w:val="20"/>
                <w:szCs w:val="20"/>
                <w:color w:val="auto"/>
              </w:rPr>
            </w:pPr>
            <w:r>
              <w:rPr>
                <w:rFonts w:ascii="Arial" w:cs="Arial" w:eastAsia="Arial" w:hAnsi="Arial"/>
                <w:sz w:val="15"/>
                <w:szCs w:val="15"/>
                <w:b w:val="1"/>
                <w:bCs w:val="1"/>
                <w:color w:val="A26F2A"/>
              </w:rPr>
              <w:t>Skills and Qualifications</w:t>
            </w:r>
            <w:r>
              <w:rPr>
                <w:rFonts w:ascii="Arial" w:cs="Arial" w:eastAsia="Arial" w:hAnsi="Arial"/>
                <w:sz w:val="15"/>
                <w:szCs w:val="15"/>
                <w:color w:val="A26F2A"/>
              </w:rPr>
              <w:t>:</w:t>
            </w:r>
          </w:p>
        </w:tc>
        <w:tc>
          <w:tcPr>
            <w:tcW w:w="116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177"/>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4020" w:type="dxa"/>
            <w:vAlign w:val="bottom"/>
          </w:tcPr>
          <w:p>
            <w:pPr>
              <w:ind w:left="60"/>
              <w:spacing w:after="0"/>
              <w:rPr>
                <w:sz w:val="20"/>
                <w:szCs w:val="20"/>
                <w:color w:val="auto"/>
              </w:rPr>
            </w:pPr>
            <w:r>
              <w:rPr>
                <w:rFonts w:ascii="Arial" w:cs="Arial" w:eastAsia="Arial" w:hAnsi="Arial"/>
                <w:sz w:val="15"/>
                <w:szCs w:val="15"/>
                <w:color w:val="auto"/>
              </w:rPr>
              <w:t>Corporate Governance</w:t>
            </w:r>
          </w:p>
        </w:tc>
        <w:tc>
          <w:tcPr>
            <w:tcW w:w="1160" w:type="dxa"/>
            <w:vAlign w:val="bottom"/>
          </w:tcPr>
          <w:p>
            <w:pPr>
              <w:ind w:left="1060"/>
              <w:spacing w:after="0"/>
              <w:rPr>
                <w:sz w:val="20"/>
                <w:szCs w:val="20"/>
                <w:color w:val="auto"/>
              </w:rPr>
            </w:pPr>
            <w:r>
              <w:rPr>
                <w:rFonts w:ascii="Arial" w:cs="Arial" w:eastAsia="Arial" w:hAnsi="Arial"/>
                <w:sz w:val="15"/>
                <w:szCs w:val="15"/>
                <w:color w:val="A26F2A"/>
              </w:rPr>
              <w:t>•</w:t>
            </w:r>
          </w:p>
        </w:tc>
        <w:tc>
          <w:tcPr>
            <w:tcW w:w="3200" w:type="dxa"/>
            <w:vAlign w:val="bottom"/>
          </w:tcPr>
          <w:p>
            <w:pPr>
              <w:ind w:left="80"/>
              <w:spacing w:after="0"/>
              <w:rPr>
                <w:sz w:val="20"/>
                <w:szCs w:val="20"/>
                <w:color w:val="auto"/>
              </w:rPr>
            </w:pPr>
            <w:r>
              <w:rPr>
                <w:rFonts w:ascii="Arial" w:cs="Arial" w:eastAsia="Arial" w:hAnsi="Arial"/>
                <w:sz w:val="15"/>
                <w:szCs w:val="15"/>
                <w:color w:val="auto"/>
              </w:rPr>
              <w:t>Risk Management</w:t>
            </w:r>
          </w:p>
        </w:tc>
      </w:tr>
      <w:tr>
        <w:trPr>
          <w:trHeight w:val="177"/>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4020" w:type="dxa"/>
            <w:vAlign w:val="bottom"/>
          </w:tcPr>
          <w:p>
            <w:pPr>
              <w:ind w:left="60"/>
              <w:spacing w:after="0"/>
              <w:rPr>
                <w:sz w:val="20"/>
                <w:szCs w:val="20"/>
                <w:color w:val="auto"/>
              </w:rPr>
            </w:pPr>
            <w:r>
              <w:rPr>
                <w:rFonts w:ascii="Arial" w:cs="Arial" w:eastAsia="Arial" w:hAnsi="Arial"/>
                <w:sz w:val="15"/>
                <w:szCs w:val="15"/>
                <w:color w:val="auto"/>
              </w:rPr>
              <w:t>M&amp;A/Finance/Capital Markets</w:t>
            </w:r>
          </w:p>
        </w:tc>
        <w:tc>
          <w:tcPr>
            <w:tcW w:w="4360" w:type="dxa"/>
            <w:vAlign w:val="bottom"/>
            <w:gridSpan w:val="2"/>
          </w:tcPr>
          <w:p>
            <w:pPr>
              <w:ind w:left="106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Environmental, Health, Safety &amp; Sustainability</w:t>
            </w:r>
          </w:p>
        </w:tc>
      </w:tr>
      <w:tr>
        <w:trPr>
          <w:trHeight w:val="191"/>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4020" w:type="dxa"/>
            <w:vAlign w:val="bottom"/>
          </w:tcPr>
          <w:p>
            <w:pPr>
              <w:ind w:left="60"/>
              <w:spacing w:after="0"/>
              <w:rPr>
                <w:sz w:val="20"/>
                <w:szCs w:val="20"/>
                <w:color w:val="auto"/>
              </w:rPr>
            </w:pPr>
            <w:r>
              <w:rPr>
                <w:rFonts w:ascii="Arial" w:cs="Arial" w:eastAsia="Arial" w:hAnsi="Arial"/>
                <w:sz w:val="15"/>
                <w:szCs w:val="15"/>
                <w:color w:val="auto"/>
              </w:rPr>
              <w:t>Financial Reporting/Accounting Experience</w:t>
            </w:r>
          </w:p>
        </w:tc>
        <w:tc>
          <w:tcPr>
            <w:tcW w:w="1160" w:type="dxa"/>
            <w:vAlign w:val="bottom"/>
          </w:tcPr>
          <w:p>
            <w:pPr>
              <w:ind w:left="1060"/>
              <w:spacing w:after="0"/>
              <w:rPr>
                <w:sz w:val="20"/>
                <w:szCs w:val="20"/>
                <w:color w:val="auto"/>
              </w:rPr>
            </w:pPr>
            <w:r>
              <w:rPr>
                <w:rFonts w:ascii="Arial" w:cs="Arial" w:eastAsia="Arial" w:hAnsi="Arial"/>
                <w:sz w:val="15"/>
                <w:szCs w:val="15"/>
                <w:color w:val="A26F2A"/>
              </w:rPr>
              <w:t>•</w:t>
            </w:r>
          </w:p>
        </w:tc>
        <w:tc>
          <w:tcPr>
            <w:tcW w:w="3200" w:type="dxa"/>
            <w:vAlign w:val="bottom"/>
          </w:tcPr>
          <w:p>
            <w:pPr>
              <w:ind w:left="80"/>
              <w:spacing w:after="0"/>
              <w:rPr>
                <w:sz w:val="20"/>
                <w:szCs w:val="20"/>
                <w:color w:val="auto"/>
              </w:rPr>
            </w:pPr>
            <w:r>
              <w:rPr>
                <w:rFonts w:ascii="Arial" w:cs="Arial" w:eastAsia="Arial" w:hAnsi="Arial"/>
                <w:sz w:val="15"/>
                <w:szCs w:val="15"/>
                <w:color w:val="auto"/>
                <w:w w:val="99"/>
              </w:rPr>
              <w:t>Technology and Cyber Defense and Protection</w:t>
            </w:r>
          </w:p>
        </w:tc>
      </w:tr>
    </w:tbl>
    <w:p>
      <w:pPr>
        <w:ind w:left="180" w:hanging="174"/>
        <w:spacing w:after="0"/>
        <w:tabs>
          <w:tab w:leader="none" w:pos="180" w:val="left"/>
        </w:tabs>
        <w:numPr>
          <w:ilvl w:val="0"/>
          <w:numId w:val="20"/>
        </w:numPr>
        <w:rPr>
          <w:rFonts w:ascii="Arial" w:cs="Arial" w:eastAsia="Arial" w:hAnsi="Arial"/>
          <w:sz w:val="15"/>
          <w:szCs w:val="15"/>
          <w:color w:val="A26F2A"/>
        </w:rPr>
      </w:pPr>
      <w:r>
        <w:rPr>
          <w:rFonts w:ascii="Arial" w:cs="Arial" w:eastAsia="Arial" w:hAnsi="Arial"/>
          <w:sz w:val="15"/>
          <w:szCs w:val="15"/>
          <w:color w:val="auto"/>
        </w:rPr>
        <w:t>Executive Experience</w:t>
      </w:r>
    </w:p>
    <w:p>
      <w:pPr>
        <w:spacing w:after="0" w:line="4" w:lineRule="exact"/>
        <w:rPr>
          <w:rFonts w:ascii="Arial" w:cs="Arial" w:eastAsia="Arial" w:hAnsi="Arial"/>
          <w:sz w:val="15"/>
          <w:szCs w:val="15"/>
          <w:color w:val="A26F2A"/>
        </w:rPr>
      </w:pPr>
    </w:p>
    <w:p>
      <w:pPr>
        <w:ind w:left="180" w:hanging="174"/>
        <w:spacing w:after="0"/>
        <w:tabs>
          <w:tab w:leader="none" w:pos="180" w:val="left"/>
        </w:tabs>
        <w:numPr>
          <w:ilvl w:val="0"/>
          <w:numId w:val="20"/>
        </w:numPr>
        <w:rPr>
          <w:rFonts w:ascii="Arial" w:cs="Arial" w:eastAsia="Arial" w:hAnsi="Arial"/>
          <w:sz w:val="15"/>
          <w:szCs w:val="15"/>
          <w:color w:val="A26F2A"/>
        </w:rPr>
      </w:pPr>
      <w:r>
        <w:rPr>
          <w:rFonts w:ascii="Arial" w:cs="Arial" w:eastAsia="Arial" w:hAnsi="Arial"/>
          <w:sz w:val="15"/>
          <w:szCs w:val="15"/>
          <w:color w:val="auto"/>
        </w:rPr>
        <w:t>Executive Compensation and 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25400</wp:posOffset>
            </wp:positionV>
            <wp:extent cx="63315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31585" cy="8255"/>
                    </a:xfrm>
                    <a:prstGeom prst="rect">
                      <a:avLst/>
                    </a:prstGeom>
                    <a:noFill/>
                  </pic:spPr>
                </pic:pic>
              </a:graphicData>
            </a:graphic>
          </wp:anchor>
        </w:drawing>
      </w:r>
    </w:p>
    <w:p>
      <w:pPr>
        <w:spacing w:after="0" w:line="84" w:lineRule="exact"/>
        <w:rPr>
          <w:sz w:val="20"/>
          <w:szCs w:val="20"/>
          <w:color w:val="auto"/>
        </w:rPr>
      </w:pPr>
    </w:p>
    <w:p>
      <w:pPr>
        <w:jc w:val="both"/>
        <w:ind w:right="40"/>
        <w:spacing w:after="0" w:line="249" w:lineRule="auto"/>
        <w:rPr>
          <w:sz w:val="20"/>
          <w:szCs w:val="20"/>
          <w:color w:val="auto"/>
        </w:rPr>
      </w:pPr>
      <w:r>
        <w:rPr>
          <w:rFonts w:ascii="Arial" w:cs="Arial" w:eastAsia="Arial" w:hAnsi="Arial"/>
          <w:sz w:val="15"/>
          <w:szCs w:val="15"/>
          <w:color w:val="auto"/>
        </w:rPr>
        <w:t>Mr. Plaumann has served as a director of the Company since October 2012. He is currently a Managing Member of Greyhawke Capital Advisors LLC, or Greyhawke, which he co-founded in 1998. Prior to founding Greyhawke, Mr. Plaumann was a Senior Vice President of Wexford Capital LP. Mr. Plaumann also serves as a director on the board of Mammoth Energy Services, Inc. and is chair of the audit and a member of the compensation and nominating and corporate governance committees of the board. Mr. Plaumann was formerly a Managing Director of Alvarez &amp; Marsal, Inc. and the President of American Healthcare Management, Inc. He also was Senior Manager at Ernst &amp; Young LLP. Mr. Plaumann served as a director and audit committee chair for ICx Technologies, Inc. from 2006 until 2010, served as a director and a member of the audit and compensation committees of Republic Airways Holdings, Inc. from 2002 until 2017 and currently serves as a director of several private entities. Mr. Plaumann served as a director, an audit committee chair and a member of the conflicts committee of the general partner of Rhino Resource Partners LP, a coal operating company, from 2010 until 2016. Mr. Plaumann holds an M.B.A. and a B.A. in Business Administration from the University of Central Florida, where he currently serves on the Foundation Board and the Dean’s Advisory Board for the College of Business. We believe that Mr. Plaumann’s service on the boards of other public companies and his executive management experience, including previous experience as chair of audit committees, qualify him for service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824230</wp:posOffset>
            </wp:positionV>
            <wp:extent cx="71412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1032510</wp:posOffset>
            </wp:positionV>
            <wp:extent cx="6331585" cy="160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31585" cy="160020"/>
                    </a:xfrm>
                    <a:prstGeom prst="rect">
                      <a:avLst/>
                    </a:prstGeom>
                    <a:noFill/>
                  </pic:spPr>
                </pic:pic>
              </a:graphicData>
            </a:graphic>
          </wp:anchor>
        </w:drawing>
      </w:r>
    </w:p>
    <w:p>
      <w:pPr>
        <w:spacing w:after="0" w:line="1436" w:lineRule="exact"/>
        <w:rPr>
          <w:sz w:val="20"/>
          <w:szCs w:val="20"/>
          <w:color w:val="auto"/>
        </w:rPr>
      </w:pPr>
    </w:p>
    <w:p>
      <w:pPr>
        <w:sectPr>
          <w:pgSz w:w="11900" w:h="16838" w:orient="portrait"/>
          <w:cols w:equalWidth="0" w:num="2">
            <w:col w:w="1240" w:space="80"/>
            <w:col w:w="9920"/>
          </w:cols>
          <w:pgMar w:left="320" w:top="231" w:right="339" w:bottom="1440" w:gutter="0" w:footer="0" w:header="0"/>
          <w:type w:val="continuous"/>
        </w:sectPr>
      </w:pPr>
    </w:p>
    <w:p>
      <w:pPr>
        <w:spacing w:after="0" w:line="198" w:lineRule="exact"/>
        <w:rPr>
          <w:sz w:val="20"/>
          <w:szCs w:val="20"/>
          <w:color w:val="auto"/>
        </w:rPr>
      </w:pPr>
    </w:p>
    <w:p>
      <w:pPr>
        <w:ind w:left="1320"/>
        <w:spacing w:after="0"/>
        <w:rPr>
          <w:sz w:val="20"/>
          <w:szCs w:val="20"/>
          <w:color w:val="auto"/>
        </w:rPr>
      </w:pPr>
      <w:r>
        <w:rPr>
          <w:rFonts w:ascii="Arial" w:cs="Arial" w:eastAsia="Arial" w:hAnsi="Arial"/>
          <w:sz w:val="17"/>
          <w:szCs w:val="17"/>
          <w:b w:val="1"/>
          <w:bCs w:val="1"/>
          <w:color w:val="auto"/>
        </w:rPr>
        <w:t>ROBERT K. REEVES</w:t>
      </w:r>
    </w:p>
    <w:p>
      <w:pPr>
        <w:spacing w:after="0" w:line="62" w:lineRule="exact"/>
        <w:rPr>
          <w:sz w:val="20"/>
          <w:szCs w:val="20"/>
          <w:color w:val="auto"/>
        </w:rPr>
      </w:pPr>
    </w:p>
    <w:tbl>
      <w:tblPr>
        <w:tblLayout w:type="fixed"/>
        <w:tblInd w:w="60" w:type="dxa"/>
        <w:tblCellMar>
          <w:top w:w="0" w:type="dxa"/>
          <w:left w:w="0" w:type="dxa"/>
          <w:bottom w:w="0" w:type="dxa"/>
          <w:right w:w="0" w:type="dxa"/>
        </w:tblCellMar>
      </w:tblPr>
      <w:tr>
        <w:trPr>
          <w:trHeight w:val="177"/>
        </w:trPr>
        <w:tc>
          <w:tcPr>
            <w:tcW w:w="1220" w:type="dxa"/>
            <w:vAlign w:val="bottom"/>
          </w:tcPr>
          <w:p>
            <w:pPr>
              <w:spacing w:after="0"/>
              <w:rPr>
                <w:sz w:val="15"/>
                <w:szCs w:val="15"/>
                <w:color w:val="auto"/>
              </w:rPr>
            </w:pPr>
          </w:p>
        </w:tc>
        <w:tc>
          <w:tcPr>
            <w:tcW w:w="4260" w:type="dxa"/>
            <w:vAlign w:val="bottom"/>
            <w:gridSpan w:val="2"/>
          </w:tcPr>
          <w:p>
            <w:pPr>
              <w:ind w:left="40"/>
              <w:spacing w:after="0"/>
              <w:rPr>
                <w:sz w:val="20"/>
                <w:szCs w:val="20"/>
                <w:color w:val="auto"/>
              </w:rPr>
            </w:pPr>
            <w:r>
              <w:rPr>
                <w:rFonts w:ascii="Arial" w:cs="Arial" w:eastAsia="Arial" w:hAnsi="Arial"/>
                <w:sz w:val="15"/>
                <w:szCs w:val="15"/>
                <w:b w:val="1"/>
                <w:bCs w:val="1"/>
                <w:color w:val="A26F2A"/>
              </w:rPr>
              <w:t>Skills and Qualifications:</w:t>
            </w:r>
          </w:p>
        </w:tc>
        <w:tc>
          <w:tcPr>
            <w:tcW w:w="5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2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Arial" w:cs="Arial" w:eastAsia="Arial" w:hAnsi="Arial"/>
                <w:sz w:val="15"/>
                <w:szCs w:val="15"/>
                <w:color w:val="A26F2A"/>
              </w:rPr>
              <w:t>•</w:t>
            </w:r>
          </w:p>
        </w:tc>
        <w:tc>
          <w:tcPr>
            <w:tcW w:w="4100" w:type="dxa"/>
            <w:vAlign w:val="bottom"/>
          </w:tcPr>
          <w:p>
            <w:pPr>
              <w:ind w:left="60"/>
              <w:spacing w:after="0"/>
              <w:rPr>
                <w:sz w:val="20"/>
                <w:szCs w:val="20"/>
                <w:color w:val="auto"/>
              </w:rPr>
            </w:pPr>
            <w:r>
              <w:rPr>
                <w:rFonts w:ascii="Arial" w:cs="Arial" w:eastAsia="Arial" w:hAnsi="Arial"/>
                <w:sz w:val="15"/>
                <w:szCs w:val="15"/>
                <w:color w:val="auto"/>
              </w:rPr>
              <w:t>Corporate Governance</w:t>
            </w:r>
          </w:p>
        </w:tc>
        <w:tc>
          <w:tcPr>
            <w:tcW w:w="5700" w:type="dxa"/>
            <w:vAlign w:val="bottom"/>
          </w:tcPr>
          <w:p>
            <w:pPr>
              <w:ind w:left="98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Executive Experience</w:t>
            </w:r>
          </w:p>
        </w:tc>
        <w:tc>
          <w:tcPr>
            <w:tcW w:w="0" w:type="dxa"/>
            <w:vAlign w:val="bottom"/>
          </w:tcPr>
          <w:p>
            <w:pPr>
              <w:spacing w:after="0"/>
              <w:rPr>
                <w:sz w:val="1"/>
                <w:szCs w:val="1"/>
                <w:color w:val="auto"/>
              </w:rPr>
            </w:pPr>
          </w:p>
        </w:tc>
      </w:tr>
      <w:tr>
        <w:trPr>
          <w:trHeight w:val="177"/>
        </w:trPr>
        <w:tc>
          <w:tcPr>
            <w:tcW w:w="122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Arial" w:cs="Arial" w:eastAsia="Arial" w:hAnsi="Arial"/>
                <w:sz w:val="15"/>
                <w:szCs w:val="15"/>
                <w:color w:val="A26F2A"/>
              </w:rPr>
              <w:t>•</w:t>
            </w:r>
          </w:p>
        </w:tc>
        <w:tc>
          <w:tcPr>
            <w:tcW w:w="4100" w:type="dxa"/>
            <w:vAlign w:val="bottom"/>
          </w:tcPr>
          <w:p>
            <w:pPr>
              <w:ind w:left="60"/>
              <w:spacing w:after="0"/>
              <w:rPr>
                <w:sz w:val="20"/>
                <w:szCs w:val="20"/>
                <w:color w:val="auto"/>
              </w:rPr>
            </w:pPr>
            <w:r>
              <w:rPr>
                <w:rFonts w:ascii="Arial" w:cs="Arial" w:eastAsia="Arial" w:hAnsi="Arial"/>
                <w:sz w:val="15"/>
                <w:szCs w:val="15"/>
                <w:color w:val="auto"/>
              </w:rPr>
              <w:t>M&amp;A/Finance/Capital Markets</w:t>
            </w:r>
          </w:p>
        </w:tc>
        <w:tc>
          <w:tcPr>
            <w:tcW w:w="5700" w:type="dxa"/>
            <w:vAlign w:val="bottom"/>
          </w:tcPr>
          <w:p>
            <w:pPr>
              <w:ind w:left="98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Executive Compensation and Human Capital Management</w:t>
            </w:r>
          </w:p>
        </w:tc>
        <w:tc>
          <w:tcPr>
            <w:tcW w:w="0" w:type="dxa"/>
            <w:vAlign w:val="bottom"/>
          </w:tcPr>
          <w:p>
            <w:pPr>
              <w:spacing w:after="0"/>
              <w:rPr>
                <w:sz w:val="1"/>
                <w:szCs w:val="1"/>
                <w:color w:val="auto"/>
              </w:rPr>
            </w:pPr>
          </w:p>
        </w:tc>
      </w:tr>
      <w:tr>
        <w:trPr>
          <w:trHeight w:val="177"/>
        </w:trPr>
        <w:tc>
          <w:tcPr>
            <w:tcW w:w="122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Arial" w:cs="Arial" w:eastAsia="Arial" w:hAnsi="Arial"/>
                <w:sz w:val="15"/>
                <w:szCs w:val="15"/>
                <w:color w:val="A26F2A"/>
              </w:rPr>
              <w:t>•</w:t>
            </w:r>
          </w:p>
        </w:tc>
        <w:tc>
          <w:tcPr>
            <w:tcW w:w="4100" w:type="dxa"/>
            <w:vAlign w:val="bottom"/>
          </w:tcPr>
          <w:p>
            <w:pPr>
              <w:ind w:left="60"/>
              <w:spacing w:after="0"/>
              <w:rPr>
                <w:sz w:val="20"/>
                <w:szCs w:val="20"/>
                <w:color w:val="auto"/>
              </w:rPr>
            </w:pPr>
            <w:r>
              <w:rPr>
                <w:rFonts w:ascii="Arial" w:cs="Arial" w:eastAsia="Arial" w:hAnsi="Arial"/>
                <w:sz w:val="15"/>
                <w:szCs w:val="15"/>
                <w:color w:val="auto"/>
              </w:rPr>
              <w:t>Government, Legal &amp; Regulatory</w:t>
            </w:r>
          </w:p>
        </w:tc>
        <w:tc>
          <w:tcPr>
            <w:tcW w:w="5700" w:type="dxa"/>
            <w:vAlign w:val="bottom"/>
          </w:tcPr>
          <w:p>
            <w:pPr>
              <w:ind w:left="98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Risk Management</w:t>
            </w:r>
          </w:p>
        </w:tc>
        <w:tc>
          <w:tcPr>
            <w:tcW w:w="0" w:type="dxa"/>
            <w:vAlign w:val="bottom"/>
          </w:tcPr>
          <w:p>
            <w:pPr>
              <w:spacing w:after="0"/>
              <w:rPr>
                <w:sz w:val="1"/>
                <w:szCs w:val="1"/>
                <w:color w:val="auto"/>
              </w:rPr>
            </w:pPr>
          </w:p>
        </w:tc>
      </w:tr>
      <w:tr>
        <w:trPr>
          <w:trHeight w:val="177"/>
        </w:trPr>
        <w:tc>
          <w:tcPr>
            <w:tcW w:w="122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Arial" w:cs="Arial" w:eastAsia="Arial" w:hAnsi="Arial"/>
                <w:sz w:val="15"/>
                <w:szCs w:val="15"/>
                <w:color w:val="A26F2A"/>
              </w:rPr>
              <w:t>•</w:t>
            </w:r>
          </w:p>
        </w:tc>
        <w:tc>
          <w:tcPr>
            <w:tcW w:w="4100" w:type="dxa"/>
            <w:vAlign w:val="bottom"/>
          </w:tcPr>
          <w:p>
            <w:pPr>
              <w:ind w:left="60"/>
              <w:spacing w:after="0"/>
              <w:rPr>
                <w:sz w:val="20"/>
                <w:szCs w:val="20"/>
                <w:color w:val="auto"/>
              </w:rPr>
            </w:pPr>
            <w:r>
              <w:rPr>
                <w:rFonts w:ascii="Arial" w:cs="Arial" w:eastAsia="Arial" w:hAnsi="Arial"/>
                <w:sz w:val="15"/>
                <w:szCs w:val="15"/>
                <w:color w:val="auto"/>
              </w:rPr>
              <w:t>Environmental, Health, Safety &amp; Sustainability</w:t>
            </w:r>
          </w:p>
        </w:tc>
        <w:tc>
          <w:tcPr>
            <w:tcW w:w="5700" w:type="dxa"/>
            <w:vAlign w:val="bottom"/>
          </w:tcPr>
          <w:p>
            <w:pPr>
              <w:ind w:left="98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Technology and Cyber Defense and Protection</w:t>
            </w:r>
          </w:p>
        </w:tc>
        <w:tc>
          <w:tcPr>
            <w:tcW w:w="0" w:type="dxa"/>
            <w:vAlign w:val="bottom"/>
          </w:tcPr>
          <w:p>
            <w:pPr>
              <w:spacing w:after="0"/>
              <w:rPr>
                <w:sz w:val="1"/>
                <w:szCs w:val="1"/>
                <w:color w:val="auto"/>
              </w:rPr>
            </w:pPr>
          </w:p>
        </w:tc>
      </w:tr>
      <w:tr>
        <w:trPr>
          <w:trHeight w:val="199"/>
        </w:trPr>
        <w:tc>
          <w:tcPr>
            <w:tcW w:w="1220" w:type="dxa"/>
            <w:vAlign w:val="bottom"/>
            <w:vMerge w:val="restart"/>
          </w:tcPr>
          <w:p>
            <w:pPr>
              <w:spacing w:after="0"/>
              <w:rPr>
                <w:sz w:val="20"/>
                <w:szCs w:val="20"/>
                <w:color w:val="auto"/>
              </w:rPr>
            </w:pPr>
            <w:r>
              <w:rPr>
                <w:rFonts w:ascii="Arial" w:cs="Arial" w:eastAsia="Arial" w:hAnsi="Arial"/>
                <w:sz w:val="15"/>
                <w:szCs w:val="15"/>
                <w:b w:val="1"/>
                <w:bCs w:val="1"/>
                <w:color w:val="auto"/>
              </w:rPr>
              <w:t>Age: 68</w:t>
            </w:r>
          </w:p>
        </w:tc>
        <w:tc>
          <w:tcPr>
            <w:tcW w:w="160" w:type="dxa"/>
            <w:vAlign w:val="bottom"/>
          </w:tcPr>
          <w:p>
            <w:pPr>
              <w:ind w:left="40"/>
              <w:spacing w:after="0"/>
              <w:rPr>
                <w:sz w:val="20"/>
                <w:szCs w:val="20"/>
                <w:color w:val="auto"/>
              </w:rPr>
            </w:pPr>
            <w:r>
              <w:rPr>
                <w:rFonts w:ascii="Arial" w:cs="Arial" w:eastAsia="Arial" w:hAnsi="Arial"/>
                <w:sz w:val="15"/>
                <w:szCs w:val="15"/>
                <w:color w:val="A26F2A"/>
              </w:rPr>
              <w:t>•</w:t>
            </w:r>
          </w:p>
        </w:tc>
        <w:tc>
          <w:tcPr>
            <w:tcW w:w="4100" w:type="dxa"/>
            <w:vAlign w:val="bottom"/>
          </w:tcPr>
          <w:p>
            <w:pPr>
              <w:ind w:left="60"/>
              <w:spacing w:after="0"/>
              <w:rPr>
                <w:sz w:val="20"/>
                <w:szCs w:val="20"/>
                <w:color w:val="auto"/>
              </w:rPr>
            </w:pPr>
            <w:r>
              <w:rPr>
                <w:rFonts w:ascii="Arial" w:cs="Arial" w:eastAsia="Arial" w:hAnsi="Arial"/>
                <w:sz w:val="15"/>
                <w:szCs w:val="15"/>
                <w:color w:val="auto"/>
              </w:rPr>
              <w:t>Industry Background</w:t>
            </w: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22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
        </w:trPr>
        <w:tc>
          <w:tcPr>
            <w:tcW w:w="12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1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31" w:right="339" w:bottom="1440" w:gutter="0" w:footer="0" w:header="0"/>
          <w:type w:val="continuous"/>
        </w:sectPr>
      </w:pPr>
    </w:p>
    <w:p>
      <w:pPr>
        <w:spacing w:after="0" w:line="35" w:lineRule="exact"/>
        <w:rPr>
          <w:sz w:val="20"/>
          <w:szCs w:val="20"/>
          <w:color w:val="auto"/>
        </w:rPr>
      </w:pPr>
    </w:p>
    <w:p>
      <w:pPr>
        <w:ind w:left="60" w:right="340"/>
        <w:spacing w:after="0" w:line="319" w:lineRule="auto"/>
        <w:rPr>
          <w:sz w:val="20"/>
          <w:szCs w:val="20"/>
          <w:color w:val="auto"/>
        </w:rPr>
      </w:pPr>
      <w:r>
        <w:rPr>
          <w:rFonts w:ascii="Arial" w:cs="Arial" w:eastAsia="Arial" w:hAnsi="Arial"/>
          <w:sz w:val="14"/>
          <w:szCs w:val="14"/>
          <w:b w:val="1"/>
          <w:bCs w:val="1"/>
          <w:color w:val="auto"/>
        </w:rPr>
        <w:t>Director since: 2024</w:t>
      </w:r>
    </w:p>
    <w:p>
      <w:pPr>
        <w:spacing w:after="0" w:line="1" w:lineRule="exact"/>
        <w:rPr>
          <w:sz w:val="20"/>
          <w:szCs w:val="20"/>
          <w:color w:val="auto"/>
        </w:rPr>
      </w:pPr>
    </w:p>
    <w:p>
      <w:pPr>
        <w:ind w:left="60" w:right="60"/>
        <w:spacing w:after="0" w:line="368" w:lineRule="auto"/>
        <w:rPr>
          <w:sz w:val="20"/>
          <w:szCs w:val="20"/>
          <w:color w:val="auto"/>
        </w:rPr>
      </w:pPr>
      <w:r>
        <w:rPr>
          <w:rFonts w:ascii="Arial" w:cs="Arial" w:eastAsia="Arial" w:hAnsi="Arial"/>
          <w:sz w:val="15"/>
          <w:szCs w:val="15"/>
          <w:b w:val="1"/>
          <w:bCs w:val="1"/>
          <w:color w:val="A26F2A"/>
        </w:rPr>
        <w:t xml:space="preserve">INDEPENDENT </w:t>
      </w:r>
      <w:r>
        <w:rPr>
          <w:rFonts w:ascii="Arial" w:cs="Arial" w:eastAsia="Arial" w:hAnsi="Arial"/>
          <w:sz w:val="15"/>
          <w:szCs w:val="15"/>
          <w:b w:val="1"/>
          <w:bCs w:val="1"/>
          <w:color w:val="000000"/>
        </w:rPr>
        <w:t>Committees:</w:t>
      </w:r>
    </w:p>
    <w:p>
      <w:pPr>
        <w:spacing w:after="0" w:line="1" w:lineRule="exact"/>
        <w:rPr>
          <w:sz w:val="20"/>
          <w:szCs w:val="20"/>
          <w:color w:val="auto"/>
        </w:rPr>
      </w:pPr>
    </w:p>
    <w:p>
      <w:pPr>
        <w:ind w:left="240" w:hanging="189"/>
        <w:spacing w:after="0"/>
        <w:tabs>
          <w:tab w:leader="none" w:pos="240" w:val="left"/>
        </w:tabs>
        <w:numPr>
          <w:ilvl w:val="0"/>
          <w:numId w:val="21"/>
        </w:numPr>
        <w:rPr>
          <w:rFonts w:ascii="Arial" w:cs="Arial" w:eastAsia="Arial" w:hAnsi="Arial"/>
          <w:sz w:val="15"/>
          <w:szCs w:val="15"/>
          <w:color w:val="A26F2A"/>
        </w:rPr>
      </w:pPr>
      <w:r>
        <w:rPr>
          <w:rFonts w:ascii="Arial" w:cs="Arial" w:eastAsia="Arial" w:hAnsi="Arial"/>
          <w:sz w:val="15"/>
          <w:szCs w:val="15"/>
          <w:color w:val="auto"/>
        </w:rPr>
        <w:t>Audit</w:t>
      </w:r>
    </w:p>
    <w:p>
      <w:pPr>
        <w:spacing w:after="0" w:line="79" w:lineRule="exact"/>
        <w:rPr>
          <w:rFonts w:ascii="Arial" w:cs="Arial" w:eastAsia="Arial" w:hAnsi="Arial"/>
          <w:sz w:val="15"/>
          <w:szCs w:val="15"/>
          <w:color w:val="A26F2A"/>
        </w:rPr>
      </w:pPr>
    </w:p>
    <w:p>
      <w:pPr>
        <w:ind w:left="240" w:hanging="189"/>
        <w:spacing w:after="0"/>
        <w:tabs>
          <w:tab w:leader="none" w:pos="240" w:val="left"/>
        </w:tabs>
        <w:numPr>
          <w:ilvl w:val="0"/>
          <w:numId w:val="21"/>
        </w:numPr>
        <w:rPr>
          <w:rFonts w:ascii="Arial" w:cs="Arial" w:eastAsia="Arial" w:hAnsi="Arial"/>
          <w:sz w:val="14"/>
          <w:szCs w:val="14"/>
          <w:color w:val="A26F2A"/>
        </w:rPr>
      </w:pPr>
      <w:r>
        <w:rPr>
          <w:rFonts w:ascii="Arial" w:cs="Arial" w:eastAsia="Arial" w:hAnsi="Arial"/>
          <w:sz w:val="14"/>
          <w:szCs w:val="14"/>
          <w:color w:val="auto"/>
        </w:rPr>
        <w:t>Compensation</w:t>
      </w:r>
    </w:p>
    <w:p>
      <w:pPr>
        <w:spacing w:after="0" w:line="104" w:lineRule="exact"/>
        <w:rPr>
          <w:rFonts w:ascii="Arial" w:cs="Arial" w:eastAsia="Arial" w:hAnsi="Arial"/>
          <w:sz w:val="14"/>
          <w:szCs w:val="14"/>
          <w:color w:val="A26F2A"/>
        </w:rPr>
      </w:pPr>
    </w:p>
    <w:p>
      <w:pPr>
        <w:ind w:left="220" w:right="20" w:hanging="169"/>
        <w:spacing w:after="0" w:line="264" w:lineRule="auto"/>
        <w:tabs>
          <w:tab w:leader="none" w:pos="231" w:val="left"/>
        </w:tabs>
        <w:numPr>
          <w:ilvl w:val="0"/>
          <w:numId w:val="21"/>
        </w:numPr>
        <w:rPr>
          <w:rFonts w:ascii="Arial" w:cs="Arial" w:eastAsia="Arial" w:hAnsi="Arial"/>
          <w:sz w:val="15"/>
          <w:szCs w:val="15"/>
          <w:color w:val="A26F2A"/>
        </w:rPr>
      </w:pPr>
      <w:r>
        <w:rPr>
          <w:rFonts w:ascii="Arial" w:cs="Arial" w:eastAsia="Arial" w:hAnsi="Arial"/>
          <w:sz w:val="15"/>
          <w:szCs w:val="15"/>
          <w:color w:val="auto"/>
        </w:rPr>
        <w:t>Nominating and Corporate Governance</w:t>
      </w:r>
    </w:p>
    <w:p>
      <w:pPr>
        <w:spacing w:after="0" w:line="20" w:lineRule="exact"/>
        <w:rPr>
          <w:sz w:val="20"/>
          <w:szCs w:val="20"/>
          <w:color w:val="auto"/>
        </w:rPr>
      </w:pPr>
      <w:r>
        <w:rPr>
          <w:sz w:val="20"/>
          <w:szCs w:val="20"/>
          <w:color w:val="auto"/>
        </w:rPr>
        <w:br w:type="column"/>
      </w:r>
    </w:p>
    <w:p>
      <w:pPr>
        <w:jc w:val="both"/>
        <w:ind w:right="40"/>
        <w:spacing w:after="0" w:line="247" w:lineRule="auto"/>
        <w:rPr>
          <w:sz w:val="20"/>
          <w:szCs w:val="20"/>
          <w:color w:val="auto"/>
        </w:rPr>
      </w:pPr>
      <w:r>
        <w:rPr>
          <w:rFonts w:ascii="Arial" w:cs="Arial" w:eastAsia="Arial" w:hAnsi="Arial"/>
          <w:sz w:val="15"/>
          <w:szCs w:val="15"/>
          <w:color w:val="auto"/>
        </w:rPr>
        <w:t>Mr. Reeves has served as a director of Diamondback since September 2024. Mr. Reeves previously served for 14 years as Executive Vice President and Chief Administrative Officer of Anadarko Petroleum Corporation, where he supervised legal, human resources, government relations, information technology, HSE, corporate security and administrative functions. Mr. Reeves retired from Anadarko in December of 2018. Prior to Anadarko, Mr. Reeves served for eleven years as Executive Vice President, General Counsel and Secretary of Ocean Energy, Inc. and its predecessor, Flores &amp; Rucks, Inc. Prior to his corporate roles, Mr. Reeves was a partner for eleven years in the Onebane Law Firm of Lafayette, Louisiana. Mr. Reeves received his bachelor’s degree in business administration from Louisiana State University in 1978 and his Doctor of Jurisprudence from LSU Law School in 1982. Mr. Reeves currently serves as a member of the LSU Foundation Board and on the board of visitors of MD Anderson Cancer Center. He also previously served on the boards of directors of Key Energy Services, Inc., Western Gas Partners, LP, Western Gas Equity Partners, LP, Episcopal Health Foundation, St. Luke’s Episcopal Health System, Family Services of Greater Houston and United Way of Greater Houston. We believe that Mr. Reeves strong legal and executive management experience, extensive knowledge of the oil and gas industry and prior board service qualify him for service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81280</wp:posOffset>
            </wp:positionV>
            <wp:extent cx="71412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2">
            <w:col w:w="1200" w:space="120"/>
            <w:col w:w="9920"/>
          </w:cols>
          <w:pgMar w:left="320" w:top="231" w:right="339" w:bottom="1440" w:gutter="0" w:footer="0" w:header="0"/>
          <w:type w:val="continuous"/>
        </w:sect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53110" cy="7531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53110" cy="75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Age: 53</w:t>
      </w:r>
    </w:p>
    <w:p>
      <w:pPr>
        <w:spacing w:after="0" w:line="55" w:lineRule="exact"/>
        <w:rPr>
          <w:sz w:val="20"/>
          <w:szCs w:val="20"/>
          <w:color w:val="auto"/>
        </w:rPr>
      </w:pPr>
    </w:p>
    <w:p>
      <w:pPr>
        <w:ind w:left="60" w:right="280"/>
        <w:spacing w:after="0" w:line="319" w:lineRule="auto"/>
        <w:rPr>
          <w:sz w:val="20"/>
          <w:szCs w:val="20"/>
          <w:color w:val="auto"/>
        </w:rPr>
      </w:pPr>
      <w:r>
        <w:rPr>
          <w:rFonts w:ascii="Arial" w:cs="Arial" w:eastAsia="Arial" w:hAnsi="Arial"/>
          <w:sz w:val="14"/>
          <w:szCs w:val="14"/>
          <w:b w:val="1"/>
          <w:bCs w:val="1"/>
          <w:color w:val="auto"/>
        </w:rPr>
        <w:t>Director since: 2024</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26F2A"/>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828040</wp:posOffset>
            </wp:positionV>
            <wp:extent cx="753110" cy="7531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53110" cy="753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LANCE W.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-128905</wp:posOffset>
            </wp:positionV>
            <wp:extent cx="6331585" cy="1600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31585" cy="16002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500" w:type="dxa"/>
            <w:vAlign w:val="bottom"/>
            <w:gridSpan w:val="2"/>
          </w:tcPr>
          <w:p>
            <w:pPr>
              <w:spacing w:after="0"/>
              <w:rPr>
                <w:sz w:val="20"/>
                <w:szCs w:val="20"/>
                <w:color w:val="auto"/>
              </w:rPr>
            </w:pPr>
            <w:r>
              <w:rPr>
                <w:rFonts w:ascii="Arial" w:cs="Arial" w:eastAsia="Arial" w:hAnsi="Arial"/>
                <w:sz w:val="15"/>
                <w:szCs w:val="15"/>
                <w:b w:val="1"/>
                <w:bCs w:val="1"/>
                <w:color w:val="A26F2A"/>
              </w:rPr>
              <w:t>Skills and Qualifications:</w:t>
            </w:r>
          </w:p>
        </w:tc>
        <w:tc>
          <w:tcPr>
            <w:tcW w:w="1800" w:type="dxa"/>
            <w:vAlign w:val="bottom"/>
          </w:tcPr>
          <w:p>
            <w:pPr>
              <w:spacing w:after="0"/>
              <w:rPr>
                <w:sz w:val="15"/>
                <w:szCs w:val="15"/>
                <w:color w:val="auto"/>
              </w:rPr>
            </w:pPr>
          </w:p>
        </w:tc>
        <w:tc>
          <w:tcPr>
            <w:tcW w:w="3160" w:type="dxa"/>
            <w:vAlign w:val="bottom"/>
          </w:tcPr>
          <w:p>
            <w:pPr>
              <w:spacing w:after="0"/>
              <w:rPr>
                <w:sz w:val="15"/>
                <w:szCs w:val="15"/>
                <w:color w:val="auto"/>
              </w:rPr>
            </w:pPr>
          </w:p>
        </w:tc>
      </w:tr>
      <w:tr>
        <w:trPr>
          <w:trHeight w:val="177"/>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3380" w:type="dxa"/>
            <w:vAlign w:val="bottom"/>
          </w:tcPr>
          <w:p>
            <w:pPr>
              <w:ind w:left="60"/>
              <w:spacing w:after="0"/>
              <w:rPr>
                <w:sz w:val="20"/>
                <w:szCs w:val="20"/>
                <w:color w:val="auto"/>
              </w:rPr>
            </w:pPr>
            <w:r>
              <w:rPr>
                <w:rFonts w:ascii="Arial" w:cs="Arial" w:eastAsia="Arial" w:hAnsi="Arial"/>
                <w:sz w:val="15"/>
                <w:szCs w:val="15"/>
                <w:color w:val="auto"/>
              </w:rPr>
              <w:t>Industry Background</w:t>
            </w:r>
          </w:p>
        </w:tc>
        <w:tc>
          <w:tcPr>
            <w:tcW w:w="1800" w:type="dxa"/>
            <w:vAlign w:val="bottom"/>
          </w:tcPr>
          <w:p>
            <w:pPr>
              <w:ind w:left="1700"/>
              <w:spacing w:after="0"/>
              <w:rPr>
                <w:sz w:val="20"/>
                <w:szCs w:val="20"/>
                <w:color w:val="auto"/>
              </w:rPr>
            </w:pPr>
            <w:r>
              <w:rPr>
                <w:rFonts w:ascii="Arial" w:cs="Arial" w:eastAsia="Arial" w:hAnsi="Arial"/>
                <w:sz w:val="15"/>
                <w:szCs w:val="15"/>
                <w:color w:val="A26F2A"/>
              </w:rPr>
              <w:t>•</w:t>
            </w:r>
          </w:p>
        </w:tc>
        <w:tc>
          <w:tcPr>
            <w:tcW w:w="3160" w:type="dxa"/>
            <w:vAlign w:val="bottom"/>
          </w:tcPr>
          <w:p>
            <w:pPr>
              <w:ind w:left="80"/>
              <w:spacing w:after="0"/>
              <w:rPr>
                <w:sz w:val="20"/>
                <w:szCs w:val="20"/>
                <w:color w:val="auto"/>
              </w:rPr>
            </w:pPr>
            <w:r>
              <w:rPr>
                <w:rFonts w:ascii="Arial" w:cs="Arial" w:eastAsia="Arial" w:hAnsi="Arial"/>
                <w:sz w:val="15"/>
                <w:szCs w:val="15"/>
                <w:color w:val="auto"/>
              </w:rPr>
              <w:t>Environmental, Health, Safety &amp; Sustainability</w:t>
            </w:r>
          </w:p>
        </w:tc>
      </w:tr>
      <w:tr>
        <w:trPr>
          <w:trHeight w:val="191"/>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3380" w:type="dxa"/>
            <w:vAlign w:val="bottom"/>
          </w:tcPr>
          <w:p>
            <w:pPr>
              <w:ind w:left="60"/>
              <w:spacing w:after="0"/>
              <w:rPr>
                <w:sz w:val="20"/>
                <w:szCs w:val="20"/>
                <w:color w:val="auto"/>
              </w:rPr>
            </w:pPr>
            <w:r>
              <w:rPr>
                <w:rFonts w:ascii="Arial" w:cs="Arial" w:eastAsia="Arial" w:hAnsi="Arial"/>
                <w:sz w:val="15"/>
                <w:szCs w:val="15"/>
                <w:color w:val="auto"/>
              </w:rPr>
              <w:t>Executive Experience</w:t>
            </w:r>
          </w:p>
        </w:tc>
        <w:tc>
          <w:tcPr>
            <w:tcW w:w="1800" w:type="dxa"/>
            <w:vAlign w:val="bottom"/>
          </w:tcPr>
          <w:p>
            <w:pPr>
              <w:ind w:left="1700"/>
              <w:spacing w:after="0"/>
              <w:rPr>
                <w:sz w:val="20"/>
                <w:szCs w:val="20"/>
                <w:color w:val="auto"/>
              </w:rPr>
            </w:pPr>
            <w:r>
              <w:rPr>
                <w:rFonts w:ascii="Arial" w:cs="Arial" w:eastAsia="Arial" w:hAnsi="Arial"/>
                <w:sz w:val="15"/>
                <w:szCs w:val="15"/>
                <w:color w:val="A26F2A"/>
              </w:rPr>
              <w:t>•</w:t>
            </w:r>
          </w:p>
        </w:tc>
        <w:tc>
          <w:tcPr>
            <w:tcW w:w="3160" w:type="dxa"/>
            <w:vAlign w:val="bottom"/>
          </w:tcPr>
          <w:p>
            <w:pPr>
              <w:ind w:left="80"/>
              <w:spacing w:after="0"/>
              <w:rPr>
                <w:sz w:val="20"/>
                <w:szCs w:val="20"/>
                <w:color w:val="auto"/>
              </w:rPr>
            </w:pPr>
            <w:r>
              <w:rPr>
                <w:rFonts w:ascii="Arial" w:cs="Arial" w:eastAsia="Arial" w:hAnsi="Arial"/>
                <w:sz w:val="15"/>
                <w:szCs w:val="15"/>
                <w:color w:val="auto"/>
              </w:rPr>
              <w:t>Risk Management</w:t>
            </w:r>
          </w:p>
        </w:tc>
      </w:tr>
    </w:tbl>
    <w:p>
      <w:pPr>
        <w:ind w:left="180" w:hanging="174"/>
        <w:spacing w:after="0"/>
        <w:tabs>
          <w:tab w:leader="none" w:pos="180" w:val="left"/>
        </w:tabs>
        <w:numPr>
          <w:ilvl w:val="0"/>
          <w:numId w:val="22"/>
        </w:numPr>
        <w:rPr>
          <w:rFonts w:ascii="Arial" w:cs="Arial" w:eastAsia="Arial" w:hAnsi="Arial"/>
          <w:sz w:val="15"/>
          <w:szCs w:val="15"/>
          <w:color w:val="A26F2A"/>
        </w:rPr>
      </w:pPr>
      <w:r>
        <w:rPr>
          <w:rFonts w:ascii="Arial" w:cs="Arial" w:eastAsia="Arial" w:hAnsi="Arial"/>
          <w:sz w:val="15"/>
          <w:szCs w:val="15"/>
          <w:color w:val="auto"/>
        </w:rPr>
        <w:t>M&amp;A/Finance/Capital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25400</wp:posOffset>
            </wp:positionV>
            <wp:extent cx="63315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31585" cy="8255"/>
                    </a:xfrm>
                    <a:prstGeom prst="rect">
                      <a:avLst/>
                    </a:prstGeom>
                    <a:noFill/>
                  </pic:spPr>
                </pic:pic>
              </a:graphicData>
            </a:graphic>
          </wp:anchor>
        </w:drawing>
      </w:r>
    </w:p>
    <w:p>
      <w:pPr>
        <w:spacing w:after="0" w:line="84" w:lineRule="exact"/>
        <w:rPr>
          <w:sz w:val="20"/>
          <w:szCs w:val="20"/>
          <w:color w:val="auto"/>
        </w:rPr>
      </w:pPr>
    </w:p>
    <w:p>
      <w:pPr>
        <w:jc w:val="both"/>
        <w:ind w:right="40"/>
        <w:spacing w:after="0" w:line="249" w:lineRule="auto"/>
        <w:rPr>
          <w:sz w:val="20"/>
          <w:szCs w:val="20"/>
          <w:color w:val="auto"/>
        </w:rPr>
      </w:pPr>
      <w:r>
        <w:rPr>
          <w:rFonts w:ascii="Arial" w:cs="Arial" w:eastAsia="Arial" w:hAnsi="Arial"/>
          <w:sz w:val="15"/>
          <w:szCs w:val="15"/>
          <w:color w:val="auto"/>
        </w:rPr>
        <w:t>Mr. Robertson has served as a director of Diamondback since September 2024. Mr. Robertson previously served as Chief Executive Officer of Endeavor Energy Resources, L.P. until its merger with Diamondback completed on September 10, 2024. Mr. Robertson joined Endeavor as Chief Operating Officer and Senior Vice President of Development in January 2017 and was appointed Chief Executive Officer in September 2020. He previously served as Vice President of US Unconventional Resources at Marathon Oil Company where he provided oversight of the North America Unconventional Business Units and Technology Application, Land, Supply Chain and Exploration efforts. Mr. Robertson was a part of Marathon from 2011 to 2016. Prior to his role at Marathon, Mr. Robertson served as Vice President of Engineering and Exploration at Pioneer Natural Resources. Mr. Robertson earned a Bachelor of Science in Petroleum Engineering from Texas A&amp;M University in 1998 and a Master of Business Administration from Southern Methodist University in 2010. Mr. Robertson currently serves on the boards of directors for the Permian Basin Petroleum Association and on Texas A&amp;M University’s Department of Petroleum Engineering Industry Advisory Board. We believe that Mr. Robertson’s strong financial and executive management experience, extensive industry knowledge, and familiarity with the legacy Endeavor assets and employees qualify him for service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8255</wp:posOffset>
            </wp:positionV>
            <wp:extent cx="71412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216535</wp:posOffset>
            </wp:positionV>
            <wp:extent cx="6331585" cy="168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31585"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40" w:space="180"/>
            <w:col w:w="9920"/>
          </w:cols>
          <w:pgMar w:left="320" w:top="2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Age: 61</w:t>
      </w:r>
    </w:p>
    <w:p>
      <w:pPr>
        <w:spacing w:after="0" w:line="55" w:lineRule="exact"/>
        <w:rPr>
          <w:sz w:val="20"/>
          <w:szCs w:val="20"/>
          <w:color w:val="auto"/>
        </w:rPr>
      </w:pPr>
    </w:p>
    <w:p>
      <w:pPr>
        <w:ind w:left="60" w:right="380"/>
        <w:spacing w:after="0" w:line="319" w:lineRule="auto"/>
        <w:rPr>
          <w:sz w:val="20"/>
          <w:szCs w:val="20"/>
          <w:color w:val="auto"/>
        </w:rPr>
      </w:pPr>
      <w:r>
        <w:rPr>
          <w:rFonts w:ascii="Arial" w:cs="Arial" w:eastAsia="Arial" w:hAnsi="Arial"/>
          <w:sz w:val="14"/>
          <w:szCs w:val="14"/>
          <w:b w:val="1"/>
          <w:bCs w:val="1"/>
          <w:color w:val="auto"/>
        </w:rPr>
        <w:t>Director since: 2018</w:t>
      </w:r>
    </w:p>
    <w:p>
      <w:pPr>
        <w:spacing w:after="0" w:line="1" w:lineRule="exact"/>
        <w:rPr>
          <w:sz w:val="20"/>
          <w:szCs w:val="20"/>
          <w:color w:val="auto"/>
        </w:rPr>
      </w:pPr>
    </w:p>
    <w:p>
      <w:pPr>
        <w:ind w:left="60" w:right="100"/>
        <w:spacing w:after="0" w:line="368" w:lineRule="auto"/>
        <w:rPr>
          <w:sz w:val="20"/>
          <w:szCs w:val="20"/>
          <w:color w:val="auto"/>
        </w:rPr>
      </w:pPr>
      <w:r>
        <w:rPr>
          <w:rFonts w:ascii="Arial" w:cs="Arial" w:eastAsia="Arial" w:hAnsi="Arial"/>
          <w:sz w:val="15"/>
          <w:szCs w:val="15"/>
          <w:b w:val="1"/>
          <w:bCs w:val="1"/>
          <w:color w:val="A26F2A"/>
        </w:rPr>
        <w:t xml:space="preserve">INDEPENDENT </w:t>
      </w:r>
      <w:r>
        <w:rPr>
          <w:rFonts w:ascii="Arial" w:cs="Arial" w:eastAsia="Arial" w:hAnsi="Arial"/>
          <w:sz w:val="15"/>
          <w:szCs w:val="15"/>
          <w:b w:val="1"/>
          <w:bCs w:val="1"/>
          <w:color w:val="000000"/>
        </w:rPr>
        <w:t>Committees:</w:t>
      </w:r>
    </w:p>
    <w:p>
      <w:pPr>
        <w:spacing w:after="0" w:line="1" w:lineRule="exact"/>
        <w:rPr>
          <w:sz w:val="20"/>
          <w:szCs w:val="20"/>
          <w:color w:val="auto"/>
        </w:rPr>
      </w:pPr>
    </w:p>
    <w:p>
      <w:pPr>
        <w:ind w:left="240" w:hanging="189"/>
        <w:spacing w:after="0"/>
        <w:tabs>
          <w:tab w:leader="none" w:pos="240" w:val="left"/>
        </w:tabs>
        <w:numPr>
          <w:ilvl w:val="0"/>
          <w:numId w:val="23"/>
        </w:numPr>
        <w:rPr>
          <w:rFonts w:ascii="Arial" w:cs="Arial" w:eastAsia="Arial" w:hAnsi="Arial"/>
          <w:sz w:val="15"/>
          <w:szCs w:val="15"/>
          <w:color w:val="A26F2A"/>
        </w:rPr>
      </w:pPr>
      <w:r>
        <w:rPr>
          <w:rFonts w:ascii="Arial" w:cs="Arial" w:eastAsia="Arial" w:hAnsi="Arial"/>
          <w:sz w:val="15"/>
          <w:szCs w:val="15"/>
          <w:color w:val="auto"/>
        </w:rPr>
        <w:t>Compensation</w:t>
      </w:r>
    </w:p>
    <w:p>
      <w:pPr>
        <w:spacing w:after="0" w:line="79" w:lineRule="exact"/>
        <w:rPr>
          <w:rFonts w:ascii="Arial" w:cs="Arial" w:eastAsia="Arial" w:hAnsi="Arial"/>
          <w:sz w:val="15"/>
          <w:szCs w:val="15"/>
          <w:color w:val="A26F2A"/>
        </w:rPr>
      </w:pPr>
    </w:p>
    <w:p>
      <w:pPr>
        <w:ind w:left="220" w:right="60" w:hanging="169"/>
        <w:spacing w:after="0" w:line="264" w:lineRule="auto"/>
        <w:tabs>
          <w:tab w:leader="none" w:pos="231" w:val="left"/>
        </w:tabs>
        <w:numPr>
          <w:ilvl w:val="0"/>
          <w:numId w:val="23"/>
        </w:numPr>
        <w:rPr>
          <w:rFonts w:ascii="Arial" w:cs="Arial" w:eastAsia="Arial" w:hAnsi="Arial"/>
          <w:sz w:val="15"/>
          <w:szCs w:val="15"/>
          <w:color w:val="A26F2A"/>
        </w:rPr>
      </w:pPr>
      <w:r>
        <w:rPr>
          <w:rFonts w:ascii="Arial" w:cs="Arial" w:eastAsia="Arial" w:hAnsi="Arial"/>
          <w:sz w:val="15"/>
          <w:szCs w:val="15"/>
          <w:color w:val="auto"/>
        </w:rPr>
        <w:t>Nominating and Corporate Governance</w:t>
      </w:r>
    </w:p>
    <w:p>
      <w:pPr>
        <w:spacing w:after="0" w:line="49" w:lineRule="exact"/>
        <w:rPr>
          <w:sz w:val="20"/>
          <w:szCs w:val="20"/>
          <w:color w:val="auto"/>
        </w:rPr>
      </w:pPr>
    </w:p>
    <w:p>
      <w:pPr>
        <w:ind w:left="60"/>
        <w:spacing w:after="0" w:line="269" w:lineRule="auto"/>
        <w:rPr>
          <w:sz w:val="20"/>
          <w:szCs w:val="20"/>
          <w:color w:val="auto"/>
        </w:rPr>
      </w:pPr>
      <w:r>
        <w:rPr>
          <w:rFonts w:ascii="Arial" w:cs="Arial" w:eastAsia="Arial" w:hAnsi="Arial"/>
          <w:sz w:val="15"/>
          <w:szCs w:val="15"/>
          <w:b w:val="1"/>
          <w:bCs w:val="1"/>
          <w:color w:val="auto"/>
        </w:rPr>
        <w:t>Other Current Public Company Directorships:</w:t>
      </w:r>
    </w:p>
    <w:p>
      <w:pPr>
        <w:spacing w:after="0" w:line="38" w:lineRule="exact"/>
        <w:rPr>
          <w:sz w:val="20"/>
          <w:szCs w:val="20"/>
          <w:color w:val="auto"/>
        </w:rPr>
      </w:pPr>
    </w:p>
    <w:p>
      <w:pPr>
        <w:ind w:left="240" w:hanging="189"/>
        <w:spacing w:after="0"/>
        <w:tabs>
          <w:tab w:leader="none" w:pos="240" w:val="left"/>
        </w:tabs>
        <w:numPr>
          <w:ilvl w:val="0"/>
          <w:numId w:val="24"/>
        </w:numPr>
        <w:rPr>
          <w:rFonts w:ascii="Arial" w:cs="Arial" w:eastAsia="Arial" w:hAnsi="Arial"/>
          <w:sz w:val="15"/>
          <w:szCs w:val="15"/>
          <w:color w:val="A26F2A"/>
        </w:rPr>
      </w:pPr>
      <w:r>
        <w:rPr>
          <w:rFonts w:ascii="Arial" w:cs="Arial" w:eastAsia="Arial" w:hAnsi="Arial"/>
          <w:sz w:val="15"/>
          <w:szCs w:val="15"/>
          <w:color w:val="auto"/>
        </w:rPr>
        <w:t>Arcosa, Inc.</w:t>
      </w:r>
    </w:p>
    <w:p>
      <w:pPr>
        <w:spacing w:after="0" w:line="79" w:lineRule="exact"/>
        <w:rPr>
          <w:rFonts w:ascii="Arial" w:cs="Arial" w:eastAsia="Arial" w:hAnsi="Arial"/>
          <w:sz w:val="15"/>
          <w:szCs w:val="15"/>
          <w:color w:val="A26F2A"/>
        </w:rPr>
      </w:pPr>
    </w:p>
    <w:p>
      <w:pPr>
        <w:ind w:left="220" w:right="20" w:hanging="169"/>
        <w:spacing w:after="0" w:line="282" w:lineRule="auto"/>
        <w:tabs>
          <w:tab w:leader="none" w:pos="231" w:val="left"/>
        </w:tabs>
        <w:numPr>
          <w:ilvl w:val="0"/>
          <w:numId w:val="24"/>
        </w:numPr>
        <w:rPr>
          <w:rFonts w:ascii="Arial" w:cs="Arial" w:eastAsia="Arial" w:hAnsi="Arial"/>
          <w:sz w:val="15"/>
          <w:szCs w:val="15"/>
          <w:color w:val="A26F2A"/>
        </w:rPr>
      </w:pPr>
      <w:r>
        <w:rPr>
          <w:rFonts w:ascii="Arial" w:cs="Arial" w:eastAsia="Arial" w:hAnsi="Arial"/>
          <w:sz w:val="15"/>
          <w:szCs w:val="15"/>
          <w:color w:val="auto"/>
        </w:rPr>
        <w:t>Hyliion Holdings Corp.</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MELANIE M. TRENT, LEAD INDEPENDENT DIRECTOR</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800" w:type="dxa"/>
            <w:vAlign w:val="bottom"/>
            <w:gridSpan w:val="2"/>
          </w:tcPr>
          <w:p>
            <w:pPr>
              <w:spacing w:after="0"/>
              <w:rPr>
                <w:sz w:val="20"/>
                <w:szCs w:val="20"/>
                <w:color w:val="auto"/>
              </w:rPr>
            </w:pPr>
            <w:r>
              <w:rPr>
                <w:rFonts w:ascii="Arial" w:cs="Arial" w:eastAsia="Arial" w:hAnsi="Arial"/>
                <w:sz w:val="15"/>
                <w:szCs w:val="15"/>
                <w:b w:val="1"/>
                <w:bCs w:val="1"/>
                <w:color w:val="A26F2A"/>
              </w:rPr>
              <w:t>Skills and Qualifications:</w:t>
            </w:r>
          </w:p>
        </w:tc>
        <w:tc>
          <w:tcPr>
            <w:tcW w:w="1500" w:type="dxa"/>
            <w:vAlign w:val="bottom"/>
          </w:tcPr>
          <w:p>
            <w:pPr>
              <w:spacing w:after="0"/>
              <w:rPr>
                <w:sz w:val="15"/>
                <w:szCs w:val="15"/>
                <w:color w:val="auto"/>
              </w:rPr>
            </w:pPr>
          </w:p>
        </w:tc>
        <w:tc>
          <w:tcPr>
            <w:tcW w:w="4020" w:type="dxa"/>
            <w:vAlign w:val="bottom"/>
          </w:tcPr>
          <w:p>
            <w:pPr>
              <w:spacing w:after="0"/>
              <w:rPr>
                <w:sz w:val="15"/>
                <w:szCs w:val="15"/>
                <w:color w:val="auto"/>
              </w:rPr>
            </w:pPr>
          </w:p>
        </w:tc>
      </w:tr>
      <w:tr>
        <w:trPr>
          <w:trHeight w:val="177"/>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3680" w:type="dxa"/>
            <w:vAlign w:val="bottom"/>
          </w:tcPr>
          <w:p>
            <w:pPr>
              <w:ind w:left="60"/>
              <w:spacing w:after="0"/>
              <w:rPr>
                <w:sz w:val="20"/>
                <w:szCs w:val="20"/>
                <w:color w:val="auto"/>
              </w:rPr>
            </w:pPr>
            <w:r>
              <w:rPr>
                <w:rFonts w:ascii="Arial" w:cs="Arial" w:eastAsia="Arial" w:hAnsi="Arial"/>
                <w:sz w:val="15"/>
                <w:szCs w:val="15"/>
                <w:color w:val="auto"/>
              </w:rPr>
              <w:t>Corporate Governance</w:t>
            </w:r>
          </w:p>
        </w:tc>
        <w:tc>
          <w:tcPr>
            <w:tcW w:w="1500" w:type="dxa"/>
            <w:vAlign w:val="bottom"/>
          </w:tcPr>
          <w:p>
            <w:pPr>
              <w:ind w:left="1400"/>
              <w:spacing w:after="0"/>
              <w:rPr>
                <w:sz w:val="20"/>
                <w:szCs w:val="20"/>
                <w:color w:val="auto"/>
              </w:rPr>
            </w:pPr>
            <w:r>
              <w:rPr>
                <w:rFonts w:ascii="Arial" w:cs="Arial" w:eastAsia="Arial" w:hAnsi="Arial"/>
                <w:sz w:val="15"/>
                <w:szCs w:val="15"/>
                <w:color w:val="A26F2A"/>
              </w:rPr>
              <w:t>•</w:t>
            </w:r>
          </w:p>
        </w:tc>
        <w:tc>
          <w:tcPr>
            <w:tcW w:w="4020" w:type="dxa"/>
            <w:vAlign w:val="bottom"/>
          </w:tcPr>
          <w:p>
            <w:pPr>
              <w:ind w:left="80"/>
              <w:spacing w:after="0"/>
              <w:rPr>
                <w:sz w:val="20"/>
                <w:szCs w:val="20"/>
                <w:color w:val="auto"/>
              </w:rPr>
            </w:pPr>
            <w:r>
              <w:rPr>
                <w:rFonts w:ascii="Arial" w:cs="Arial" w:eastAsia="Arial" w:hAnsi="Arial"/>
                <w:sz w:val="15"/>
                <w:szCs w:val="15"/>
                <w:color w:val="auto"/>
              </w:rPr>
              <w:t>Executive Experience</w:t>
            </w:r>
          </w:p>
        </w:tc>
      </w:tr>
      <w:tr>
        <w:trPr>
          <w:trHeight w:val="177"/>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3680" w:type="dxa"/>
            <w:vAlign w:val="bottom"/>
          </w:tcPr>
          <w:p>
            <w:pPr>
              <w:ind w:left="60"/>
              <w:spacing w:after="0"/>
              <w:rPr>
                <w:sz w:val="20"/>
                <w:szCs w:val="20"/>
                <w:color w:val="auto"/>
              </w:rPr>
            </w:pPr>
            <w:r>
              <w:rPr>
                <w:rFonts w:ascii="Arial" w:cs="Arial" w:eastAsia="Arial" w:hAnsi="Arial"/>
                <w:sz w:val="15"/>
                <w:szCs w:val="15"/>
                <w:color w:val="auto"/>
              </w:rPr>
              <w:t>M&amp;A/Finance/Capital Markets</w:t>
            </w:r>
          </w:p>
        </w:tc>
        <w:tc>
          <w:tcPr>
            <w:tcW w:w="5520" w:type="dxa"/>
            <w:vAlign w:val="bottom"/>
            <w:gridSpan w:val="2"/>
          </w:tcPr>
          <w:p>
            <w:pPr>
              <w:ind w:left="140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Executive Compensation and Human Capital Management</w:t>
            </w:r>
          </w:p>
        </w:tc>
      </w:tr>
      <w:tr>
        <w:trPr>
          <w:trHeight w:val="177"/>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3680" w:type="dxa"/>
            <w:vAlign w:val="bottom"/>
          </w:tcPr>
          <w:p>
            <w:pPr>
              <w:ind w:left="60"/>
              <w:spacing w:after="0"/>
              <w:rPr>
                <w:sz w:val="20"/>
                <w:szCs w:val="20"/>
                <w:color w:val="auto"/>
              </w:rPr>
            </w:pPr>
            <w:r>
              <w:rPr>
                <w:rFonts w:ascii="Arial" w:cs="Arial" w:eastAsia="Arial" w:hAnsi="Arial"/>
                <w:sz w:val="15"/>
                <w:szCs w:val="15"/>
                <w:color w:val="auto"/>
              </w:rPr>
              <w:t>Financial Reporting Experience</w:t>
            </w:r>
          </w:p>
        </w:tc>
        <w:tc>
          <w:tcPr>
            <w:tcW w:w="1500" w:type="dxa"/>
            <w:vAlign w:val="bottom"/>
          </w:tcPr>
          <w:p>
            <w:pPr>
              <w:ind w:left="1400"/>
              <w:spacing w:after="0"/>
              <w:rPr>
                <w:sz w:val="20"/>
                <w:szCs w:val="20"/>
                <w:color w:val="auto"/>
              </w:rPr>
            </w:pPr>
            <w:r>
              <w:rPr>
                <w:rFonts w:ascii="Arial" w:cs="Arial" w:eastAsia="Arial" w:hAnsi="Arial"/>
                <w:sz w:val="15"/>
                <w:szCs w:val="15"/>
                <w:color w:val="A26F2A"/>
              </w:rPr>
              <w:t>•</w:t>
            </w:r>
          </w:p>
        </w:tc>
        <w:tc>
          <w:tcPr>
            <w:tcW w:w="4020" w:type="dxa"/>
            <w:vAlign w:val="bottom"/>
          </w:tcPr>
          <w:p>
            <w:pPr>
              <w:ind w:left="80"/>
              <w:spacing w:after="0"/>
              <w:rPr>
                <w:sz w:val="20"/>
                <w:szCs w:val="20"/>
                <w:color w:val="auto"/>
              </w:rPr>
            </w:pPr>
            <w:r>
              <w:rPr>
                <w:rFonts w:ascii="Arial" w:cs="Arial" w:eastAsia="Arial" w:hAnsi="Arial"/>
                <w:sz w:val="15"/>
                <w:szCs w:val="15"/>
                <w:color w:val="auto"/>
              </w:rPr>
              <w:t>Risk Management</w:t>
            </w:r>
          </w:p>
        </w:tc>
      </w:tr>
      <w:tr>
        <w:trPr>
          <w:trHeight w:val="191"/>
        </w:trPr>
        <w:tc>
          <w:tcPr>
            <w:tcW w:w="3800" w:type="dxa"/>
            <w:vAlign w:val="bottom"/>
            <w:gridSpan w:val="2"/>
          </w:tcPr>
          <w:p>
            <w:pPr>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Government, Legal &amp; Regulatory</w:t>
            </w:r>
          </w:p>
        </w:tc>
        <w:tc>
          <w:tcPr>
            <w:tcW w:w="5520" w:type="dxa"/>
            <w:vAlign w:val="bottom"/>
            <w:gridSpan w:val="2"/>
          </w:tcPr>
          <w:p>
            <w:pPr>
              <w:ind w:left="140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Technology and Cyber Defense and Protection</w:t>
            </w:r>
          </w:p>
        </w:tc>
      </w:tr>
    </w:tbl>
    <w:p>
      <w:pPr>
        <w:ind w:left="180" w:hanging="174"/>
        <w:spacing w:after="0"/>
        <w:tabs>
          <w:tab w:leader="none" w:pos="180" w:val="left"/>
        </w:tabs>
        <w:numPr>
          <w:ilvl w:val="0"/>
          <w:numId w:val="25"/>
        </w:numPr>
        <w:rPr>
          <w:rFonts w:ascii="Arial" w:cs="Arial" w:eastAsia="Arial" w:hAnsi="Arial"/>
          <w:sz w:val="15"/>
          <w:szCs w:val="15"/>
          <w:color w:val="A26F2A"/>
        </w:rPr>
      </w:pPr>
      <w:r>
        <w:rPr>
          <w:rFonts w:ascii="Arial" w:cs="Arial" w:eastAsia="Arial" w:hAnsi="Arial"/>
          <w:sz w:val="15"/>
          <w:szCs w:val="15"/>
          <w:color w:val="auto"/>
        </w:rPr>
        <w:t>Industry Background</w:t>
      </w:r>
    </w:p>
    <w:p>
      <w:pPr>
        <w:spacing w:after="0" w:line="4" w:lineRule="exact"/>
        <w:rPr>
          <w:rFonts w:ascii="Arial" w:cs="Arial" w:eastAsia="Arial" w:hAnsi="Arial"/>
          <w:sz w:val="15"/>
          <w:szCs w:val="15"/>
          <w:color w:val="A26F2A"/>
        </w:rPr>
      </w:pPr>
    </w:p>
    <w:p>
      <w:pPr>
        <w:ind w:left="180" w:hanging="174"/>
        <w:spacing w:after="0"/>
        <w:tabs>
          <w:tab w:leader="none" w:pos="180" w:val="left"/>
        </w:tabs>
        <w:numPr>
          <w:ilvl w:val="0"/>
          <w:numId w:val="25"/>
        </w:numPr>
        <w:rPr>
          <w:rFonts w:ascii="Arial" w:cs="Arial" w:eastAsia="Arial" w:hAnsi="Arial"/>
          <w:sz w:val="15"/>
          <w:szCs w:val="15"/>
          <w:color w:val="A26F2A"/>
        </w:rPr>
      </w:pPr>
      <w:r>
        <w:rPr>
          <w:rFonts w:ascii="Arial" w:cs="Arial" w:eastAsia="Arial" w:hAnsi="Arial"/>
          <w:sz w:val="15"/>
          <w:szCs w:val="15"/>
          <w:color w:val="auto"/>
        </w:rPr>
        <w:t>Environmental, Health, Safety &amp;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25400</wp:posOffset>
            </wp:positionV>
            <wp:extent cx="63315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31585" cy="8255"/>
                    </a:xfrm>
                    <a:prstGeom prst="rect">
                      <a:avLst/>
                    </a:prstGeom>
                    <a:noFill/>
                  </pic:spPr>
                </pic:pic>
              </a:graphicData>
            </a:graphic>
          </wp:anchor>
        </w:drawing>
      </w:r>
    </w:p>
    <w:p>
      <w:pPr>
        <w:spacing w:after="0" w:line="84" w:lineRule="exact"/>
        <w:rPr>
          <w:sz w:val="20"/>
          <w:szCs w:val="20"/>
          <w:color w:val="auto"/>
        </w:rPr>
      </w:pPr>
    </w:p>
    <w:p>
      <w:pPr>
        <w:jc w:val="both"/>
        <w:ind w:right="40"/>
        <w:spacing w:after="0" w:line="248" w:lineRule="auto"/>
        <w:rPr>
          <w:sz w:val="20"/>
          <w:szCs w:val="20"/>
          <w:color w:val="auto"/>
        </w:rPr>
      </w:pPr>
      <w:r>
        <w:rPr>
          <w:rFonts w:ascii="Arial" w:cs="Arial" w:eastAsia="Arial" w:hAnsi="Arial"/>
          <w:sz w:val="15"/>
          <w:szCs w:val="15"/>
          <w:color w:val="auto"/>
        </w:rPr>
        <w:t>Ms. Trent has served as a director of the Company since April 2018. Ms. Trent previously served in various legal, administrative and compliance capacities for Rowan Companies plc (now part of Valaris plc), from 2005 until April 2017, including as Executive Vice President, General Counsel and Chief Administrative officer from 2014 until April 2017, as Senior Vice President, Chief Administrative Officer and Company Secretary from 2011 until 2014, and as Vice President and Corporate Secretary from 2010 until 2011. Prior to her tenure at Rowan, Ms. Trent served in various legal, administrative and investor relations capacities for Reliant Energy, Incorporated, served as counsel at Compaq Computer Corporation and as an associate at Andrews Kurth LLP. She serves on the board of directors of Arcosa, Inc. (NYSE: ACA), a provider of infrastructure-related products and solutions, and chairs its governance and sustainability committee. She also serves on the board of directors of Hyliion Holdings Corp. (NYSE:HYLN), a developer of KARNO generator and electric powertrain technologies, and chairs its nominating &amp; corporate governance committee and serves on its compensation committee. From February 2021 through October 2022, Ms. Trent served on the board of Noble Corporation, a leading offshore drilling contractor for the oil and gas industry. From January 2019 through October 2021, Ms. Trent served on the board of Frank’s International N.V., a global tubular and oil and gas services company, which merged with Expro Group Holdings N.V in October 2021. Ms. Trent holds a Bachelor’s degree from Middlebury College and a Juris Doctorate degree from Georgetown University Law Center. We believe that Ms. Trent’s strong legal and executive management experience, knowledge of oil and gas and energy industries and extensive experience serving on the boards of other public companies qualify her for service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298450</wp:posOffset>
            </wp:positionV>
            <wp:extent cx="71412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647" w:lineRule="exact"/>
        <w:rPr>
          <w:sz w:val="20"/>
          <w:szCs w:val="20"/>
          <w:color w:val="auto"/>
        </w:rPr>
      </w:pPr>
    </w:p>
    <w:p>
      <w:pPr>
        <w:sectPr>
          <w:pgSz w:w="11900" w:h="16838" w:orient="portrait"/>
          <w:cols w:equalWidth="0" w:num="2">
            <w:col w:w="1240" w:space="80"/>
            <w:col w:w="9920"/>
          </w:cols>
          <w:pgMar w:left="320" w:top="231" w:right="339" w:bottom="1440" w:gutter="0" w:footer="0" w:header="0"/>
          <w:type w:val="continuous"/>
        </w:sect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53110" cy="8255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53110" cy="82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Age: 66</w:t>
      </w:r>
    </w:p>
    <w:p>
      <w:pPr>
        <w:spacing w:after="0" w:line="55" w:lineRule="exact"/>
        <w:rPr>
          <w:sz w:val="20"/>
          <w:szCs w:val="20"/>
          <w:color w:val="auto"/>
        </w:rPr>
      </w:pPr>
    </w:p>
    <w:p>
      <w:pPr>
        <w:ind w:left="60" w:right="340"/>
        <w:spacing w:after="0" w:line="319" w:lineRule="auto"/>
        <w:rPr>
          <w:sz w:val="20"/>
          <w:szCs w:val="20"/>
          <w:color w:val="auto"/>
        </w:rPr>
      </w:pPr>
      <w:r>
        <w:rPr>
          <w:rFonts w:ascii="Arial" w:cs="Arial" w:eastAsia="Arial" w:hAnsi="Arial"/>
          <w:sz w:val="14"/>
          <w:szCs w:val="14"/>
          <w:b w:val="1"/>
          <w:bCs w:val="1"/>
          <w:color w:val="auto"/>
        </w:rPr>
        <w:t>Director since: 2022</w:t>
      </w:r>
    </w:p>
    <w:p>
      <w:pPr>
        <w:spacing w:after="0" w:line="1" w:lineRule="exact"/>
        <w:rPr>
          <w:sz w:val="20"/>
          <w:szCs w:val="20"/>
          <w:color w:val="auto"/>
        </w:rPr>
      </w:pPr>
    </w:p>
    <w:p>
      <w:pPr>
        <w:ind w:left="60" w:right="60"/>
        <w:spacing w:after="0" w:line="368" w:lineRule="auto"/>
        <w:rPr>
          <w:sz w:val="20"/>
          <w:szCs w:val="20"/>
          <w:color w:val="auto"/>
        </w:rPr>
      </w:pPr>
      <w:r>
        <w:rPr>
          <w:rFonts w:ascii="Arial" w:cs="Arial" w:eastAsia="Arial" w:hAnsi="Arial"/>
          <w:sz w:val="15"/>
          <w:szCs w:val="15"/>
          <w:b w:val="1"/>
          <w:bCs w:val="1"/>
          <w:color w:val="A26F2A"/>
        </w:rPr>
        <w:t xml:space="preserve">INDEPENDENT </w:t>
      </w:r>
      <w:r>
        <w:rPr>
          <w:rFonts w:ascii="Arial" w:cs="Arial" w:eastAsia="Arial" w:hAnsi="Arial"/>
          <w:sz w:val="15"/>
          <w:szCs w:val="15"/>
          <w:b w:val="1"/>
          <w:bCs w:val="1"/>
          <w:color w:val="000000"/>
        </w:rPr>
        <w:t>Committees:</w:t>
      </w:r>
    </w:p>
    <w:p>
      <w:pPr>
        <w:spacing w:after="0" w:line="1" w:lineRule="exact"/>
        <w:rPr>
          <w:sz w:val="20"/>
          <w:szCs w:val="20"/>
          <w:color w:val="auto"/>
        </w:rPr>
      </w:pPr>
    </w:p>
    <w:p>
      <w:pPr>
        <w:ind w:left="240" w:hanging="189"/>
        <w:spacing w:after="0"/>
        <w:tabs>
          <w:tab w:leader="none" w:pos="240" w:val="left"/>
        </w:tabs>
        <w:numPr>
          <w:ilvl w:val="0"/>
          <w:numId w:val="26"/>
        </w:numPr>
        <w:rPr>
          <w:rFonts w:ascii="Arial" w:cs="Arial" w:eastAsia="Arial" w:hAnsi="Arial"/>
          <w:sz w:val="14"/>
          <w:szCs w:val="14"/>
          <w:color w:val="A26F2A"/>
        </w:rPr>
      </w:pPr>
      <w:r>
        <w:rPr>
          <w:rFonts w:ascii="Arial" w:cs="Arial" w:eastAsia="Arial" w:hAnsi="Arial"/>
          <w:sz w:val="14"/>
          <w:szCs w:val="14"/>
          <w:color w:val="auto"/>
        </w:rPr>
        <w:t>Compensation</w:t>
      </w:r>
    </w:p>
    <w:p>
      <w:pPr>
        <w:spacing w:after="0" w:line="91" w:lineRule="exact"/>
        <w:rPr>
          <w:rFonts w:ascii="Arial" w:cs="Arial" w:eastAsia="Arial" w:hAnsi="Arial"/>
          <w:sz w:val="14"/>
          <w:szCs w:val="14"/>
          <w:color w:val="A26F2A"/>
        </w:rPr>
      </w:pPr>
    </w:p>
    <w:p>
      <w:pPr>
        <w:ind w:left="220" w:right="20" w:hanging="169"/>
        <w:spacing w:after="0" w:line="258" w:lineRule="auto"/>
        <w:tabs>
          <w:tab w:leader="none" w:pos="231" w:val="left"/>
        </w:tabs>
        <w:numPr>
          <w:ilvl w:val="0"/>
          <w:numId w:val="26"/>
        </w:numPr>
        <w:rPr>
          <w:rFonts w:ascii="Arial" w:cs="Arial" w:eastAsia="Arial" w:hAnsi="Arial"/>
          <w:sz w:val="15"/>
          <w:szCs w:val="15"/>
          <w:color w:val="A26F2A"/>
        </w:rPr>
      </w:pPr>
      <w:r>
        <w:rPr>
          <w:rFonts w:ascii="Arial" w:cs="Arial" w:eastAsia="Arial" w:hAnsi="Arial"/>
          <w:sz w:val="15"/>
          <w:szCs w:val="15"/>
          <w:color w:val="auto"/>
        </w:rPr>
        <w:t>Safety, Sustainability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53110" cy="7531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53110" cy="753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FRANK D. TSURU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-128905</wp:posOffset>
            </wp:positionV>
            <wp:extent cx="6331585" cy="160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31585" cy="16002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A26F2A"/>
        </w:rPr>
        <w:t>Skills and Qualifications:</w:t>
      </w:r>
    </w:p>
    <w:p>
      <w:pPr>
        <w:spacing w:after="0" w:line="18" w:lineRule="exact"/>
        <w:rPr>
          <w:sz w:val="20"/>
          <w:szCs w:val="20"/>
          <w:color w:val="auto"/>
        </w:rPr>
      </w:pPr>
    </w:p>
    <w:p>
      <w:pPr>
        <w:spacing w:after="0"/>
        <w:tabs>
          <w:tab w:leader="none" w:pos="160" w:val="left"/>
          <w:tab w:leader="none" w:pos="5180" w:val="left"/>
          <w:tab w:leader="none" w:pos="5360" w:val="left"/>
        </w:tabs>
        <w:rPr>
          <w:sz w:val="20"/>
          <w:szCs w:val="20"/>
          <w:color w:val="auto"/>
        </w:rPr>
      </w:pPr>
      <w:r>
        <w:rPr>
          <w:rFonts w:ascii="Arial" w:cs="Arial" w:eastAsia="Arial" w:hAnsi="Arial"/>
          <w:sz w:val="15"/>
          <w:szCs w:val="15"/>
          <w:color w:val="A26F2A"/>
        </w:rPr>
        <w:t>•</w:t>
      </w:r>
      <w:r>
        <w:rPr>
          <w:rFonts w:ascii="Arial" w:cs="Arial" w:eastAsia="Arial" w:hAnsi="Arial"/>
          <w:sz w:val="15"/>
          <w:szCs w:val="15"/>
          <w:color w:val="auto"/>
        </w:rPr>
        <w:tab/>
        <w:t>M&amp;A/Finance/Capital Markets</w:t>
      </w:r>
      <w:r>
        <w:rPr>
          <w:sz w:val="20"/>
          <w:szCs w:val="20"/>
          <w:color w:val="auto"/>
        </w:rPr>
        <w:tab/>
      </w:r>
      <w:r>
        <w:rPr>
          <w:rFonts w:ascii="Arial" w:cs="Arial" w:eastAsia="Arial" w:hAnsi="Arial"/>
          <w:sz w:val="15"/>
          <w:szCs w:val="15"/>
          <w:color w:val="A26F2A"/>
        </w:rPr>
        <w:t>•</w:t>
      </w:r>
      <w:r>
        <w:rPr>
          <w:rFonts w:ascii="Arial" w:cs="Arial" w:eastAsia="Arial" w:hAnsi="Arial"/>
          <w:sz w:val="15"/>
          <w:szCs w:val="15"/>
          <w:color w:val="auto"/>
        </w:rPr>
        <w:tab/>
        <w:t>Executive Compensation and Human Capital Management</w:t>
      </w:r>
    </w:p>
    <w:p>
      <w:pPr>
        <w:spacing w:after="0" w:line="4" w:lineRule="exact"/>
        <w:rPr>
          <w:sz w:val="20"/>
          <w:szCs w:val="20"/>
          <w:color w:val="auto"/>
        </w:rPr>
      </w:pPr>
    </w:p>
    <w:p>
      <w:pPr>
        <w:spacing w:after="0"/>
        <w:tabs>
          <w:tab w:leader="none" w:pos="160" w:val="left"/>
          <w:tab w:leader="none" w:pos="5180" w:val="left"/>
          <w:tab w:leader="none" w:pos="5360" w:val="left"/>
        </w:tabs>
        <w:rPr>
          <w:sz w:val="20"/>
          <w:szCs w:val="20"/>
          <w:color w:val="auto"/>
        </w:rPr>
      </w:pPr>
      <w:r>
        <w:rPr>
          <w:rFonts w:ascii="Arial" w:cs="Arial" w:eastAsia="Arial" w:hAnsi="Arial"/>
          <w:sz w:val="15"/>
          <w:szCs w:val="15"/>
          <w:color w:val="A26F2A"/>
        </w:rPr>
        <w:t>•</w:t>
      </w:r>
      <w:r>
        <w:rPr>
          <w:rFonts w:ascii="Arial" w:cs="Arial" w:eastAsia="Arial" w:hAnsi="Arial"/>
          <w:sz w:val="15"/>
          <w:szCs w:val="15"/>
          <w:color w:val="auto"/>
        </w:rPr>
        <w:tab/>
        <w:t>Industry Background</w:t>
      </w:r>
      <w:r>
        <w:rPr>
          <w:sz w:val="20"/>
          <w:szCs w:val="20"/>
          <w:color w:val="auto"/>
        </w:rPr>
        <w:tab/>
      </w:r>
      <w:r>
        <w:rPr>
          <w:rFonts w:ascii="Arial" w:cs="Arial" w:eastAsia="Arial" w:hAnsi="Arial"/>
          <w:sz w:val="15"/>
          <w:szCs w:val="15"/>
          <w:color w:val="A26F2A"/>
        </w:rPr>
        <w:t>•</w:t>
      </w:r>
      <w:r>
        <w:rPr>
          <w:rFonts w:ascii="Arial" w:cs="Arial" w:eastAsia="Arial" w:hAnsi="Arial"/>
          <w:sz w:val="15"/>
          <w:szCs w:val="15"/>
          <w:color w:val="auto"/>
        </w:rPr>
        <w:tab/>
        <w:t>Risk Management</w:t>
      </w:r>
    </w:p>
    <w:p>
      <w:pPr>
        <w:spacing w:after="0" w:line="4" w:lineRule="exact"/>
        <w:rPr>
          <w:sz w:val="20"/>
          <w:szCs w:val="20"/>
          <w:color w:val="auto"/>
        </w:rPr>
      </w:pPr>
    </w:p>
    <w:p>
      <w:pPr>
        <w:ind w:left="180" w:hanging="174"/>
        <w:spacing w:after="0"/>
        <w:tabs>
          <w:tab w:leader="none" w:pos="180" w:val="left"/>
        </w:tabs>
        <w:numPr>
          <w:ilvl w:val="0"/>
          <w:numId w:val="27"/>
        </w:numPr>
        <w:rPr>
          <w:rFonts w:ascii="Arial" w:cs="Arial" w:eastAsia="Arial" w:hAnsi="Arial"/>
          <w:sz w:val="15"/>
          <w:szCs w:val="15"/>
          <w:color w:val="A26F2A"/>
        </w:rPr>
      </w:pPr>
      <w:r>
        <w:rPr>
          <w:rFonts w:ascii="Arial" w:cs="Arial" w:eastAsia="Arial" w:hAnsi="Arial"/>
          <w:sz w:val="15"/>
          <w:szCs w:val="15"/>
          <w:color w:val="auto"/>
        </w:rPr>
        <w:t>Executive Experience</w:t>
      </w:r>
    </w:p>
    <w:p>
      <w:pPr>
        <w:spacing w:after="0" w:line="4" w:lineRule="exact"/>
        <w:rPr>
          <w:rFonts w:ascii="Arial" w:cs="Arial" w:eastAsia="Arial" w:hAnsi="Arial"/>
          <w:sz w:val="15"/>
          <w:szCs w:val="15"/>
          <w:color w:val="A26F2A"/>
        </w:rPr>
      </w:pPr>
    </w:p>
    <w:p>
      <w:pPr>
        <w:ind w:left="180" w:hanging="174"/>
        <w:spacing w:after="0"/>
        <w:tabs>
          <w:tab w:leader="none" w:pos="180" w:val="left"/>
        </w:tabs>
        <w:numPr>
          <w:ilvl w:val="0"/>
          <w:numId w:val="27"/>
        </w:numPr>
        <w:rPr>
          <w:rFonts w:ascii="Arial" w:cs="Arial" w:eastAsia="Arial" w:hAnsi="Arial"/>
          <w:sz w:val="15"/>
          <w:szCs w:val="15"/>
          <w:color w:val="A26F2A"/>
        </w:rPr>
      </w:pPr>
      <w:r>
        <w:rPr>
          <w:rFonts w:ascii="Arial" w:cs="Arial" w:eastAsia="Arial" w:hAnsi="Arial"/>
          <w:sz w:val="15"/>
          <w:szCs w:val="15"/>
          <w:color w:val="auto"/>
        </w:rPr>
        <w:t>Environmental, Health, Safety &amp;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25400</wp:posOffset>
            </wp:positionV>
            <wp:extent cx="63315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31585" cy="8255"/>
                    </a:xfrm>
                    <a:prstGeom prst="rect">
                      <a:avLst/>
                    </a:prstGeom>
                    <a:noFill/>
                  </pic:spPr>
                </pic:pic>
              </a:graphicData>
            </a:graphic>
          </wp:anchor>
        </w:drawing>
      </w:r>
    </w:p>
    <w:p>
      <w:pPr>
        <w:spacing w:after="0" w:line="84" w:lineRule="exact"/>
        <w:rPr>
          <w:sz w:val="20"/>
          <w:szCs w:val="20"/>
          <w:color w:val="auto"/>
        </w:rPr>
      </w:pPr>
    </w:p>
    <w:p>
      <w:pPr>
        <w:jc w:val="both"/>
        <w:ind w:right="40"/>
        <w:spacing w:after="0" w:line="249" w:lineRule="auto"/>
        <w:rPr>
          <w:sz w:val="20"/>
          <w:szCs w:val="20"/>
          <w:color w:val="auto"/>
        </w:rPr>
      </w:pPr>
      <w:r>
        <w:rPr>
          <w:rFonts w:ascii="Arial" w:cs="Arial" w:eastAsia="Arial" w:hAnsi="Arial"/>
          <w:sz w:val="15"/>
          <w:szCs w:val="15"/>
          <w:color w:val="auto"/>
        </w:rPr>
        <w:t>Mr. Tsuru has served as a director of the Company since July 2022. Mr. Tsuru currently serves as Chief Executive Officer and as a member of the board of directors of Momentum Midstream, LLC, a privately held midstream company, which he co-founded in 2004. From 2016 through 2021, Mr. Tsuru served as the Chief Executive Officer and as a member of the board of directors of Indigo Natural Resources, LLC, which was acquired by Southwestern Energy Company in 2021. In 2002, Mr. Tsuru founded Aka Energy, which was a midstream company focused on acquiring midstream assets off of the Southern Ute Indian Tribe (SUIT) Reservation. Prior to that, Mr. Tsuru ran SUIT’s midstream company, Red Cedar Gathering, from 1995 to 2002. In 1990, Mr. Tsuru founded Southwestern Production, an upstream company focused on coal bed methane development in the San Juan Basin, which was sold to ConocoPhillips. He began his career as a drilling and production engineer for TXO Production Corp. in Denver, Colorado where he was part of the team that evaluated the company’s reserves and provided mergers and acquisitions support. Mr. Tsuru holds a Bachelor of Science degree in Petroleum Engineering from the University of Kansas. He serves on the Board of Trustees of KU Endowment. Mr. Tsuru also sits on the boards of the Boy Scouts of America and the Yellowstone Academy, a private Christian school. We believe that Mr. Tsuru’s strong executive management experience, and knowledge of the oil and gas industry qualify him for service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216535</wp:posOffset>
            </wp:positionV>
            <wp:extent cx="71412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424815</wp:posOffset>
            </wp:positionV>
            <wp:extent cx="6331585" cy="1600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31585" cy="160020"/>
                    </a:xfrm>
                    <a:prstGeom prst="rect">
                      <a:avLst/>
                    </a:prstGeom>
                    <a:noFill/>
                  </pic:spPr>
                </pic:pic>
              </a:graphicData>
            </a:graphic>
          </wp:anchor>
        </w:drawing>
      </w:r>
    </w:p>
    <w:p>
      <w:pPr>
        <w:spacing w:after="0" w:line="525" w:lineRule="exact"/>
        <w:rPr>
          <w:sz w:val="20"/>
          <w:szCs w:val="20"/>
          <w:color w:val="auto"/>
        </w:rPr>
      </w:pPr>
    </w:p>
    <w:p>
      <w:pPr>
        <w:sectPr>
          <w:pgSz w:w="11900" w:h="16838" w:orient="portrait"/>
          <w:cols w:equalWidth="0" w:num="2">
            <w:col w:w="1200" w:space="120"/>
            <w:col w:w="9920"/>
          </w:cols>
          <w:pgMar w:left="320" w:top="2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Age: 39</w:t>
      </w:r>
    </w:p>
    <w:p>
      <w:pPr>
        <w:spacing w:after="0" w:line="55" w:lineRule="exact"/>
        <w:rPr>
          <w:sz w:val="20"/>
          <w:szCs w:val="20"/>
          <w:color w:val="auto"/>
        </w:rPr>
      </w:pPr>
    </w:p>
    <w:p>
      <w:pPr>
        <w:ind w:left="60" w:right="380"/>
        <w:spacing w:after="0" w:line="319" w:lineRule="auto"/>
        <w:rPr>
          <w:sz w:val="20"/>
          <w:szCs w:val="20"/>
          <w:color w:val="auto"/>
        </w:rPr>
      </w:pPr>
      <w:r>
        <w:rPr>
          <w:rFonts w:ascii="Arial" w:cs="Arial" w:eastAsia="Arial" w:hAnsi="Arial"/>
          <w:sz w:val="14"/>
          <w:szCs w:val="14"/>
          <w:b w:val="1"/>
          <w:bCs w:val="1"/>
          <w:color w:val="auto"/>
        </w:rPr>
        <w:t>Director since: 2025</w:t>
      </w:r>
    </w:p>
    <w:p>
      <w:pPr>
        <w:spacing w:after="0" w:line="1" w:lineRule="exact"/>
        <w:rPr>
          <w:sz w:val="20"/>
          <w:szCs w:val="20"/>
          <w:color w:val="auto"/>
        </w:rPr>
      </w:pPr>
    </w:p>
    <w:p>
      <w:pPr>
        <w:ind w:left="60"/>
        <w:spacing w:after="0" w:line="269" w:lineRule="auto"/>
        <w:rPr>
          <w:sz w:val="20"/>
          <w:szCs w:val="20"/>
          <w:color w:val="auto"/>
        </w:rPr>
      </w:pPr>
      <w:r>
        <w:rPr>
          <w:rFonts w:ascii="Arial" w:cs="Arial" w:eastAsia="Arial" w:hAnsi="Arial"/>
          <w:sz w:val="15"/>
          <w:szCs w:val="15"/>
          <w:b w:val="1"/>
          <w:bCs w:val="1"/>
          <w:color w:val="auto"/>
        </w:rPr>
        <w:t>Other Current Public Company Directorships:</w:t>
      </w:r>
    </w:p>
    <w:p>
      <w:pPr>
        <w:spacing w:after="0" w:line="38" w:lineRule="exact"/>
        <w:rPr>
          <w:sz w:val="20"/>
          <w:szCs w:val="20"/>
          <w:color w:val="auto"/>
        </w:rPr>
      </w:pPr>
    </w:p>
    <w:p>
      <w:pPr>
        <w:ind w:left="220" w:right="100" w:hanging="169"/>
        <w:spacing w:after="0" w:line="282" w:lineRule="auto"/>
        <w:tabs>
          <w:tab w:leader="none" w:pos="231" w:val="left"/>
        </w:tabs>
        <w:numPr>
          <w:ilvl w:val="0"/>
          <w:numId w:val="28"/>
        </w:numPr>
        <w:rPr>
          <w:rFonts w:ascii="Arial" w:cs="Arial" w:eastAsia="Arial" w:hAnsi="Arial"/>
          <w:sz w:val="15"/>
          <w:szCs w:val="15"/>
          <w:color w:val="A26F2A"/>
        </w:rPr>
      </w:pPr>
      <w:r>
        <w:rPr>
          <w:rFonts w:ascii="Arial" w:cs="Arial" w:eastAsia="Arial" w:hAnsi="Arial"/>
          <w:sz w:val="15"/>
          <w:szCs w:val="15"/>
          <w:color w:val="auto"/>
        </w:rPr>
        <w:t>Viper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511810</wp:posOffset>
            </wp:positionV>
            <wp:extent cx="753110" cy="7531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53110" cy="753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KAES VAN’T HOF, CHIEF EXECUTIVE OFFICER</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700" w:type="dxa"/>
            <w:vAlign w:val="bottom"/>
            <w:gridSpan w:val="2"/>
          </w:tcPr>
          <w:p>
            <w:pPr>
              <w:spacing w:after="0"/>
              <w:rPr>
                <w:sz w:val="20"/>
                <w:szCs w:val="20"/>
                <w:color w:val="auto"/>
              </w:rPr>
            </w:pPr>
            <w:r>
              <w:rPr>
                <w:rFonts w:ascii="Arial" w:cs="Arial" w:eastAsia="Arial" w:hAnsi="Arial"/>
                <w:sz w:val="15"/>
                <w:szCs w:val="15"/>
                <w:b w:val="1"/>
                <w:bCs w:val="1"/>
                <w:color w:val="A26F2A"/>
              </w:rPr>
              <w:t>Skills and Qualifications:</w:t>
            </w:r>
          </w:p>
        </w:tc>
        <w:tc>
          <w:tcPr>
            <w:tcW w:w="1600" w:type="dxa"/>
            <w:vAlign w:val="bottom"/>
          </w:tcPr>
          <w:p>
            <w:pPr>
              <w:spacing w:after="0"/>
              <w:rPr>
                <w:sz w:val="15"/>
                <w:szCs w:val="15"/>
                <w:color w:val="auto"/>
              </w:rPr>
            </w:pPr>
          </w:p>
        </w:tc>
        <w:tc>
          <w:tcPr>
            <w:tcW w:w="4020" w:type="dxa"/>
            <w:vAlign w:val="bottom"/>
          </w:tcPr>
          <w:p>
            <w:pPr>
              <w:spacing w:after="0"/>
              <w:rPr>
                <w:sz w:val="15"/>
                <w:szCs w:val="15"/>
                <w:color w:val="auto"/>
              </w:rPr>
            </w:pPr>
          </w:p>
        </w:tc>
      </w:tr>
      <w:tr>
        <w:trPr>
          <w:trHeight w:val="177"/>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3580" w:type="dxa"/>
            <w:vAlign w:val="bottom"/>
          </w:tcPr>
          <w:p>
            <w:pPr>
              <w:ind w:left="60"/>
              <w:spacing w:after="0"/>
              <w:rPr>
                <w:sz w:val="20"/>
                <w:szCs w:val="20"/>
                <w:color w:val="auto"/>
              </w:rPr>
            </w:pPr>
            <w:r>
              <w:rPr>
                <w:rFonts w:ascii="Arial" w:cs="Arial" w:eastAsia="Arial" w:hAnsi="Arial"/>
                <w:sz w:val="15"/>
                <w:szCs w:val="15"/>
                <w:color w:val="auto"/>
              </w:rPr>
              <w:t>Industry Background</w:t>
            </w:r>
          </w:p>
        </w:tc>
        <w:tc>
          <w:tcPr>
            <w:tcW w:w="5620" w:type="dxa"/>
            <w:vAlign w:val="bottom"/>
            <w:gridSpan w:val="2"/>
          </w:tcPr>
          <w:p>
            <w:pPr>
              <w:ind w:left="150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Environmental, Health, Safety &amp; Sustainability</w:t>
            </w:r>
          </w:p>
        </w:tc>
      </w:tr>
      <w:tr>
        <w:trPr>
          <w:trHeight w:val="177"/>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3580" w:type="dxa"/>
            <w:vAlign w:val="bottom"/>
          </w:tcPr>
          <w:p>
            <w:pPr>
              <w:ind w:left="60"/>
              <w:spacing w:after="0"/>
              <w:rPr>
                <w:sz w:val="20"/>
                <w:szCs w:val="20"/>
                <w:color w:val="auto"/>
              </w:rPr>
            </w:pPr>
            <w:r>
              <w:rPr>
                <w:rFonts w:ascii="Arial" w:cs="Arial" w:eastAsia="Arial" w:hAnsi="Arial"/>
                <w:sz w:val="15"/>
                <w:szCs w:val="15"/>
                <w:color w:val="auto"/>
              </w:rPr>
              <w:t>Executive Experience</w:t>
            </w:r>
          </w:p>
        </w:tc>
        <w:tc>
          <w:tcPr>
            <w:tcW w:w="1600" w:type="dxa"/>
            <w:vAlign w:val="bottom"/>
          </w:tcPr>
          <w:p>
            <w:pPr>
              <w:ind w:left="1500"/>
              <w:spacing w:after="0"/>
              <w:rPr>
                <w:sz w:val="20"/>
                <w:szCs w:val="20"/>
                <w:color w:val="auto"/>
              </w:rPr>
            </w:pPr>
            <w:r>
              <w:rPr>
                <w:rFonts w:ascii="Arial" w:cs="Arial" w:eastAsia="Arial" w:hAnsi="Arial"/>
                <w:sz w:val="15"/>
                <w:szCs w:val="15"/>
                <w:color w:val="A26F2A"/>
              </w:rPr>
              <w:t>•</w:t>
            </w:r>
          </w:p>
        </w:tc>
        <w:tc>
          <w:tcPr>
            <w:tcW w:w="4020" w:type="dxa"/>
            <w:vAlign w:val="bottom"/>
          </w:tcPr>
          <w:p>
            <w:pPr>
              <w:ind w:left="80"/>
              <w:spacing w:after="0"/>
              <w:rPr>
                <w:sz w:val="20"/>
                <w:szCs w:val="20"/>
                <w:color w:val="auto"/>
              </w:rPr>
            </w:pPr>
            <w:r>
              <w:rPr>
                <w:rFonts w:ascii="Arial" w:cs="Arial" w:eastAsia="Arial" w:hAnsi="Arial"/>
                <w:sz w:val="15"/>
                <w:szCs w:val="15"/>
                <w:color w:val="auto"/>
              </w:rPr>
              <w:t>Executive Compensation and Human Capital Management</w:t>
            </w:r>
          </w:p>
        </w:tc>
      </w:tr>
      <w:tr>
        <w:trPr>
          <w:trHeight w:val="191"/>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3580" w:type="dxa"/>
            <w:vAlign w:val="bottom"/>
          </w:tcPr>
          <w:p>
            <w:pPr>
              <w:ind w:left="60"/>
              <w:spacing w:after="0"/>
              <w:rPr>
                <w:sz w:val="20"/>
                <w:szCs w:val="20"/>
                <w:color w:val="auto"/>
              </w:rPr>
            </w:pPr>
            <w:r>
              <w:rPr>
                <w:rFonts w:ascii="Arial" w:cs="Arial" w:eastAsia="Arial" w:hAnsi="Arial"/>
                <w:sz w:val="15"/>
                <w:szCs w:val="15"/>
                <w:color w:val="auto"/>
              </w:rPr>
              <w:t>M&amp;A/Finance/Capital Markets</w:t>
            </w:r>
          </w:p>
        </w:tc>
        <w:tc>
          <w:tcPr>
            <w:tcW w:w="1600" w:type="dxa"/>
            <w:vAlign w:val="bottom"/>
          </w:tcPr>
          <w:p>
            <w:pPr>
              <w:ind w:left="1500"/>
              <w:spacing w:after="0"/>
              <w:rPr>
                <w:sz w:val="20"/>
                <w:szCs w:val="20"/>
                <w:color w:val="auto"/>
              </w:rPr>
            </w:pPr>
            <w:r>
              <w:rPr>
                <w:rFonts w:ascii="Arial" w:cs="Arial" w:eastAsia="Arial" w:hAnsi="Arial"/>
                <w:sz w:val="15"/>
                <w:szCs w:val="15"/>
                <w:color w:val="A26F2A"/>
              </w:rPr>
              <w:t>•</w:t>
            </w:r>
          </w:p>
        </w:tc>
        <w:tc>
          <w:tcPr>
            <w:tcW w:w="4020" w:type="dxa"/>
            <w:vAlign w:val="bottom"/>
          </w:tcPr>
          <w:p>
            <w:pPr>
              <w:ind w:left="80"/>
              <w:spacing w:after="0"/>
              <w:rPr>
                <w:sz w:val="20"/>
                <w:szCs w:val="20"/>
                <w:color w:val="auto"/>
              </w:rPr>
            </w:pPr>
            <w:r>
              <w:rPr>
                <w:rFonts w:ascii="Arial" w:cs="Arial" w:eastAsia="Arial" w:hAnsi="Arial"/>
                <w:sz w:val="15"/>
                <w:szCs w:val="15"/>
                <w:color w:val="auto"/>
              </w:rPr>
              <w:t>Risk Management</w:t>
            </w:r>
          </w:p>
        </w:tc>
      </w:tr>
    </w:tbl>
    <w:p>
      <w:pPr>
        <w:ind w:left="180" w:hanging="174"/>
        <w:spacing w:after="0"/>
        <w:tabs>
          <w:tab w:leader="none" w:pos="180" w:val="left"/>
        </w:tabs>
        <w:numPr>
          <w:ilvl w:val="0"/>
          <w:numId w:val="29"/>
        </w:numPr>
        <w:rPr>
          <w:rFonts w:ascii="Arial" w:cs="Arial" w:eastAsia="Arial" w:hAnsi="Arial"/>
          <w:sz w:val="15"/>
          <w:szCs w:val="15"/>
          <w:color w:val="A26F2A"/>
        </w:rPr>
      </w:pPr>
      <w:r>
        <w:rPr>
          <w:rFonts w:ascii="Arial" w:cs="Arial" w:eastAsia="Arial" w:hAnsi="Arial"/>
          <w:sz w:val="15"/>
          <w:szCs w:val="15"/>
          <w:color w:val="auto"/>
        </w:rPr>
        <w:t>Financial Reporting/Accounting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25400</wp:posOffset>
            </wp:positionV>
            <wp:extent cx="63315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31585" cy="8255"/>
                    </a:xfrm>
                    <a:prstGeom prst="rect">
                      <a:avLst/>
                    </a:prstGeom>
                    <a:noFill/>
                  </pic:spPr>
                </pic:pic>
              </a:graphicData>
            </a:graphic>
          </wp:anchor>
        </w:drawing>
      </w:r>
    </w:p>
    <w:p>
      <w:pPr>
        <w:spacing w:after="0" w:line="84" w:lineRule="exact"/>
        <w:rPr>
          <w:sz w:val="20"/>
          <w:szCs w:val="20"/>
          <w:color w:val="auto"/>
        </w:rPr>
      </w:pPr>
    </w:p>
    <w:p>
      <w:pPr>
        <w:jc w:val="both"/>
        <w:ind w:right="40"/>
        <w:spacing w:after="0" w:line="249" w:lineRule="auto"/>
        <w:rPr>
          <w:sz w:val="20"/>
          <w:szCs w:val="20"/>
          <w:color w:val="auto"/>
        </w:rPr>
      </w:pPr>
      <w:r>
        <w:rPr>
          <w:rFonts w:ascii="Arial" w:cs="Arial" w:eastAsia="Arial" w:hAnsi="Arial"/>
          <w:sz w:val="15"/>
          <w:szCs w:val="15"/>
          <w:color w:val="auto"/>
        </w:rPr>
        <w:t>Mr. Van’t Hof has served as a director since May 2025. Mr. Van’t Hof is our Chief Executive Officer. Previously, Mr. Van’t Hof served as our President from February 2022 to May 2025, as our Chief Financial Officer from February 2022 to February 2025, as our Executive Vice President of Business Development from March 2019 to February 2022, as our Senior Vice President of Strategy and Corporate Development from January 2017 to February 2019 and as our Vice President of Strategy and Corporate Development since joining us in July 2016. Mr. Van’t Hof has served as Chief Executive Officer of Viper since February 2025, and as a director of Viper since November 2023. Before joining Diamondback and Viper, Mr. Van’t Hof served as Chief Executive Officer for Bison Drilling and Field Services from September 2012 to June 2016. From August 2011 to August 2012, Mr. Van’t Hof was an analyst for Wexford Capital responsible for developing operating models and business plans, including for our initial public offering, and before that worked for the Investment Banking-Financial Institutions Group of Citigroup Global Markets, Inc. from February 2010 to July 2011. Mr. Van’t Hof was a professional tennis player from May 2008 to January 2010. Mr. Van’t Hof received a Bachelor of Science in Accounting and Business Administration from the University of Southern California. We believe that Mr. Van’t Hof’s leadership within the Company, his management experience and his knowledge of the critical internal and external challenges facing the Company and the oil and natural gas industry as a whole qualify him for service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6985</wp:posOffset>
            </wp:positionV>
            <wp:extent cx="71412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215265</wp:posOffset>
            </wp:positionV>
            <wp:extent cx="6331585" cy="168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31585"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40" w:space="80"/>
            <w:col w:w="9920"/>
          </w:cols>
          <w:pgMar w:left="320" w:top="231" w:right="339" w:bottom="1440" w:gutter="0" w:footer="0" w:header="0"/>
          <w:type w:val="continuous"/>
        </w:sectPr>
      </w:pPr>
    </w:p>
    <w:p>
      <w:pPr>
        <w:spacing w:after="0" w:line="172" w:lineRule="exact"/>
        <w:rPr>
          <w:sz w:val="20"/>
          <w:szCs w:val="20"/>
          <w:color w:val="auto"/>
        </w:rPr>
      </w:pPr>
    </w:p>
    <w:p>
      <w:pPr>
        <w:ind w:left="1320"/>
        <w:spacing w:after="0"/>
        <w:rPr>
          <w:sz w:val="20"/>
          <w:szCs w:val="20"/>
          <w:color w:val="auto"/>
        </w:rPr>
      </w:pPr>
      <w:r>
        <w:rPr>
          <w:rFonts w:ascii="Arial" w:cs="Arial" w:eastAsia="Arial" w:hAnsi="Arial"/>
          <w:sz w:val="17"/>
          <w:szCs w:val="17"/>
          <w:b w:val="1"/>
          <w:bCs w:val="1"/>
          <w:color w:val="auto"/>
        </w:rPr>
        <w:t>STEVEN E. WEST</w:t>
      </w:r>
    </w:p>
    <w:p>
      <w:pPr>
        <w:spacing w:after="0" w:line="49" w:lineRule="exact"/>
        <w:rPr>
          <w:sz w:val="20"/>
          <w:szCs w:val="20"/>
          <w:color w:val="auto"/>
        </w:rPr>
      </w:pPr>
    </w:p>
    <w:tbl>
      <w:tblPr>
        <w:tblLayout w:type="fixed"/>
        <w:tblInd w:w="1320" w:type="dxa"/>
        <w:tblCellMar>
          <w:top w:w="0" w:type="dxa"/>
          <w:left w:w="0" w:type="dxa"/>
          <w:bottom w:w="0" w:type="dxa"/>
          <w:right w:w="0" w:type="dxa"/>
        </w:tblCellMar>
      </w:tblPr>
      <w:tr>
        <w:trPr>
          <w:trHeight w:val="177"/>
        </w:trPr>
        <w:tc>
          <w:tcPr>
            <w:tcW w:w="4140" w:type="dxa"/>
            <w:vAlign w:val="bottom"/>
            <w:gridSpan w:val="2"/>
          </w:tcPr>
          <w:p>
            <w:pPr>
              <w:spacing w:after="0"/>
              <w:rPr>
                <w:sz w:val="20"/>
                <w:szCs w:val="20"/>
                <w:color w:val="auto"/>
              </w:rPr>
            </w:pPr>
            <w:r>
              <w:rPr>
                <w:rFonts w:ascii="Arial" w:cs="Arial" w:eastAsia="Arial" w:hAnsi="Arial"/>
                <w:sz w:val="15"/>
                <w:szCs w:val="15"/>
                <w:b w:val="1"/>
                <w:bCs w:val="1"/>
                <w:color w:val="A26F2A"/>
              </w:rPr>
              <w:t>Skills and Qualifications:</w:t>
            </w:r>
          </w:p>
        </w:tc>
        <w:tc>
          <w:tcPr>
            <w:tcW w:w="1160" w:type="dxa"/>
            <w:vAlign w:val="bottom"/>
          </w:tcPr>
          <w:p>
            <w:pPr>
              <w:spacing w:after="0"/>
              <w:rPr>
                <w:sz w:val="15"/>
                <w:szCs w:val="15"/>
                <w:color w:val="auto"/>
              </w:rPr>
            </w:pPr>
          </w:p>
        </w:tc>
        <w:tc>
          <w:tcPr>
            <w:tcW w:w="4020" w:type="dxa"/>
            <w:vAlign w:val="bottom"/>
          </w:tcPr>
          <w:p>
            <w:pPr>
              <w:spacing w:after="0"/>
              <w:rPr>
                <w:sz w:val="15"/>
                <w:szCs w:val="15"/>
                <w:color w:val="auto"/>
              </w:rPr>
            </w:pPr>
          </w:p>
        </w:tc>
      </w:tr>
      <w:tr>
        <w:trPr>
          <w:trHeight w:val="177"/>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4020" w:type="dxa"/>
            <w:vAlign w:val="bottom"/>
          </w:tcPr>
          <w:p>
            <w:pPr>
              <w:ind w:left="60"/>
              <w:spacing w:after="0"/>
              <w:rPr>
                <w:sz w:val="20"/>
                <w:szCs w:val="20"/>
                <w:color w:val="auto"/>
              </w:rPr>
            </w:pPr>
            <w:r>
              <w:rPr>
                <w:rFonts w:ascii="Arial" w:cs="Arial" w:eastAsia="Arial" w:hAnsi="Arial"/>
                <w:sz w:val="15"/>
                <w:szCs w:val="15"/>
                <w:color w:val="auto"/>
              </w:rPr>
              <w:t>Corporate Governance</w:t>
            </w:r>
          </w:p>
        </w:tc>
        <w:tc>
          <w:tcPr>
            <w:tcW w:w="1160" w:type="dxa"/>
            <w:vAlign w:val="bottom"/>
          </w:tcPr>
          <w:p>
            <w:pPr>
              <w:ind w:left="1060"/>
              <w:spacing w:after="0"/>
              <w:rPr>
                <w:sz w:val="20"/>
                <w:szCs w:val="20"/>
                <w:color w:val="auto"/>
              </w:rPr>
            </w:pPr>
            <w:r>
              <w:rPr>
                <w:rFonts w:ascii="Arial" w:cs="Arial" w:eastAsia="Arial" w:hAnsi="Arial"/>
                <w:sz w:val="15"/>
                <w:szCs w:val="15"/>
                <w:color w:val="A26F2A"/>
              </w:rPr>
              <w:t>•</w:t>
            </w:r>
          </w:p>
        </w:tc>
        <w:tc>
          <w:tcPr>
            <w:tcW w:w="4020" w:type="dxa"/>
            <w:vAlign w:val="bottom"/>
          </w:tcPr>
          <w:p>
            <w:pPr>
              <w:ind w:left="80"/>
              <w:spacing w:after="0"/>
              <w:rPr>
                <w:sz w:val="20"/>
                <w:szCs w:val="20"/>
                <w:color w:val="auto"/>
              </w:rPr>
            </w:pPr>
            <w:r>
              <w:rPr>
                <w:rFonts w:ascii="Arial" w:cs="Arial" w:eastAsia="Arial" w:hAnsi="Arial"/>
                <w:sz w:val="15"/>
                <w:szCs w:val="15"/>
                <w:color w:val="auto"/>
              </w:rPr>
              <w:t>Executive Experience</w:t>
            </w:r>
          </w:p>
        </w:tc>
      </w:tr>
      <w:tr>
        <w:trPr>
          <w:trHeight w:val="177"/>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4020" w:type="dxa"/>
            <w:vAlign w:val="bottom"/>
          </w:tcPr>
          <w:p>
            <w:pPr>
              <w:ind w:left="60"/>
              <w:spacing w:after="0"/>
              <w:rPr>
                <w:sz w:val="20"/>
                <w:szCs w:val="20"/>
                <w:color w:val="auto"/>
              </w:rPr>
            </w:pPr>
            <w:r>
              <w:rPr>
                <w:rFonts w:ascii="Arial" w:cs="Arial" w:eastAsia="Arial" w:hAnsi="Arial"/>
                <w:sz w:val="15"/>
                <w:szCs w:val="15"/>
                <w:color w:val="auto"/>
              </w:rPr>
              <w:t>M&amp;A/Finance/Capital Markets</w:t>
            </w:r>
          </w:p>
        </w:tc>
        <w:tc>
          <w:tcPr>
            <w:tcW w:w="5180" w:type="dxa"/>
            <w:vAlign w:val="bottom"/>
            <w:gridSpan w:val="2"/>
          </w:tcPr>
          <w:p>
            <w:pPr>
              <w:ind w:left="106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Executive Compensation and Human Capital Management</w:t>
            </w:r>
          </w:p>
        </w:tc>
      </w:tr>
      <w:tr>
        <w:trPr>
          <w:trHeight w:val="177"/>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4020" w:type="dxa"/>
            <w:vAlign w:val="bottom"/>
          </w:tcPr>
          <w:p>
            <w:pPr>
              <w:ind w:left="60"/>
              <w:spacing w:after="0"/>
              <w:rPr>
                <w:sz w:val="20"/>
                <w:szCs w:val="20"/>
                <w:color w:val="auto"/>
              </w:rPr>
            </w:pPr>
            <w:r>
              <w:rPr>
                <w:rFonts w:ascii="Arial" w:cs="Arial" w:eastAsia="Arial" w:hAnsi="Arial"/>
                <w:sz w:val="15"/>
                <w:szCs w:val="15"/>
                <w:color w:val="auto"/>
              </w:rPr>
              <w:t>Financial Reporting/Accounting Experience</w:t>
            </w:r>
          </w:p>
        </w:tc>
        <w:tc>
          <w:tcPr>
            <w:tcW w:w="1160" w:type="dxa"/>
            <w:vAlign w:val="bottom"/>
          </w:tcPr>
          <w:p>
            <w:pPr>
              <w:ind w:left="1060"/>
              <w:spacing w:after="0"/>
              <w:rPr>
                <w:sz w:val="20"/>
                <w:szCs w:val="20"/>
                <w:color w:val="auto"/>
              </w:rPr>
            </w:pPr>
            <w:r>
              <w:rPr>
                <w:rFonts w:ascii="Arial" w:cs="Arial" w:eastAsia="Arial" w:hAnsi="Arial"/>
                <w:sz w:val="15"/>
                <w:szCs w:val="15"/>
                <w:color w:val="A26F2A"/>
              </w:rPr>
              <w:t>•</w:t>
            </w:r>
          </w:p>
        </w:tc>
        <w:tc>
          <w:tcPr>
            <w:tcW w:w="4020" w:type="dxa"/>
            <w:vAlign w:val="bottom"/>
          </w:tcPr>
          <w:p>
            <w:pPr>
              <w:ind w:left="80"/>
              <w:spacing w:after="0"/>
              <w:rPr>
                <w:sz w:val="20"/>
                <w:szCs w:val="20"/>
                <w:color w:val="auto"/>
              </w:rPr>
            </w:pPr>
            <w:r>
              <w:rPr>
                <w:rFonts w:ascii="Arial" w:cs="Arial" w:eastAsia="Arial" w:hAnsi="Arial"/>
                <w:sz w:val="15"/>
                <w:szCs w:val="15"/>
                <w:color w:val="auto"/>
              </w:rPr>
              <w:t>Risk Management</w:t>
            </w:r>
          </w:p>
        </w:tc>
      </w:tr>
      <w:tr>
        <w:trPr>
          <w:trHeight w:val="191"/>
        </w:trPr>
        <w:tc>
          <w:tcPr>
            <w:tcW w:w="120" w:type="dxa"/>
            <w:vAlign w:val="bottom"/>
          </w:tcPr>
          <w:p>
            <w:pPr>
              <w:spacing w:after="0"/>
              <w:rPr>
                <w:sz w:val="20"/>
                <w:szCs w:val="20"/>
                <w:color w:val="auto"/>
              </w:rPr>
            </w:pPr>
            <w:r>
              <w:rPr>
                <w:rFonts w:ascii="Arial" w:cs="Arial" w:eastAsia="Arial" w:hAnsi="Arial"/>
                <w:sz w:val="15"/>
                <w:szCs w:val="15"/>
                <w:color w:val="A26F2A"/>
              </w:rPr>
              <w:t>•</w:t>
            </w:r>
          </w:p>
        </w:tc>
        <w:tc>
          <w:tcPr>
            <w:tcW w:w="4020" w:type="dxa"/>
            <w:vAlign w:val="bottom"/>
          </w:tcPr>
          <w:p>
            <w:pPr>
              <w:ind w:left="60"/>
              <w:spacing w:after="0"/>
              <w:rPr>
                <w:sz w:val="20"/>
                <w:szCs w:val="20"/>
                <w:color w:val="auto"/>
              </w:rPr>
            </w:pPr>
            <w:r>
              <w:rPr>
                <w:rFonts w:ascii="Arial" w:cs="Arial" w:eastAsia="Arial" w:hAnsi="Arial"/>
                <w:sz w:val="15"/>
                <w:szCs w:val="15"/>
                <w:color w:val="auto"/>
              </w:rPr>
              <w:t>Industry Background</w:t>
            </w:r>
          </w:p>
        </w:tc>
        <w:tc>
          <w:tcPr>
            <w:tcW w:w="1160" w:type="dxa"/>
            <w:vAlign w:val="bottom"/>
          </w:tcPr>
          <w:p>
            <w:pPr>
              <w:spacing w:after="0"/>
              <w:rPr>
                <w:sz w:val="16"/>
                <w:szCs w:val="16"/>
                <w:color w:val="auto"/>
              </w:rPr>
            </w:pPr>
          </w:p>
        </w:tc>
        <w:tc>
          <w:tcPr>
            <w:tcW w:w="4020" w:type="dxa"/>
            <w:vAlign w:val="bottom"/>
          </w:tcPr>
          <w:p>
            <w:pPr>
              <w:spacing w:after="0"/>
              <w:rPr>
                <w:sz w:val="16"/>
                <w:szCs w:val="16"/>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9"/>
        </w:trPr>
        <w:tc>
          <w:tcPr>
            <w:tcW w:w="900" w:type="dxa"/>
            <w:vAlign w:val="bottom"/>
            <w:vMerge w:val="restart"/>
          </w:tcPr>
          <w:p>
            <w:pPr>
              <w:spacing w:after="0"/>
              <w:rPr>
                <w:sz w:val="20"/>
                <w:szCs w:val="20"/>
                <w:color w:val="auto"/>
              </w:rPr>
            </w:pPr>
            <w:r>
              <w:rPr>
                <w:rFonts w:ascii="Arial" w:cs="Arial" w:eastAsia="Arial" w:hAnsi="Arial"/>
                <w:sz w:val="15"/>
                <w:szCs w:val="15"/>
                <w:b w:val="1"/>
                <w:bCs w:val="1"/>
                <w:color w:val="auto"/>
              </w:rPr>
              <w:t>Age: 65</w:t>
            </w:r>
          </w:p>
        </w:tc>
        <w:tc>
          <w:tcPr>
            <w:tcW w:w="3620" w:type="dxa"/>
            <w:vAlign w:val="bottom"/>
          </w:tcPr>
          <w:p>
            <w:pPr>
              <w:ind w:left="36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Environmental, Health, Safety &amp; Sustainability</w:t>
            </w:r>
          </w:p>
        </w:tc>
        <w:tc>
          <w:tcPr>
            <w:tcW w:w="0" w:type="dxa"/>
            <w:vAlign w:val="bottom"/>
          </w:tcPr>
          <w:p>
            <w:pPr>
              <w:spacing w:after="0"/>
              <w:rPr>
                <w:sz w:val="1"/>
                <w:szCs w:val="1"/>
                <w:color w:val="auto"/>
              </w:rPr>
            </w:pPr>
          </w:p>
        </w:tc>
      </w:tr>
      <w:tr>
        <w:trPr>
          <w:trHeight w:val="91"/>
        </w:trPr>
        <w:tc>
          <w:tcPr>
            <w:tcW w:w="900" w:type="dxa"/>
            <w:vAlign w:val="bottom"/>
            <w:vMerge w:val="continue"/>
          </w:tcPr>
          <w:p>
            <w:pPr>
              <w:spacing w:after="0"/>
              <w:rPr>
                <w:sz w:val="7"/>
                <w:szCs w:val="7"/>
                <w:color w:val="auto"/>
              </w:rPr>
            </w:pPr>
          </w:p>
        </w:tc>
        <w:tc>
          <w:tcPr>
            <w:tcW w:w="3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-48260</wp:posOffset>
            </wp:positionV>
            <wp:extent cx="63315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31585" cy="825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p>
      <w:pPr>
        <w:spacing w:after="0" w:line="24" w:lineRule="exact"/>
        <w:rPr>
          <w:sz w:val="20"/>
          <w:szCs w:val="20"/>
          <w:color w:val="auto"/>
        </w:rPr>
      </w:pPr>
    </w:p>
    <w:p>
      <w:pPr>
        <w:ind w:left="60" w:right="380"/>
        <w:spacing w:after="0" w:line="329" w:lineRule="auto"/>
        <w:rPr>
          <w:sz w:val="20"/>
          <w:szCs w:val="20"/>
          <w:color w:val="auto"/>
        </w:rPr>
      </w:pPr>
      <w:r>
        <w:rPr>
          <w:rFonts w:ascii="Arial" w:cs="Arial" w:eastAsia="Arial" w:hAnsi="Arial"/>
          <w:sz w:val="14"/>
          <w:szCs w:val="14"/>
          <w:b w:val="1"/>
          <w:bCs w:val="1"/>
          <w:color w:val="auto"/>
        </w:rPr>
        <w:t>Director since: 2011</w:t>
      </w:r>
    </w:p>
    <w:p>
      <w:pPr>
        <w:ind w:left="60"/>
        <w:spacing w:after="0"/>
        <w:rPr>
          <w:sz w:val="20"/>
          <w:szCs w:val="20"/>
          <w:color w:val="auto"/>
        </w:rPr>
      </w:pPr>
      <w:r>
        <w:rPr>
          <w:rFonts w:ascii="Arial" w:cs="Arial" w:eastAsia="Arial" w:hAnsi="Arial"/>
          <w:sz w:val="15"/>
          <w:szCs w:val="15"/>
          <w:b w:val="1"/>
          <w:bCs w:val="1"/>
          <w:color w:val="A26F2A"/>
        </w:rPr>
        <w:t>INDEPENDENT</w:t>
      </w:r>
    </w:p>
    <w:p>
      <w:pPr>
        <w:spacing w:after="0" w:line="80" w:lineRule="exact"/>
        <w:rPr>
          <w:sz w:val="20"/>
          <w:szCs w:val="20"/>
          <w:color w:val="auto"/>
        </w:rPr>
      </w:pPr>
    </w:p>
    <w:p>
      <w:pPr>
        <w:ind w:left="60"/>
        <w:spacing w:after="0" w:line="269" w:lineRule="auto"/>
        <w:rPr>
          <w:sz w:val="20"/>
          <w:szCs w:val="20"/>
          <w:color w:val="auto"/>
        </w:rPr>
      </w:pPr>
      <w:r>
        <w:rPr>
          <w:rFonts w:ascii="Arial" w:cs="Arial" w:eastAsia="Arial" w:hAnsi="Arial"/>
          <w:sz w:val="15"/>
          <w:szCs w:val="15"/>
          <w:b w:val="1"/>
          <w:bCs w:val="1"/>
          <w:color w:val="auto"/>
        </w:rPr>
        <w:t>Other Current Public Company Directorships:</w:t>
      </w:r>
    </w:p>
    <w:p>
      <w:pPr>
        <w:spacing w:after="0" w:line="38" w:lineRule="exact"/>
        <w:rPr>
          <w:sz w:val="20"/>
          <w:szCs w:val="20"/>
          <w:color w:val="auto"/>
        </w:rPr>
      </w:pPr>
    </w:p>
    <w:p>
      <w:pPr>
        <w:ind w:left="220" w:right="100" w:hanging="169"/>
        <w:spacing w:after="0" w:line="282" w:lineRule="auto"/>
        <w:tabs>
          <w:tab w:leader="none" w:pos="231" w:val="left"/>
        </w:tabs>
        <w:numPr>
          <w:ilvl w:val="0"/>
          <w:numId w:val="30"/>
        </w:numPr>
        <w:rPr>
          <w:rFonts w:ascii="Arial" w:cs="Arial" w:eastAsia="Arial" w:hAnsi="Arial"/>
          <w:sz w:val="15"/>
          <w:szCs w:val="15"/>
          <w:color w:val="A26F2A"/>
        </w:rPr>
      </w:pPr>
      <w:r>
        <w:rPr>
          <w:rFonts w:ascii="Arial" w:cs="Arial" w:eastAsia="Arial" w:hAnsi="Arial"/>
          <w:sz w:val="15"/>
          <w:szCs w:val="15"/>
          <w:color w:val="auto"/>
        </w:rPr>
        <w:t>Viper Energy, Inc.</w:t>
      </w:r>
    </w:p>
    <w:p>
      <w:pPr>
        <w:spacing w:after="0" w:line="20" w:lineRule="exact"/>
        <w:rPr>
          <w:sz w:val="20"/>
          <w:szCs w:val="20"/>
          <w:color w:val="auto"/>
        </w:rPr>
      </w:pPr>
      <w:r>
        <w:rPr>
          <w:sz w:val="20"/>
          <w:szCs w:val="20"/>
          <w:color w:val="auto"/>
        </w:rPr>
        <w:br w:type="column"/>
      </w:r>
    </w:p>
    <w:p>
      <w:pPr>
        <w:jc w:val="both"/>
        <w:ind w:right="40"/>
        <w:spacing w:after="0" w:line="247" w:lineRule="auto"/>
        <w:rPr>
          <w:sz w:val="20"/>
          <w:szCs w:val="20"/>
          <w:color w:val="auto"/>
        </w:rPr>
      </w:pPr>
      <w:r>
        <w:rPr>
          <w:rFonts w:ascii="Arial" w:cs="Arial" w:eastAsia="Arial" w:hAnsi="Arial"/>
          <w:sz w:val="15"/>
          <w:szCs w:val="15"/>
          <w:color w:val="auto"/>
        </w:rPr>
        <w:t>Mr. West has served as a director of the Company since December 2011. Mr. West served as our Chief Executive Officer from January 2009 to December 2011 and as our Chairman of the Board from October 2012 through February 2022. From January 2011 until December 2016, Mr. West was a partner at Wexford Capital LP, or Wexford Capital, focusing on Wexford Capital’s private equity energy investments. From August 2006 until December 2010, Mr. West served as senior portfolio advisor at Wexford Capital. From August 2003 until August 2006, Mr. West was the Chief Financial Officer of Sunterra Corporation, a former Wexford Capital portfolio company. From December 1993 until July 2003, Mr. West held senior financial positions at Coast Asset Management and IndyMac Bank. Prior to that, Mr. West worked at First Nationwide Bank, Lehman Brothers and Peat Marwick Mitchell &amp; Co., the predecessor of KPMG LLP. Since February 2014, Mr. West has also served as Chairman of the Board of Viper Energy, Inc. (Nasdaq: VNOM). From May 2019 through August 2022, he served as Chairman of the Board of Rattler Midstream LP, which was acquired by Diamondback in a merger in August 2022 and is no longer publicly traded. Mr. West holds a Bachelor of Science degree in Accounting from California State University, Chico. We believe Mr. West’s background in finance, accounting and private equity energy investments, as well as his executive management skills developed as part of his career with Wexford Capital, its portfolio companies and other financial institutions qualify him to serve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8890</wp:posOffset>
            </wp:positionV>
            <wp:extent cx="71412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1240" w:space="80"/>
            <w:col w:w="9920"/>
          </w:cols>
          <w:pgMar w:left="320" w:top="231" w:right="339" w:bottom="1440" w:gutter="0" w:footer="0" w:header="0"/>
          <w:type w:val="continuous"/>
        </w:sect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Summary of Director Nominee Core Competencies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breadth of experience and wide variety of skills, qualifications and viewpoints of the director nominees embody key competencies that our nominating and corporate governance committee considers valuable to effective oversight of the Company. The following chart illustrates how the current board members individually and collectively represent these core competencies. The lack of an indicator for a particular item does not mean that the director does not possess that qualification, skill or experience, as each director is expected to be knowledgeable in all of these areas. The indicator merely represents a core competency that the director nominee brings to our board. For more information about each director nominee, see the individual biographies set forth beginning on page 13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99060</wp:posOffset>
            </wp:positionV>
            <wp:extent cx="7141210" cy="61874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1210" cy="6187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Knowledge, Skills and Experience</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Corporate Governance</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5"/>
          <w:szCs w:val="15"/>
          <w:color w:val="auto"/>
        </w:rPr>
        <w:t>Contributes to the board’s understanding of best practices in corporate governance matters.</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Environmental, Health, Safety &amp; Sustainability</w:t>
      </w:r>
    </w:p>
    <w:p>
      <w:pPr>
        <w:spacing w:after="0" w:line="18" w:lineRule="exact"/>
        <w:rPr>
          <w:sz w:val="20"/>
          <w:szCs w:val="20"/>
          <w:color w:val="auto"/>
        </w:rPr>
      </w:pPr>
    </w:p>
    <w:p>
      <w:pPr>
        <w:ind w:left="60" w:right="4660"/>
        <w:spacing w:after="0" w:line="251" w:lineRule="auto"/>
        <w:rPr>
          <w:sz w:val="20"/>
          <w:szCs w:val="20"/>
          <w:color w:val="auto"/>
        </w:rPr>
      </w:pPr>
      <w:r>
        <w:rPr>
          <w:rFonts w:ascii="Arial" w:cs="Arial" w:eastAsia="Arial" w:hAnsi="Arial"/>
          <w:sz w:val="15"/>
          <w:szCs w:val="15"/>
          <w:color w:val="auto"/>
        </w:rPr>
        <w:t>Contributes to the board’s oversight and understanding of environmental, health, safety and sustainability issues and their relationship to our business and strategy as we strive to provide the energy necessary for economic growth and social well-being, while securing a stable and healthy environment for the future.</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M&amp;A/Finance/Capital Markets</w:t>
      </w:r>
    </w:p>
    <w:p>
      <w:pPr>
        <w:spacing w:after="0" w:line="18" w:lineRule="exact"/>
        <w:rPr>
          <w:sz w:val="20"/>
          <w:szCs w:val="20"/>
          <w:color w:val="auto"/>
        </w:rPr>
      </w:pPr>
    </w:p>
    <w:p>
      <w:pPr>
        <w:ind w:left="60" w:right="4700"/>
        <w:spacing w:after="0" w:line="254" w:lineRule="auto"/>
        <w:rPr>
          <w:sz w:val="20"/>
          <w:szCs w:val="20"/>
          <w:color w:val="auto"/>
        </w:rPr>
      </w:pPr>
      <w:r>
        <w:rPr>
          <w:rFonts w:ascii="Arial" w:cs="Arial" w:eastAsia="Arial" w:hAnsi="Arial"/>
          <w:sz w:val="15"/>
          <w:szCs w:val="15"/>
          <w:color w:val="auto"/>
        </w:rPr>
        <w:t>Demonstrates experience in assessment and execution of strategic M&amp;A and capital markets transactions and provides valuable insights into evaluating our capital structure, capital allocation and financial strategy.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Financial Reporting/Accounting Experience</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5"/>
          <w:szCs w:val="15"/>
          <w:color w:val="auto"/>
        </w:rPr>
        <w:t>Critical to the oversight of our financial statements, internal controls and financial reports.</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Government, Legal &amp; Regulatory</w:t>
      </w:r>
    </w:p>
    <w:p>
      <w:pPr>
        <w:spacing w:after="0" w:line="18" w:lineRule="exact"/>
        <w:rPr>
          <w:sz w:val="20"/>
          <w:szCs w:val="20"/>
          <w:color w:val="auto"/>
        </w:rPr>
      </w:pPr>
    </w:p>
    <w:p>
      <w:pPr>
        <w:ind w:left="60" w:right="4500"/>
        <w:spacing w:after="0" w:line="263" w:lineRule="auto"/>
        <w:rPr>
          <w:sz w:val="20"/>
          <w:szCs w:val="20"/>
          <w:color w:val="auto"/>
        </w:rPr>
      </w:pPr>
      <w:r>
        <w:rPr>
          <w:rFonts w:ascii="Arial" w:cs="Arial" w:eastAsia="Arial" w:hAnsi="Arial"/>
          <w:sz w:val="15"/>
          <w:szCs w:val="15"/>
          <w:color w:val="auto"/>
        </w:rPr>
        <w:t>Contributes to the board’s ability to guide us through government regulations, complex legal matters and public policy issues.</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Industry Background</w:t>
      </w:r>
    </w:p>
    <w:p>
      <w:pPr>
        <w:spacing w:after="0" w:line="18" w:lineRule="exact"/>
        <w:rPr>
          <w:sz w:val="20"/>
          <w:szCs w:val="20"/>
          <w:color w:val="auto"/>
        </w:rPr>
      </w:pPr>
    </w:p>
    <w:p>
      <w:pPr>
        <w:ind w:left="60" w:right="4560"/>
        <w:spacing w:after="0" w:line="254" w:lineRule="auto"/>
        <w:rPr>
          <w:sz w:val="20"/>
          <w:szCs w:val="20"/>
          <w:color w:val="auto"/>
        </w:rPr>
      </w:pPr>
      <w:r>
        <w:rPr>
          <w:rFonts w:ascii="Arial" w:cs="Arial" w:eastAsia="Arial" w:hAnsi="Arial"/>
          <w:sz w:val="15"/>
          <w:szCs w:val="15"/>
          <w:color w:val="auto"/>
        </w:rPr>
        <w:t>Offers pertinent background and knowledge to the board, providing valuable perspective on issues specific to our business, operations and strategy, including key performance indicators and the competitive environment.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Executive Experience</w:t>
      </w:r>
    </w:p>
    <w:p>
      <w:pPr>
        <w:spacing w:after="0" w:line="18" w:lineRule="exact"/>
        <w:rPr>
          <w:sz w:val="20"/>
          <w:szCs w:val="20"/>
          <w:color w:val="auto"/>
        </w:rPr>
      </w:pPr>
    </w:p>
    <w:p>
      <w:pPr>
        <w:ind w:left="60" w:right="4460"/>
        <w:spacing w:after="0" w:line="254" w:lineRule="auto"/>
        <w:rPr>
          <w:sz w:val="20"/>
          <w:szCs w:val="20"/>
          <w:color w:val="auto"/>
        </w:rPr>
      </w:pPr>
      <w:r>
        <w:rPr>
          <w:rFonts w:ascii="Arial" w:cs="Arial" w:eastAsia="Arial" w:hAnsi="Arial"/>
          <w:sz w:val="15"/>
          <w:szCs w:val="15"/>
          <w:color w:val="auto"/>
        </w:rPr>
        <w:t>Demonstrates leadership ability and provides valuable insights into operations and business strategy through a practical understanding of organizations, processes, strategy, risk management and the methods to drive change and growth.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Executive Compensation and Human Capital Management</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5"/>
          <w:szCs w:val="15"/>
          <w:color w:val="auto"/>
        </w:rPr>
        <w:t>Contributes to the board’s ability to attract, motivate and retain executive talent.</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Risk Management</w:t>
      </w:r>
    </w:p>
    <w:p>
      <w:pPr>
        <w:spacing w:after="0" w:line="18" w:lineRule="exact"/>
        <w:rPr>
          <w:sz w:val="20"/>
          <w:szCs w:val="20"/>
          <w:color w:val="auto"/>
        </w:rPr>
      </w:pPr>
    </w:p>
    <w:p>
      <w:pPr>
        <w:ind w:left="60" w:right="4560"/>
        <w:spacing w:after="0" w:line="263" w:lineRule="auto"/>
        <w:rPr>
          <w:sz w:val="20"/>
          <w:szCs w:val="20"/>
          <w:color w:val="auto"/>
        </w:rPr>
      </w:pPr>
      <w:r>
        <w:rPr>
          <w:rFonts w:ascii="Arial" w:cs="Arial" w:eastAsia="Arial" w:hAnsi="Arial"/>
          <w:sz w:val="15"/>
          <w:szCs w:val="15"/>
          <w:color w:val="auto"/>
        </w:rPr>
        <w:t>Contributes to the board’s oversight of the identification, assessment and prioritization of significant risks and ensures mitigation strategies are timely adopted.</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Technology and Cyber Defense and Protection</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5"/>
          <w:szCs w:val="15"/>
          <w:color w:val="auto"/>
        </w:rPr>
        <w:t>Contributes to the board’s oversight and understanding of our cyber defense and protection strategy.</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Congressional Engagement/National Security</w:t>
      </w:r>
    </w:p>
    <w:p>
      <w:pPr>
        <w:spacing w:after="0" w:line="18" w:lineRule="exact"/>
        <w:rPr>
          <w:sz w:val="20"/>
          <w:szCs w:val="20"/>
          <w:color w:val="auto"/>
        </w:rPr>
      </w:pPr>
    </w:p>
    <w:p>
      <w:pPr>
        <w:ind w:left="60" w:right="4540"/>
        <w:spacing w:after="0" w:line="263" w:lineRule="auto"/>
        <w:rPr>
          <w:sz w:val="20"/>
          <w:szCs w:val="20"/>
          <w:color w:val="auto"/>
        </w:rPr>
      </w:pPr>
      <w:r>
        <w:rPr>
          <w:rFonts w:ascii="Arial" w:cs="Arial" w:eastAsia="Arial" w:hAnsi="Arial"/>
          <w:sz w:val="15"/>
          <w:szCs w:val="15"/>
          <w:color w:val="auto"/>
        </w:rPr>
        <w:t>Demonstrates experience with complex organizations with significant national security interests and risk, international relations and interactions, congressional engagement and strategic planning.</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Gender</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5"/>
          <w:szCs w:val="15"/>
          <w:color w:val="auto"/>
        </w:rPr>
        <w:t>Male</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5"/>
          <w:szCs w:val="15"/>
          <w:color w:val="auto"/>
        </w:rPr>
        <w:t>Female</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Race/Ethnicity</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5"/>
          <w:szCs w:val="15"/>
          <w:color w:val="auto"/>
        </w:rPr>
        <w:t>African American or Black</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5"/>
          <w:szCs w:val="15"/>
          <w:color w:val="auto"/>
        </w:rPr>
        <w:t>Asian</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5"/>
          <w:szCs w:val="15"/>
          <w:color w:val="auto"/>
        </w:rPr>
        <w:t>Hispanic or Latinx</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5"/>
          <w:szCs w:val="15"/>
          <w:color w:val="auto"/>
        </w:rPr>
        <w:t>White</w:t>
      </w:r>
    </w:p>
    <w:p>
      <w:pPr>
        <w:spacing w:after="0" w:line="21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111760</wp:posOffset>
            </wp:positionV>
            <wp:extent cx="144145" cy="12103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4145" cy="121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80"/>
        <w:spacing w:after="0"/>
        <w:rPr>
          <w:sz w:val="20"/>
          <w:szCs w:val="20"/>
          <w:color w:val="auto"/>
        </w:rPr>
      </w:pPr>
      <w:r>
        <w:rPr>
          <w:rFonts w:ascii="Arial" w:cs="Arial" w:eastAsia="Arial" w:hAnsi="Arial"/>
          <w:sz w:val="44"/>
          <w:szCs w:val="44"/>
          <w:b w:val="1"/>
          <w:bCs w:val="1"/>
          <w:color w:val="auto"/>
        </w:rPr>
        <w:t>CORPORATE GOVERNANCE MATTERS</w:t>
      </w:r>
    </w:p>
    <w:p>
      <w:pPr>
        <w:spacing w:after="0" w:line="293"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CORPORATE GOVERNANCE HIGHLIGHTS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believe that effective corporate governance should include regular constructive discussions with our stockholders. We have a proactive stockholder engagement process that encourages feedback from our stockholders. This feedback helps shape our governance practices, which include the best practices described below. For additional discussion of our stockholder engagement and actions that we have taken in response to stockholder feedback, see “Corporate Governance Matters— Stockholder Engagement” on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107315</wp:posOffset>
            </wp:positionV>
            <wp:extent cx="7122160" cy="19926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22160" cy="1992630"/>
                    </a:xfrm>
                    <a:prstGeom prst="rect">
                      <a:avLst/>
                    </a:prstGeom>
                    <a:noFill/>
                  </pic:spPr>
                </pic:pic>
              </a:graphicData>
            </a:graphic>
          </wp:anchor>
        </w:drawing>
      </w:r>
    </w:p>
    <w:p>
      <w:pPr>
        <w:spacing w:after="0" w:line="261"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26F2A"/>
        </w:rPr>
        <w:t>Relating to the Board and Governance</w:t>
      </w:r>
    </w:p>
    <w:p>
      <w:pPr>
        <w:spacing w:after="0" w:line="93" w:lineRule="exact"/>
        <w:rPr>
          <w:sz w:val="20"/>
          <w:szCs w:val="20"/>
          <w:color w:val="auto"/>
        </w:rPr>
      </w:pPr>
    </w:p>
    <w:p>
      <w:pPr>
        <w:ind w:left="300" w:right="140" w:hanging="165"/>
        <w:spacing w:after="0" w:line="282" w:lineRule="auto"/>
        <w:tabs>
          <w:tab w:leader="none" w:pos="300" w:val="left"/>
        </w:tabs>
        <w:numPr>
          <w:ilvl w:val="0"/>
          <w:numId w:val="32"/>
        </w:numPr>
        <w:rPr>
          <w:rFonts w:ascii="Arial" w:cs="Arial" w:eastAsia="Arial" w:hAnsi="Arial"/>
          <w:sz w:val="15"/>
          <w:szCs w:val="15"/>
          <w:color w:val="A26F2A"/>
        </w:rPr>
      </w:pPr>
      <w:r>
        <w:rPr>
          <w:rFonts w:ascii="Arial" w:cs="Arial" w:eastAsia="Arial" w:hAnsi="Arial"/>
          <w:sz w:val="15"/>
          <w:szCs w:val="15"/>
          <w:color w:val="auto"/>
        </w:rPr>
        <w:t>Expanded the range of backgrounds, critical skills, perspectives and expertise of our board, including by adding five diverse directors since 2018 (three of whom are female and three of whom are ethnically diverse)</w:t>
      </w:r>
    </w:p>
    <w:p>
      <w:pPr>
        <w:spacing w:after="0" w:line="23" w:lineRule="exact"/>
        <w:rPr>
          <w:rFonts w:ascii="Arial" w:cs="Arial" w:eastAsia="Arial" w:hAnsi="Arial"/>
          <w:sz w:val="15"/>
          <w:szCs w:val="15"/>
          <w:color w:val="A26F2A"/>
        </w:rPr>
      </w:pPr>
    </w:p>
    <w:p>
      <w:pPr>
        <w:ind w:left="300" w:hanging="165"/>
        <w:spacing w:after="0"/>
        <w:tabs>
          <w:tab w:leader="none" w:pos="300" w:val="left"/>
        </w:tabs>
        <w:numPr>
          <w:ilvl w:val="0"/>
          <w:numId w:val="32"/>
        </w:numPr>
        <w:rPr>
          <w:rFonts w:ascii="Arial" w:cs="Arial" w:eastAsia="Arial" w:hAnsi="Arial"/>
          <w:sz w:val="15"/>
          <w:szCs w:val="15"/>
          <w:color w:val="A26F2A"/>
        </w:rPr>
      </w:pPr>
      <w:r>
        <w:rPr>
          <w:rFonts w:ascii="Arial" w:cs="Arial" w:eastAsia="Arial" w:hAnsi="Arial"/>
          <w:sz w:val="15"/>
          <w:szCs w:val="15"/>
          <w:color w:val="auto"/>
        </w:rPr>
        <w:t>100% of our board committees are chaired by women or ethnically diverse directors</w:t>
      </w:r>
    </w:p>
    <w:p>
      <w:pPr>
        <w:spacing w:after="0" w:line="79" w:lineRule="exact"/>
        <w:rPr>
          <w:rFonts w:ascii="Arial" w:cs="Arial" w:eastAsia="Arial" w:hAnsi="Arial"/>
          <w:sz w:val="15"/>
          <w:szCs w:val="15"/>
          <w:color w:val="A26F2A"/>
        </w:rPr>
      </w:pPr>
    </w:p>
    <w:p>
      <w:pPr>
        <w:ind w:left="300" w:hanging="165"/>
        <w:spacing w:after="0"/>
        <w:tabs>
          <w:tab w:leader="none" w:pos="300" w:val="left"/>
        </w:tabs>
        <w:numPr>
          <w:ilvl w:val="0"/>
          <w:numId w:val="32"/>
        </w:numPr>
        <w:rPr>
          <w:rFonts w:ascii="Arial" w:cs="Arial" w:eastAsia="Arial" w:hAnsi="Arial"/>
          <w:sz w:val="15"/>
          <w:szCs w:val="15"/>
          <w:color w:val="A26F2A"/>
        </w:rPr>
      </w:pPr>
      <w:r>
        <w:rPr>
          <w:rFonts w:ascii="Arial" w:cs="Arial" w:eastAsia="Arial" w:hAnsi="Arial"/>
          <w:sz w:val="15"/>
          <w:szCs w:val="15"/>
          <w:color w:val="auto"/>
        </w:rPr>
        <w:t>~77% of director nominees are independent under the Nasdaq listing standards and SEC rules</w:t>
      </w:r>
    </w:p>
    <w:p>
      <w:pPr>
        <w:spacing w:after="0" w:line="79" w:lineRule="exact"/>
        <w:rPr>
          <w:rFonts w:ascii="Arial" w:cs="Arial" w:eastAsia="Arial" w:hAnsi="Arial"/>
          <w:sz w:val="15"/>
          <w:szCs w:val="15"/>
          <w:color w:val="A26F2A"/>
        </w:rPr>
      </w:pPr>
    </w:p>
    <w:p>
      <w:pPr>
        <w:ind w:left="300" w:hanging="165"/>
        <w:spacing w:after="0"/>
        <w:tabs>
          <w:tab w:leader="none" w:pos="300" w:val="left"/>
        </w:tabs>
        <w:numPr>
          <w:ilvl w:val="0"/>
          <w:numId w:val="32"/>
        </w:numPr>
        <w:rPr>
          <w:rFonts w:ascii="Arial" w:cs="Arial" w:eastAsia="Arial" w:hAnsi="Arial"/>
          <w:sz w:val="15"/>
          <w:szCs w:val="15"/>
          <w:color w:val="A26F2A"/>
        </w:rPr>
      </w:pPr>
      <w:r>
        <w:rPr>
          <w:rFonts w:ascii="Arial" w:cs="Arial" w:eastAsia="Arial" w:hAnsi="Arial"/>
          <w:sz w:val="15"/>
          <w:szCs w:val="15"/>
          <w:color w:val="auto"/>
        </w:rPr>
        <w:t>Active and independent audit, compensation and nominating and corporate governance committees</w:t>
      </w:r>
    </w:p>
    <w:p>
      <w:pPr>
        <w:spacing w:after="0" w:line="79" w:lineRule="exact"/>
        <w:rPr>
          <w:rFonts w:ascii="Arial" w:cs="Arial" w:eastAsia="Arial" w:hAnsi="Arial"/>
          <w:sz w:val="15"/>
          <w:szCs w:val="15"/>
          <w:color w:val="A26F2A"/>
        </w:rPr>
      </w:pPr>
    </w:p>
    <w:p>
      <w:pPr>
        <w:ind w:left="300" w:hanging="165"/>
        <w:spacing w:after="0"/>
        <w:tabs>
          <w:tab w:leader="none" w:pos="300" w:val="left"/>
        </w:tabs>
        <w:numPr>
          <w:ilvl w:val="0"/>
          <w:numId w:val="32"/>
        </w:numPr>
        <w:rPr>
          <w:rFonts w:ascii="Arial" w:cs="Arial" w:eastAsia="Arial" w:hAnsi="Arial"/>
          <w:sz w:val="15"/>
          <w:szCs w:val="15"/>
          <w:color w:val="A26F2A"/>
        </w:rPr>
      </w:pPr>
      <w:r>
        <w:rPr>
          <w:rFonts w:ascii="Arial" w:cs="Arial" w:eastAsia="Arial" w:hAnsi="Arial"/>
          <w:sz w:val="15"/>
          <w:szCs w:val="15"/>
          <w:color w:val="auto"/>
        </w:rPr>
        <w:t>Implemented director overboarding policy limiting service on public company boards and audit committees</w:t>
      </w:r>
    </w:p>
    <w:p>
      <w:pPr>
        <w:spacing w:after="0" w:line="79" w:lineRule="exact"/>
        <w:rPr>
          <w:rFonts w:ascii="Arial" w:cs="Arial" w:eastAsia="Arial" w:hAnsi="Arial"/>
          <w:sz w:val="15"/>
          <w:szCs w:val="15"/>
          <w:color w:val="A26F2A"/>
        </w:rPr>
      </w:pPr>
    </w:p>
    <w:p>
      <w:pPr>
        <w:ind w:left="300" w:hanging="165"/>
        <w:spacing w:after="0"/>
        <w:tabs>
          <w:tab w:leader="none" w:pos="300" w:val="left"/>
        </w:tabs>
        <w:numPr>
          <w:ilvl w:val="0"/>
          <w:numId w:val="32"/>
        </w:numPr>
        <w:rPr>
          <w:rFonts w:ascii="Arial" w:cs="Arial" w:eastAsia="Arial" w:hAnsi="Arial"/>
          <w:sz w:val="15"/>
          <w:szCs w:val="15"/>
          <w:color w:val="A26F2A"/>
        </w:rPr>
      </w:pPr>
      <w:r>
        <w:rPr>
          <w:rFonts w:ascii="Arial" w:cs="Arial" w:eastAsia="Arial" w:hAnsi="Arial"/>
          <w:sz w:val="15"/>
          <w:szCs w:val="15"/>
          <w:color w:val="auto"/>
        </w:rPr>
        <w:t>Independent director meetings in executive sessions led by our Lead Independent Director</w:t>
      </w:r>
    </w:p>
    <w:p>
      <w:pPr>
        <w:spacing w:after="0" w:line="79" w:lineRule="exact"/>
        <w:rPr>
          <w:rFonts w:ascii="Arial" w:cs="Arial" w:eastAsia="Arial" w:hAnsi="Arial"/>
          <w:sz w:val="15"/>
          <w:szCs w:val="15"/>
          <w:color w:val="A26F2A"/>
        </w:rPr>
      </w:pPr>
    </w:p>
    <w:p>
      <w:pPr>
        <w:ind w:left="300" w:hanging="165"/>
        <w:spacing w:after="0"/>
        <w:tabs>
          <w:tab w:leader="none" w:pos="300" w:val="left"/>
        </w:tabs>
        <w:numPr>
          <w:ilvl w:val="0"/>
          <w:numId w:val="32"/>
        </w:numPr>
        <w:rPr>
          <w:rFonts w:ascii="Arial" w:cs="Arial" w:eastAsia="Arial" w:hAnsi="Arial"/>
          <w:sz w:val="15"/>
          <w:szCs w:val="15"/>
          <w:color w:val="A26F2A"/>
        </w:rPr>
      </w:pPr>
      <w:r>
        <w:rPr>
          <w:rFonts w:ascii="Arial" w:cs="Arial" w:eastAsia="Arial" w:hAnsi="Arial"/>
          <w:sz w:val="15"/>
          <w:szCs w:val="15"/>
          <w:color w:val="auto"/>
        </w:rPr>
        <w:t>Adopted and annually evaluate Corporate Governance Guidelines as another step to reinforce our commitment to sound governance practices and policies</w:t>
      </w:r>
    </w:p>
    <w:p>
      <w:pPr>
        <w:spacing w:after="0" w:line="79" w:lineRule="exact"/>
        <w:rPr>
          <w:rFonts w:ascii="Arial" w:cs="Arial" w:eastAsia="Arial" w:hAnsi="Arial"/>
          <w:sz w:val="15"/>
          <w:szCs w:val="15"/>
          <w:color w:val="A26F2A"/>
        </w:rPr>
      </w:pPr>
    </w:p>
    <w:p>
      <w:pPr>
        <w:ind w:left="300" w:hanging="165"/>
        <w:spacing w:after="0"/>
        <w:tabs>
          <w:tab w:leader="none" w:pos="300" w:val="left"/>
        </w:tabs>
        <w:numPr>
          <w:ilvl w:val="0"/>
          <w:numId w:val="32"/>
        </w:numPr>
        <w:rPr>
          <w:rFonts w:ascii="Arial" w:cs="Arial" w:eastAsia="Arial" w:hAnsi="Arial"/>
          <w:sz w:val="15"/>
          <w:szCs w:val="15"/>
          <w:color w:val="A26F2A"/>
        </w:rPr>
      </w:pPr>
      <w:r>
        <w:rPr>
          <w:rFonts w:ascii="Arial" w:cs="Arial" w:eastAsia="Arial" w:hAnsi="Arial"/>
          <w:sz w:val="15"/>
          <w:szCs w:val="15"/>
          <w:color w:val="auto"/>
        </w:rPr>
        <w:t>Annual performance evaluations of the board and its committees as part of their commitment to continuous improvement</w:t>
      </w:r>
    </w:p>
    <w:p>
      <w:pPr>
        <w:spacing w:after="0" w:line="79" w:lineRule="exact"/>
        <w:rPr>
          <w:rFonts w:ascii="Arial" w:cs="Arial" w:eastAsia="Arial" w:hAnsi="Arial"/>
          <w:sz w:val="15"/>
          <w:szCs w:val="15"/>
          <w:color w:val="A26F2A"/>
        </w:rPr>
      </w:pPr>
    </w:p>
    <w:p>
      <w:pPr>
        <w:ind w:left="300" w:hanging="165"/>
        <w:spacing w:after="0"/>
        <w:tabs>
          <w:tab w:leader="none" w:pos="300" w:val="left"/>
        </w:tabs>
        <w:numPr>
          <w:ilvl w:val="0"/>
          <w:numId w:val="32"/>
        </w:numPr>
        <w:rPr>
          <w:rFonts w:ascii="Arial" w:cs="Arial" w:eastAsia="Arial" w:hAnsi="Arial"/>
          <w:sz w:val="15"/>
          <w:szCs w:val="15"/>
          <w:color w:val="A26F2A"/>
        </w:rPr>
      </w:pPr>
      <w:r>
        <w:rPr>
          <w:rFonts w:ascii="Arial" w:cs="Arial" w:eastAsia="Arial" w:hAnsi="Arial"/>
          <w:sz w:val="15"/>
          <w:szCs w:val="15"/>
          <w:color w:val="auto"/>
        </w:rPr>
        <w:t>Each director attended at least 90% of the 2025 board and committee meetings on which they served</w:t>
      </w:r>
    </w:p>
    <w:p>
      <w:pPr>
        <w:spacing w:after="0" w:line="79" w:lineRule="exact"/>
        <w:rPr>
          <w:rFonts w:ascii="Arial" w:cs="Arial" w:eastAsia="Arial" w:hAnsi="Arial"/>
          <w:sz w:val="15"/>
          <w:szCs w:val="15"/>
          <w:color w:val="A26F2A"/>
        </w:rPr>
      </w:pPr>
    </w:p>
    <w:p>
      <w:pPr>
        <w:ind w:left="300" w:hanging="165"/>
        <w:spacing w:after="0"/>
        <w:tabs>
          <w:tab w:leader="none" w:pos="300" w:val="left"/>
        </w:tabs>
        <w:numPr>
          <w:ilvl w:val="0"/>
          <w:numId w:val="32"/>
        </w:numPr>
        <w:rPr>
          <w:rFonts w:ascii="Arial" w:cs="Arial" w:eastAsia="Arial" w:hAnsi="Arial"/>
          <w:sz w:val="15"/>
          <w:szCs w:val="15"/>
          <w:color w:val="A26F2A"/>
        </w:rPr>
      </w:pPr>
      <w:r>
        <w:rPr>
          <w:rFonts w:ascii="Arial" w:cs="Arial" w:eastAsia="Arial" w:hAnsi="Arial"/>
          <w:sz w:val="15"/>
          <w:szCs w:val="15"/>
          <w:color w:val="auto"/>
        </w:rPr>
        <w:t>All financially literate audit committee members and three of the five members of the audit committee qualify as financial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220345</wp:posOffset>
            </wp:positionV>
            <wp:extent cx="7122160" cy="23691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22160" cy="23691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26F2A"/>
        </w:rPr>
        <w:t>Relating to Stockholders’ Rights</w:t>
      </w:r>
    </w:p>
    <w:p>
      <w:pPr>
        <w:spacing w:after="0" w:line="93" w:lineRule="exact"/>
        <w:rPr>
          <w:sz w:val="20"/>
          <w:szCs w:val="20"/>
          <w:color w:val="auto"/>
        </w:rPr>
      </w:pPr>
    </w:p>
    <w:p>
      <w:pPr>
        <w:ind w:left="300" w:hanging="165"/>
        <w:spacing w:after="0"/>
        <w:tabs>
          <w:tab w:leader="none" w:pos="300" w:val="left"/>
        </w:tabs>
        <w:numPr>
          <w:ilvl w:val="0"/>
          <w:numId w:val="33"/>
        </w:numPr>
        <w:rPr>
          <w:rFonts w:ascii="Arial" w:cs="Arial" w:eastAsia="Arial" w:hAnsi="Arial"/>
          <w:sz w:val="15"/>
          <w:szCs w:val="15"/>
          <w:color w:val="A26F2A"/>
        </w:rPr>
      </w:pPr>
      <w:r>
        <w:rPr>
          <w:rFonts w:ascii="Arial" w:cs="Arial" w:eastAsia="Arial" w:hAnsi="Arial"/>
          <w:sz w:val="15"/>
          <w:szCs w:val="15"/>
          <w:color w:val="auto"/>
        </w:rPr>
        <w:t>Adopted proxy access bylaw provision</w:t>
      </w:r>
    </w:p>
    <w:p>
      <w:pPr>
        <w:spacing w:after="0" w:line="79" w:lineRule="exact"/>
        <w:rPr>
          <w:rFonts w:ascii="Arial" w:cs="Arial" w:eastAsia="Arial" w:hAnsi="Arial"/>
          <w:sz w:val="15"/>
          <w:szCs w:val="15"/>
          <w:color w:val="A26F2A"/>
        </w:rPr>
      </w:pPr>
    </w:p>
    <w:p>
      <w:pPr>
        <w:ind w:left="300" w:hanging="165"/>
        <w:spacing w:after="0"/>
        <w:tabs>
          <w:tab w:leader="none" w:pos="300" w:val="left"/>
        </w:tabs>
        <w:numPr>
          <w:ilvl w:val="0"/>
          <w:numId w:val="33"/>
        </w:numPr>
        <w:rPr>
          <w:rFonts w:ascii="Arial" w:cs="Arial" w:eastAsia="Arial" w:hAnsi="Arial"/>
          <w:sz w:val="15"/>
          <w:szCs w:val="15"/>
          <w:color w:val="A26F2A"/>
        </w:rPr>
      </w:pPr>
      <w:r>
        <w:rPr>
          <w:rFonts w:ascii="Arial" w:cs="Arial" w:eastAsia="Arial" w:hAnsi="Arial"/>
          <w:sz w:val="15"/>
          <w:szCs w:val="15"/>
          <w:color w:val="auto"/>
        </w:rPr>
        <w:t>Eliminated the 66 2/3% supermajority vote requirements in our charter</w:t>
      </w:r>
    </w:p>
    <w:p>
      <w:pPr>
        <w:spacing w:after="0" w:line="79" w:lineRule="exact"/>
        <w:rPr>
          <w:rFonts w:ascii="Arial" w:cs="Arial" w:eastAsia="Arial" w:hAnsi="Arial"/>
          <w:sz w:val="15"/>
          <w:szCs w:val="15"/>
          <w:color w:val="A26F2A"/>
        </w:rPr>
      </w:pPr>
    </w:p>
    <w:p>
      <w:pPr>
        <w:ind w:left="300" w:hanging="165"/>
        <w:spacing w:after="0"/>
        <w:tabs>
          <w:tab w:leader="none" w:pos="300" w:val="left"/>
        </w:tabs>
        <w:numPr>
          <w:ilvl w:val="0"/>
          <w:numId w:val="33"/>
        </w:numPr>
        <w:rPr>
          <w:rFonts w:ascii="Arial" w:cs="Arial" w:eastAsia="Arial" w:hAnsi="Arial"/>
          <w:sz w:val="15"/>
          <w:szCs w:val="15"/>
          <w:color w:val="A26F2A"/>
        </w:rPr>
      </w:pPr>
      <w:r>
        <w:rPr>
          <w:rFonts w:ascii="Arial" w:cs="Arial" w:eastAsia="Arial" w:hAnsi="Arial"/>
          <w:sz w:val="15"/>
          <w:szCs w:val="15"/>
          <w:color w:val="auto"/>
        </w:rPr>
        <w:t>Provided stockholders with a right to call a special meeting</w:t>
      </w:r>
    </w:p>
    <w:p>
      <w:pPr>
        <w:spacing w:after="0" w:line="79" w:lineRule="exact"/>
        <w:rPr>
          <w:rFonts w:ascii="Arial" w:cs="Arial" w:eastAsia="Arial" w:hAnsi="Arial"/>
          <w:sz w:val="15"/>
          <w:szCs w:val="15"/>
          <w:color w:val="A26F2A"/>
        </w:rPr>
      </w:pPr>
    </w:p>
    <w:p>
      <w:pPr>
        <w:ind w:left="300" w:hanging="165"/>
        <w:spacing w:after="0"/>
        <w:tabs>
          <w:tab w:leader="none" w:pos="300" w:val="left"/>
        </w:tabs>
        <w:numPr>
          <w:ilvl w:val="0"/>
          <w:numId w:val="33"/>
        </w:numPr>
        <w:rPr>
          <w:rFonts w:ascii="Arial" w:cs="Arial" w:eastAsia="Arial" w:hAnsi="Arial"/>
          <w:sz w:val="15"/>
          <w:szCs w:val="15"/>
          <w:color w:val="A26F2A"/>
        </w:rPr>
      </w:pPr>
      <w:r>
        <w:rPr>
          <w:rFonts w:ascii="Arial" w:cs="Arial" w:eastAsia="Arial" w:hAnsi="Arial"/>
          <w:sz w:val="15"/>
          <w:szCs w:val="15"/>
          <w:color w:val="auto"/>
        </w:rPr>
        <w:t>Majority voting to elect directors (for uncontested elections)</w:t>
      </w:r>
    </w:p>
    <w:p>
      <w:pPr>
        <w:spacing w:after="0" w:line="79" w:lineRule="exact"/>
        <w:rPr>
          <w:rFonts w:ascii="Arial" w:cs="Arial" w:eastAsia="Arial" w:hAnsi="Arial"/>
          <w:sz w:val="15"/>
          <w:szCs w:val="15"/>
          <w:color w:val="A26F2A"/>
        </w:rPr>
      </w:pPr>
    </w:p>
    <w:p>
      <w:pPr>
        <w:ind w:left="300" w:hanging="165"/>
        <w:spacing w:after="0"/>
        <w:tabs>
          <w:tab w:leader="none" w:pos="300" w:val="left"/>
        </w:tabs>
        <w:numPr>
          <w:ilvl w:val="0"/>
          <w:numId w:val="33"/>
        </w:numPr>
        <w:rPr>
          <w:rFonts w:ascii="Arial" w:cs="Arial" w:eastAsia="Arial" w:hAnsi="Arial"/>
          <w:sz w:val="15"/>
          <w:szCs w:val="15"/>
          <w:color w:val="A26F2A"/>
        </w:rPr>
      </w:pPr>
      <w:r>
        <w:rPr>
          <w:rFonts w:ascii="Arial" w:cs="Arial" w:eastAsia="Arial" w:hAnsi="Arial"/>
          <w:sz w:val="15"/>
          <w:szCs w:val="15"/>
          <w:color w:val="auto"/>
        </w:rPr>
        <w:t>Mandatory resignation if a majority vote is not received (for uncontested elections)</w:t>
      </w:r>
    </w:p>
    <w:p>
      <w:pPr>
        <w:spacing w:after="0" w:line="79" w:lineRule="exact"/>
        <w:rPr>
          <w:rFonts w:ascii="Arial" w:cs="Arial" w:eastAsia="Arial" w:hAnsi="Arial"/>
          <w:sz w:val="15"/>
          <w:szCs w:val="15"/>
          <w:color w:val="A26F2A"/>
        </w:rPr>
      </w:pPr>
    </w:p>
    <w:p>
      <w:pPr>
        <w:ind w:left="300" w:hanging="165"/>
        <w:spacing w:after="0"/>
        <w:tabs>
          <w:tab w:leader="none" w:pos="300" w:val="left"/>
        </w:tabs>
        <w:numPr>
          <w:ilvl w:val="0"/>
          <w:numId w:val="33"/>
        </w:numPr>
        <w:rPr>
          <w:rFonts w:ascii="Arial" w:cs="Arial" w:eastAsia="Arial" w:hAnsi="Arial"/>
          <w:sz w:val="15"/>
          <w:szCs w:val="15"/>
          <w:color w:val="A26F2A"/>
        </w:rPr>
      </w:pPr>
      <w:r>
        <w:rPr>
          <w:rFonts w:ascii="Arial" w:cs="Arial" w:eastAsia="Arial" w:hAnsi="Arial"/>
          <w:sz w:val="15"/>
          <w:szCs w:val="15"/>
          <w:color w:val="auto"/>
        </w:rPr>
        <w:t>Declassified board of directors</w:t>
      </w:r>
    </w:p>
    <w:p>
      <w:pPr>
        <w:spacing w:after="0" w:line="79" w:lineRule="exact"/>
        <w:rPr>
          <w:rFonts w:ascii="Arial" w:cs="Arial" w:eastAsia="Arial" w:hAnsi="Arial"/>
          <w:sz w:val="15"/>
          <w:szCs w:val="15"/>
          <w:color w:val="A26F2A"/>
        </w:rPr>
      </w:pPr>
    </w:p>
    <w:p>
      <w:pPr>
        <w:ind w:left="300" w:hanging="165"/>
        <w:spacing w:after="0"/>
        <w:tabs>
          <w:tab w:leader="none" w:pos="300" w:val="left"/>
        </w:tabs>
        <w:numPr>
          <w:ilvl w:val="0"/>
          <w:numId w:val="33"/>
        </w:numPr>
        <w:rPr>
          <w:rFonts w:ascii="Arial" w:cs="Arial" w:eastAsia="Arial" w:hAnsi="Arial"/>
          <w:sz w:val="15"/>
          <w:szCs w:val="15"/>
          <w:color w:val="A26F2A"/>
        </w:rPr>
      </w:pPr>
      <w:r>
        <w:rPr>
          <w:rFonts w:ascii="Arial" w:cs="Arial" w:eastAsia="Arial" w:hAnsi="Arial"/>
          <w:sz w:val="15"/>
          <w:szCs w:val="15"/>
          <w:color w:val="auto"/>
        </w:rPr>
        <w:t>Active stockholder outreach with respect to corporate governance, sustainability and executive compensation</w:t>
      </w:r>
    </w:p>
    <w:p>
      <w:pPr>
        <w:spacing w:after="0" w:line="79" w:lineRule="exact"/>
        <w:rPr>
          <w:rFonts w:ascii="Arial" w:cs="Arial" w:eastAsia="Arial" w:hAnsi="Arial"/>
          <w:sz w:val="15"/>
          <w:szCs w:val="15"/>
          <w:color w:val="A26F2A"/>
        </w:rPr>
      </w:pPr>
    </w:p>
    <w:p>
      <w:pPr>
        <w:ind w:left="300" w:hanging="165"/>
        <w:spacing w:after="0"/>
        <w:tabs>
          <w:tab w:leader="none" w:pos="300" w:val="left"/>
        </w:tabs>
        <w:numPr>
          <w:ilvl w:val="0"/>
          <w:numId w:val="33"/>
        </w:numPr>
        <w:rPr>
          <w:rFonts w:ascii="Arial" w:cs="Arial" w:eastAsia="Arial" w:hAnsi="Arial"/>
          <w:sz w:val="15"/>
          <w:szCs w:val="15"/>
          <w:color w:val="A26F2A"/>
        </w:rPr>
      </w:pPr>
      <w:r>
        <w:rPr>
          <w:rFonts w:ascii="Arial" w:cs="Arial" w:eastAsia="Arial" w:hAnsi="Arial"/>
          <w:sz w:val="15"/>
          <w:szCs w:val="15"/>
          <w:color w:val="auto"/>
        </w:rPr>
        <w:t>Maintain both the S&amp;P 500 (weighted twice) and the XOP Index (weighted twice) as peers in our TSR performance peer group</w:t>
      </w:r>
    </w:p>
    <w:p>
      <w:pPr>
        <w:spacing w:after="0" w:line="79" w:lineRule="exact"/>
        <w:rPr>
          <w:rFonts w:ascii="Arial" w:cs="Arial" w:eastAsia="Arial" w:hAnsi="Arial"/>
          <w:sz w:val="15"/>
          <w:szCs w:val="15"/>
          <w:color w:val="A26F2A"/>
        </w:rPr>
      </w:pPr>
    </w:p>
    <w:p>
      <w:pPr>
        <w:ind w:left="300" w:hanging="165"/>
        <w:spacing w:after="0"/>
        <w:tabs>
          <w:tab w:leader="none" w:pos="300" w:val="left"/>
        </w:tabs>
        <w:numPr>
          <w:ilvl w:val="0"/>
          <w:numId w:val="33"/>
        </w:numPr>
        <w:rPr>
          <w:rFonts w:ascii="Arial" w:cs="Arial" w:eastAsia="Arial" w:hAnsi="Arial"/>
          <w:sz w:val="15"/>
          <w:szCs w:val="15"/>
          <w:color w:val="A26F2A"/>
        </w:rPr>
      </w:pPr>
      <w:r>
        <w:rPr>
          <w:rFonts w:ascii="Arial" w:cs="Arial" w:eastAsia="Arial" w:hAnsi="Arial"/>
          <w:sz w:val="15"/>
          <w:szCs w:val="15"/>
          <w:color w:val="auto"/>
        </w:rPr>
        <w:t>Maintain rigorous stock ownership guidelines for non-employee directors and our executives</w:t>
      </w:r>
    </w:p>
    <w:p>
      <w:pPr>
        <w:spacing w:after="0" w:line="79" w:lineRule="exact"/>
        <w:rPr>
          <w:rFonts w:ascii="Arial" w:cs="Arial" w:eastAsia="Arial" w:hAnsi="Arial"/>
          <w:sz w:val="15"/>
          <w:szCs w:val="15"/>
          <w:color w:val="A26F2A"/>
        </w:rPr>
      </w:pPr>
    </w:p>
    <w:p>
      <w:pPr>
        <w:ind w:left="300" w:right="140" w:hanging="165"/>
        <w:spacing w:after="0" w:line="282" w:lineRule="auto"/>
        <w:tabs>
          <w:tab w:leader="none" w:pos="300" w:val="left"/>
        </w:tabs>
        <w:numPr>
          <w:ilvl w:val="0"/>
          <w:numId w:val="33"/>
        </w:numPr>
        <w:rPr>
          <w:rFonts w:ascii="Arial" w:cs="Arial" w:eastAsia="Arial" w:hAnsi="Arial"/>
          <w:sz w:val="15"/>
          <w:szCs w:val="15"/>
          <w:color w:val="A26F2A"/>
        </w:rPr>
      </w:pPr>
      <w:r>
        <w:rPr>
          <w:rFonts w:ascii="Arial" w:cs="Arial" w:eastAsia="Arial" w:hAnsi="Arial"/>
          <w:sz w:val="15"/>
          <w:szCs w:val="15"/>
          <w:color w:val="auto"/>
        </w:rPr>
        <w:t>Adopted a comprehensive executive incentive compensation clawback policy that allows for the recoupment and/or forfeiture of certain executive officer incentive compensation and complies with the Nasdaq listing standards implementing Rule 10D-1 of the Exchange Act</w:t>
      </w:r>
    </w:p>
    <w:p>
      <w:pPr>
        <w:spacing w:after="0" w:line="23" w:lineRule="exact"/>
        <w:rPr>
          <w:rFonts w:ascii="Arial" w:cs="Arial" w:eastAsia="Arial" w:hAnsi="Arial"/>
          <w:sz w:val="15"/>
          <w:szCs w:val="15"/>
          <w:color w:val="A26F2A"/>
        </w:rPr>
      </w:pPr>
    </w:p>
    <w:p>
      <w:pPr>
        <w:jc w:val="both"/>
        <w:ind w:left="300" w:right="140" w:hanging="165"/>
        <w:spacing w:after="0" w:line="264" w:lineRule="auto"/>
        <w:tabs>
          <w:tab w:leader="none" w:pos="300" w:val="left"/>
        </w:tabs>
        <w:numPr>
          <w:ilvl w:val="0"/>
          <w:numId w:val="33"/>
        </w:numPr>
        <w:rPr>
          <w:rFonts w:ascii="Arial" w:cs="Arial" w:eastAsia="Arial" w:hAnsi="Arial"/>
          <w:sz w:val="15"/>
          <w:szCs w:val="15"/>
          <w:color w:val="A26F2A"/>
        </w:rPr>
      </w:pPr>
      <w:r>
        <w:rPr>
          <w:rFonts w:ascii="Arial" w:cs="Arial" w:eastAsia="Arial" w:hAnsi="Arial"/>
          <w:sz w:val="15"/>
          <w:szCs w:val="15"/>
          <w:color w:val="auto"/>
        </w:rPr>
        <w:t>Maintain robust insider trading policies covering trading in our securities and the securities of our publicly traded subsidiary Viper Energy, Inc. by our directors, executive officers and other employees, also requiring that charitable donations and other gifts by our executive officers and directors be subject to the same open trading window and preapproval requirements as trades in such securities</w:t>
      </w:r>
    </w:p>
    <w:p>
      <w:pPr>
        <w:spacing w:after="0" w:line="2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22160" cy="21685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22160" cy="2168525"/>
                    </a:xfrm>
                    <a:prstGeom prst="rect">
                      <a:avLst/>
                    </a:prstGeom>
                    <a:noFill/>
                  </pic:spPr>
                </pic:pic>
              </a:graphicData>
            </a:graphic>
          </wp:anchor>
        </w:drawing>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26F2A"/>
        </w:rPr>
        <w:t>Relating to Environment and Safety</w:t>
      </w:r>
    </w:p>
    <w:p>
      <w:pPr>
        <w:spacing w:after="0" w:line="93" w:lineRule="exact"/>
        <w:rPr>
          <w:sz w:val="20"/>
          <w:szCs w:val="20"/>
          <w:color w:val="auto"/>
        </w:rPr>
      </w:pPr>
    </w:p>
    <w:p>
      <w:pPr>
        <w:ind w:left="300" w:hanging="165"/>
        <w:spacing w:after="0"/>
        <w:tabs>
          <w:tab w:leader="none" w:pos="300" w:val="left"/>
        </w:tabs>
        <w:numPr>
          <w:ilvl w:val="0"/>
          <w:numId w:val="34"/>
        </w:numPr>
        <w:rPr>
          <w:rFonts w:ascii="Arial" w:cs="Arial" w:eastAsia="Arial" w:hAnsi="Arial"/>
          <w:sz w:val="15"/>
          <w:szCs w:val="15"/>
          <w:color w:val="A26F2A"/>
        </w:rPr>
      </w:pPr>
      <w:r>
        <w:rPr>
          <w:rFonts w:ascii="Arial" w:cs="Arial" w:eastAsia="Arial" w:hAnsi="Arial"/>
          <w:sz w:val="15"/>
          <w:szCs w:val="15"/>
          <w:color w:val="auto"/>
        </w:rPr>
        <w:t>Commitment to social responsibility with respect to our people, community and environment</w:t>
      </w:r>
    </w:p>
    <w:p>
      <w:pPr>
        <w:spacing w:after="0" w:line="79" w:lineRule="exact"/>
        <w:rPr>
          <w:rFonts w:ascii="Arial" w:cs="Arial" w:eastAsia="Arial" w:hAnsi="Arial"/>
          <w:sz w:val="15"/>
          <w:szCs w:val="15"/>
          <w:color w:val="A26F2A"/>
        </w:rPr>
      </w:pPr>
    </w:p>
    <w:p>
      <w:pPr>
        <w:ind w:left="300" w:right="140" w:hanging="165"/>
        <w:spacing w:after="0" w:line="282" w:lineRule="auto"/>
        <w:tabs>
          <w:tab w:leader="none" w:pos="300" w:val="left"/>
        </w:tabs>
        <w:numPr>
          <w:ilvl w:val="0"/>
          <w:numId w:val="34"/>
        </w:numPr>
        <w:rPr>
          <w:rFonts w:ascii="Arial" w:cs="Arial" w:eastAsia="Arial" w:hAnsi="Arial"/>
          <w:sz w:val="15"/>
          <w:szCs w:val="15"/>
          <w:color w:val="A26F2A"/>
        </w:rPr>
      </w:pPr>
      <w:r>
        <w:rPr>
          <w:rFonts w:ascii="Arial" w:cs="Arial" w:eastAsia="Arial" w:hAnsi="Arial"/>
          <w:sz w:val="15"/>
          <w:szCs w:val="15"/>
          <w:color w:val="auto"/>
        </w:rPr>
        <w:t>Adopted Human Rights Policy to reinforce our commitment to conducting our business in a manner that respects and promotes the fundamental rights and dignity of all people</w:t>
      </w:r>
    </w:p>
    <w:p>
      <w:pPr>
        <w:spacing w:after="0" w:line="23" w:lineRule="exact"/>
        <w:rPr>
          <w:rFonts w:ascii="Arial" w:cs="Arial" w:eastAsia="Arial" w:hAnsi="Arial"/>
          <w:sz w:val="15"/>
          <w:szCs w:val="15"/>
          <w:color w:val="A26F2A"/>
        </w:rPr>
      </w:pPr>
    </w:p>
    <w:p>
      <w:pPr>
        <w:ind w:left="300" w:hanging="165"/>
        <w:spacing w:after="0"/>
        <w:tabs>
          <w:tab w:leader="none" w:pos="300" w:val="left"/>
        </w:tabs>
        <w:numPr>
          <w:ilvl w:val="0"/>
          <w:numId w:val="34"/>
        </w:numPr>
        <w:rPr>
          <w:rFonts w:ascii="Arial" w:cs="Arial" w:eastAsia="Arial" w:hAnsi="Arial"/>
          <w:sz w:val="15"/>
          <w:szCs w:val="15"/>
          <w:color w:val="A26F2A"/>
        </w:rPr>
      </w:pPr>
      <w:r>
        <w:rPr>
          <w:rFonts w:ascii="Arial" w:cs="Arial" w:eastAsia="Arial" w:hAnsi="Arial"/>
          <w:sz w:val="15"/>
          <w:szCs w:val="15"/>
          <w:color w:val="auto"/>
        </w:rPr>
        <w:t>Improved our scores on the CDP 2025 Questionnaire for both water and climate change year over year</w:t>
      </w:r>
    </w:p>
    <w:p>
      <w:pPr>
        <w:spacing w:after="0" w:line="79" w:lineRule="exact"/>
        <w:rPr>
          <w:rFonts w:ascii="Arial" w:cs="Arial" w:eastAsia="Arial" w:hAnsi="Arial"/>
          <w:sz w:val="15"/>
          <w:szCs w:val="15"/>
          <w:color w:val="A26F2A"/>
        </w:rPr>
      </w:pPr>
    </w:p>
    <w:p>
      <w:pPr>
        <w:ind w:left="300" w:right="140" w:hanging="165"/>
        <w:spacing w:after="0" w:line="282" w:lineRule="auto"/>
        <w:tabs>
          <w:tab w:leader="none" w:pos="300" w:val="left"/>
        </w:tabs>
        <w:numPr>
          <w:ilvl w:val="0"/>
          <w:numId w:val="34"/>
        </w:numPr>
        <w:rPr>
          <w:rFonts w:ascii="Arial" w:cs="Arial" w:eastAsia="Arial" w:hAnsi="Arial"/>
          <w:sz w:val="15"/>
          <w:szCs w:val="15"/>
          <w:color w:val="A26F2A"/>
        </w:rPr>
      </w:pPr>
      <w:r>
        <w:rPr>
          <w:rFonts w:ascii="Arial" w:cs="Arial" w:eastAsia="Arial" w:hAnsi="Arial"/>
          <w:sz w:val="15"/>
          <w:szCs w:val="15"/>
          <w:color w:val="auto"/>
        </w:rPr>
        <w:t>Implemented our “Net Zero Now” initiative under which, effective January 1, 2021, every hydrocarbon molecule we produce is anticipated to be produced with zero net Scope 1 GHG emissions</w:t>
      </w:r>
    </w:p>
    <w:p>
      <w:pPr>
        <w:spacing w:after="0" w:line="23" w:lineRule="exact"/>
        <w:rPr>
          <w:rFonts w:ascii="Arial" w:cs="Arial" w:eastAsia="Arial" w:hAnsi="Arial"/>
          <w:sz w:val="15"/>
          <w:szCs w:val="15"/>
          <w:color w:val="A26F2A"/>
        </w:rPr>
      </w:pPr>
    </w:p>
    <w:p>
      <w:pPr>
        <w:ind w:left="300" w:hanging="165"/>
        <w:spacing w:after="0"/>
        <w:tabs>
          <w:tab w:leader="none" w:pos="300" w:val="left"/>
        </w:tabs>
        <w:numPr>
          <w:ilvl w:val="0"/>
          <w:numId w:val="34"/>
        </w:numPr>
        <w:rPr>
          <w:rFonts w:ascii="Arial" w:cs="Arial" w:eastAsia="Arial" w:hAnsi="Arial"/>
          <w:sz w:val="15"/>
          <w:szCs w:val="15"/>
          <w:color w:val="A26F2A"/>
        </w:rPr>
      </w:pPr>
      <w:r>
        <w:rPr>
          <w:rFonts w:ascii="Arial" w:cs="Arial" w:eastAsia="Arial" w:hAnsi="Arial"/>
          <w:sz w:val="15"/>
          <w:szCs w:val="15"/>
          <w:color w:val="auto"/>
        </w:rPr>
        <w:t>Maintained the weighting of current quantitative environmental and safety performance metrics for determining annual incentive compensation at 25%</w:t>
      </w:r>
    </w:p>
    <w:p>
      <w:pPr>
        <w:spacing w:after="0" w:line="79" w:lineRule="exact"/>
        <w:rPr>
          <w:rFonts w:ascii="Arial" w:cs="Arial" w:eastAsia="Arial" w:hAnsi="Arial"/>
          <w:sz w:val="15"/>
          <w:szCs w:val="15"/>
          <w:color w:val="A26F2A"/>
        </w:rPr>
      </w:pPr>
    </w:p>
    <w:p>
      <w:pPr>
        <w:ind w:left="300" w:right="140" w:hanging="165"/>
        <w:spacing w:after="0" w:line="282" w:lineRule="auto"/>
        <w:tabs>
          <w:tab w:leader="none" w:pos="300" w:val="left"/>
        </w:tabs>
        <w:numPr>
          <w:ilvl w:val="0"/>
          <w:numId w:val="34"/>
        </w:numPr>
        <w:rPr>
          <w:rFonts w:ascii="Arial" w:cs="Arial" w:eastAsia="Arial" w:hAnsi="Arial"/>
          <w:sz w:val="15"/>
          <w:szCs w:val="15"/>
          <w:color w:val="A26F2A"/>
        </w:rPr>
      </w:pPr>
      <w:r>
        <w:rPr>
          <w:rFonts w:ascii="Arial" w:cs="Arial" w:eastAsia="Arial" w:hAnsi="Arial"/>
          <w:sz w:val="15"/>
          <w:szCs w:val="15"/>
          <w:color w:val="auto"/>
        </w:rPr>
        <w:t>Released eighth annual Corporate Sustainability Report in September 2025, which included a calculation of our Scope 3 emissions and an assessment of our current portfolio in various low carbon scenarios as outlined by the International Energy Agency and our 2024 EEO-1 Data</w:t>
      </w:r>
    </w:p>
    <w:p>
      <w:pPr>
        <w:spacing w:after="0" w:line="23" w:lineRule="exact"/>
        <w:rPr>
          <w:rFonts w:ascii="Arial" w:cs="Arial" w:eastAsia="Arial" w:hAnsi="Arial"/>
          <w:sz w:val="15"/>
          <w:szCs w:val="15"/>
          <w:color w:val="A26F2A"/>
        </w:rPr>
      </w:pPr>
    </w:p>
    <w:p>
      <w:pPr>
        <w:ind w:left="300" w:right="140" w:hanging="165"/>
        <w:spacing w:after="0" w:line="282" w:lineRule="auto"/>
        <w:tabs>
          <w:tab w:leader="none" w:pos="300" w:val="left"/>
        </w:tabs>
        <w:numPr>
          <w:ilvl w:val="0"/>
          <w:numId w:val="34"/>
        </w:numPr>
        <w:rPr>
          <w:rFonts w:ascii="Arial" w:cs="Arial" w:eastAsia="Arial" w:hAnsi="Arial"/>
          <w:sz w:val="15"/>
          <w:szCs w:val="15"/>
          <w:color w:val="A26F2A"/>
        </w:rPr>
      </w:pPr>
      <w:r>
        <w:rPr>
          <w:rFonts w:ascii="Arial" w:cs="Arial" w:eastAsia="Arial" w:hAnsi="Arial"/>
          <w:sz w:val="15"/>
          <w:szCs w:val="15"/>
          <w:color w:val="auto"/>
        </w:rPr>
        <w:t>Adopted a Policy Governing Corporate Political Contributions and publicly disclosed Diamondback’s corporate political contribution activities for each of 2020, 2021, 2022, 2023, 2024 and 2025 on our website</w:t>
      </w:r>
    </w:p>
    <w:p>
      <w:pPr>
        <w:spacing w:after="0" w:line="23" w:lineRule="exact"/>
        <w:rPr>
          <w:rFonts w:ascii="Arial" w:cs="Arial" w:eastAsia="Arial" w:hAnsi="Arial"/>
          <w:sz w:val="15"/>
          <w:szCs w:val="15"/>
          <w:color w:val="A26F2A"/>
        </w:rPr>
      </w:pPr>
    </w:p>
    <w:p>
      <w:pPr>
        <w:ind w:left="300" w:hanging="165"/>
        <w:spacing w:after="0"/>
        <w:tabs>
          <w:tab w:leader="none" w:pos="300" w:val="left"/>
        </w:tabs>
        <w:numPr>
          <w:ilvl w:val="0"/>
          <w:numId w:val="34"/>
        </w:numPr>
        <w:rPr>
          <w:rFonts w:ascii="Arial" w:cs="Arial" w:eastAsia="Arial" w:hAnsi="Arial"/>
          <w:sz w:val="15"/>
          <w:szCs w:val="15"/>
          <w:color w:val="A26F2A"/>
        </w:rPr>
      </w:pPr>
      <w:r>
        <w:rPr>
          <w:rFonts w:ascii="Arial" w:cs="Arial" w:eastAsia="Arial" w:hAnsi="Arial"/>
          <w:sz w:val="15"/>
          <w:szCs w:val="15"/>
          <w:color w:val="auto"/>
        </w:rPr>
        <w:t>Received a trendsetter score of 90.0% for the 2025 CPA-Zicklin Index of Corporate Political Accountability and Disclosure</w:t>
      </w:r>
    </w:p>
    <w:p>
      <w:pPr>
        <w:spacing w:after="0" w:line="79" w:lineRule="exact"/>
        <w:rPr>
          <w:rFonts w:ascii="Arial" w:cs="Arial" w:eastAsia="Arial" w:hAnsi="Arial"/>
          <w:sz w:val="15"/>
          <w:szCs w:val="15"/>
          <w:color w:val="A26F2A"/>
        </w:rPr>
      </w:pPr>
    </w:p>
    <w:p>
      <w:pPr>
        <w:ind w:left="300" w:hanging="165"/>
        <w:spacing w:after="0"/>
        <w:tabs>
          <w:tab w:leader="none" w:pos="300" w:val="left"/>
        </w:tabs>
        <w:numPr>
          <w:ilvl w:val="0"/>
          <w:numId w:val="34"/>
        </w:numPr>
        <w:rPr>
          <w:rFonts w:ascii="Arial" w:cs="Arial" w:eastAsia="Arial" w:hAnsi="Arial"/>
          <w:sz w:val="15"/>
          <w:szCs w:val="15"/>
          <w:color w:val="A26F2A"/>
        </w:rPr>
      </w:pPr>
      <w:r>
        <w:rPr>
          <w:rFonts w:ascii="Arial" w:cs="Arial" w:eastAsia="Arial" w:hAnsi="Arial"/>
          <w:sz w:val="15"/>
          <w:szCs w:val="15"/>
          <w:color w:val="auto"/>
        </w:rPr>
        <w:t>Maintain active safety, sustainability and corporate responsibility committee of the board of directors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CORPORATE GOVERNANCE GUIDELINES</w:t>
      </w:r>
    </w:p>
    <w:p>
      <w:pPr>
        <w:spacing w:after="0" w:line="31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board has adopted our Corporate Governance Guidelines as a way to reinforce its commitment to sound governance practices and policies. These Corporate Governance Guidelines include provisions concerning the following:</w:t>
      </w:r>
    </w:p>
    <w:p>
      <w:pPr>
        <w:spacing w:after="0" w:line="125" w:lineRule="exact"/>
        <w:rPr>
          <w:sz w:val="20"/>
          <w:szCs w:val="20"/>
          <w:color w:val="auto"/>
        </w:rPr>
      </w:pPr>
    </w:p>
    <w:p>
      <w:pPr>
        <w:ind w:left="160" w:hanging="159"/>
        <w:spacing w:after="0"/>
        <w:tabs>
          <w:tab w:leader="none" w:pos="160" w:val="left"/>
        </w:tabs>
        <w:numPr>
          <w:ilvl w:val="0"/>
          <w:numId w:val="36"/>
        </w:numPr>
        <w:rPr>
          <w:rFonts w:ascii="Arial" w:cs="Arial" w:eastAsia="Arial" w:hAnsi="Arial"/>
          <w:sz w:val="15"/>
          <w:szCs w:val="15"/>
          <w:color w:val="A26F2A"/>
        </w:rPr>
      </w:pPr>
      <w:r>
        <w:rPr>
          <w:rFonts w:ascii="Arial" w:cs="Arial" w:eastAsia="Arial" w:hAnsi="Arial"/>
          <w:sz w:val="15"/>
          <w:szCs w:val="15"/>
          <w:color w:val="auto"/>
        </w:rPr>
        <w:t>Role and responsibilities of the board and its committees;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36"/>
        </w:numPr>
        <w:rPr>
          <w:rFonts w:ascii="Arial" w:cs="Arial" w:eastAsia="Arial" w:hAnsi="Arial"/>
          <w:sz w:val="15"/>
          <w:szCs w:val="15"/>
          <w:color w:val="A26F2A"/>
        </w:rPr>
      </w:pPr>
      <w:r>
        <w:rPr>
          <w:rFonts w:ascii="Arial" w:cs="Arial" w:eastAsia="Arial" w:hAnsi="Arial"/>
          <w:sz w:val="15"/>
          <w:szCs w:val="15"/>
          <w:color w:val="auto"/>
        </w:rPr>
        <w:t>Size of the board;</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36"/>
        </w:numPr>
        <w:rPr>
          <w:rFonts w:ascii="Arial" w:cs="Arial" w:eastAsia="Arial" w:hAnsi="Arial"/>
          <w:sz w:val="15"/>
          <w:szCs w:val="15"/>
          <w:color w:val="A26F2A"/>
        </w:rPr>
      </w:pPr>
      <w:r>
        <w:rPr>
          <w:rFonts w:ascii="Arial" w:cs="Arial" w:eastAsia="Arial" w:hAnsi="Arial"/>
          <w:sz w:val="15"/>
          <w:szCs w:val="15"/>
          <w:color w:val="auto"/>
        </w:rPr>
        <w:t>Selection, qualifications, independence, responsibilities and tenure of directors;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36"/>
        </w:numPr>
        <w:rPr>
          <w:rFonts w:ascii="Arial" w:cs="Arial" w:eastAsia="Arial" w:hAnsi="Arial"/>
          <w:sz w:val="15"/>
          <w:szCs w:val="15"/>
          <w:color w:val="A26F2A"/>
        </w:rPr>
      </w:pPr>
      <w:r>
        <w:rPr>
          <w:rFonts w:ascii="Arial" w:cs="Arial" w:eastAsia="Arial" w:hAnsi="Arial"/>
          <w:sz w:val="15"/>
          <w:szCs w:val="15"/>
          <w:color w:val="auto"/>
        </w:rPr>
        <w:t>Director resignation process;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36"/>
        </w:numPr>
        <w:rPr>
          <w:rFonts w:ascii="Arial" w:cs="Arial" w:eastAsia="Arial" w:hAnsi="Arial"/>
          <w:sz w:val="15"/>
          <w:szCs w:val="15"/>
          <w:color w:val="A26F2A"/>
        </w:rPr>
      </w:pPr>
      <w:r>
        <w:rPr>
          <w:rFonts w:ascii="Arial" w:cs="Arial" w:eastAsia="Arial" w:hAnsi="Arial"/>
          <w:sz w:val="15"/>
          <w:szCs w:val="15"/>
          <w:color w:val="auto"/>
        </w:rPr>
        <w:t>Selection of Chairman of the Board and Lead Independent Director;</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36"/>
        </w:numPr>
        <w:rPr>
          <w:rFonts w:ascii="Arial" w:cs="Arial" w:eastAsia="Arial" w:hAnsi="Arial"/>
          <w:sz w:val="15"/>
          <w:szCs w:val="15"/>
          <w:color w:val="A26F2A"/>
        </w:rPr>
      </w:pPr>
      <w:r>
        <w:rPr>
          <w:rFonts w:ascii="Arial" w:cs="Arial" w:eastAsia="Arial" w:hAnsi="Arial"/>
          <w:sz w:val="15"/>
          <w:szCs w:val="15"/>
          <w:color w:val="auto"/>
        </w:rPr>
        <w:t>Limits on other public company directorships and audit committee service;</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36"/>
        </w:numPr>
        <w:rPr>
          <w:rFonts w:ascii="Arial" w:cs="Arial" w:eastAsia="Arial" w:hAnsi="Arial"/>
          <w:sz w:val="15"/>
          <w:szCs w:val="15"/>
          <w:color w:val="A26F2A"/>
        </w:rPr>
      </w:pPr>
      <w:r>
        <w:rPr>
          <w:rFonts w:ascii="Arial" w:cs="Arial" w:eastAsia="Arial" w:hAnsi="Arial"/>
          <w:sz w:val="15"/>
          <w:szCs w:val="15"/>
          <w:color w:val="auto"/>
        </w:rPr>
        <w:t>Board meetings and agendas;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36"/>
        </w:numPr>
        <w:rPr>
          <w:rFonts w:ascii="Arial" w:cs="Arial" w:eastAsia="Arial" w:hAnsi="Arial"/>
          <w:sz w:val="15"/>
          <w:szCs w:val="15"/>
          <w:color w:val="A26F2A"/>
        </w:rPr>
      </w:pPr>
      <w:r>
        <w:rPr>
          <w:rFonts w:ascii="Arial" w:cs="Arial" w:eastAsia="Arial" w:hAnsi="Arial"/>
          <w:sz w:val="15"/>
          <w:szCs w:val="15"/>
          <w:color w:val="auto"/>
        </w:rPr>
        <w:t>Director access to management and advisors;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36"/>
        </w:numPr>
        <w:rPr>
          <w:rFonts w:ascii="Arial" w:cs="Arial" w:eastAsia="Arial" w:hAnsi="Arial"/>
          <w:sz w:val="15"/>
          <w:szCs w:val="15"/>
          <w:color w:val="A26F2A"/>
        </w:rPr>
      </w:pPr>
      <w:r>
        <w:rPr>
          <w:rFonts w:ascii="Arial" w:cs="Arial" w:eastAsia="Arial" w:hAnsi="Arial"/>
          <w:sz w:val="15"/>
          <w:szCs w:val="15"/>
          <w:color w:val="auto"/>
        </w:rPr>
        <w:t>Executive sessions of independent directors;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36"/>
        </w:numPr>
        <w:rPr>
          <w:rFonts w:ascii="Arial" w:cs="Arial" w:eastAsia="Arial" w:hAnsi="Arial"/>
          <w:sz w:val="15"/>
          <w:szCs w:val="15"/>
          <w:color w:val="A26F2A"/>
        </w:rPr>
      </w:pPr>
      <w:r>
        <w:rPr>
          <w:rFonts w:ascii="Arial" w:cs="Arial" w:eastAsia="Arial" w:hAnsi="Arial"/>
          <w:sz w:val="15"/>
          <w:szCs w:val="15"/>
          <w:color w:val="auto"/>
        </w:rPr>
        <w:t>Director orientation and continuing education;</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36"/>
        </w:numPr>
        <w:rPr>
          <w:rFonts w:ascii="Arial" w:cs="Arial" w:eastAsia="Arial" w:hAnsi="Arial"/>
          <w:sz w:val="15"/>
          <w:szCs w:val="15"/>
          <w:color w:val="A26F2A"/>
        </w:rPr>
      </w:pPr>
      <w:r>
        <w:rPr>
          <w:rFonts w:ascii="Arial" w:cs="Arial" w:eastAsia="Arial" w:hAnsi="Arial"/>
          <w:sz w:val="15"/>
          <w:szCs w:val="15"/>
          <w:color w:val="auto"/>
        </w:rPr>
        <w:t>Annual performance evaluations of the board and its committees;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36"/>
        </w:numPr>
        <w:rPr>
          <w:rFonts w:ascii="Arial" w:cs="Arial" w:eastAsia="Arial" w:hAnsi="Arial"/>
          <w:sz w:val="15"/>
          <w:szCs w:val="15"/>
          <w:color w:val="A26F2A"/>
        </w:rPr>
      </w:pPr>
      <w:r>
        <w:rPr>
          <w:rFonts w:ascii="Arial" w:cs="Arial" w:eastAsia="Arial" w:hAnsi="Arial"/>
          <w:sz w:val="15"/>
          <w:szCs w:val="15"/>
          <w:color w:val="auto"/>
        </w:rPr>
        <w:t>Succession planning;</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36"/>
        </w:numPr>
        <w:rPr>
          <w:rFonts w:ascii="Arial" w:cs="Arial" w:eastAsia="Arial" w:hAnsi="Arial"/>
          <w:sz w:val="15"/>
          <w:szCs w:val="15"/>
          <w:color w:val="A26F2A"/>
        </w:rPr>
      </w:pPr>
      <w:r>
        <w:rPr>
          <w:rFonts w:ascii="Arial" w:cs="Arial" w:eastAsia="Arial" w:hAnsi="Arial"/>
          <w:sz w:val="15"/>
          <w:szCs w:val="15"/>
          <w:color w:val="auto"/>
        </w:rPr>
        <w:t>Director compensation;</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36"/>
        </w:numPr>
        <w:rPr>
          <w:rFonts w:ascii="Arial" w:cs="Arial" w:eastAsia="Arial" w:hAnsi="Arial"/>
          <w:sz w:val="15"/>
          <w:szCs w:val="15"/>
          <w:color w:val="A26F2A"/>
        </w:rPr>
      </w:pPr>
      <w:r>
        <w:rPr>
          <w:rFonts w:ascii="Arial" w:cs="Arial" w:eastAsia="Arial" w:hAnsi="Arial"/>
          <w:sz w:val="15"/>
          <w:szCs w:val="15"/>
          <w:color w:val="auto"/>
        </w:rPr>
        <w:t>Stockholder and third-party communications with the board;</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36"/>
        </w:numPr>
        <w:rPr>
          <w:rFonts w:ascii="Arial" w:cs="Arial" w:eastAsia="Arial" w:hAnsi="Arial"/>
          <w:sz w:val="15"/>
          <w:szCs w:val="15"/>
          <w:color w:val="A26F2A"/>
        </w:rPr>
      </w:pPr>
      <w:r>
        <w:rPr>
          <w:rFonts w:ascii="Arial" w:cs="Arial" w:eastAsia="Arial" w:hAnsi="Arial"/>
          <w:sz w:val="15"/>
          <w:szCs w:val="15"/>
          <w:color w:val="auto"/>
        </w:rPr>
        <w:t>Confidentiality;</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36"/>
        </w:numPr>
        <w:rPr>
          <w:rFonts w:ascii="Arial" w:cs="Arial" w:eastAsia="Arial" w:hAnsi="Arial"/>
          <w:sz w:val="15"/>
          <w:szCs w:val="15"/>
          <w:color w:val="A26F2A"/>
        </w:rPr>
      </w:pPr>
      <w:r>
        <w:rPr>
          <w:rFonts w:ascii="Arial" w:cs="Arial" w:eastAsia="Arial" w:hAnsi="Arial"/>
          <w:sz w:val="15"/>
          <w:szCs w:val="15"/>
          <w:color w:val="auto"/>
        </w:rPr>
        <w:t>Stock Ownership and Retention;</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36"/>
        </w:numPr>
        <w:rPr>
          <w:rFonts w:ascii="Arial" w:cs="Arial" w:eastAsia="Arial" w:hAnsi="Arial"/>
          <w:sz w:val="15"/>
          <w:szCs w:val="15"/>
          <w:color w:val="A26F2A"/>
        </w:rPr>
      </w:pPr>
      <w:r>
        <w:rPr>
          <w:rFonts w:ascii="Arial" w:cs="Arial" w:eastAsia="Arial" w:hAnsi="Arial"/>
          <w:sz w:val="15"/>
          <w:szCs w:val="15"/>
          <w:color w:val="auto"/>
        </w:rPr>
        <w:t>Code of Business Conduct and Ethics;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36"/>
        </w:numPr>
        <w:rPr>
          <w:rFonts w:ascii="Arial" w:cs="Arial" w:eastAsia="Arial" w:hAnsi="Arial"/>
          <w:sz w:val="15"/>
          <w:szCs w:val="15"/>
          <w:color w:val="A26F2A"/>
        </w:rPr>
      </w:pPr>
      <w:r>
        <w:rPr>
          <w:rFonts w:ascii="Arial" w:cs="Arial" w:eastAsia="Arial" w:hAnsi="Arial"/>
          <w:sz w:val="15"/>
          <w:szCs w:val="15"/>
          <w:color w:val="auto"/>
        </w:rPr>
        <w:t>Conflicts of interest; and</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36"/>
        </w:numPr>
        <w:rPr>
          <w:rFonts w:ascii="Arial" w:cs="Arial" w:eastAsia="Arial" w:hAnsi="Arial"/>
          <w:sz w:val="15"/>
          <w:szCs w:val="15"/>
          <w:color w:val="A26F2A"/>
        </w:rPr>
      </w:pPr>
      <w:r>
        <w:rPr>
          <w:rFonts w:ascii="Arial" w:cs="Arial" w:eastAsia="Arial" w:hAnsi="Arial"/>
          <w:sz w:val="15"/>
          <w:szCs w:val="15"/>
          <w:color w:val="auto"/>
        </w:rPr>
        <w:t>Prohibition on loans to directors and executive officers.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Corporate Governance Guidelines can be found on our website at www.diamondbackenergy.com under the “Investors—Corporate Governance” caption. You may also obtain copies of the Corporate Governance Guidelines, at no charge to you, by writing to Corporate Secretary, Diamondback Energy, Inc., 500 West Texas Ave, Suite 100, Midland, TX 79701.</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Limits on Board Service and Audit Committee Service</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Our Corporate Governance Guidelines establish the following limits on our directors serving on public company boards and audit committees: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540" w:type="dxa"/>
            <w:vAlign w:val="bottom"/>
          </w:tcPr>
          <w:p>
            <w:pPr>
              <w:spacing w:after="0"/>
              <w:rPr>
                <w:sz w:val="15"/>
                <w:szCs w:val="15"/>
                <w:color w:val="auto"/>
              </w:rPr>
            </w:pPr>
          </w:p>
        </w:tc>
        <w:tc>
          <w:tcPr>
            <w:tcW w:w="5700" w:type="dxa"/>
            <w:vAlign w:val="bottom"/>
          </w:tcPr>
          <w:p>
            <w:pPr>
              <w:jc w:val="right"/>
              <w:spacing w:after="0"/>
              <w:rPr>
                <w:sz w:val="20"/>
                <w:szCs w:val="20"/>
                <w:color w:val="auto"/>
              </w:rPr>
            </w:pPr>
            <w:r>
              <w:rPr>
                <w:rFonts w:ascii="Arial" w:cs="Arial" w:eastAsia="Arial" w:hAnsi="Arial"/>
                <w:sz w:val="15"/>
                <w:szCs w:val="15"/>
                <w:b w:val="1"/>
                <w:bCs w:val="1"/>
                <w:color w:val="auto"/>
              </w:rPr>
              <w:t>Limits on Public Company Boards and</w:t>
            </w:r>
          </w:p>
        </w:tc>
      </w:tr>
      <w:tr>
        <w:trPr>
          <w:trHeight w:val="194"/>
        </w:trPr>
        <w:tc>
          <w:tcPr>
            <w:tcW w:w="554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Director Category</w:t>
            </w:r>
          </w:p>
        </w:tc>
        <w:tc>
          <w:tcPr>
            <w:tcW w:w="5700" w:type="dxa"/>
            <w:vAlign w:val="bottom"/>
            <w:tcBorders>
              <w:bottom w:val="single" w:sz="8" w:color="A26F2A"/>
            </w:tcBorders>
          </w:tcPr>
          <w:p>
            <w:pPr>
              <w:jc w:val="right"/>
              <w:spacing w:after="0"/>
              <w:rPr>
                <w:sz w:val="20"/>
                <w:szCs w:val="20"/>
                <w:color w:val="auto"/>
              </w:rPr>
            </w:pPr>
            <w:r>
              <w:rPr>
                <w:rFonts w:ascii="Arial" w:cs="Arial" w:eastAsia="Arial" w:hAnsi="Arial"/>
                <w:sz w:val="15"/>
                <w:szCs w:val="15"/>
                <w:b w:val="1"/>
                <w:bCs w:val="1"/>
                <w:color w:val="auto"/>
              </w:rPr>
              <w:t>Audit Committee Service, including Diamondback</w:t>
            </w:r>
          </w:p>
        </w:tc>
      </w:tr>
      <w:tr>
        <w:trPr>
          <w:trHeight w:val="199"/>
        </w:trPr>
        <w:tc>
          <w:tcPr>
            <w:tcW w:w="5540" w:type="dxa"/>
            <w:vAlign w:val="bottom"/>
          </w:tcPr>
          <w:p>
            <w:pPr>
              <w:ind w:left="60"/>
              <w:spacing w:after="0"/>
              <w:rPr>
                <w:sz w:val="20"/>
                <w:szCs w:val="20"/>
                <w:color w:val="auto"/>
              </w:rPr>
            </w:pPr>
            <w:r>
              <w:rPr>
                <w:rFonts w:ascii="Arial" w:cs="Arial" w:eastAsia="Arial" w:hAnsi="Arial"/>
                <w:sz w:val="15"/>
                <w:szCs w:val="15"/>
                <w:color w:val="auto"/>
              </w:rPr>
              <w:t>All Directors</w:t>
            </w:r>
          </w:p>
        </w:tc>
        <w:tc>
          <w:tcPr>
            <w:tcW w:w="5700" w:type="dxa"/>
            <w:vAlign w:val="bottom"/>
          </w:tcPr>
          <w:p>
            <w:pPr>
              <w:jc w:val="right"/>
              <w:spacing w:after="0"/>
              <w:rPr>
                <w:sz w:val="20"/>
                <w:szCs w:val="20"/>
                <w:color w:val="auto"/>
              </w:rPr>
            </w:pPr>
            <w:r>
              <w:rPr>
                <w:rFonts w:ascii="Arial" w:cs="Arial" w:eastAsia="Arial" w:hAnsi="Arial"/>
                <w:sz w:val="15"/>
                <w:szCs w:val="15"/>
                <w:color w:val="auto"/>
              </w:rPr>
              <w:t>Four Boards</w:t>
            </w:r>
          </w:p>
        </w:tc>
      </w:tr>
      <w:tr>
        <w:trPr>
          <w:trHeight w:val="240"/>
        </w:trPr>
        <w:tc>
          <w:tcPr>
            <w:tcW w:w="5540" w:type="dxa"/>
            <w:vAlign w:val="bottom"/>
          </w:tcPr>
          <w:p>
            <w:pPr>
              <w:ind w:left="60"/>
              <w:spacing w:after="0"/>
              <w:rPr>
                <w:sz w:val="20"/>
                <w:szCs w:val="20"/>
                <w:color w:val="auto"/>
              </w:rPr>
            </w:pPr>
            <w:r>
              <w:rPr>
                <w:rFonts w:ascii="Arial" w:cs="Arial" w:eastAsia="Arial" w:hAnsi="Arial"/>
                <w:sz w:val="15"/>
                <w:szCs w:val="15"/>
                <w:color w:val="auto"/>
              </w:rPr>
              <w:t>Directors Who Serve as CEO of a Public Company</w:t>
            </w:r>
          </w:p>
        </w:tc>
        <w:tc>
          <w:tcPr>
            <w:tcW w:w="5700" w:type="dxa"/>
            <w:vAlign w:val="bottom"/>
          </w:tcPr>
          <w:p>
            <w:pPr>
              <w:jc w:val="right"/>
              <w:spacing w:after="0"/>
              <w:rPr>
                <w:sz w:val="20"/>
                <w:szCs w:val="20"/>
                <w:color w:val="auto"/>
              </w:rPr>
            </w:pPr>
            <w:r>
              <w:rPr>
                <w:rFonts w:ascii="Arial" w:cs="Arial" w:eastAsia="Arial" w:hAnsi="Arial"/>
                <w:sz w:val="15"/>
                <w:szCs w:val="15"/>
                <w:color w:val="auto"/>
              </w:rPr>
              <w:t>Two Boards</w:t>
            </w:r>
          </w:p>
        </w:tc>
      </w:tr>
      <w:tr>
        <w:trPr>
          <w:trHeight w:val="242"/>
        </w:trPr>
        <w:tc>
          <w:tcPr>
            <w:tcW w:w="5540" w:type="dxa"/>
            <w:vAlign w:val="bottom"/>
            <w:tcBorders>
              <w:bottom w:val="single" w:sz="8" w:color="A26F2A"/>
            </w:tcBorders>
          </w:tcPr>
          <w:p>
            <w:pPr>
              <w:ind w:left="60"/>
              <w:spacing w:after="0"/>
              <w:rPr>
                <w:sz w:val="20"/>
                <w:szCs w:val="20"/>
                <w:color w:val="auto"/>
              </w:rPr>
            </w:pPr>
            <w:r>
              <w:rPr>
                <w:rFonts w:ascii="Arial" w:cs="Arial" w:eastAsia="Arial" w:hAnsi="Arial"/>
                <w:sz w:val="15"/>
                <w:szCs w:val="15"/>
                <w:color w:val="auto"/>
              </w:rPr>
              <w:t>Directors Who Serve on Audit Committees</w:t>
            </w:r>
          </w:p>
        </w:tc>
        <w:tc>
          <w:tcPr>
            <w:tcW w:w="570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Three Audit Committees</w:t>
            </w:r>
          </w:p>
        </w:tc>
      </w:tr>
    </w:tbl>
    <w:p>
      <w:pPr>
        <w:spacing w:after="0" w:line="164"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Our Corporate Governance Guidelines provide that prior to accepting an invitation to serve on the board of another public company or other for-profit entity or accepting membership of the audit committee of the board of another public company or other for-profit entity, a director must (i) provide timely notice to the chair of the nominating and corporate governance committee, with a copy to the Chairman of the Board, the Lead Independent Director and the Corporate Secretary, and (ii) obtain approval from the nominating and corporate governance committee based upon its review of the opportunity in light of factors it deems relevant, including possible conflicts of interest, whether the opportunity would create any legal or regulatory issues, or conflict with any of our corporate governance policies, the director’s status as an independent director and any constraints on the director’s time that would detract from the director’s ability to serve the Company. The nominating and corporate governance committee reviews compliance with our director overboarding policy on an annual basis. All directors are currently in compliance with our director overboarding policy related to limits on board service and audit committee service.</w:t>
      </w:r>
    </w:p>
    <w:p>
      <w:pPr>
        <w:spacing w:after="0" w:line="342"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DIRECTOR QUALIFICATIONS AND NOMINATION PROCESS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Skills and Qualifications We Seek in Directors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As provided by the nominating and corporate governance committee’s charter and our Corporate Governance Guidelines, our nominating and corporate governance committee identifies, evaluates and recommends to our board of directors candidates with the goal of creating a balance of knowledge, experience and diversity.</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It is our policy that potential directors should possess the highest personal and professional ethics, integrity and values, and be committed to representing the interests of our stockholders. We also require that the members of our board of directors be able to dedicate the time and resources sufficient to ensure the diligent performance of their duties on our behalf, including attending all meetings of the board of directors and applicable committee meetings. We also require that at least a majority of our directors meet the standards of independence promulgated by Nasdaq and the SEC. For a discussion of the core competencies that each director brings to our board, see “Summary of Director Nominee Core Competencies” above on page 19.</w:t>
      </w:r>
    </w:p>
    <w:p>
      <w:pPr>
        <w:spacing w:after="0" w:line="247"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Board Refreshment and Diversity</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Our nominating and corporate governance committee is committed to continuous improvement and employs a rigorous process to ensure that the composition of the board is diverse, balanced and aligned with the evolving needs of the Company. The board ensures refreshment and continued effectiveness by evaluating the composition of the board on a periodic basis to ensure its composition reflects a range of talents, skills and expertise sufficient to provide sound and prudent guidance with respect to our operations and the interests of our stockholders. In particular, the board seeks to maintain a balance of experience in the areas of accounting and finance, management, leadership and oil and gas related industries as well as other core competencies discussed under “Summary of Director Nominee Core Competencies.”</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Additionally, it is our policy that our nominating and corporate governance committee consider diversity in its evaluation of candidates for board membership. To this end, our board believes that diversity with respect to viewpoint, including such that is held by candidates of different background, thought and tenure on our board (in connection with the consideration of the renomination of an existing director), should be an important factor in board composition. To reflect this policy and to ensure a competitive recruitment process, our nominating and corporate governance committee, in accordance with its charter, seeks to include diverse candidates in all director searches, taking into account diversity of background, thought and tenure on our board (in connection with the consideration of the renomination of an existing director), including by affirmatively instructing any search firm retained to assist the nominating and corporate governance committee in identifying director candidates to seek to include diverse candidates from</w:t>
      </w:r>
    </w:p>
    <w:p>
      <w:pPr>
        <w:spacing w:after="0" w:line="146"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traditional and nontraditional candidate groups. In accordance with its charter, our nominating and corporate governance committee also ensures that diversity considerations are discussed in connection with each potential nominee, as well as on a periodic basis in connection with its periodic review of the composition of the board and the size of the board as a whole.</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As part of our ongoing commitment to expand the range of talents, skills, expertise and backgrounds on our board, we have increased the size of our board of directors to 13 and otherwise engaged in significant board refreshment efforts, enhancing and diversifying the skill set of our board of directors in the areas of risk management across energy and other industries and the government sector, national security and cybersecurity, sustainability and governance, regulatory and legal compliance.</w:t>
      </w: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How We Select our Director Nominees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board is responsible for nominating directors and filling vacancies that may occur between annual meetings, based upon the recommendation of our nominating and corporate governance committee. The nominating and corporate governance committee considers the Company’s current needs and long-term and strategic plans to determine the skills, experience and characteristics needed by our board. The nominating and corporate governance committee then identifies, considers and recommends director candidates to the board in light of its commitment to board improvement, refreshment and diversity discussed above. Generally, the committee identifies candidates through the business and organizational contacts of our advisors, directors and management team and through the use of third-party search firms.</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nominating and corporate governance committee, in accordance with its charter and our Corporate Governance Guidelines, takes into consideration the key qualifications and skills described above when evaluating candidates. The nominating and corporate governance committee also considers whether potential candidates will likely satisfy independence standards for service on the board and its committees and the number of public boards on which the candidate already serves.</w:t>
      </w:r>
    </w:p>
    <w:p>
      <w:pPr>
        <w:spacing w:after="0" w:line="32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As described above, pursuant to the terms of the Stephens Stockholders Agreement, the Stephens Stockholders currently have the right to designate four individuals to serve on our board of directors. The Stephens Stockholders have designated Darin G. Holderness, Charles A. Meloy, Robert K. Reeves and Lance W. Robertson to serve on our board of directors. These directors were elected at the 2025 Annual Meeting and have been nominated to continue to serve if elected at the 2026 Annual Meeting.</w:t>
      </w:r>
    </w:p>
    <w:p>
      <w:pPr>
        <w:spacing w:after="0" w:line="245"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Stockholder Nomination of Candidates and Proxy Access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Under the Company’s bylaws, we provide proxy access, permitting a stockholder, or a group of up to 20 eligible stockholders, that has continuously owned for no less than three years at least 3% of our outstanding common stock, to nominate and include in our proxy materials up to the greater of two directors and 20% of the number of directors currently serving on the Company’s board, provided that the stockholder(s) and the nominee(s) satisfy the requirements specified in our bylaws.</w:t>
      </w:r>
    </w:p>
    <w:p>
      <w:pPr>
        <w:spacing w:after="0" w:line="13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Stockholders who wish to submit a director nomination proposal, but who do not wish to have such nomination included in the Company’s proxy materials, must notify the Company in writing of the information required by the provisions of our bylaws dealing with such stockholder proposals.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See “Submission of Future Stockholder Proposals” on page 99 for additional detail and deadlines regarding submitting director nominees.</w:t>
      </w:r>
    </w:p>
    <w:p>
      <w:pPr>
        <w:spacing w:after="0" w:line="284"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Majority Voting</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To be elected in uncontested elections such as this one, a director must receive a majority of the votes cast with respect to that director at the meeting. Our bylaws and Corporate Governance Guidelines provide that if the number of shares voted “</w:t>
      </w:r>
      <w:r>
        <w:rPr>
          <w:rFonts w:ascii="Arial" w:cs="Arial" w:eastAsia="Arial" w:hAnsi="Arial"/>
          <w:sz w:val="15"/>
          <w:szCs w:val="15"/>
          <w:b w:val="1"/>
          <w:bCs w:val="1"/>
          <w:color w:val="A26F2A"/>
        </w:rPr>
        <w:t>FOR</w:t>
      </w:r>
      <w:r>
        <w:rPr>
          <w:rFonts w:ascii="Arial" w:cs="Arial" w:eastAsia="Arial" w:hAnsi="Arial"/>
          <w:sz w:val="15"/>
          <w:szCs w:val="15"/>
          <w:color w:val="auto"/>
        </w:rPr>
        <w:t>” a nominee who is serving as a director (an incumbent) does not exceed the votes cast “</w:t>
      </w:r>
      <w:r>
        <w:rPr>
          <w:rFonts w:ascii="Arial" w:cs="Arial" w:eastAsia="Arial" w:hAnsi="Arial"/>
          <w:sz w:val="15"/>
          <w:szCs w:val="15"/>
          <w:b w:val="1"/>
          <w:bCs w:val="1"/>
          <w:color w:val="A26F2A"/>
        </w:rPr>
        <w:t>AGAINST</w:t>
      </w:r>
      <w:r>
        <w:rPr>
          <w:rFonts w:ascii="Arial" w:cs="Arial" w:eastAsia="Arial" w:hAnsi="Arial"/>
          <w:sz w:val="15"/>
          <w:szCs w:val="15"/>
          <w:color w:val="auto"/>
        </w:rPr>
        <w:t>” that director, he or she will tender his or her resignation to the board. The board will evaluate whether to accept or reject such resignation, or whether other action should be taken. Within 90 days of the certification of the stockholder vote, the board is required to decide whether to accept the resignation and publicly disclose its decision, and if applicable, the rationale for the decision.</w:t>
      </w:r>
    </w:p>
    <w:p>
      <w:pPr>
        <w:spacing w:after="0" w:line="14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DIRECTOR INDEPENDENCE</w:t>
      </w:r>
    </w:p>
    <w:p>
      <w:pPr>
        <w:spacing w:after="0" w:line="31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Corporate Governance Guidelines provide that a majority of the board of directors must be “independent” in accordance with Nasdaq listing standards. Our board of directors has determined that each of our director nominees, except for Travis D. Stice, Charles A. Meloy and Kaes Van’t Hof, meets the standards regarding independence set forth in the Nasdaq listing standards and the applicable SEC rules and is free of any relationship which, in the opinion of our board of directors, would interfere with the exercise of independent judgment in carrying out their responsibilities as directors of the Company. As a result, 10 out of 13 of our director nominees are independent under the Nasdaq listing standards.</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Our board of directors has determined that each current member of the audit committee is independent for purposes of serving on such committee under the Nasdaq listing standards and the applicable SEC rules. In addition, our board of directors has determined that each current member of the audit committee is financially literate under the Nasdaq listing standards and that each of Mr. Plaumann, Mr. Holderness, and Ms. Mains qualifies as an “audit committee financial expert,” as such term is defined in Item 407(d) of Regulation S-K. The audit committee consists of five independent directors and has three audit committee financial experts.</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board of directors has also determined that each member of the compensation committee and the nominating and corporate governance committee meets the independence requirements applicable to those committees under the Nasdaq rules. In addition, our board of directors determined that each member of our compensation committee is a “non-employee director” in accordance with Rule 16b-3 under the Securities Exchange Act of 1934, as amended (the “Exchange Act”).</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Although Nasdaq does not set independence standards for the safety, sustainability and corporate responsibility committee, our board of directors values the importance of independence of each board committee, and 3 of the 4 directors who serve on our safety, sustainability and corporate responsibility committee are independent directors.</w:t>
      </w: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Executive Sessions of Independent Directors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independent directors have the opportunity to meet in an executive session following each regularly scheduled meeting of the board of directors and its committees. Ms. Trent, our Lead Independent Director, presides over executive sessions of the board of directors, and the committee chairs, each of whom is independent, preside over executive sessions of the committees. Our independent directors met in an executive session twelve times in 2025.</w:t>
      </w:r>
    </w:p>
    <w:p>
      <w:pPr>
        <w:spacing w:after="0" w:line="333"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BOARD LEADERSHIP STRUCTURE</w:t>
      </w:r>
    </w:p>
    <w:p>
      <w:pPr>
        <w:spacing w:after="0" w:line="315"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In February 2022, Mr. Stice assumed the role of Chairman of the Board. In February 2025, the Company announced a leadership transition plan, pursuant to which Mr. Stice stepped down as Chief Executive Officer at the conclusion of the 2025 Annual Meeting, after leading the Company as Chief Executive Officer since January 2012 and joining the board of directors in November 2012 following the Company’s initial public offering. Mr. Stice transitioned to Executive Chairman of the Board, and Kaes Van’t Hof, then President of the Company, succeeded Mr. Stice as Chief Executive Officer. Following the 2026 Annual Meeting, Mr. Stice will transition from the Executive Chairman of the Board to the non-executive Chairman of the Board. In accordance with our Corporate Governance Guidelines, if the Chairman of the Board is otherwise not independent under Nasdaq listing standards, our board of directors is required to designate a Lead Independent Director to complement the Chairman of the Board’s role and to serve as the principal liaison between our independent directors and the Chairman of the Board. In February 2022, our board of directors enhanced the role of our current Lead Independent Director, Ms. Trent, to provide effective independent leadership to our board of directors through her clearly defined and robust set of responsibilities, which include the following:</w:t>
      </w:r>
    </w:p>
    <w:p>
      <w:pPr>
        <w:spacing w:after="0" w:line="150" w:lineRule="exact"/>
        <w:rPr>
          <w:sz w:val="20"/>
          <w:szCs w:val="20"/>
          <w:color w:val="auto"/>
        </w:rPr>
      </w:pPr>
    </w:p>
    <w:p>
      <w:pPr>
        <w:ind w:left="160" w:hanging="159"/>
        <w:spacing w:after="0"/>
        <w:tabs>
          <w:tab w:leader="none" w:pos="160" w:val="left"/>
        </w:tabs>
        <w:numPr>
          <w:ilvl w:val="0"/>
          <w:numId w:val="40"/>
        </w:numPr>
        <w:rPr>
          <w:rFonts w:ascii="Arial" w:cs="Arial" w:eastAsia="Arial" w:hAnsi="Arial"/>
          <w:sz w:val="15"/>
          <w:szCs w:val="15"/>
          <w:color w:val="A26F2A"/>
        </w:rPr>
      </w:pPr>
      <w:r>
        <w:rPr>
          <w:rFonts w:ascii="Arial" w:cs="Arial" w:eastAsia="Arial" w:hAnsi="Arial"/>
          <w:sz w:val="15"/>
          <w:szCs w:val="15"/>
          <w:color w:val="auto"/>
        </w:rPr>
        <w:t>the authority to preside at all meetings of our board at which the Chairman of the Board is not present;</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40"/>
        </w:numPr>
        <w:rPr>
          <w:rFonts w:ascii="Arial" w:cs="Arial" w:eastAsia="Arial" w:hAnsi="Arial"/>
          <w:sz w:val="15"/>
          <w:szCs w:val="15"/>
          <w:color w:val="A26F2A"/>
        </w:rPr>
      </w:pPr>
      <w:r>
        <w:rPr>
          <w:rFonts w:ascii="Arial" w:cs="Arial" w:eastAsia="Arial" w:hAnsi="Arial"/>
          <w:sz w:val="15"/>
          <w:szCs w:val="15"/>
          <w:color w:val="auto"/>
        </w:rPr>
        <w:t>the authority to call meetings of the independent directors, and chair all meetings of the independent directors, including executive sessions;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40"/>
        </w:numPr>
        <w:rPr>
          <w:rFonts w:ascii="Arial" w:cs="Arial" w:eastAsia="Arial" w:hAnsi="Arial"/>
          <w:sz w:val="15"/>
          <w:szCs w:val="15"/>
          <w:color w:val="A26F2A"/>
        </w:rPr>
      </w:pPr>
      <w:r>
        <w:rPr>
          <w:rFonts w:ascii="Arial" w:cs="Arial" w:eastAsia="Arial" w:hAnsi="Arial"/>
          <w:sz w:val="15"/>
          <w:szCs w:val="15"/>
          <w:color w:val="auto"/>
        </w:rPr>
        <w:t>serving as the primary liaison between the Chairman of the Board and our independent directors;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40"/>
        </w:numPr>
        <w:rPr>
          <w:rFonts w:ascii="Arial" w:cs="Arial" w:eastAsia="Arial" w:hAnsi="Arial"/>
          <w:sz w:val="15"/>
          <w:szCs w:val="15"/>
          <w:color w:val="A26F2A"/>
        </w:rPr>
      </w:pPr>
      <w:r>
        <w:rPr>
          <w:rFonts w:ascii="Arial" w:cs="Arial" w:eastAsia="Arial" w:hAnsi="Arial"/>
          <w:sz w:val="15"/>
          <w:szCs w:val="15"/>
          <w:color w:val="auto"/>
        </w:rPr>
        <w:t>coordinating the annual performance reviews of the Chairman of the Board and Chief Executive Officer;</w:t>
      </w:r>
    </w:p>
    <w:p>
      <w:pPr>
        <w:spacing w:after="0" w:line="79"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40"/>
        </w:numPr>
        <w:rPr>
          <w:rFonts w:ascii="Arial" w:cs="Arial" w:eastAsia="Arial" w:hAnsi="Arial"/>
          <w:sz w:val="15"/>
          <w:szCs w:val="15"/>
          <w:color w:val="A26F2A"/>
        </w:rPr>
      </w:pPr>
      <w:r>
        <w:rPr>
          <w:rFonts w:ascii="Arial" w:cs="Arial" w:eastAsia="Arial" w:hAnsi="Arial"/>
          <w:sz w:val="15"/>
          <w:szCs w:val="15"/>
          <w:color w:val="auto"/>
        </w:rPr>
        <w:t>providing input with respect to meeting schedules, agendas and the information furnished to our board to ensure our board has adequate time and information for discussion;</w:t>
      </w:r>
    </w:p>
    <w:p>
      <w:pPr>
        <w:spacing w:after="0" w:line="23" w:lineRule="exact"/>
        <w:rPr>
          <w:rFonts w:ascii="Arial" w:cs="Arial" w:eastAsia="Arial" w:hAnsi="Arial"/>
          <w:sz w:val="15"/>
          <w:szCs w:val="15"/>
          <w:color w:val="A26F2A"/>
        </w:rPr>
      </w:pPr>
    </w:p>
    <w:p>
      <w:pPr>
        <w:ind w:left="160" w:hanging="159"/>
        <w:spacing w:after="0"/>
        <w:tabs>
          <w:tab w:leader="none" w:pos="160" w:val="left"/>
        </w:tabs>
        <w:numPr>
          <w:ilvl w:val="0"/>
          <w:numId w:val="40"/>
        </w:numPr>
        <w:rPr>
          <w:rFonts w:ascii="Arial" w:cs="Arial" w:eastAsia="Arial" w:hAnsi="Arial"/>
          <w:sz w:val="15"/>
          <w:szCs w:val="15"/>
          <w:color w:val="A26F2A"/>
        </w:rPr>
      </w:pPr>
      <w:r>
        <w:rPr>
          <w:rFonts w:ascii="Arial" w:cs="Arial" w:eastAsia="Arial" w:hAnsi="Arial"/>
          <w:sz w:val="15"/>
          <w:szCs w:val="15"/>
          <w:color w:val="auto"/>
        </w:rPr>
        <w:t>being available for consultation and direct communication with major stockholders, as appropriate; and</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40"/>
        </w:numPr>
        <w:rPr>
          <w:rFonts w:ascii="Arial" w:cs="Arial" w:eastAsia="Arial" w:hAnsi="Arial"/>
          <w:sz w:val="15"/>
          <w:szCs w:val="15"/>
          <w:color w:val="A26F2A"/>
        </w:rPr>
      </w:pPr>
      <w:r>
        <w:rPr>
          <w:rFonts w:ascii="Arial" w:cs="Arial" w:eastAsia="Arial" w:hAnsi="Arial"/>
          <w:sz w:val="15"/>
          <w:szCs w:val="15"/>
          <w:color w:val="auto"/>
        </w:rPr>
        <w:t>having such other duties as may be from time to time designated by our board.</w:t>
      </w:r>
    </w:p>
    <w:p>
      <w:pPr>
        <w:spacing w:after="0" w:line="18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Our board of directors believes that its current leadership structure, as well as the leadership structure that will be in place immediately following the 2026 Annual Meeting, best serves the interests of our stockholders because it provides an appropriate balance between strategy development and independent oversight of management. Our board of directors regularly reevaluates the board’s leadership structure as part of its evaluation and refreshment process and also considers stockholder feedback on the topic.</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believe that our directors bring a broad range of leadership experience to the boardroom and regularly contribute to the thoughtful discussion involved in effectively overseeing the business and affairs of the Company. In addition, we believe that the atmosphere of our board is collegial, that all board members are well engaged in their responsibilities and that all board members express their views and consider the opinions expressed by other directors.</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We also believe that all of our independent directors have demonstrated leadership in business enterprises and other large organizations and are familiar with board processes. Our independent directors are involved in the leadership structure of our board by serving on our audit, compensation, nominating and corporate governance, or safety, sustainability and corporate responsibility committees, each having a separate independent chair. Specifically, the chair of our audit committee oversees the accounting and financial reporting processes, compliance with legal and regulatory requirements and our cybersecurity strategy. The chair of our compensation committee oversees the annual performance evaluation of our Chief Executive Officer and our compensation policies and practices and their impact on risk and risk management. The chair of our nominating and corporate governance committee monitors matters such as the composition of the board and its committees, board performance and best practices in corporate governance. The chair of our safety, sustainability and corporate responsibility committee provides leadership with respect to best practices in the areas of environmental, safety, human capital, sustainability and corporate and social responsibility. As such, each committee chair provides independent leadership for purposes of many important functions delegated by our board of directors to such committee.</w:t>
      </w:r>
    </w:p>
    <w:p>
      <w:pPr>
        <w:spacing w:after="0" w:line="15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BOARD MEETINGS, COMMITTEES AND MEMBERSHIP</w:t>
      </w:r>
    </w:p>
    <w:p>
      <w:pPr>
        <w:spacing w:after="0" w:line="31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2025, our board of directors met 11 times, in person or, remotely via electronic or telephonic means. In addition to these meetings, the board of directors adopted resolutions by unanimous written consent. In 2025, each director attended at least 90% of the meetings of the board of directors and the meetings of the committees on which he or she served. To the extent a director was unable to attend a meeting in 2025, he or she met telephonically with members of senior management to receive a report regarding the materials reviewed at the meeting.</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Recognizing that director attendance at our annual meeting can provide our stockholders with an opportunity to communicate with directors about issues affecting the Company, we actively encourage our directors to attend the annual meeting of stockholders. All then-director nominees attended our 2025 Annual Meeting in person.</w:t>
      </w:r>
    </w:p>
    <w:p>
      <w:pPr>
        <w:spacing w:after="0" w:line="228"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Board Committee Membership</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shows the membership of each of the board’s committees, as well as information about each committee’s principal functions.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Number of</w:t>
            </w:r>
          </w:p>
        </w:tc>
      </w:tr>
      <w:tr>
        <w:trPr>
          <w:trHeight w:val="177"/>
        </w:trPr>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Meetings in</w:t>
            </w:r>
          </w:p>
        </w:tc>
      </w:tr>
      <w:tr>
        <w:trPr>
          <w:trHeight w:val="194"/>
        </w:trPr>
        <w:tc>
          <w:tcPr>
            <w:tcW w:w="166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Members</w:t>
            </w:r>
          </w:p>
        </w:tc>
        <w:tc>
          <w:tcPr>
            <w:tcW w:w="8580" w:type="dxa"/>
            <w:vAlign w:val="bottom"/>
            <w:tcBorders>
              <w:bottom w:val="single" w:sz="8" w:color="A26F2A"/>
            </w:tcBorders>
            <w:gridSpan w:val="2"/>
          </w:tcPr>
          <w:p>
            <w:pPr>
              <w:ind w:left="120"/>
              <w:spacing w:after="0"/>
              <w:rPr>
                <w:sz w:val="20"/>
                <w:szCs w:val="20"/>
                <w:color w:val="auto"/>
              </w:rPr>
            </w:pPr>
            <w:r>
              <w:rPr>
                <w:rFonts w:ascii="Arial" w:cs="Arial" w:eastAsia="Arial" w:hAnsi="Arial"/>
                <w:sz w:val="15"/>
                <w:szCs w:val="15"/>
                <w:b w:val="1"/>
                <w:bCs w:val="1"/>
                <w:color w:val="auto"/>
              </w:rPr>
              <w:t>Principal Functions</w:t>
            </w:r>
          </w:p>
        </w:tc>
        <w:tc>
          <w:tcPr>
            <w:tcW w:w="1000" w:type="dxa"/>
            <w:vAlign w:val="bottom"/>
            <w:tcBorders>
              <w:bottom w:val="single" w:sz="8" w:color="A26F2A"/>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164"/>
        </w:trPr>
        <w:tc>
          <w:tcPr>
            <w:tcW w:w="1660" w:type="dxa"/>
            <w:vAlign w:val="bottom"/>
          </w:tcPr>
          <w:p>
            <w:pPr>
              <w:ind w:left="60"/>
              <w:spacing w:after="0" w:line="164" w:lineRule="exact"/>
              <w:rPr>
                <w:sz w:val="20"/>
                <w:szCs w:val="20"/>
                <w:color w:val="auto"/>
              </w:rPr>
            </w:pPr>
            <w:r>
              <w:rPr>
                <w:rFonts w:ascii="Arial" w:cs="Arial" w:eastAsia="Arial" w:hAnsi="Arial"/>
                <w:sz w:val="15"/>
                <w:szCs w:val="15"/>
                <w:color w:val="auto"/>
              </w:rPr>
              <w:t>Stephanie K Mains*</w:t>
            </w:r>
          </w:p>
        </w:tc>
        <w:tc>
          <w:tcPr>
            <w:tcW w:w="220" w:type="dxa"/>
            <w:vAlign w:val="bottom"/>
          </w:tcPr>
          <w:p>
            <w:pPr>
              <w:ind w:left="120"/>
              <w:spacing w:after="0" w:line="164" w:lineRule="exact"/>
              <w:rPr>
                <w:sz w:val="20"/>
                <w:szCs w:val="20"/>
                <w:color w:val="auto"/>
              </w:rPr>
            </w:pPr>
            <w:r>
              <w:rPr>
                <w:rFonts w:ascii="Arial" w:cs="Arial" w:eastAsia="Arial" w:hAnsi="Arial"/>
                <w:sz w:val="15"/>
                <w:szCs w:val="15"/>
                <w:color w:val="A26F2A"/>
              </w:rPr>
              <w:t>•</w:t>
            </w:r>
          </w:p>
        </w:tc>
        <w:tc>
          <w:tcPr>
            <w:tcW w:w="8360" w:type="dxa"/>
            <w:vAlign w:val="bottom"/>
          </w:tcPr>
          <w:p>
            <w:pPr>
              <w:ind w:left="60"/>
              <w:spacing w:after="0" w:line="164" w:lineRule="exact"/>
              <w:rPr>
                <w:sz w:val="20"/>
                <w:szCs w:val="20"/>
                <w:color w:val="auto"/>
              </w:rPr>
            </w:pPr>
            <w:r>
              <w:rPr>
                <w:rFonts w:ascii="Arial" w:cs="Arial" w:eastAsia="Arial" w:hAnsi="Arial"/>
                <w:sz w:val="15"/>
                <w:szCs w:val="15"/>
                <w:color w:val="auto"/>
              </w:rPr>
              <w:t>Reviews and discusses with management, the Company’s independent auditor and the Company’s independent</w:t>
            </w:r>
          </w:p>
        </w:tc>
        <w:tc>
          <w:tcPr>
            <w:tcW w:w="1000" w:type="dxa"/>
            <w:vAlign w:val="bottom"/>
          </w:tcPr>
          <w:p>
            <w:pPr>
              <w:jc w:val="right"/>
              <w:spacing w:after="0" w:line="164" w:lineRule="exact"/>
              <w:rPr>
                <w:sz w:val="20"/>
                <w:szCs w:val="20"/>
                <w:color w:val="auto"/>
              </w:rPr>
            </w:pPr>
            <w:r>
              <w:rPr>
                <w:rFonts w:ascii="Arial" w:cs="Arial" w:eastAsia="Arial" w:hAnsi="Arial"/>
                <w:sz w:val="15"/>
                <w:szCs w:val="15"/>
                <w:color w:val="auto"/>
              </w:rPr>
              <w:t>Four</w:t>
            </w:r>
          </w:p>
        </w:tc>
      </w:tr>
      <w:tr>
        <w:trPr>
          <w:trHeight w:val="177"/>
        </w:trPr>
        <w:tc>
          <w:tcPr>
            <w:tcW w:w="1660" w:type="dxa"/>
            <w:vAlign w:val="bottom"/>
          </w:tcPr>
          <w:p>
            <w:pPr>
              <w:ind w:left="60"/>
              <w:spacing w:after="0"/>
              <w:rPr>
                <w:sz w:val="20"/>
                <w:szCs w:val="20"/>
                <w:color w:val="auto"/>
              </w:rPr>
            </w:pPr>
            <w:r>
              <w:rPr>
                <w:rFonts w:ascii="Arial" w:cs="Arial" w:eastAsia="Arial" w:hAnsi="Arial"/>
                <w:sz w:val="15"/>
                <w:szCs w:val="15"/>
                <w:color w:val="auto"/>
              </w:rPr>
              <w:t>Vincent K. Brooks</w:t>
            </w:r>
          </w:p>
        </w:tc>
        <w:tc>
          <w:tcPr>
            <w:tcW w:w="220" w:type="dxa"/>
            <w:vAlign w:val="bottom"/>
          </w:tcPr>
          <w:p>
            <w:pPr>
              <w:spacing w:after="0"/>
              <w:rPr>
                <w:sz w:val="15"/>
                <w:szCs w:val="15"/>
                <w:color w:val="auto"/>
              </w:rPr>
            </w:pPr>
          </w:p>
        </w:tc>
        <w:tc>
          <w:tcPr>
            <w:tcW w:w="8360" w:type="dxa"/>
            <w:vAlign w:val="bottom"/>
          </w:tcPr>
          <w:p>
            <w:pPr>
              <w:ind w:left="60"/>
              <w:spacing w:after="0"/>
              <w:rPr>
                <w:sz w:val="20"/>
                <w:szCs w:val="20"/>
                <w:color w:val="auto"/>
              </w:rPr>
            </w:pPr>
            <w:r>
              <w:rPr>
                <w:rFonts w:ascii="Arial" w:cs="Arial" w:eastAsia="Arial" w:hAnsi="Arial"/>
                <w:sz w:val="15"/>
                <w:szCs w:val="15"/>
                <w:color w:val="auto"/>
              </w:rPr>
              <w:t>Sarbanes-Oxley compliance and internal audit advisors, regarding the integrity of our accounting policies, internal</w:t>
            </w:r>
          </w:p>
        </w:tc>
        <w:tc>
          <w:tcPr>
            <w:tcW w:w="1000" w:type="dxa"/>
            <w:vAlign w:val="bottom"/>
          </w:tcPr>
          <w:p>
            <w:pPr>
              <w:spacing w:after="0"/>
              <w:rPr>
                <w:sz w:val="15"/>
                <w:szCs w:val="15"/>
                <w:color w:val="auto"/>
              </w:rPr>
            </w:pPr>
          </w:p>
        </w:tc>
      </w:tr>
      <w:tr>
        <w:trPr>
          <w:trHeight w:val="177"/>
        </w:trPr>
        <w:tc>
          <w:tcPr>
            <w:tcW w:w="1660" w:type="dxa"/>
            <w:vAlign w:val="bottom"/>
          </w:tcPr>
          <w:p>
            <w:pPr>
              <w:ind w:left="60"/>
              <w:spacing w:after="0"/>
              <w:rPr>
                <w:sz w:val="20"/>
                <w:szCs w:val="20"/>
                <w:color w:val="auto"/>
              </w:rPr>
            </w:pPr>
            <w:r>
              <w:rPr>
                <w:rFonts w:ascii="Arial" w:cs="Arial" w:eastAsia="Arial" w:hAnsi="Arial"/>
                <w:sz w:val="15"/>
                <w:szCs w:val="15"/>
                <w:color w:val="auto"/>
              </w:rPr>
              <w:t>Darin G. Holderness**</w:t>
            </w:r>
          </w:p>
        </w:tc>
        <w:tc>
          <w:tcPr>
            <w:tcW w:w="220" w:type="dxa"/>
            <w:vAlign w:val="bottom"/>
          </w:tcPr>
          <w:p>
            <w:pPr>
              <w:spacing w:after="0"/>
              <w:rPr>
                <w:sz w:val="15"/>
                <w:szCs w:val="15"/>
                <w:color w:val="auto"/>
              </w:rPr>
            </w:pPr>
          </w:p>
        </w:tc>
        <w:tc>
          <w:tcPr>
            <w:tcW w:w="8360" w:type="dxa"/>
            <w:vAlign w:val="bottom"/>
          </w:tcPr>
          <w:p>
            <w:pPr>
              <w:ind w:left="60"/>
              <w:spacing w:after="0"/>
              <w:rPr>
                <w:sz w:val="20"/>
                <w:szCs w:val="20"/>
                <w:color w:val="auto"/>
              </w:rPr>
            </w:pPr>
            <w:r>
              <w:rPr>
                <w:rFonts w:ascii="Arial" w:cs="Arial" w:eastAsia="Arial" w:hAnsi="Arial"/>
                <w:sz w:val="15"/>
                <w:szCs w:val="15"/>
                <w:color w:val="auto"/>
              </w:rPr>
              <w:t>controls,  financial  statements,  accounting  and  auditing  processes  and  risk  management  compliance,  including</w:t>
            </w:r>
          </w:p>
        </w:tc>
        <w:tc>
          <w:tcPr>
            <w:tcW w:w="1000" w:type="dxa"/>
            <w:vAlign w:val="bottom"/>
          </w:tcPr>
          <w:p>
            <w:pPr>
              <w:spacing w:after="0"/>
              <w:rPr>
                <w:sz w:val="15"/>
                <w:szCs w:val="15"/>
                <w:color w:val="auto"/>
              </w:rPr>
            </w:pPr>
          </w:p>
        </w:tc>
      </w:tr>
      <w:tr>
        <w:trPr>
          <w:trHeight w:val="177"/>
        </w:trPr>
        <w:tc>
          <w:tcPr>
            <w:tcW w:w="1660" w:type="dxa"/>
            <w:vAlign w:val="bottom"/>
          </w:tcPr>
          <w:p>
            <w:pPr>
              <w:ind w:left="60"/>
              <w:spacing w:after="0"/>
              <w:rPr>
                <w:sz w:val="20"/>
                <w:szCs w:val="20"/>
                <w:color w:val="auto"/>
              </w:rPr>
            </w:pPr>
            <w:r>
              <w:rPr>
                <w:rFonts w:ascii="Arial" w:cs="Arial" w:eastAsia="Arial" w:hAnsi="Arial"/>
                <w:sz w:val="15"/>
                <w:szCs w:val="15"/>
                <w:color w:val="auto"/>
              </w:rPr>
              <w:t>Mark L. Plaumann</w:t>
            </w:r>
          </w:p>
        </w:tc>
        <w:tc>
          <w:tcPr>
            <w:tcW w:w="220" w:type="dxa"/>
            <w:vAlign w:val="bottom"/>
          </w:tcPr>
          <w:p>
            <w:pPr>
              <w:spacing w:after="0"/>
              <w:rPr>
                <w:sz w:val="15"/>
                <w:szCs w:val="15"/>
                <w:color w:val="auto"/>
              </w:rPr>
            </w:pPr>
          </w:p>
        </w:tc>
        <w:tc>
          <w:tcPr>
            <w:tcW w:w="8360" w:type="dxa"/>
            <w:vAlign w:val="bottom"/>
          </w:tcPr>
          <w:p>
            <w:pPr>
              <w:ind w:left="60"/>
              <w:spacing w:after="0"/>
              <w:rPr>
                <w:sz w:val="20"/>
                <w:szCs w:val="20"/>
                <w:color w:val="auto"/>
              </w:rPr>
            </w:pPr>
            <w:r>
              <w:rPr>
                <w:rFonts w:ascii="Arial" w:cs="Arial" w:eastAsia="Arial" w:hAnsi="Arial"/>
                <w:sz w:val="15"/>
                <w:szCs w:val="15"/>
                <w:color w:val="auto"/>
              </w:rPr>
              <w:t>cybersecurity risks.</w:t>
            </w:r>
          </w:p>
        </w:tc>
        <w:tc>
          <w:tcPr>
            <w:tcW w:w="1000" w:type="dxa"/>
            <w:vAlign w:val="bottom"/>
          </w:tcPr>
          <w:p>
            <w:pPr>
              <w:spacing w:after="0"/>
              <w:rPr>
                <w:sz w:val="15"/>
                <w:szCs w:val="15"/>
                <w:color w:val="auto"/>
              </w:rPr>
            </w:pPr>
          </w:p>
        </w:tc>
      </w:tr>
      <w:tr>
        <w:trPr>
          <w:trHeight w:val="177"/>
        </w:trPr>
        <w:tc>
          <w:tcPr>
            <w:tcW w:w="1660" w:type="dxa"/>
            <w:vAlign w:val="bottom"/>
          </w:tcPr>
          <w:p>
            <w:pPr>
              <w:ind w:left="60"/>
              <w:spacing w:after="0"/>
              <w:rPr>
                <w:sz w:val="20"/>
                <w:szCs w:val="20"/>
                <w:color w:val="auto"/>
              </w:rPr>
            </w:pPr>
            <w:r>
              <w:rPr>
                <w:rFonts w:ascii="Arial" w:cs="Arial" w:eastAsia="Arial" w:hAnsi="Arial"/>
                <w:sz w:val="15"/>
                <w:szCs w:val="15"/>
                <w:color w:val="auto"/>
              </w:rPr>
              <w:t>Robert K. Reeves</w:t>
            </w:r>
          </w:p>
        </w:tc>
        <w:tc>
          <w:tcPr>
            <w:tcW w:w="220" w:type="dxa"/>
            <w:vAlign w:val="bottom"/>
          </w:tcPr>
          <w:p>
            <w:pPr>
              <w:ind w:left="120"/>
              <w:spacing w:after="0"/>
              <w:rPr>
                <w:sz w:val="20"/>
                <w:szCs w:val="20"/>
                <w:color w:val="auto"/>
              </w:rPr>
            </w:pPr>
            <w:r>
              <w:rPr>
                <w:rFonts w:ascii="Arial" w:cs="Arial" w:eastAsia="Arial" w:hAnsi="Arial"/>
                <w:sz w:val="15"/>
                <w:szCs w:val="15"/>
                <w:color w:val="A26F2A"/>
              </w:rPr>
              <w:t>•</w:t>
            </w:r>
          </w:p>
        </w:tc>
        <w:tc>
          <w:tcPr>
            <w:tcW w:w="8360" w:type="dxa"/>
            <w:vAlign w:val="bottom"/>
          </w:tcPr>
          <w:p>
            <w:pPr>
              <w:ind w:left="60"/>
              <w:spacing w:after="0"/>
              <w:rPr>
                <w:sz w:val="20"/>
                <w:szCs w:val="20"/>
                <w:color w:val="auto"/>
              </w:rPr>
            </w:pPr>
            <w:r>
              <w:rPr>
                <w:rFonts w:ascii="Arial" w:cs="Arial" w:eastAsia="Arial" w:hAnsi="Arial"/>
                <w:sz w:val="15"/>
                <w:szCs w:val="15"/>
                <w:color w:val="auto"/>
              </w:rPr>
              <w:t>Monitors and oversees our accounting, auditing and financial reporting processes generally, including the qualifications,</w:t>
            </w:r>
          </w:p>
        </w:tc>
        <w:tc>
          <w:tcPr>
            <w:tcW w:w="1000" w:type="dxa"/>
            <w:vAlign w:val="bottom"/>
          </w:tcPr>
          <w:p>
            <w:pPr>
              <w:spacing w:after="0"/>
              <w:rPr>
                <w:sz w:val="15"/>
                <w:szCs w:val="15"/>
                <w:color w:val="auto"/>
              </w:rPr>
            </w:pPr>
          </w:p>
        </w:tc>
      </w:tr>
      <w:tr>
        <w:trPr>
          <w:trHeight w:val="177"/>
        </w:trPr>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60" w:type="dxa"/>
            <w:vAlign w:val="bottom"/>
          </w:tcPr>
          <w:p>
            <w:pPr>
              <w:ind w:left="60"/>
              <w:spacing w:after="0"/>
              <w:rPr>
                <w:sz w:val="20"/>
                <w:szCs w:val="20"/>
                <w:color w:val="auto"/>
              </w:rPr>
            </w:pPr>
            <w:r>
              <w:rPr>
                <w:rFonts w:ascii="Arial" w:cs="Arial" w:eastAsia="Arial" w:hAnsi="Arial"/>
                <w:sz w:val="15"/>
                <w:szCs w:val="15"/>
                <w:color w:val="auto"/>
              </w:rPr>
              <w:t>independence and performance of the independent auditor.</w:t>
            </w:r>
          </w:p>
        </w:tc>
        <w:tc>
          <w:tcPr>
            <w:tcW w:w="1000" w:type="dxa"/>
            <w:vAlign w:val="bottom"/>
          </w:tcPr>
          <w:p>
            <w:pPr>
              <w:spacing w:after="0"/>
              <w:rPr>
                <w:sz w:val="15"/>
                <w:szCs w:val="15"/>
                <w:color w:val="auto"/>
              </w:rPr>
            </w:pPr>
          </w:p>
        </w:tc>
      </w:tr>
      <w:tr>
        <w:trPr>
          <w:trHeight w:val="177"/>
        </w:trPr>
        <w:tc>
          <w:tcPr>
            <w:tcW w:w="1660" w:type="dxa"/>
            <w:vAlign w:val="bottom"/>
          </w:tcPr>
          <w:p>
            <w:pPr>
              <w:spacing w:after="0"/>
              <w:rPr>
                <w:sz w:val="15"/>
                <w:szCs w:val="15"/>
                <w:color w:val="auto"/>
              </w:rPr>
            </w:pPr>
          </w:p>
        </w:tc>
        <w:tc>
          <w:tcPr>
            <w:tcW w:w="8580" w:type="dxa"/>
            <w:vAlign w:val="bottom"/>
            <w:gridSpan w:val="2"/>
          </w:tcPr>
          <w:p>
            <w:pPr>
              <w:ind w:left="12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Monitors our compliance with legal and regulatory requirements.</w:t>
            </w:r>
          </w:p>
        </w:tc>
        <w:tc>
          <w:tcPr>
            <w:tcW w:w="1000" w:type="dxa"/>
            <w:vAlign w:val="bottom"/>
          </w:tcPr>
          <w:p>
            <w:pPr>
              <w:spacing w:after="0"/>
              <w:rPr>
                <w:sz w:val="15"/>
                <w:szCs w:val="15"/>
                <w:color w:val="auto"/>
              </w:rPr>
            </w:pPr>
          </w:p>
        </w:tc>
      </w:tr>
      <w:tr>
        <w:trPr>
          <w:trHeight w:val="177"/>
        </w:trPr>
        <w:tc>
          <w:tcPr>
            <w:tcW w:w="1660" w:type="dxa"/>
            <w:vAlign w:val="bottom"/>
          </w:tcPr>
          <w:p>
            <w:pPr>
              <w:spacing w:after="0"/>
              <w:rPr>
                <w:sz w:val="15"/>
                <w:szCs w:val="15"/>
                <w:color w:val="auto"/>
              </w:rPr>
            </w:pPr>
          </w:p>
        </w:tc>
        <w:tc>
          <w:tcPr>
            <w:tcW w:w="220" w:type="dxa"/>
            <w:vAlign w:val="bottom"/>
          </w:tcPr>
          <w:p>
            <w:pPr>
              <w:ind w:left="120"/>
              <w:spacing w:after="0"/>
              <w:rPr>
                <w:sz w:val="20"/>
                <w:szCs w:val="20"/>
                <w:color w:val="auto"/>
              </w:rPr>
            </w:pPr>
            <w:r>
              <w:rPr>
                <w:rFonts w:ascii="Arial" w:cs="Arial" w:eastAsia="Arial" w:hAnsi="Arial"/>
                <w:sz w:val="15"/>
                <w:szCs w:val="15"/>
                <w:color w:val="A26F2A"/>
              </w:rPr>
              <w:t>•</w:t>
            </w:r>
          </w:p>
        </w:tc>
        <w:tc>
          <w:tcPr>
            <w:tcW w:w="8360" w:type="dxa"/>
            <w:vAlign w:val="bottom"/>
          </w:tcPr>
          <w:p>
            <w:pPr>
              <w:ind w:left="60"/>
              <w:spacing w:after="0"/>
              <w:rPr>
                <w:sz w:val="20"/>
                <w:szCs w:val="20"/>
                <w:color w:val="auto"/>
              </w:rPr>
            </w:pPr>
            <w:r>
              <w:rPr>
                <w:rFonts w:ascii="Arial" w:cs="Arial" w:eastAsia="Arial" w:hAnsi="Arial"/>
                <w:sz w:val="15"/>
                <w:szCs w:val="15"/>
                <w:color w:val="auto"/>
              </w:rPr>
              <w:t>Establishes procedures for the receipt, retention and treatment of complaints received by the Company regarding</w:t>
            </w:r>
          </w:p>
        </w:tc>
        <w:tc>
          <w:tcPr>
            <w:tcW w:w="1000" w:type="dxa"/>
            <w:vAlign w:val="bottom"/>
          </w:tcPr>
          <w:p>
            <w:pPr>
              <w:spacing w:after="0"/>
              <w:rPr>
                <w:sz w:val="15"/>
                <w:szCs w:val="15"/>
                <w:color w:val="auto"/>
              </w:rPr>
            </w:pPr>
          </w:p>
        </w:tc>
      </w:tr>
      <w:tr>
        <w:trPr>
          <w:trHeight w:val="177"/>
        </w:trPr>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60" w:type="dxa"/>
            <w:vAlign w:val="bottom"/>
          </w:tcPr>
          <w:p>
            <w:pPr>
              <w:ind w:left="60"/>
              <w:spacing w:after="0"/>
              <w:rPr>
                <w:sz w:val="20"/>
                <w:szCs w:val="20"/>
                <w:color w:val="auto"/>
              </w:rPr>
            </w:pPr>
            <w:r>
              <w:rPr>
                <w:rFonts w:ascii="Arial" w:cs="Arial" w:eastAsia="Arial" w:hAnsi="Arial"/>
                <w:sz w:val="15"/>
                <w:szCs w:val="15"/>
                <w:color w:val="auto"/>
              </w:rPr>
              <w:t>accounting, internal accounting controls or auditing matters, and the confidential, anonymous submission by employees</w:t>
            </w:r>
          </w:p>
        </w:tc>
        <w:tc>
          <w:tcPr>
            <w:tcW w:w="1000" w:type="dxa"/>
            <w:vAlign w:val="bottom"/>
          </w:tcPr>
          <w:p>
            <w:pPr>
              <w:spacing w:after="0"/>
              <w:rPr>
                <w:sz w:val="15"/>
                <w:szCs w:val="15"/>
                <w:color w:val="auto"/>
              </w:rPr>
            </w:pPr>
          </w:p>
        </w:tc>
      </w:tr>
      <w:tr>
        <w:trPr>
          <w:trHeight w:val="177"/>
        </w:trPr>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60" w:type="dxa"/>
            <w:vAlign w:val="bottom"/>
          </w:tcPr>
          <w:p>
            <w:pPr>
              <w:ind w:left="60"/>
              <w:spacing w:after="0"/>
              <w:rPr>
                <w:sz w:val="20"/>
                <w:szCs w:val="20"/>
                <w:color w:val="auto"/>
              </w:rPr>
            </w:pPr>
            <w:r>
              <w:rPr>
                <w:rFonts w:ascii="Arial" w:cs="Arial" w:eastAsia="Arial" w:hAnsi="Arial"/>
                <w:sz w:val="15"/>
                <w:szCs w:val="15"/>
                <w:color w:val="auto"/>
              </w:rPr>
              <w:t>of concerns regarding questionable accounting or auditing matters.</w:t>
            </w:r>
          </w:p>
        </w:tc>
        <w:tc>
          <w:tcPr>
            <w:tcW w:w="1000" w:type="dxa"/>
            <w:vAlign w:val="bottom"/>
          </w:tcPr>
          <w:p>
            <w:pPr>
              <w:spacing w:after="0"/>
              <w:rPr>
                <w:sz w:val="15"/>
                <w:szCs w:val="15"/>
                <w:color w:val="auto"/>
              </w:rPr>
            </w:pPr>
          </w:p>
        </w:tc>
      </w:tr>
      <w:tr>
        <w:trPr>
          <w:trHeight w:val="177"/>
        </w:trPr>
        <w:tc>
          <w:tcPr>
            <w:tcW w:w="1660" w:type="dxa"/>
            <w:vAlign w:val="bottom"/>
          </w:tcPr>
          <w:p>
            <w:pPr>
              <w:spacing w:after="0"/>
              <w:rPr>
                <w:sz w:val="15"/>
                <w:szCs w:val="15"/>
                <w:color w:val="auto"/>
              </w:rPr>
            </w:pPr>
          </w:p>
        </w:tc>
        <w:tc>
          <w:tcPr>
            <w:tcW w:w="8580" w:type="dxa"/>
            <w:vAlign w:val="bottom"/>
            <w:gridSpan w:val="2"/>
          </w:tcPr>
          <w:p>
            <w:pPr>
              <w:ind w:left="12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Reviews and approves related party transactions.</w:t>
            </w:r>
          </w:p>
        </w:tc>
        <w:tc>
          <w:tcPr>
            <w:tcW w:w="1000" w:type="dxa"/>
            <w:vAlign w:val="bottom"/>
          </w:tcPr>
          <w:p>
            <w:pPr>
              <w:spacing w:after="0"/>
              <w:rPr>
                <w:sz w:val="15"/>
                <w:szCs w:val="15"/>
                <w:color w:val="auto"/>
              </w:rPr>
            </w:pPr>
          </w:p>
        </w:tc>
      </w:tr>
      <w:tr>
        <w:trPr>
          <w:trHeight w:val="177"/>
        </w:trPr>
        <w:tc>
          <w:tcPr>
            <w:tcW w:w="1660" w:type="dxa"/>
            <w:vAlign w:val="bottom"/>
          </w:tcPr>
          <w:p>
            <w:pPr>
              <w:spacing w:after="0"/>
              <w:rPr>
                <w:sz w:val="15"/>
                <w:szCs w:val="15"/>
                <w:color w:val="auto"/>
              </w:rPr>
            </w:pPr>
          </w:p>
        </w:tc>
        <w:tc>
          <w:tcPr>
            <w:tcW w:w="8580" w:type="dxa"/>
            <w:vAlign w:val="bottom"/>
            <w:gridSpan w:val="2"/>
          </w:tcPr>
          <w:p>
            <w:pPr>
              <w:ind w:left="12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Appoints, determines compensation, evaluates and terminates our independent auditor.</w:t>
            </w:r>
          </w:p>
        </w:tc>
        <w:tc>
          <w:tcPr>
            <w:tcW w:w="1000" w:type="dxa"/>
            <w:vAlign w:val="bottom"/>
          </w:tcPr>
          <w:p>
            <w:pPr>
              <w:spacing w:after="0"/>
              <w:rPr>
                <w:sz w:val="15"/>
                <w:szCs w:val="15"/>
                <w:color w:val="auto"/>
              </w:rPr>
            </w:pPr>
          </w:p>
        </w:tc>
      </w:tr>
      <w:tr>
        <w:trPr>
          <w:trHeight w:val="177"/>
        </w:trPr>
        <w:tc>
          <w:tcPr>
            <w:tcW w:w="1660" w:type="dxa"/>
            <w:vAlign w:val="bottom"/>
          </w:tcPr>
          <w:p>
            <w:pPr>
              <w:spacing w:after="0"/>
              <w:rPr>
                <w:sz w:val="15"/>
                <w:szCs w:val="15"/>
                <w:color w:val="auto"/>
              </w:rPr>
            </w:pPr>
          </w:p>
        </w:tc>
        <w:tc>
          <w:tcPr>
            <w:tcW w:w="8580" w:type="dxa"/>
            <w:vAlign w:val="bottom"/>
            <w:gridSpan w:val="2"/>
          </w:tcPr>
          <w:p>
            <w:pPr>
              <w:ind w:left="12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Pre-approves audit and permissible non-audit services to be performed by the independent auditor.</w:t>
            </w:r>
          </w:p>
        </w:tc>
        <w:tc>
          <w:tcPr>
            <w:tcW w:w="1000" w:type="dxa"/>
            <w:vAlign w:val="bottom"/>
          </w:tcPr>
          <w:p>
            <w:pPr>
              <w:spacing w:after="0"/>
              <w:rPr>
                <w:sz w:val="15"/>
                <w:szCs w:val="15"/>
                <w:color w:val="auto"/>
              </w:rPr>
            </w:pPr>
          </w:p>
        </w:tc>
      </w:tr>
      <w:tr>
        <w:trPr>
          <w:trHeight w:val="177"/>
        </w:trPr>
        <w:tc>
          <w:tcPr>
            <w:tcW w:w="1660" w:type="dxa"/>
            <w:vAlign w:val="bottom"/>
          </w:tcPr>
          <w:p>
            <w:pPr>
              <w:spacing w:after="0"/>
              <w:rPr>
                <w:sz w:val="15"/>
                <w:szCs w:val="15"/>
                <w:color w:val="auto"/>
              </w:rPr>
            </w:pPr>
          </w:p>
        </w:tc>
        <w:tc>
          <w:tcPr>
            <w:tcW w:w="220" w:type="dxa"/>
            <w:vAlign w:val="bottom"/>
          </w:tcPr>
          <w:p>
            <w:pPr>
              <w:ind w:left="120"/>
              <w:spacing w:after="0"/>
              <w:rPr>
                <w:sz w:val="20"/>
                <w:szCs w:val="20"/>
                <w:color w:val="auto"/>
              </w:rPr>
            </w:pPr>
            <w:r>
              <w:rPr>
                <w:rFonts w:ascii="Arial" w:cs="Arial" w:eastAsia="Arial" w:hAnsi="Arial"/>
                <w:sz w:val="15"/>
                <w:szCs w:val="15"/>
                <w:color w:val="A26F2A"/>
              </w:rPr>
              <w:t>•</w:t>
            </w:r>
          </w:p>
        </w:tc>
        <w:tc>
          <w:tcPr>
            <w:tcW w:w="8360" w:type="dxa"/>
            <w:vAlign w:val="bottom"/>
          </w:tcPr>
          <w:p>
            <w:pPr>
              <w:ind w:left="60"/>
              <w:spacing w:after="0"/>
              <w:rPr>
                <w:sz w:val="20"/>
                <w:szCs w:val="20"/>
                <w:color w:val="auto"/>
              </w:rPr>
            </w:pPr>
            <w:r>
              <w:rPr>
                <w:rFonts w:ascii="Arial" w:cs="Arial" w:eastAsia="Arial" w:hAnsi="Arial"/>
                <w:sz w:val="15"/>
                <w:szCs w:val="15"/>
                <w:color w:val="auto"/>
              </w:rPr>
              <w:t>Annually reviews and discusses the Company’s year-end reserves with management and Ryder Scott, the Company’s</w:t>
            </w:r>
          </w:p>
        </w:tc>
        <w:tc>
          <w:tcPr>
            <w:tcW w:w="1000" w:type="dxa"/>
            <w:vAlign w:val="bottom"/>
          </w:tcPr>
          <w:p>
            <w:pPr>
              <w:spacing w:after="0"/>
              <w:rPr>
                <w:sz w:val="15"/>
                <w:szCs w:val="15"/>
                <w:color w:val="auto"/>
              </w:rPr>
            </w:pPr>
          </w:p>
        </w:tc>
      </w:tr>
      <w:tr>
        <w:trPr>
          <w:trHeight w:val="177"/>
        </w:trPr>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60" w:type="dxa"/>
            <w:vAlign w:val="bottom"/>
          </w:tcPr>
          <w:p>
            <w:pPr>
              <w:ind w:left="60"/>
              <w:spacing w:after="0"/>
              <w:rPr>
                <w:sz w:val="20"/>
                <w:szCs w:val="20"/>
                <w:color w:val="auto"/>
              </w:rPr>
            </w:pPr>
            <w:r>
              <w:rPr>
                <w:rFonts w:ascii="Arial" w:cs="Arial" w:eastAsia="Arial" w:hAnsi="Arial"/>
                <w:sz w:val="15"/>
                <w:szCs w:val="15"/>
                <w:color w:val="auto"/>
              </w:rPr>
              <w:t>independent third-party reserve auditor.</w:t>
            </w:r>
          </w:p>
        </w:tc>
        <w:tc>
          <w:tcPr>
            <w:tcW w:w="1000" w:type="dxa"/>
            <w:vAlign w:val="bottom"/>
          </w:tcPr>
          <w:p>
            <w:pPr>
              <w:spacing w:after="0"/>
              <w:rPr>
                <w:sz w:val="15"/>
                <w:szCs w:val="15"/>
                <w:color w:val="auto"/>
              </w:rPr>
            </w:pPr>
          </w:p>
        </w:tc>
      </w:tr>
      <w:tr>
        <w:trPr>
          <w:trHeight w:val="177"/>
        </w:trPr>
        <w:tc>
          <w:tcPr>
            <w:tcW w:w="1660" w:type="dxa"/>
            <w:vAlign w:val="bottom"/>
          </w:tcPr>
          <w:p>
            <w:pPr>
              <w:spacing w:after="0"/>
              <w:rPr>
                <w:sz w:val="15"/>
                <w:szCs w:val="15"/>
                <w:color w:val="auto"/>
              </w:rPr>
            </w:pPr>
          </w:p>
        </w:tc>
        <w:tc>
          <w:tcPr>
            <w:tcW w:w="8580" w:type="dxa"/>
            <w:vAlign w:val="bottom"/>
            <w:gridSpan w:val="2"/>
          </w:tcPr>
          <w:p>
            <w:pPr>
              <w:ind w:left="12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Prepares the report required by the SEC for the inclusion in our annual proxy statement.</w:t>
            </w:r>
          </w:p>
        </w:tc>
        <w:tc>
          <w:tcPr>
            <w:tcW w:w="1000" w:type="dxa"/>
            <w:vAlign w:val="bottom"/>
          </w:tcPr>
          <w:p>
            <w:pPr>
              <w:spacing w:after="0"/>
              <w:rPr>
                <w:sz w:val="15"/>
                <w:szCs w:val="15"/>
                <w:color w:val="auto"/>
              </w:rPr>
            </w:pPr>
          </w:p>
        </w:tc>
      </w:tr>
      <w:tr>
        <w:trPr>
          <w:trHeight w:val="177"/>
        </w:trPr>
        <w:tc>
          <w:tcPr>
            <w:tcW w:w="1660" w:type="dxa"/>
            <w:vAlign w:val="bottom"/>
          </w:tcPr>
          <w:p>
            <w:pPr>
              <w:spacing w:after="0"/>
              <w:rPr>
                <w:sz w:val="15"/>
                <w:szCs w:val="15"/>
                <w:color w:val="auto"/>
              </w:rPr>
            </w:pPr>
          </w:p>
        </w:tc>
        <w:tc>
          <w:tcPr>
            <w:tcW w:w="8580" w:type="dxa"/>
            <w:vAlign w:val="bottom"/>
            <w:gridSpan w:val="2"/>
          </w:tcPr>
          <w:p>
            <w:pPr>
              <w:ind w:left="12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Reviews and reassesses the adequacy of the audit committee charter on a periodic basis.</w:t>
            </w:r>
          </w:p>
        </w:tc>
        <w:tc>
          <w:tcPr>
            <w:tcW w:w="1000" w:type="dxa"/>
            <w:vAlign w:val="bottom"/>
          </w:tcPr>
          <w:p>
            <w:pPr>
              <w:spacing w:after="0"/>
              <w:rPr>
                <w:sz w:val="15"/>
                <w:szCs w:val="15"/>
                <w:color w:val="auto"/>
              </w:rPr>
            </w:pPr>
          </w:p>
        </w:tc>
      </w:tr>
      <w:tr>
        <w:trPr>
          <w:trHeight w:val="177"/>
        </w:trPr>
        <w:tc>
          <w:tcPr>
            <w:tcW w:w="1660" w:type="dxa"/>
            <w:vAlign w:val="bottom"/>
          </w:tcPr>
          <w:p>
            <w:pPr>
              <w:spacing w:after="0"/>
              <w:rPr>
                <w:sz w:val="15"/>
                <w:szCs w:val="15"/>
                <w:color w:val="auto"/>
              </w:rPr>
            </w:pPr>
          </w:p>
        </w:tc>
        <w:tc>
          <w:tcPr>
            <w:tcW w:w="220" w:type="dxa"/>
            <w:vAlign w:val="bottom"/>
          </w:tcPr>
          <w:p>
            <w:pPr>
              <w:ind w:left="120"/>
              <w:spacing w:after="0"/>
              <w:rPr>
                <w:sz w:val="20"/>
                <w:szCs w:val="20"/>
                <w:color w:val="auto"/>
              </w:rPr>
            </w:pPr>
            <w:r>
              <w:rPr>
                <w:rFonts w:ascii="Arial" w:cs="Arial" w:eastAsia="Arial" w:hAnsi="Arial"/>
                <w:sz w:val="15"/>
                <w:szCs w:val="15"/>
                <w:color w:val="A26F2A"/>
              </w:rPr>
              <w:t>•</w:t>
            </w:r>
          </w:p>
        </w:tc>
        <w:tc>
          <w:tcPr>
            <w:tcW w:w="8360" w:type="dxa"/>
            <w:vAlign w:val="bottom"/>
          </w:tcPr>
          <w:p>
            <w:pPr>
              <w:ind w:left="60"/>
              <w:spacing w:after="0"/>
              <w:rPr>
                <w:sz w:val="20"/>
                <w:szCs w:val="20"/>
                <w:color w:val="auto"/>
              </w:rPr>
            </w:pPr>
            <w:r>
              <w:rPr>
                <w:rFonts w:ascii="Arial" w:cs="Arial" w:eastAsia="Arial" w:hAnsi="Arial"/>
                <w:sz w:val="15"/>
                <w:szCs w:val="15"/>
                <w:color w:val="auto"/>
              </w:rPr>
              <w:t>Inform our independent auditor of the audit committee’s understanding of significant relationships and transactions with</w:t>
            </w:r>
          </w:p>
        </w:tc>
        <w:tc>
          <w:tcPr>
            <w:tcW w:w="1000" w:type="dxa"/>
            <w:vAlign w:val="bottom"/>
          </w:tcPr>
          <w:p>
            <w:pPr>
              <w:spacing w:after="0"/>
              <w:rPr>
                <w:sz w:val="15"/>
                <w:szCs w:val="15"/>
                <w:color w:val="auto"/>
              </w:rPr>
            </w:pPr>
          </w:p>
        </w:tc>
      </w:tr>
      <w:tr>
        <w:trPr>
          <w:trHeight w:val="177"/>
        </w:trPr>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60" w:type="dxa"/>
            <w:vAlign w:val="bottom"/>
          </w:tcPr>
          <w:p>
            <w:pPr>
              <w:ind w:left="60"/>
              <w:spacing w:after="0"/>
              <w:rPr>
                <w:sz w:val="20"/>
                <w:szCs w:val="20"/>
                <w:color w:val="auto"/>
              </w:rPr>
            </w:pPr>
            <w:r>
              <w:rPr>
                <w:rFonts w:ascii="Arial" w:cs="Arial" w:eastAsia="Arial" w:hAnsi="Arial"/>
                <w:sz w:val="15"/>
                <w:szCs w:val="15"/>
                <w:color w:val="auto"/>
              </w:rPr>
              <w:t>related parties and review and discuss with our independent auditor the auditor’s evaluation of our identification of,</w:t>
            </w:r>
          </w:p>
        </w:tc>
        <w:tc>
          <w:tcPr>
            <w:tcW w:w="1000" w:type="dxa"/>
            <w:vAlign w:val="bottom"/>
          </w:tcPr>
          <w:p>
            <w:pPr>
              <w:spacing w:after="0"/>
              <w:rPr>
                <w:sz w:val="15"/>
                <w:szCs w:val="15"/>
                <w:color w:val="auto"/>
              </w:rPr>
            </w:pPr>
          </w:p>
        </w:tc>
      </w:tr>
      <w:tr>
        <w:trPr>
          <w:trHeight w:val="177"/>
        </w:trPr>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60" w:type="dxa"/>
            <w:vAlign w:val="bottom"/>
          </w:tcPr>
          <w:p>
            <w:pPr>
              <w:ind w:left="60"/>
              <w:spacing w:after="0"/>
              <w:rPr>
                <w:sz w:val="20"/>
                <w:szCs w:val="20"/>
                <w:color w:val="auto"/>
              </w:rPr>
            </w:pPr>
            <w:r>
              <w:rPr>
                <w:rFonts w:ascii="Arial" w:cs="Arial" w:eastAsia="Arial" w:hAnsi="Arial"/>
                <w:sz w:val="15"/>
                <w:szCs w:val="15"/>
                <w:color w:val="auto"/>
              </w:rPr>
              <w:t>accounting for and disclosure of our relationships and transactions with related parties, including any significant matters</w:t>
            </w:r>
          </w:p>
        </w:tc>
        <w:tc>
          <w:tcPr>
            <w:tcW w:w="1000" w:type="dxa"/>
            <w:vAlign w:val="bottom"/>
          </w:tcPr>
          <w:p>
            <w:pPr>
              <w:spacing w:after="0"/>
              <w:rPr>
                <w:sz w:val="15"/>
                <w:szCs w:val="15"/>
                <w:color w:val="auto"/>
              </w:rPr>
            </w:pPr>
          </w:p>
        </w:tc>
      </w:tr>
      <w:tr>
        <w:trPr>
          <w:trHeight w:val="191"/>
        </w:trPr>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360" w:type="dxa"/>
            <w:vAlign w:val="bottom"/>
          </w:tcPr>
          <w:p>
            <w:pPr>
              <w:ind w:left="60"/>
              <w:spacing w:after="0"/>
              <w:rPr>
                <w:sz w:val="20"/>
                <w:szCs w:val="20"/>
                <w:color w:val="auto"/>
              </w:rPr>
            </w:pPr>
            <w:r>
              <w:rPr>
                <w:rFonts w:ascii="Arial" w:cs="Arial" w:eastAsia="Arial" w:hAnsi="Arial"/>
                <w:sz w:val="15"/>
                <w:szCs w:val="15"/>
                <w:color w:val="auto"/>
              </w:rPr>
              <w:t>arising from the audit regarding our relationships and transactions with related parties.</w:t>
            </w:r>
          </w:p>
        </w:tc>
        <w:tc>
          <w:tcPr>
            <w:tcW w:w="1000" w:type="dxa"/>
            <w:vAlign w:val="bottom"/>
          </w:tcPr>
          <w:p>
            <w:pPr>
              <w:spacing w:after="0"/>
              <w:rPr>
                <w:sz w:val="16"/>
                <w:szCs w:val="16"/>
                <w:color w:val="auto"/>
              </w:rPr>
            </w:pPr>
          </w:p>
        </w:tc>
      </w:tr>
    </w:tbl>
    <w:p>
      <w:pPr>
        <w:ind w:left="178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Conducts an annual performance evaluation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412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 w:lineRule="exact"/>
        <w:rPr>
          <w:sz w:val="20"/>
          <w:szCs w:val="20"/>
          <w:color w:val="auto"/>
        </w:rPr>
      </w:pPr>
    </w:p>
    <w:p>
      <w:pPr>
        <w:ind w:left="300" w:hanging="299"/>
        <w:spacing w:after="0"/>
        <w:tabs>
          <w:tab w:leader="none" w:pos="300" w:val="left"/>
        </w:tabs>
        <w:numPr>
          <w:ilvl w:val="0"/>
          <w:numId w:val="42"/>
        </w:numPr>
        <w:rPr>
          <w:rFonts w:ascii="Arial" w:cs="Arial" w:eastAsia="Arial" w:hAnsi="Arial"/>
          <w:sz w:val="13"/>
          <w:szCs w:val="13"/>
          <w:i w:val="1"/>
          <w:iCs w:val="1"/>
          <w:color w:val="auto"/>
        </w:rPr>
      </w:pPr>
      <w:r>
        <w:rPr>
          <w:rFonts w:ascii="Arial" w:cs="Arial" w:eastAsia="Arial" w:hAnsi="Arial"/>
          <w:sz w:val="13"/>
          <w:szCs w:val="13"/>
          <w:i w:val="1"/>
          <w:iCs w:val="1"/>
          <w:color w:val="auto"/>
        </w:rPr>
        <w:t>Committee Chair.</w:t>
      </w:r>
    </w:p>
    <w:p>
      <w:pPr>
        <w:spacing w:after="0" w:line="52" w:lineRule="exact"/>
        <w:rPr>
          <w:sz w:val="20"/>
          <w:szCs w:val="20"/>
          <w:color w:val="auto"/>
        </w:rPr>
      </w:pPr>
    </w:p>
    <w:p>
      <w:pPr>
        <w:ind w:left="300" w:hanging="299"/>
        <w:spacing w:after="0"/>
        <w:tabs>
          <w:tab w:leader="none" w:pos="300" w:val="left"/>
        </w:tabs>
        <w:numPr>
          <w:ilvl w:val="0"/>
          <w:numId w:val="43"/>
        </w:numPr>
        <w:rPr>
          <w:rFonts w:ascii="Arial" w:cs="Arial" w:eastAsia="Arial" w:hAnsi="Arial"/>
          <w:sz w:val="13"/>
          <w:szCs w:val="13"/>
          <w:i w:val="1"/>
          <w:iCs w:val="1"/>
          <w:color w:val="auto"/>
        </w:rPr>
      </w:pPr>
      <w:r>
        <w:rPr>
          <w:rFonts w:ascii="Arial" w:cs="Arial" w:eastAsia="Arial" w:hAnsi="Arial"/>
          <w:sz w:val="13"/>
          <w:szCs w:val="13"/>
          <w:i w:val="1"/>
          <w:iCs w:val="1"/>
          <w:color w:val="auto"/>
        </w:rPr>
        <w:t>Mr. Holderness was appointed to serve on the audit committee effective as of February 3, 2025.</w:t>
      </w:r>
    </w:p>
    <w:p>
      <w:pPr>
        <w:spacing w:after="0" w:line="174"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Number of</w:t>
            </w:r>
          </w:p>
        </w:tc>
      </w:tr>
      <w:tr>
        <w:trPr>
          <w:trHeight w:val="177"/>
        </w:trPr>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640" w:type="dxa"/>
            <w:vAlign w:val="bottom"/>
          </w:tcPr>
          <w:p>
            <w:pPr>
              <w:jc w:val="right"/>
              <w:ind w:right="4"/>
              <w:spacing w:after="0"/>
              <w:rPr>
                <w:sz w:val="20"/>
                <w:szCs w:val="20"/>
                <w:color w:val="auto"/>
              </w:rPr>
            </w:pPr>
            <w:r>
              <w:rPr>
                <w:rFonts w:ascii="Arial" w:cs="Arial" w:eastAsia="Arial" w:hAnsi="Arial"/>
                <w:sz w:val="15"/>
                <w:szCs w:val="15"/>
                <w:b w:val="1"/>
                <w:bCs w:val="1"/>
                <w:color w:val="auto"/>
              </w:rPr>
              <w:t>Meetings in</w:t>
            </w:r>
          </w:p>
        </w:tc>
      </w:tr>
      <w:tr>
        <w:trPr>
          <w:trHeight w:val="194"/>
        </w:trPr>
        <w:tc>
          <w:tcPr>
            <w:tcW w:w="158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Members</w:t>
            </w:r>
          </w:p>
        </w:tc>
        <w:tc>
          <w:tcPr>
            <w:tcW w:w="8020" w:type="dxa"/>
            <w:vAlign w:val="bottom"/>
            <w:tcBorders>
              <w:bottom w:val="single" w:sz="8" w:color="A26F2A"/>
            </w:tcBorders>
            <w:gridSpan w:val="2"/>
          </w:tcPr>
          <w:p>
            <w:pPr>
              <w:ind w:left="200"/>
              <w:spacing w:after="0"/>
              <w:rPr>
                <w:sz w:val="20"/>
                <w:szCs w:val="20"/>
                <w:color w:val="auto"/>
              </w:rPr>
            </w:pPr>
            <w:r>
              <w:rPr>
                <w:rFonts w:ascii="Arial" w:cs="Arial" w:eastAsia="Arial" w:hAnsi="Arial"/>
                <w:sz w:val="15"/>
                <w:szCs w:val="15"/>
                <w:b w:val="1"/>
                <w:bCs w:val="1"/>
                <w:color w:val="auto"/>
              </w:rPr>
              <w:t>Principal Functions</w:t>
            </w:r>
          </w:p>
        </w:tc>
        <w:tc>
          <w:tcPr>
            <w:tcW w:w="1640" w:type="dxa"/>
            <w:vAlign w:val="bottom"/>
            <w:tcBorders>
              <w:bottom w:val="single" w:sz="8" w:color="A26F2A"/>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164"/>
        </w:trPr>
        <w:tc>
          <w:tcPr>
            <w:tcW w:w="1580" w:type="dxa"/>
            <w:vAlign w:val="bottom"/>
          </w:tcPr>
          <w:p>
            <w:pPr>
              <w:ind w:left="60"/>
              <w:spacing w:after="0" w:line="164" w:lineRule="exact"/>
              <w:rPr>
                <w:sz w:val="20"/>
                <w:szCs w:val="20"/>
                <w:color w:val="auto"/>
              </w:rPr>
            </w:pPr>
            <w:r>
              <w:rPr>
                <w:rFonts w:ascii="Arial" w:cs="Arial" w:eastAsia="Arial" w:hAnsi="Arial"/>
                <w:sz w:val="15"/>
                <w:szCs w:val="15"/>
                <w:color w:val="auto"/>
              </w:rPr>
              <w:t>Melanie M. Trent*</w:t>
            </w:r>
          </w:p>
        </w:tc>
        <w:tc>
          <w:tcPr>
            <w:tcW w:w="300" w:type="dxa"/>
            <w:vAlign w:val="bottom"/>
          </w:tcPr>
          <w:p>
            <w:pPr>
              <w:ind w:left="200"/>
              <w:spacing w:after="0" w:line="164" w:lineRule="exact"/>
              <w:rPr>
                <w:sz w:val="20"/>
                <w:szCs w:val="20"/>
                <w:color w:val="auto"/>
              </w:rPr>
            </w:pPr>
            <w:r>
              <w:rPr>
                <w:rFonts w:ascii="Arial" w:cs="Arial" w:eastAsia="Arial" w:hAnsi="Arial"/>
                <w:sz w:val="15"/>
                <w:szCs w:val="15"/>
                <w:color w:val="A26F2A"/>
              </w:rPr>
              <w:t>•</w:t>
            </w:r>
          </w:p>
        </w:tc>
        <w:tc>
          <w:tcPr>
            <w:tcW w:w="7720" w:type="dxa"/>
            <w:vAlign w:val="bottom"/>
          </w:tcPr>
          <w:p>
            <w:pPr>
              <w:ind w:left="60"/>
              <w:spacing w:after="0" w:line="164" w:lineRule="exact"/>
              <w:rPr>
                <w:sz w:val="20"/>
                <w:szCs w:val="20"/>
                <w:color w:val="auto"/>
              </w:rPr>
            </w:pPr>
            <w:r>
              <w:rPr>
                <w:rFonts w:ascii="Arial" w:cs="Arial" w:eastAsia="Arial" w:hAnsi="Arial"/>
                <w:sz w:val="15"/>
                <w:szCs w:val="15"/>
                <w:color w:val="auto"/>
              </w:rPr>
              <w:t>Reviews and determines the compensation of our Chief Executive Officer and other executive officers.</w:t>
            </w:r>
          </w:p>
        </w:tc>
        <w:tc>
          <w:tcPr>
            <w:tcW w:w="1640" w:type="dxa"/>
            <w:vAlign w:val="bottom"/>
          </w:tcPr>
          <w:p>
            <w:pPr>
              <w:jc w:val="right"/>
              <w:spacing w:after="0" w:line="164" w:lineRule="exact"/>
              <w:rPr>
                <w:sz w:val="20"/>
                <w:szCs w:val="20"/>
                <w:color w:val="auto"/>
              </w:rPr>
            </w:pPr>
            <w:r>
              <w:rPr>
                <w:rFonts w:ascii="Arial" w:cs="Arial" w:eastAsia="Arial" w:hAnsi="Arial"/>
                <w:sz w:val="15"/>
                <w:szCs w:val="15"/>
                <w:color w:val="auto"/>
              </w:rPr>
              <w:t>Three</w:t>
            </w:r>
          </w:p>
        </w:tc>
      </w:tr>
      <w:tr>
        <w:trPr>
          <w:trHeight w:val="177"/>
        </w:trPr>
        <w:tc>
          <w:tcPr>
            <w:tcW w:w="1580" w:type="dxa"/>
            <w:vAlign w:val="bottom"/>
          </w:tcPr>
          <w:p>
            <w:pPr>
              <w:ind w:left="60"/>
              <w:spacing w:after="0"/>
              <w:rPr>
                <w:sz w:val="20"/>
                <w:szCs w:val="20"/>
                <w:color w:val="auto"/>
              </w:rPr>
            </w:pPr>
            <w:r>
              <w:rPr>
                <w:rFonts w:ascii="Arial" w:cs="Arial" w:eastAsia="Arial" w:hAnsi="Arial"/>
                <w:sz w:val="15"/>
                <w:szCs w:val="15"/>
                <w:color w:val="auto"/>
              </w:rPr>
              <w:t>Stephanie K. Mains</w:t>
            </w:r>
          </w:p>
        </w:tc>
        <w:tc>
          <w:tcPr>
            <w:tcW w:w="300" w:type="dxa"/>
            <w:vAlign w:val="bottom"/>
          </w:tcPr>
          <w:p>
            <w:pPr>
              <w:ind w:left="200"/>
              <w:spacing w:after="0"/>
              <w:rPr>
                <w:sz w:val="20"/>
                <w:szCs w:val="20"/>
                <w:color w:val="auto"/>
              </w:rPr>
            </w:pPr>
            <w:r>
              <w:rPr>
                <w:rFonts w:ascii="Arial" w:cs="Arial" w:eastAsia="Arial" w:hAnsi="Arial"/>
                <w:sz w:val="15"/>
                <w:szCs w:val="15"/>
                <w:color w:val="A26F2A"/>
              </w:rPr>
              <w:t>•</w:t>
            </w:r>
          </w:p>
        </w:tc>
        <w:tc>
          <w:tcPr>
            <w:tcW w:w="7720" w:type="dxa"/>
            <w:vAlign w:val="bottom"/>
          </w:tcPr>
          <w:p>
            <w:pPr>
              <w:ind w:left="60"/>
              <w:spacing w:after="0"/>
              <w:rPr>
                <w:sz w:val="20"/>
                <w:szCs w:val="20"/>
                <w:color w:val="auto"/>
              </w:rPr>
            </w:pPr>
            <w:r>
              <w:rPr>
                <w:rFonts w:ascii="Arial" w:cs="Arial" w:eastAsia="Arial" w:hAnsi="Arial"/>
                <w:sz w:val="15"/>
                <w:szCs w:val="15"/>
                <w:color w:val="auto"/>
              </w:rPr>
              <w:t>Periodically reviews the compensation plans and policies for employees generally.</w:t>
            </w:r>
          </w:p>
        </w:tc>
        <w:tc>
          <w:tcPr>
            <w:tcW w:w="1640" w:type="dxa"/>
            <w:vAlign w:val="bottom"/>
          </w:tcPr>
          <w:p>
            <w:pPr>
              <w:spacing w:after="0"/>
              <w:rPr>
                <w:sz w:val="15"/>
                <w:szCs w:val="15"/>
                <w:color w:val="auto"/>
              </w:rPr>
            </w:pPr>
          </w:p>
        </w:tc>
      </w:tr>
      <w:tr>
        <w:trPr>
          <w:trHeight w:val="177"/>
        </w:trPr>
        <w:tc>
          <w:tcPr>
            <w:tcW w:w="1580" w:type="dxa"/>
            <w:vAlign w:val="bottom"/>
          </w:tcPr>
          <w:p>
            <w:pPr>
              <w:ind w:left="60"/>
              <w:spacing w:after="0"/>
              <w:rPr>
                <w:sz w:val="20"/>
                <w:szCs w:val="20"/>
                <w:color w:val="auto"/>
              </w:rPr>
            </w:pPr>
            <w:r>
              <w:rPr>
                <w:rFonts w:ascii="Arial" w:cs="Arial" w:eastAsia="Arial" w:hAnsi="Arial"/>
                <w:sz w:val="15"/>
                <w:szCs w:val="15"/>
                <w:color w:val="auto"/>
              </w:rPr>
              <w:t>Mark L. Plaumann</w:t>
            </w:r>
          </w:p>
        </w:tc>
        <w:tc>
          <w:tcPr>
            <w:tcW w:w="300" w:type="dxa"/>
            <w:vAlign w:val="bottom"/>
          </w:tcPr>
          <w:p>
            <w:pPr>
              <w:ind w:left="200"/>
              <w:spacing w:after="0"/>
              <w:rPr>
                <w:sz w:val="20"/>
                <w:szCs w:val="20"/>
                <w:color w:val="auto"/>
              </w:rPr>
            </w:pPr>
            <w:r>
              <w:rPr>
                <w:rFonts w:ascii="Arial" w:cs="Arial" w:eastAsia="Arial" w:hAnsi="Arial"/>
                <w:sz w:val="15"/>
                <w:szCs w:val="15"/>
                <w:color w:val="A26F2A"/>
              </w:rPr>
              <w:t>•</w:t>
            </w:r>
          </w:p>
        </w:tc>
        <w:tc>
          <w:tcPr>
            <w:tcW w:w="7720" w:type="dxa"/>
            <w:vAlign w:val="bottom"/>
          </w:tcPr>
          <w:p>
            <w:pPr>
              <w:ind w:left="60"/>
              <w:spacing w:after="0"/>
              <w:rPr>
                <w:sz w:val="20"/>
                <w:szCs w:val="20"/>
                <w:color w:val="auto"/>
              </w:rPr>
            </w:pPr>
            <w:r>
              <w:rPr>
                <w:rFonts w:ascii="Arial" w:cs="Arial" w:eastAsia="Arial" w:hAnsi="Arial"/>
                <w:sz w:val="15"/>
                <w:szCs w:val="15"/>
                <w:color w:val="auto"/>
              </w:rPr>
              <w:t>Evaluates the annual performance of our Chief Executive Officer and other executive officers.</w:t>
            </w:r>
          </w:p>
        </w:tc>
        <w:tc>
          <w:tcPr>
            <w:tcW w:w="1640" w:type="dxa"/>
            <w:vAlign w:val="bottom"/>
          </w:tcPr>
          <w:p>
            <w:pPr>
              <w:spacing w:after="0"/>
              <w:rPr>
                <w:sz w:val="15"/>
                <w:szCs w:val="15"/>
                <w:color w:val="auto"/>
              </w:rPr>
            </w:pPr>
          </w:p>
        </w:tc>
      </w:tr>
      <w:tr>
        <w:trPr>
          <w:trHeight w:val="177"/>
        </w:trPr>
        <w:tc>
          <w:tcPr>
            <w:tcW w:w="1580" w:type="dxa"/>
            <w:vAlign w:val="bottom"/>
          </w:tcPr>
          <w:p>
            <w:pPr>
              <w:ind w:left="60"/>
              <w:spacing w:after="0"/>
              <w:rPr>
                <w:sz w:val="20"/>
                <w:szCs w:val="20"/>
                <w:color w:val="auto"/>
              </w:rPr>
            </w:pPr>
            <w:r>
              <w:rPr>
                <w:rFonts w:ascii="Arial" w:cs="Arial" w:eastAsia="Arial" w:hAnsi="Arial"/>
                <w:sz w:val="15"/>
                <w:szCs w:val="15"/>
                <w:color w:val="auto"/>
              </w:rPr>
              <w:t>Robert K. Reeves</w:t>
            </w:r>
          </w:p>
        </w:tc>
        <w:tc>
          <w:tcPr>
            <w:tcW w:w="300" w:type="dxa"/>
            <w:vAlign w:val="bottom"/>
          </w:tcPr>
          <w:p>
            <w:pPr>
              <w:ind w:left="200"/>
              <w:spacing w:after="0"/>
              <w:rPr>
                <w:sz w:val="20"/>
                <w:szCs w:val="20"/>
                <w:color w:val="auto"/>
              </w:rPr>
            </w:pPr>
            <w:r>
              <w:rPr>
                <w:rFonts w:ascii="Arial" w:cs="Arial" w:eastAsia="Arial" w:hAnsi="Arial"/>
                <w:sz w:val="15"/>
                <w:szCs w:val="15"/>
                <w:color w:val="A26F2A"/>
              </w:rPr>
              <w:t>•</w:t>
            </w:r>
          </w:p>
        </w:tc>
        <w:tc>
          <w:tcPr>
            <w:tcW w:w="9360" w:type="dxa"/>
            <w:vAlign w:val="bottom"/>
            <w:gridSpan w:val="2"/>
          </w:tcPr>
          <w:p>
            <w:pPr>
              <w:ind w:left="60"/>
              <w:spacing w:after="0"/>
              <w:rPr>
                <w:sz w:val="20"/>
                <w:szCs w:val="20"/>
                <w:color w:val="auto"/>
              </w:rPr>
            </w:pPr>
            <w:r>
              <w:rPr>
                <w:rFonts w:ascii="Arial" w:cs="Arial" w:eastAsia="Arial" w:hAnsi="Arial"/>
                <w:sz w:val="15"/>
                <w:szCs w:val="15"/>
                <w:color w:val="auto"/>
              </w:rPr>
              <w:t>Periodically reviews with the Chief Executive Officer our succession plan for other members of senior management.</w:t>
            </w:r>
          </w:p>
        </w:tc>
      </w:tr>
      <w:tr>
        <w:trPr>
          <w:trHeight w:val="177"/>
        </w:trPr>
        <w:tc>
          <w:tcPr>
            <w:tcW w:w="1580" w:type="dxa"/>
            <w:vAlign w:val="bottom"/>
          </w:tcPr>
          <w:p>
            <w:pPr>
              <w:ind w:left="60"/>
              <w:spacing w:after="0"/>
              <w:rPr>
                <w:sz w:val="20"/>
                <w:szCs w:val="20"/>
                <w:color w:val="auto"/>
              </w:rPr>
            </w:pPr>
            <w:r>
              <w:rPr>
                <w:rFonts w:ascii="Arial" w:cs="Arial" w:eastAsia="Arial" w:hAnsi="Arial"/>
                <w:sz w:val="15"/>
                <w:szCs w:val="15"/>
                <w:color w:val="auto"/>
              </w:rPr>
              <w:t>Frank D. Tsuru</w:t>
            </w:r>
          </w:p>
        </w:tc>
        <w:tc>
          <w:tcPr>
            <w:tcW w:w="300" w:type="dxa"/>
            <w:vAlign w:val="bottom"/>
          </w:tcPr>
          <w:p>
            <w:pPr>
              <w:ind w:left="200"/>
              <w:spacing w:after="0"/>
              <w:rPr>
                <w:sz w:val="20"/>
                <w:szCs w:val="20"/>
                <w:color w:val="auto"/>
              </w:rPr>
            </w:pPr>
            <w:r>
              <w:rPr>
                <w:rFonts w:ascii="Arial" w:cs="Arial" w:eastAsia="Arial" w:hAnsi="Arial"/>
                <w:sz w:val="15"/>
                <w:szCs w:val="15"/>
                <w:color w:val="A26F2A"/>
              </w:rPr>
              <w:t>•</w:t>
            </w:r>
          </w:p>
        </w:tc>
        <w:tc>
          <w:tcPr>
            <w:tcW w:w="9360" w:type="dxa"/>
            <w:vAlign w:val="bottom"/>
            <w:gridSpan w:val="2"/>
          </w:tcPr>
          <w:p>
            <w:pPr>
              <w:ind w:left="60"/>
              <w:spacing w:after="0"/>
              <w:rPr>
                <w:sz w:val="20"/>
                <w:szCs w:val="20"/>
                <w:color w:val="auto"/>
              </w:rPr>
            </w:pPr>
            <w:r>
              <w:rPr>
                <w:rFonts w:ascii="Arial" w:cs="Arial" w:eastAsia="Arial" w:hAnsi="Arial"/>
                <w:sz w:val="15"/>
                <w:szCs w:val="15"/>
                <w:color w:val="auto"/>
              </w:rPr>
              <w:t>Where appropriate or required, makes recommendations to our stockholders with respect to incentive compensation and</w:t>
            </w:r>
          </w:p>
        </w:tc>
      </w:tr>
      <w:tr>
        <w:trPr>
          <w:trHeight w:val="177"/>
        </w:trPr>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720" w:type="dxa"/>
            <w:vAlign w:val="bottom"/>
          </w:tcPr>
          <w:p>
            <w:pPr>
              <w:ind w:left="60"/>
              <w:spacing w:after="0"/>
              <w:rPr>
                <w:sz w:val="20"/>
                <w:szCs w:val="20"/>
                <w:color w:val="auto"/>
              </w:rPr>
            </w:pPr>
            <w:r>
              <w:rPr>
                <w:rFonts w:ascii="Arial" w:cs="Arial" w:eastAsia="Arial" w:hAnsi="Arial"/>
                <w:sz w:val="15"/>
                <w:szCs w:val="15"/>
                <w:color w:val="auto"/>
              </w:rPr>
              <w:t>equity-based plans.</w:t>
            </w:r>
          </w:p>
        </w:tc>
        <w:tc>
          <w:tcPr>
            <w:tcW w:w="1640" w:type="dxa"/>
            <w:vAlign w:val="bottom"/>
          </w:tcPr>
          <w:p>
            <w:pPr>
              <w:spacing w:after="0"/>
              <w:rPr>
                <w:sz w:val="15"/>
                <w:szCs w:val="15"/>
                <w:color w:val="auto"/>
              </w:rPr>
            </w:pPr>
          </w:p>
        </w:tc>
      </w:tr>
      <w:tr>
        <w:trPr>
          <w:trHeight w:val="177"/>
        </w:trPr>
        <w:tc>
          <w:tcPr>
            <w:tcW w:w="1580" w:type="dxa"/>
            <w:vAlign w:val="bottom"/>
          </w:tcPr>
          <w:p>
            <w:pPr>
              <w:spacing w:after="0"/>
              <w:rPr>
                <w:sz w:val="15"/>
                <w:szCs w:val="15"/>
                <w:color w:val="auto"/>
              </w:rPr>
            </w:pPr>
          </w:p>
        </w:tc>
        <w:tc>
          <w:tcPr>
            <w:tcW w:w="300" w:type="dxa"/>
            <w:vAlign w:val="bottom"/>
          </w:tcPr>
          <w:p>
            <w:pPr>
              <w:ind w:left="200"/>
              <w:spacing w:after="0"/>
              <w:rPr>
                <w:sz w:val="20"/>
                <w:szCs w:val="20"/>
                <w:color w:val="auto"/>
              </w:rPr>
            </w:pPr>
            <w:r>
              <w:rPr>
                <w:rFonts w:ascii="Arial" w:cs="Arial" w:eastAsia="Arial" w:hAnsi="Arial"/>
                <w:sz w:val="15"/>
                <w:szCs w:val="15"/>
                <w:color w:val="A26F2A"/>
              </w:rPr>
              <w:t>•</w:t>
            </w:r>
          </w:p>
        </w:tc>
        <w:tc>
          <w:tcPr>
            <w:tcW w:w="9360" w:type="dxa"/>
            <w:vAlign w:val="bottom"/>
            <w:gridSpan w:val="2"/>
          </w:tcPr>
          <w:p>
            <w:pPr>
              <w:ind w:left="60"/>
              <w:spacing w:after="0"/>
              <w:rPr>
                <w:sz w:val="20"/>
                <w:szCs w:val="20"/>
                <w:color w:val="auto"/>
              </w:rPr>
            </w:pPr>
            <w:r>
              <w:rPr>
                <w:rFonts w:ascii="Arial" w:cs="Arial" w:eastAsia="Arial" w:hAnsi="Arial"/>
                <w:sz w:val="15"/>
                <w:szCs w:val="15"/>
                <w:color w:val="auto"/>
              </w:rPr>
              <w:t>Reviews, approves and administers our Executive Annual Incentive Compensation Plan, including the establishment of</w:t>
            </w:r>
          </w:p>
        </w:tc>
      </w:tr>
      <w:tr>
        <w:trPr>
          <w:trHeight w:val="177"/>
        </w:trPr>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720" w:type="dxa"/>
            <w:vAlign w:val="bottom"/>
          </w:tcPr>
          <w:p>
            <w:pPr>
              <w:ind w:left="60"/>
              <w:spacing w:after="0"/>
              <w:rPr>
                <w:sz w:val="20"/>
                <w:szCs w:val="20"/>
                <w:color w:val="auto"/>
              </w:rPr>
            </w:pPr>
            <w:r>
              <w:rPr>
                <w:rFonts w:ascii="Arial" w:cs="Arial" w:eastAsia="Arial" w:hAnsi="Arial"/>
                <w:sz w:val="15"/>
                <w:szCs w:val="15"/>
                <w:color w:val="auto"/>
              </w:rPr>
              <w:t>performance criteria and targets which provide for cash awards under such plan.</w:t>
            </w:r>
          </w:p>
        </w:tc>
        <w:tc>
          <w:tcPr>
            <w:tcW w:w="1640" w:type="dxa"/>
            <w:vAlign w:val="bottom"/>
          </w:tcPr>
          <w:p>
            <w:pPr>
              <w:spacing w:after="0"/>
              <w:rPr>
                <w:sz w:val="15"/>
                <w:szCs w:val="15"/>
                <w:color w:val="auto"/>
              </w:rPr>
            </w:pPr>
          </w:p>
        </w:tc>
      </w:tr>
      <w:tr>
        <w:trPr>
          <w:trHeight w:val="177"/>
        </w:trPr>
        <w:tc>
          <w:tcPr>
            <w:tcW w:w="1580" w:type="dxa"/>
            <w:vAlign w:val="bottom"/>
          </w:tcPr>
          <w:p>
            <w:pPr>
              <w:spacing w:after="0"/>
              <w:rPr>
                <w:sz w:val="15"/>
                <w:szCs w:val="15"/>
                <w:color w:val="auto"/>
              </w:rPr>
            </w:pPr>
          </w:p>
        </w:tc>
        <w:tc>
          <w:tcPr>
            <w:tcW w:w="300" w:type="dxa"/>
            <w:vAlign w:val="bottom"/>
          </w:tcPr>
          <w:p>
            <w:pPr>
              <w:ind w:left="200"/>
              <w:spacing w:after="0"/>
              <w:rPr>
                <w:sz w:val="20"/>
                <w:szCs w:val="20"/>
                <w:color w:val="auto"/>
              </w:rPr>
            </w:pPr>
            <w:r>
              <w:rPr>
                <w:rFonts w:ascii="Arial" w:cs="Arial" w:eastAsia="Arial" w:hAnsi="Arial"/>
                <w:sz w:val="15"/>
                <w:szCs w:val="15"/>
                <w:color w:val="A26F2A"/>
              </w:rPr>
              <w:t>•</w:t>
            </w:r>
          </w:p>
        </w:tc>
        <w:tc>
          <w:tcPr>
            <w:tcW w:w="9360" w:type="dxa"/>
            <w:vAlign w:val="bottom"/>
            <w:gridSpan w:val="2"/>
          </w:tcPr>
          <w:p>
            <w:pPr>
              <w:ind w:left="60"/>
              <w:spacing w:after="0"/>
              <w:rPr>
                <w:sz w:val="20"/>
                <w:szCs w:val="20"/>
                <w:color w:val="auto"/>
              </w:rPr>
            </w:pPr>
            <w:r>
              <w:rPr>
                <w:rFonts w:ascii="Arial" w:cs="Arial" w:eastAsia="Arial" w:hAnsi="Arial"/>
                <w:sz w:val="15"/>
                <w:szCs w:val="15"/>
                <w:color w:val="auto"/>
              </w:rPr>
              <w:t>Reviews, approves and administers our equity-based compensation plans, including the grants of awards under such</w:t>
            </w:r>
          </w:p>
        </w:tc>
      </w:tr>
      <w:tr>
        <w:trPr>
          <w:trHeight w:val="177"/>
        </w:trPr>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720" w:type="dxa"/>
            <w:vAlign w:val="bottom"/>
          </w:tcPr>
          <w:p>
            <w:pPr>
              <w:ind w:left="60"/>
              <w:spacing w:after="0"/>
              <w:rPr>
                <w:sz w:val="20"/>
                <w:szCs w:val="20"/>
                <w:color w:val="auto"/>
              </w:rPr>
            </w:pPr>
            <w:r>
              <w:rPr>
                <w:rFonts w:ascii="Arial" w:cs="Arial" w:eastAsia="Arial" w:hAnsi="Arial"/>
                <w:sz w:val="15"/>
                <w:szCs w:val="15"/>
                <w:color w:val="auto"/>
              </w:rPr>
              <w:t>plans.</w:t>
            </w:r>
          </w:p>
        </w:tc>
        <w:tc>
          <w:tcPr>
            <w:tcW w:w="1640" w:type="dxa"/>
            <w:vAlign w:val="bottom"/>
          </w:tcPr>
          <w:p>
            <w:pPr>
              <w:spacing w:after="0"/>
              <w:rPr>
                <w:sz w:val="15"/>
                <w:szCs w:val="15"/>
                <w:color w:val="auto"/>
              </w:rPr>
            </w:pPr>
          </w:p>
        </w:tc>
      </w:tr>
      <w:tr>
        <w:trPr>
          <w:trHeight w:val="177"/>
        </w:trPr>
        <w:tc>
          <w:tcPr>
            <w:tcW w:w="1580" w:type="dxa"/>
            <w:vAlign w:val="bottom"/>
          </w:tcPr>
          <w:p>
            <w:pPr>
              <w:spacing w:after="0"/>
              <w:rPr>
                <w:sz w:val="15"/>
                <w:szCs w:val="15"/>
                <w:color w:val="auto"/>
              </w:rPr>
            </w:pPr>
          </w:p>
        </w:tc>
        <w:tc>
          <w:tcPr>
            <w:tcW w:w="8020" w:type="dxa"/>
            <w:vAlign w:val="bottom"/>
            <w:gridSpan w:val="2"/>
          </w:tcPr>
          <w:p>
            <w:pPr>
              <w:ind w:left="20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Makes recommendations to our board of directors with respect to director compensation.</w:t>
            </w:r>
          </w:p>
        </w:tc>
        <w:tc>
          <w:tcPr>
            <w:tcW w:w="1640" w:type="dxa"/>
            <w:vAlign w:val="bottom"/>
          </w:tcPr>
          <w:p>
            <w:pPr>
              <w:spacing w:after="0"/>
              <w:rPr>
                <w:sz w:val="15"/>
                <w:szCs w:val="15"/>
                <w:color w:val="auto"/>
              </w:rPr>
            </w:pPr>
          </w:p>
        </w:tc>
      </w:tr>
      <w:tr>
        <w:trPr>
          <w:trHeight w:val="177"/>
        </w:trPr>
        <w:tc>
          <w:tcPr>
            <w:tcW w:w="1580" w:type="dxa"/>
            <w:vAlign w:val="bottom"/>
          </w:tcPr>
          <w:p>
            <w:pPr>
              <w:spacing w:after="0"/>
              <w:rPr>
                <w:sz w:val="15"/>
                <w:szCs w:val="15"/>
                <w:color w:val="auto"/>
              </w:rPr>
            </w:pPr>
          </w:p>
        </w:tc>
        <w:tc>
          <w:tcPr>
            <w:tcW w:w="8020" w:type="dxa"/>
            <w:vAlign w:val="bottom"/>
            <w:gridSpan w:val="2"/>
          </w:tcPr>
          <w:p>
            <w:pPr>
              <w:ind w:left="20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Oversees the risk assessment of the Company’s compensation arrangements.</w:t>
            </w:r>
          </w:p>
        </w:tc>
        <w:tc>
          <w:tcPr>
            <w:tcW w:w="1640" w:type="dxa"/>
            <w:vAlign w:val="bottom"/>
          </w:tcPr>
          <w:p>
            <w:pPr>
              <w:spacing w:after="0"/>
              <w:rPr>
                <w:sz w:val="15"/>
                <w:szCs w:val="15"/>
                <w:color w:val="auto"/>
              </w:rPr>
            </w:pPr>
          </w:p>
        </w:tc>
      </w:tr>
      <w:tr>
        <w:trPr>
          <w:trHeight w:val="177"/>
        </w:trPr>
        <w:tc>
          <w:tcPr>
            <w:tcW w:w="1580" w:type="dxa"/>
            <w:vAlign w:val="bottom"/>
          </w:tcPr>
          <w:p>
            <w:pPr>
              <w:spacing w:after="0"/>
              <w:rPr>
                <w:sz w:val="15"/>
                <w:szCs w:val="15"/>
                <w:color w:val="auto"/>
              </w:rPr>
            </w:pPr>
          </w:p>
        </w:tc>
        <w:tc>
          <w:tcPr>
            <w:tcW w:w="300" w:type="dxa"/>
            <w:vAlign w:val="bottom"/>
          </w:tcPr>
          <w:p>
            <w:pPr>
              <w:ind w:left="200"/>
              <w:spacing w:after="0"/>
              <w:rPr>
                <w:sz w:val="20"/>
                <w:szCs w:val="20"/>
                <w:color w:val="auto"/>
              </w:rPr>
            </w:pPr>
            <w:r>
              <w:rPr>
                <w:rFonts w:ascii="Arial" w:cs="Arial" w:eastAsia="Arial" w:hAnsi="Arial"/>
                <w:sz w:val="15"/>
                <w:szCs w:val="15"/>
                <w:color w:val="A26F2A"/>
              </w:rPr>
              <w:t>•</w:t>
            </w:r>
          </w:p>
        </w:tc>
        <w:tc>
          <w:tcPr>
            <w:tcW w:w="9360" w:type="dxa"/>
            <w:vAlign w:val="bottom"/>
            <w:gridSpan w:val="2"/>
          </w:tcPr>
          <w:p>
            <w:pPr>
              <w:ind w:left="60"/>
              <w:spacing w:after="0"/>
              <w:rPr>
                <w:sz w:val="20"/>
                <w:szCs w:val="20"/>
                <w:color w:val="auto"/>
              </w:rPr>
            </w:pPr>
            <w:r>
              <w:rPr>
                <w:rFonts w:ascii="Arial" w:cs="Arial" w:eastAsia="Arial" w:hAnsi="Arial"/>
                <w:sz w:val="15"/>
                <w:szCs w:val="15"/>
                <w:color w:val="auto"/>
              </w:rPr>
              <w:t>Reviews periodically the adequacy of our stock ownership guidelines for our Chief Executive Officer, other executive</w:t>
            </w:r>
          </w:p>
        </w:tc>
      </w:tr>
      <w:tr>
        <w:trPr>
          <w:trHeight w:val="177"/>
        </w:trPr>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60" w:type="dxa"/>
            <w:vAlign w:val="bottom"/>
            <w:gridSpan w:val="2"/>
          </w:tcPr>
          <w:p>
            <w:pPr>
              <w:ind w:left="60"/>
              <w:spacing w:after="0"/>
              <w:rPr>
                <w:sz w:val="20"/>
                <w:szCs w:val="20"/>
                <w:color w:val="auto"/>
              </w:rPr>
            </w:pPr>
            <w:r>
              <w:rPr>
                <w:rFonts w:ascii="Arial" w:cs="Arial" w:eastAsia="Arial" w:hAnsi="Arial"/>
                <w:sz w:val="15"/>
                <w:szCs w:val="15"/>
                <w:color w:val="auto"/>
              </w:rPr>
              <w:t>officers and directors, recommends any amendments of the stock ownership guidelines to our board of directors and</w:t>
            </w:r>
          </w:p>
        </w:tc>
      </w:tr>
      <w:tr>
        <w:trPr>
          <w:trHeight w:val="177"/>
        </w:trPr>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720" w:type="dxa"/>
            <w:vAlign w:val="bottom"/>
          </w:tcPr>
          <w:p>
            <w:pPr>
              <w:ind w:left="60"/>
              <w:spacing w:after="0"/>
              <w:rPr>
                <w:sz w:val="20"/>
                <w:szCs w:val="20"/>
                <w:color w:val="auto"/>
              </w:rPr>
            </w:pPr>
            <w:r>
              <w:rPr>
                <w:rFonts w:ascii="Arial" w:cs="Arial" w:eastAsia="Arial" w:hAnsi="Arial"/>
                <w:sz w:val="15"/>
                <w:szCs w:val="15"/>
                <w:color w:val="auto"/>
              </w:rPr>
              <w:t>annually monitors compliance with such guidelines.</w:t>
            </w:r>
          </w:p>
        </w:tc>
        <w:tc>
          <w:tcPr>
            <w:tcW w:w="1640" w:type="dxa"/>
            <w:vAlign w:val="bottom"/>
          </w:tcPr>
          <w:p>
            <w:pPr>
              <w:spacing w:after="0"/>
              <w:rPr>
                <w:sz w:val="15"/>
                <w:szCs w:val="15"/>
                <w:color w:val="auto"/>
              </w:rPr>
            </w:pPr>
          </w:p>
        </w:tc>
      </w:tr>
      <w:tr>
        <w:trPr>
          <w:trHeight w:val="177"/>
        </w:trPr>
        <w:tc>
          <w:tcPr>
            <w:tcW w:w="1580" w:type="dxa"/>
            <w:vAlign w:val="bottom"/>
          </w:tcPr>
          <w:p>
            <w:pPr>
              <w:spacing w:after="0"/>
              <w:rPr>
                <w:sz w:val="15"/>
                <w:szCs w:val="15"/>
                <w:color w:val="auto"/>
              </w:rPr>
            </w:pPr>
          </w:p>
        </w:tc>
        <w:tc>
          <w:tcPr>
            <w:tcW w:w="8020" w:type="dxa"/>
            <w:vAlign w:val="bottom"/>
            <w:gridSpan w:val="2"/>
          </w:tcPr>
          <w:p>
            <w:pPr>
              <w:ind w:left="20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Conducts a periodic performance evaluation of the committee.</w:t>
            </w:r>
          </w:p>
        </w:tc>
        <w:tc>
          <w:tcPr>
            <w:tcW w:w="1640" w:type="dxa"/>
            <w:vAlign w:val="bottom"/>
          </w:tcPr>
          <w:p>
            <w:pPr>
              <w:spacing w:after="0"/>
              <w:rPr>
                <w:sz w:val="15"/>
                <w:szCs w:val="15"/>
                <w:color w:val="auto"/>
              </w:rPr>
            </w:pPr>
          </w:p>
        </w:tc>
      </w:tr>
      <w:tr>
        <w:trPr>
          <w:trHeight w:val="177"/>
        </w:trPr>
        <w:tc>
          <w:tcPr>
            <w:tcW w:w="1580" w:type="dxa"/>
            <w:vAlign w:val="bottom"/>
          </w:tcPr>
          <w:p>
            <w:pPr>
              <w:spacing w:after="0"/>
              <w:rPr>
                <w:sz w:val="15"/>
                <w:szCs w:val="15"/>
                <w:color w:val="auto"/>
              </w:rPr>
            </w:pPr>
          </w:p>
        </w:tc>
        <w:tc>
          <w:tcPr>
            <w:tcW w:w="8020" w:type="dxa"/>
            <w:vAlign w:val="bottom"/>
            <w:gridSpan w:val="2"/>
          </w:tcPr>
          <w:p>
            <w:pPr>
              <w:ind w:left="20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Reviews disclosure related to executive compensation in our proxy statement or annual report.</w:t>
            </w:r>
          </w:p>
        </w:tc>
        <w:tc>
          <w:tcPr>
            <w:tcW w:w="1640" w:type="dxa"/>
            <w:vAlign w:val="bottom"/>
          </w:tcPr>
          <w:p>
            <w:pPr>
              <w:spacing w:after="0"/>
              <w:rPr>
                <w:sz w:val="15"/>
                <w:szCs w:val="15"/>
                <w:color w:val="auto"/>
              </w:rPr>
            </w:pPr>
          </w:p>
        </w:tc>
      </w:tr>
      <w:tr>
        <w:trPr>
          <w:trHeight w:val="177"/>
        </w:trPr>
        <w:tc>
          <w:tcPr>
            <w:tcW w:w="1580" w:type="dxa"/>
            <w:vAlign w:val="bottom"/>
          </w:tcPr>
          <w:p>
            <w:pPr>
              <w:spacing w:after="0"/>
              <w:rPr>
                <w:sz w:val="15"/>
                <w:szCs w:val="15"/>
                <w:color w:val="auto"/>
              </w:rPr>
            </w:pPr>
          </w:p>
        </w:tc>
        <w:tc>
          <w:tcPr>
            <w:tcW w:w="300" w:type="dxa"/>
            <w:vAlign w:val="bottom"/>
          </w:tcPr>
          <w:p>
            <w:pPr>
              <w:ind w:left="200"/>
              <w:spacing w:after="0"/>
              <w:rPr>
                <w:sz w:val="20"/>
                <w:szCs w:val="20"/>
                <w:color w:val="auto"/>
              </w:rPr>
            </w:pPr>
            <w:r>
              <w:rPr>
                <w:rFonts w:ascii="Arial" w:cs="Arial" w:eastAsia="Arial" w:hAnsi="Arial"/>
                <w:sz w:val="15"/>
                <w:szCs w:val="15"/>
                <w:color w:val="A26F2A"/>
              </w:rPr>
              <w:t>•</w:t>
            </w:r>
          </w:p>
        </w:tc>
        <w:tc>
          <w:tcPr>
            <w:tcW w:w="9360" w:type="dxa"/>
            <w:vAlign w:val="bottom"/>
            <w:gridSpan w:val="2"/>
          </w:tcPr>
          <w:p>
            <w:pPr>
              <w:ind w:left="60"/>
              <w:spacing w:after="0"/>
              <w:rPr>
                <w:sz w:val="20"/>
                <w:szCs w:val="20"/>
                <w:color w:val="auto"/>
              </w:rPr>
            </w:pPr>
            <w:r>
              <w:rPr>
                <w:rFonts w:ascii="Arial" w:cs="Arial" w:eastAsia="Arial" w:hAnsi="Arial"/>
                <w:sz w:val="15"/>
                <w:szCs w:val="15"/>
                <w:color w:val="auto"/>
              </w:rPr>
              <w:t>Reviews and reassesses the adequacy of the compensation committee charter and recommends proposed changes to</w:t>
            </w:r>
          </w:p>
        </w:tc>
      </w:tr>
      <w:tr>
        <w:trPr>
          <w:trHeight w:val="177"/>
        </w:trPr>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720" w:type="dxa"/>
            <w:vAlign w:val="bottom"/>
          </w:tcPr>
          <w:p>
            <w:pPr>
              <w:ind w:left="60"/>
              <w:spacing w:after="0"/>
              <w:rPr>
                <w:sz w:val="20"/>
                <w:szCs w:val="20"/>
                <w:color w:val="auto"/>
              </w:rPr>
            </w:pPr>
            <w:r>
              <w:rPr>
                <w:rFonts w:ascii="Arial" w:cs="Arial" w:eastAsia="Arial" w:hAnsi="Arial"/>
                <w:sz w:val="15"/>
                <w:szCs w:val="15"/>
                <w:color w:val="auto"/>
              </w:rPr>
              <w:t>our board of directors.</w:t>
            </w:r>
          </w:p>
        </w:tc>
        <w:tc>
          <w:tcPr>
            <w:tcW w:w="1640" w:type="dxa"/>
            <w:vAlign w:val="bottom"/>
          </w:tcPr>
          <w:p>
            <w:pPr>
              <w:spacing w:after="0"/>
              <w:rPr>
                <w:sz w:val="15"/>
                <w:szCs w:val="15"/>
                <w:color w:val="auto"/>
              </w:rPr>
            </w:pPr>
          </w:p>
        </w:tc>
      </w:tr>
      <w:tr>
        <w:trPr>
          <w:trHeight w:val="177"/>
        </w:trPr>
        <w:tc>
          <w:tcPr>
            <w:tcW w:w="1580" w:type="dxa"/>
            <w:vAlign w:val="bottom"/>
          </w:tcPr>
          <w:p>
            <w:pPr>
              <w:spacing w:after="0"/>
              <w:rPr>
                <w:sz w:val="15"/>
                <w:szCs w:val="15"/>
                <w:color w:val="auto"/>
              </w:rPr>
            </w:pPr>
          </w:p>
        </w:tc>
        <w:tc>
          <w:tcPr>
            <w:tcW w:w="8020" w:type="dxa"/>
            <w:vAlign w:val="bottom"/>
            <w:gridSpan w:val="2"/>
          </w:tcPr>
          <w:p>
            <w:pPr>
              <w:ind w:left="20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Advises the board of directors regarding the stockholder advisory vote on executive compensation and</w:t>
            </w:r>
          </w:p>
        </w:tc>
        <w:tc>
          <w:tcPr>
            <w:tcW w:w="1640" w:type="dxa"/>
            <w:vAlign w:val="bottom"/>
          </w:tcPr>
          <w:p>
            <w:pPr>
              <w:jc w:val="right"/>
              <w:ind w:right="1064"/>
              <w:spacing w:after="0"/>
              <w:rPr>
                <w:sz w:val="20"/>
                <w:szCs w:val="20"/>
                <w:color w:val="auto"/>
              </w:rPr>
            </w:pPr>
            <w:r>
              <w:rPr>
                <w:rFonts w:ascii="Arial" w:cs="Arial" w:eastAsia="Arial" w:hAnsi="Arial"/>
                <w:sz w:val="15"/>
                <w:szCs w:val="15"/>
                <w:color w:val="auto"/>
              </w:rPr>
              <w:t>golden</w:t>
            </w:r>
          </w:p>
        </w:tc>
      </w:tr>
      <w:tr>
        <w:trPr>
          <w:trHeight w:val="177"/>
        </w:trPr>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720" w:type="dxa"/>
            <w:vAlign w:val="bottom"/>
          </w:tcPr>
          <w:p>
            <w:pPr>
              <w:ind w:left="60"/>
              <w:spacing w:after="0"/>
              <w:rPr>
                <w:sz w:val="20"/>
                <w:szCs w:val="20"/>
                <w:color w:val="auto"/>
              </w:rPr>
            </w:pPr>
            <w:r>
              <w:rPr>
                <w:rFonts w:ascii="Arial" w:cs="Arial" w:eastAsia="Arial" w:hAnsi="Arial"/>
                <w:sz w:val="15"/>
                <w:szCs w:val="15"/>
                <w:color w:val="auto"/>
              </w:rPr>
              <w:t>parachutes, including the frequency of such votes.</w:t>
            </w:r>
          </w:p>
        </w:tc>
        <w:tc>
          <w:tcPr>
            <w:tcW w:w="1640" w:type="dxa"/>
            <w:vAlign w:val="bottom"/>
          </w:tcPr>
          <w:p>
            <w:pPr>
              <w:spacing w:after="0"/>
              <w:rPr>
                <w:sz w:val="15"/>
                <w:szCs w:val="15"/>
                <w:color w:val="auto"/>
              </w:rPr>
            </w:pPr>
          </w:p>
        </w:tc>
      </w:tr>
      <w:tr>
        <w:trPr>
          <w:trHeight w:val="177"/>
        </w:trPr>
        <w:tc>
          <w:tcPr>
            <w:tcW w:w="1580" w:type="dxa"/>
            <w:vAlign w:val="bottom"/>
          </w:tcPr>
          <w:p>
            <w:pPr>
              <w:spacing w:after="0"/>
              <w:rPr>
                <w:sz w:val="15"/>
                <w:szCs w:val="15"/>
                <w:color w:val="auto"/>
              </w:rPr>
            </w:pPr>
          </w:p>
        </w:tc>
        <w:tc>
          <w:tcPr>
            <w:tcW w:w="9660" w:type="dxa"/>
            <w:vAlign w:val="bottom"/>
            <w:gridSpan w:val="3"/>
          </w:tcPr>
          <w:p>
            <w:pPr>
              <w:ind w:left="20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Reviews and considers the stockholder advisory vote on executive compensation when determining policies and making</w:t>
            </w:r>
          </w:p>
        </w:tc>
      </w:tr>
      <w:tr>
        <w:trPr>
          <w:trHeight w:val="177"/>
        </w:trPr>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720" w:type="dxa"/>
            <w:vAlign w:val="bottom"/>
          </w:tcPr>
          <w:p>
            <w:pPr>
              <w:ind w:left="60"/>
              <w:spacing w:after="0"/>
              <w:rPr>
                <w:sz w:val="20"/>
                <w:szCs w:val="20"/>
                <w:color w:val="auto"/>
              </w:rPr>
            </w:pPr>
            <w:r>
              <w:rPr>
                <w:rFonts w:ascii="Arial" w:cs="Arial" w:eastAsia="Arial" w:hAnsi="Arial"/>
                <w:sz w:val="15"/>
                <w:szCs w:val="15"/>
                <w:color w:val="auto"/>
              </w:rPr>
              <w:t>decisions on executive compensation.</w:t>
            </w:r>
          </w:p>
        </w:tc>
        <w:tc>
          <w:tcPr>
            <w:tcW w:w="1640" w:type="dxa"/>
            <w:vAlign w:val="bottom"/>
          </w:tcPr>
          <w:p>
            <w:pPr>
              <w:spacing w:after="0"/>
              <w:rPr>
                <w:sz w:val="15"/>
                <w:szCs w:val="15"/>
                <w:color w:val="auto"/>
              </w:rPr>
            </w:pPr>
          </w:p>
        </w:tc>
      </w:tr>
      <w:tr>
        <w:trPr>
          <w:trHeight w:val="177"/>
        </w:trPr>
        <w:tc>
          <w:tcPr>
            <w:tcW w:w="1580" w:type="dxa"/>
            <w:vAlign w:val="bottom"/>
          </w:tcPr>
          <w:p>
            <w:pPr>
              <w:spacing w:after="0"/>
              <w:rPr>
                <w:sz w:val="15"/>
                <w:szCs w:val="15"/>
                <w:color w:val="auto"/>
              </w:rPr>
            </w:pPr>
          </w:p>
        </w:tc>
        <w:tc>
          <w:tcPr>
            <w:tcW w:w="300" w:type="dxa"/>
            <w:vAlign w:val="bottom"/>
          </w:tcPr>
          <w:p>
            <w:pPr>
              <w:ind w:left="200"/>
              <w:spacing w:after="0"/>
              <w:rPr>
                <w:sz w:val="20"/>
                <w:szCs w:val="20"/>
                <w:color w:val="auto"/>
              </w:rPr>
            </w:pPr>
            <w:r>
              <w:rPr>
                <w:rFonts w:ascii="Arial" w:cs="Arial" w:eastAsia="Arial" w:hAnsi="Arial"/>
                <w:sz w:val="15"/>
                <w:szCs w:val="15"/>
                <w:color w:val="A26F2A"/>
              </w:rPr>
              <w:t>•</w:t>
            </w:r>
          </w:p>
        </w:tc>
        <w:tc>
          <w:tcPr>
            <w:tcW w:w="9360" w:type="dxa"/>
            <w:vAlign w:val="bottom"/>
            <w:gridSpan w:val="2"/>
          </w:tcPr>
          <w:p>
            <w:pPr>
              <w:ind w:left="60"/>
              <w:spacing w:after="0"/>
              <w:rPr>
                <w:sz w:val="20"/>
                <w:szCs w:val="20"/>
                <w:color w:val="auto"/>
              </w:rPr>
            </w:pPr>
            <w:r>
              <w:rPr>
                <w:rFonts w:ascii="Arial" w:cs="Arial" w:eastAsia="Arial" w:hAnsi="Arial"/>
                <w:sz w:val="15"/>
                <w:szCs w:val="15"/>
                <w:color w:val="auto"/>
              </w:rPr>
              <w:t>Administers our clawback policy in compliance with Rule 10D-1 under the Exchange Act and the Nasdaq listing</w:t>
            </w:r>
          </w:p>
        </w:tc>
      </w:tr>
      <w:tr>
        <w:trPr>
          <w:trHeight w:val="177"/>
        </w:trPr>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720" w:type="dxa"/>
            <w:vAlign w:val="bottom"/>
          </w:tcPr>
          <w:p>
            <w:pPr>
              <w:ind w:left="60"/>
              <w:spacing w:after="0"/>
              <w:rPr>
                <w:sz w:val="20"/>
                <w:szCs w:val="20"/>
                <w:color w:val="auto"/>
              </w:rPr>
            </w:pPr>
            <w:r>
              <w:rPr>
                <w:rFonts w:ascii="Arial" w:cs="Arial" w:eastAsia="Arial" w:hAnsi="Arial"/>
                <w:sz w:val="15"/>
                <w:szCs w:val="15"/>
                <w:color w:val="auto"/>
              </w:rPr>
              <w:t>standards, including the ability to amend, modify or terminate such policy.</w:t>
            </w:r>
          </w:p>
        </w:tc>
        <w:tc>
          <w:tcPr>
            <w:tcW w:w="1640" w:type="dxa"/>
            <w:vAlign w:val="bottom"/>
          </w:tcPr>
          <w:p>
            <w:pPr>
              <w:spacing w:after="0"/>
              <w:rPr>
                <w:sz w:val="15"/>
                <w:szCs w:val="15"/>
                <w:color w:val="auto"/>
              </w:rPr>
            </w:pPr>
          </w:p>
        </w:tc>
      </w:tr>
      <w:tr>
        <w:trPr>
          <w:trHeight w:val="177"/>
        </w:trPr>
        <w:tc>
          <w:tcPr>
            <w:tcW w:w="1580" w:type="dxa"/>
            <w:vAlign w:val="bottom"/>
          </w:tcPr>
          <w:p>
            <w:pPr>
              <w:spacing w:after="0"/>
              <w:rPr>
                <w:sz w:val="15"/>
                <w:szCs w:val="15"/>
                <w:color w:val="auto"/>
              </w:rPr>
            </w:pPr>
          </w:p>
        </w:tc>
        <w:tc>
          <w:tcPr>
            <w:tcW w:w="9660" w:type="dxa"/>
            <w:vAlign w:val="bottom"/>
            <w:gridSpan w:val="3"/>
          </w:tcPr>
          <w:p>
            <w:pPr>
              <w:ind w:left="20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Has the sole authority to appoint, compensate and oversee work of any compensation consultant and other advisors with</w:t>
            </w:r>
          </w:p>
        </w:tc>
      </w:tr>
      <w:tr>
        <w:trPr>
          <w:trHeight w:val="177"/>
        </w:trPr>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60" w:type="dxa"/>
            <w:vAlign w:val="bottom"/>
            <w:gridSpan w:val="2"/>
          </w:tcPr>
          <w:p>
            <w:pPr>
              <w:ind w:left="60"/>
              <w:spacing w:after="0"/>
              <w:rPr>
                <w:sz w:val="20"/>
                <w:szCs w:val="20"/>
                <w:color w:val="auto"/>
              </w:rPr>
            </w:pPr>
            <w:r>
              <w:rPr>
                <w:rFonts w:ascii="Arial" w:cs="Arial" w:eastAsia="Arial" w:hAnsi="Arial"/>
                <w:sz w:val="15"/>
                <w:szCs w:val="15"/>
                <w:color w:val="auto"/>
              </w:rPr>
              <w:t>respect to executive compensation and assistance with other charter responsibilities and determines any conflict of</w:t>
            </w:r>
          </w:p>
        </w:tc>
      </w:tr>
      <w:tr>
        <w:trPr>
          <w:trHeight w:val="189"/>
        </w:trPr>
        <w:tc>
          <w:tcPr>
            <w:tcW w:w="1580" w:type="dxa"/>
            <w:vAlign w:val="bottom"/>
            <w:tcBorders>
              <w:bottom w:val="single" w:sz="8" w:color="A26F2A"/>
            </w:tcBorders>
          </w:tcPr>
          <w:p>
            <w:pPr>
              <w:spacing w:after="0"/>
              <w:rPr>
                <w:sz w:val="16"/>
                <w:szCs w:val="16"/>
                <w:color w:val="auto"/>
              </w:rPr>
            </w:pPr>
          </w:p>
        </w:tc>
        <w:tc>
          <w:tcPr>
            <w:tcW w:w="300" w:type="dxa"/>
            <w:vAlign w:val="bottom"/>
            <w:tcBorders>
              <w:bottom w:val="single" w:sz="8" w:color="A26F2A"/>
            </w:tcBorders>
          </w:tcPr>
          <w:p>
            <w:pPr>
              <w:spacing w:after="0"/>
              <w:rPr>
                <w:sz w:val="16"/>
                <w:szCs w:val="16"/>
                <w:color w:val="auto"/>
              </w:rPr>
            </w:pPr>
          </w:p>
        </w:tc>
        <w:tc>
          <w:tcPr>
            <w:tcW w:w="7720" w:type="dxa"/>
            <w:vAlign w:val="bottom"/>
            <w:tcBorders>
              <w:bottom w:val="single" w:sz="8" w:color="A26F2A"/>
            </w:tcBorders>
          </w:tcPr>
          <w:p>
            <w:pPr>
              <w:ind w:left="60"/>
              <w:spacing w:after="0"/>
              <w:rPr>
                <w:sz w:val="20"/>
                <w:szCs w:val="20"/>
                <w:color w:val="auto"/>
              </w:rPr>
            </w:pPr>
            <w:r>
              <w:rPr>
                <w:rFonts w:ascii="Arial" w:cs="Arial" w:eastAsia="Arial" w:hAnsi="Arial"/>
                <w:sz w:val="15"/>
                <w:szCs w:val="15"/>
                <w:color w:val="auto"/>
              </w:rPr>
              <w:t>interest with such compensation consultant.</w:t>
            </w:r>
          </w:p>
        </w:tc>
        <w:tc>
          <w:tcPr>
            <w:tcW w:w="1640" w:type="dxa"/>
            <w:vAlign w:val="bottom"/>
            <w:tcBorders>
              <w:bottom w:val="single" w:sz="8" w:color="A26F2A"/>
            </w:tcBorders>
          </w:tcPr>
          <w:p>
            <w:pPr>
              <w:spacing w:after="0"/>
              <w:rPr>
                <w:sz w:val="16"/>
                <w:szCs w:val="16"/>
                <w:color w:val="auto"/>
              </w:rPr>
            </w:pPr>
          </w:p>
        </w:tc>
      </w:tr>
    </w:tbl>
    <w:p>
      <w:pPr>
        <w:spacing w:after="0" w:line="43" w:lineRule="exact"/>
        <w:rPr>
          <w:sz w:val="20"/>
          <w:szCs w:val="20"/>
          <w:color w:val="auto"/>
        </w:rPr>
      </w:pPr>
    </w:p>
    <w:p>
      <w:pPr>
        <w:ind w:left="300" w:hanging="299"/>
        <w:spacing w:after="0"/>
        <w:tabs>
          <w:tab w:leader="none" w:pos="300" w:val="left"/>
        </w:tabs>
        <w:numPr>
          <w:ilvl w:val="0"/>
          <w:numId w:val="44"/>
        </w:numPr>
        <w:rPr>
          <w:rFonts w:ascii="Arial" w:cs="Arial" w:eastAsia="Arial" w:hAnsi="Arial"/>
          <w:sz w:val="13"/>
          <w:szCs w:val="13"/>
          <w:i w:val="1"/>
          <w:iCs w:val="1"/>
          <w:color w:val="auto"/>
        </w:rPr>
      </w:pPr>
      <w:r>
        <w:rPr>
          <w:rFonts w:ascii="Arial" w:cs="Arial" w:eastAsia="Arial" w:hAnsi="Arial"/>
          <w:sz w:val="13"/>
          <w:szCs w:val="13"/>
          <w:i w:val="1"/>
          <w:iCs w:val="1"/>
          <w:color w:val="auto"/>
        </w:rPr>
        <w:t>Committee Chair.</w:t>
      </w:r>
    </w:p>
    <w:p>
      <w:pPr>
        <w:spacing w:after="0" w:line="174"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Nominating and Corporate Governance Committee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Number of</w:t>
            </w:r>
          </w:p>
        </w:tc>
      </w:tr>
      <w:tr>
        <w:trPr>
          <w:trHeight w:val="177"/>
        </w:trPr>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b w:val="1"/>
                <w:bCs w:val="1"/>
                <w:color w:val="auto"/>
              </w:rPr>
              <w:t>Meetings in</w:t>
            </w:r>
          </w:p>
        </w:tc>
      </w:tr>
      <w:tr>
        <w:trPr>
          <w:trHeight w:val="194"/>
        </w:trPr>
        <w:tc>
          <w:tcPr>
            <w:tcW w:w="154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Members</w:t>
            </w:r>
          </w:p>
        </w:tc>
        <w:tc>
          <w:tcPr>
            <w:tcW w:w="5160" w:type="dxa"/>
            <w:vAlign w:val="bottom"/>
            <w:tcBorders>
              <w:bottom w:val="single" w:sz="8" w:color="A26F2A"/>
            </w:tcBorders>
            <w:gridSpan w:val="2"/>
          </w:tcPr>
          <w:p>
            <w:pPr>
              <w:ind w:left="240"/>
              <w:spacing w:after="0"/>
              <w:rPr>
                <w:sz w:val="20"/>
                <w:szCs w:val="20"/>
                <w:color w:val="auto"/>
              </w:rPr>
            </w:pPr>
            <w:r>
              <w:rPr>
                <w:rFonts w:ascii="Arial" w:cs="Arial" w:eastAsia="Arial" w:hAnsi="Arial"/>
                <w:sz w:val="15"/>
                <w:szCs w:val="15"/>
                <w:b w:val="1"/>
                <w:bCs w:val="1"/>
                <w:color w:val="auto"/>
              </w:rPr>
              <w:t>Principal Functions</w:t>
            </w:r>
          </w:p>
        </w:tc>
        <w:tc>
          <w:tcPr>
            <w:tcW w:w="3500" w:type="dxa"/>
            <w:vAlign w:val="bottom"/>
            <w:tcBorders>
              <w:bottom w:val="single" w:sz="8" w:color="A26F2A"/>
            </w:tcBorders>
          </w:tcPr>
          <w:p>
            <w:pPr>
              <w:spacing w:after="0"/>
              <w:rPr>
                <w:sz w:val="16"/>
                <w:szCs w:val="16"/>
                <w:color w:val="auto"/>
              </w:rPr>
            </w:pPr>
          </w:p>
        </w:tc>
        <w:tc>
          <w:tcPr>
            <w:tcW w:w="1040" w:type="dxa"/>
            <w:vAlign w:val="bottom"/>
            <w:tcBorders>
              <w:bottom w:val="single" w:sz="8" w:color="A26F2A"/>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164"/>
        </w:trPr>
        <w:tc>
          <w:tcPr>
            <w:tcW w:w="1540" w:type="dxa"/>
            <w:vAlign w:val="bottom"/>
          </w:tcPr>
          <w:p>
            <w:pPr>
              <w:ind w:left="60"/>
              <w:spacing w:after="0" w:line="164" w:lineRule="exact"/>
              <w:rPr>
                <w:sz w:val="20"/>
                <w:szCs w:val="20"/>
                <w:color w:val="auto"/>
              </w:rPr>
            </w:pPr>
            <w:r>
              <w:rPr>
                <w:rFonts w:ascii="Arial" w:cs="Arial" w:eastAsia="Arial" w:hAnsi="Arial"/>
                <w:sz w:val="15"/>
                <w:szCs w:val="15"/>
                <w:color w:val="auto"/>
              </w:rPr>
              <w:t>Vincent K. Brooks*</w:t>
            </w:r>
          </w:p>
        </w:tc>
        <w:tc>
          <w:tcPr>
            <w:tcW w:w="340" w:type="dxa"/>
            <w:vAlign w:val="bottom"/>
          </w:tcPr>
          <w:p>
            <w:pPr>
              <w:ind w:left="240"/>
              <w:spacing w:after="0" w:line="164" w:lineRule="exact"/>
              <w:rPr>
                <w:sz w:val="20"/>
                <w:szCs w:val="20"/>
                <w:color w:val="auto"/>
              </w:rPr>
            </w:pPr>
            <w:r>
              <w:rPr>
                <w:rFonts w:ascii="Arial" w:cs="Arial" w:eastAsia="Arial" w:hAnsi="Arial"/>
                <w:sz w:val="15"/>
                <w:szCs w:val="15"/>
                <w:color w:val="A26F2A"/>
              </w:rPr>
              <w:t>•</w:t>
            </w:r>
          </w:p>
        </w:tc>
        <w:tc>
          <w:tcPr>
            <w:tcW w:w="4820" w:type="dxa"/>
            <w:vAlign w:val="bottom"/>
          </w:tcPr>
          <w:p>
            <w:pPr>
              <w:ind w:left="60"/>
              <w:spacing w:after="0" w:line="164" w:lineRule="exact"/>
              <w:rPr>
                <w:sz w:val="20"/>
                <w:szCs w:val="20"/>
                <w:color w:val="auto"/>
              </w:rPr>
            </w:pPr>
            <w:r>
              <w:rPr>
                <w:rFonts w:ascii="Arial" w:cs="Arial" w:eastAsia="Arial" w:hAnsi="Arial"/>
                <w:sz w:val="15"/>
                <w:szCs w:val="15"/>
                <w:color w:val="auto"/>
              </w:rPr>
              <w:t>Assists the board of directors in developing criteria for, identifying</w:t>
            </w:r>
          </w:p>
        </w:tc>
        <w:tc>
          <w:tcPr>
            <w:tcW w:w="3500" w:type="dxa"/>
            <w:vAlign w:val="bottom"/>
          </w:tcPr>
          <w:p>
            <w:pPr>
              <w:ind w:left="40"/>
              <w:spacing w:after="0" w:line="164" w:lineRule="exact"/>
              <w:rPr>
                <w:sz w:val="20"/>
                <w:szCs w:val="20"/>
                <w:color w:val="auto"/>
              </w:rPr>
            </w:pPr>
            <w:r>
              <w:rPr>
                <w:rFonts w:ascii="Arial" w:cs="Arial" w:eastAsia="Arial" w:hAnsi="Arial"/>
                <w:sz w:val="15"/>
                <w:szCs w:val="15"/>
                <w:color w:val="auto"/>
              </w:rPr>
              <w:t>and evaluating individuals qualified to serve as</w:t>
            </w:r>
          </w:p>
        </w:tc>
        <w:tc>
          <w:tcPr>
            <w:tcW w:w="1040" w:type="dxa"/>
            <w:vAlign w:val="bottom"/>
          </w:tcPr>
          <w:p>
            <w:pPr>
              <w:jc w:val="right"/>
              <w:spacing w:after="0" w:line="164" w:lineRule="exact"/>
              <w:rPr>
                <w:sz w:val="20"/>
                <w:szCs w:val="20"/>
                <w:color w:val="auto"/>
              </w:rPr>
            </w:pPr>
            <w:r>
              <w:rPr>
                <w:rFonts w:ascii="Arial" w:cs="Arial" w:eastAsia="Arial" w:hAnsi="Arial"/>
                <w:sz w:val="15"/>
                <w:szCs w:val="15"/>
                <w:color w:val="auto"/>
              </w:rPr>
              <w:t>One</w:t>
            </w:r>
          </w:p>
        </w:tc>
      </w:tr>
      <w:tr>
        <w:trPr>
          <w:trHeight w:val="177"/>
        </w:trPr>
        <w:tc>
          <w:tcPr>
            <w:tcW w:w="1540" w:type="dxa"/>
            <w:vAlign w:val="bottom"/>
          </w:tcPr>
          <w:p>
            <w:pPr>
              <w:ind w:left="60"/>
              <w:spacing w:after="0"/>
              <w:rPr>
                <w:sz w:val="20"/>
                <w:szCs w:val="20"/>
                <w:color w:val="auto"/>
              </w:rPr>
            </w:pPr>
            <w:r>
              <w:rPr>
                <w:rFonts w:ascii="Arial" w:cs="Arial" w:eastAsia="Arial" w:hAnsi="Arial"/>
                <w:sz w:val="15"/>
                <w:szCs w:val="15"/>
                <w:color w:val="auto"/>
              </w:rPr>
              <w:t>Mark L. Plaumann</w:t>
            </w:r>
          </w:p>
        </w:tc>
        <w:tc>
          <w:tcPr>
            <w:tcW w:w="340" w:type="dxa"/>
            <w:vAlign w:val="bottom"/>
          </w:tcPr>
          <w:p>
            <w:pPr>
              <w:spacing w:after="0"/>
              <w:rPr>
                <w:sz w:val="15"/>
                <w:szCs w:val="15"/>
                <w:color w:val="auto"/>
              </w:rPr>
            </w:pPr>
          </w:p>
        </w:tc>
        <w:tc>
          <w:tcPr>
            <w:tcW w:w="4820" w:type="dxa"/>
            <w:vAlign w:val="bottom"/>
          </w:tcPr>
          <w:p>
            <w:pPr>
              <w:ind w:left="60"/>
              <w:spacing w:after="0"/>
              <w:rPr>
                <w:sz w:val="20"/>
                <w:szCs w:val="20"/>
                <w:color w:val="auto"/>
              </w:rPr>
            </w:pPr>
            <w:r>
              <w:rPr>
                <w:rFonts w:ascii="Arial" w:cs="Arial" w:eastAsia="Arial" w:hAnsi="Arial"/>
                <w:sz w:val="15"/>
                <w:szCs w:val="15"/>
                <w:color w:val="auto"/>
              </w:rPr>
              <w:t>members of our board of directors.</w:t>
            </w:r>
          </w:p>
        </w:tc>
        <w:tc>
          <w:tcPr>
            <w:tcW w:w="3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7"/>
        </w:trPr>
        <w:tc>
          <w:tcPr>
            <w:tcW w:w="1540" w:type="dxa"/>
            <w:vAlign w:val="bottom"/>
          </w:tcPr>
          <w:p>
            <w:pPr>
              <w:ind w:left="60"/>
              <w:spacing w:after="0"/>
              <w:rPr>
                <w:sz w:val="20"/>
                <w:szCs w:val="20"/>
                <w:color w:val="auto"/>
              </w:rPr>
            </w:pPr>
            <w:r>
              <w:rPr>
                <w:rFonts w:ascii="Arial" w:cs="Arial" w:eastAsia="Arial" w:hAnsi="Arial"/>
                <w:sz w:val="15"/>
                <w:szCs w:val="15"/>
                <w:color w:val="auto"/>
              </w:rPr>
              <w:t>Robert K. Reeves</w:t>
            </w:r>
          </w:p>
        </w:tc>
        <w:tc>
          <w:tcPr>
            <w:tcW w:w="340" w:type="dxa"/>
            <w:vAlign w:val="bottom"/>
          </w:tcPr>
          <w:p>
            <w:pPr>
              <w:ind w:left="240"/>
              <w:spacing w:after="0"/>
              <w:rPr>
                <w:sz w:val="20"/>
                <w:szCs w:val="20"/>
                <w:color w:val="auto"/>
              </w:rPr>
            </w:pPr>
            <w:r>
              <w:rPr>
                <w:rFonts w:ascii="Arial" w:cs="Arial" w:eastAsia="Arial" w:hAnsi="Arial"/>
                <w:sz w:val="15"/>
                <w:szCs w:val="15"/>
                <w:color w:val="A26F2A"/>
              </w:rPr>
              <w:t>•</w:t>
            </w:r>
          </w:p>
        </w:tc>
        <w:tc>
          <w:tcPr>
            <w:tcW w:w="8320" w:type="dxa"/>
            <w:vAlign w:val="bottom"/>
            <w:gridSpan w:val="2"/>
          </w:tcPr>
          <w:p>
            <w:pPr>
              <w:ind w:left="60"/>
              <w:spacing w:after="0"/>
              <w:rPr>
                <w:sz w:val="20"/>
                <w:szCs w:val="20"/>
                <w:color w:val="auto"/>
              </w:rPr>
            </w:pPr>
            <w:r>
              <w:rPr>
                <w:rFonts w:ascii="Arial" w:cs="Arial" w:eastAsia="Arial" w:hAnsi="Arial"/>
                <w:sz w:val="15"/>
                <w:szCs w:val="15"/>
                <w:color w:val="auto"/>
              </w:rPr>
              <w:t>Identifies and recommends director candidates to the board of directors to be submitted for election at the annual meeting</w:t>
            </w:r>
          </w:p>
        </w:tc>
        <w:tc>
          <w:tcPr>
            <w:tcW w:w="1040" w:type="dxa"/>
            <w:vAlign w:val="bottom"/>
          </w:tcPr>
          <w:p>
            <w:pPr>
              <w:spacing w:after="0"/>
              <w:rPr>
                <w:sz w:val="15"/>
                <w:szCs w:val="15"/>
                <w:color w:val="auto"/>
              </w:rPr>
            </w:pPr>
          </w:p>
        </w:tc>
      </w:tr>
      <w:tr>
        <w:trPr>
          <w:trHeight w:val="177"/>
        </w:trPr>
        <w:tc>
          <w:tcPr>
            <w:tcW w:w="1540" w:type="dxa"/>
            <w:vAlign w:val="bottom"/>
          </w:tcPr>
          <w:p>
            <w:pPr>
              <w:ind w:left="60"/>
              <w:spacing w:after="0"/>
              <w:rPr>
                <w:sz w:val="20"/>
                <w:szCs w:val="20"/>
                <w:color w:val="auto"/>
              </w:rPr>
            </w:pPr>
            <w:r>
              <w:rPr>
                <w:rFonts w:ascii="Arial" w:cs="Arial" w:eastAsia="Arial" w:hAnsi="Arial"/>
                <w:sz w:val="15"/>
                <w:szCs w:val="15"/>
                <w:color w:val="auto"/>
              </w:rPr>
              <w:t>Melanie M. Trent</w:t>
            </w:r>
          </w:p>
        </w:tc>
        <w:tc>
          <w:tcPr>
            <w:tcW w:w="340" w:type="dxa"/>
            <w:vAlign w:val="bottom"/>
          </w:tcPr>
          <w:p>
            <w:pPr>
              <w:spacing w:after="0"/>
              <w:rPr>
                <w:sz w:val="15"/>
                <w:szCs w:val="15"/>
                <w:color w:val="auto"/>
              </w:rPr>
            </w:pPr>
          </w:p>
        </w:tc>
        <w:tc>
          <w:tcPr>
            <w:tcW w:w="4820" w:type="dxa"/>
            <w:vAlign w:val="bottom"/>
          </w:tcPr>
          <w:p>
            <w:pPr>
              <w:ind w:left="60"/>
              <w:spacing w:after="0"/>
              <w:rPr>
                <w:sz w:val="20"/>
                <w:szCs w:val="20"/>
                <w:color w:val="auto"/>
              </w:rPr>
            </w:pPr>
            <w:r>
              <w:rPr>
                <w:rFonts w:ascii="Arial" w:cs="Arial" w:eastAsia="Arial" w:hAnsi="Arial"/>
                <w:sz w:val="15"/>
                <w:szCs w:val="15"/>
                <w:color w:val="auto"/>
              </w:rPr>
              <w:t>and to fill any vacancies on the board of directors.</w:t>
            </w:r>
          </w:p>
        </w:tc>
        <w:tc>
          <w:tcPr>
            <w:tcW w:w="3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7"/>
        </w:trPr>
        <w:tc>
          <w:tcPr>
            <w:tcW w:w="1540" w:type="dxa"/>
            <w:vAlign w:val="bottom"/>
          </w:tcPr>
          <w:p>
            <w:pPr>
              <w:spacing w:after="0"/>
              <w:rPr>
                <w:sz w:val="15"/>
                <w:szCs w:val="15"/>
                <w:color w:val="auto"/>
              </w:rPr>
            </w:pPr>
          </w:p>
        </w:tc>
        <w:tc>
          <w:tcPr>
            <w:tcW w:w="8660" w:type="dxa"/>
            <w:vAlign w:val="bottom"/>
            <w:gridSpan w:val="3"/>
          </w:tcPr>
          <w:p>
            <w:pPr>
              <w:ind w:left="24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Conducts and oversees the self-evaluation of the board of directors and each of its committees and reporting such results</w:t>
            </w:r>
          </w:p>
        </w:tc>
        <w:tc>
          <w:tcPr>
            <w:tcW w:w="1040" w:type="dxa"/>
            <w:vAlign w:val="bottom"/>
          </w:tcPr>
          <w:p>
            <w:pPr>
              <w:spacing w:after="0"/>
              <w:rPr>
                <w:sz w:val="15"/>
                <w:szCs w:val="15"/>
                <w:color w:val="auto"/>
              </w:rPr>
            </w:pPr>
          </w:p>
        </w:tc>
      </w:tr>
      <w:tr>
        <w:trPr>
          <w:trHeight w:val="177"/>
        </w:trPr>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20" w:type="dxa"/>
            <w:vAlign w:val="bottom"/>
          </w:tcPr>
          <w:p>
            <w:pPr>
              <w:ind w:left="60"/>
              <w:spacing w:after="0"/>
              <w:rPr>
                <w:sz w:val="20"/>
                <w:szCs w:val="20"/>
                <w:color w:val="auto"/>
              </w:rPr>
            </w:pPr>
            <w:r>
              <w:rPr>
                <w:rFonts w:ascii="Arial" w:cs="Arial" w:eastAsia="Arial" w:hAnsi="Arial"/>
                <w:sz w:val="15"/>
                <w:szCs w:val="15"/>
                <w:color w:val="auto"/>
              </w:rPr>
              <w:t>to the board of directors.</w:t>
            </w:r>
          </w:p>
        </w:tc>
        <w:tc>
          <w:tcPr>
            <w:tcW w:w="3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7"/>
        </w:trPr>
        <w:tc>
          <w:tcPr>
            <w:tcW w:w="1540" w:type="dxa"/>
            <w:vAlign w:val="bottom"/>
          </w:tcPr>
          <w:p>
            <w:pPr>
              <w:spacing w:after="0"/>
              <w:rPr>
                <w:sz w:val="15"/>
                <w:szCs w:val="15"/>
                <w:color w:val="auto"/>
              </w:rPr>
            </w:pPr>
          </w:p>
        </w:tc>
        <w:tc>
          <w:tcPr>
            <w:tcW w:w="8660" w:type="dxa"/>
            <w:vAlign w:val="bottom"/>
            <w:gridSpan w:val="3"/>
          </w:tcPr>
          <w:p>
            <w:pPr>
              <w:ind w:left="24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Evaluates candidates for board of directors’ membership, including those recommended by stockholders of the Company.</w:t>
            </w:r>
          </w:p>
        </w:tc>
        <w:tc>
          <w:tcPr>
            <w:tcW w:w="1040" w:type="dxa"/>
            <w:vAlign w:val="bottom"/>
          </w:tcPr>
          <w:p>
            <w:pPr>
              <w:spacing w:after="0"/>
              <w:rPr>
                <w:sz w:val="15"/>
                <w:szCs w:val="15"/>
                <w:color w:val="auto"/>
              </w:rPr>
            </w:pPr>
          </w:p>
        </w:tc>
      </w:tr>
      <w:tr>
        <w:trPr>
          <w:trHeight w:val="177"/>
        </w:trPr>
        <w:tc>
          <w:tcPr>
            <w:tcW w:w="1540" w:type="dxa"/>
            <w:vAlign w:val="bottom"/>
          </w:tcPr>
          <w:p>
            <w:pPr>
              <w:spacing w:after="0"/>
              <w:rPr>
                <w:sz w:val="15"/>
                <w:szCs w:val="15"/>
                <w:color w:val="auto"/>
              </w:rPr>
            </w:pPr>
          </w:p>
        </w:tc>
        <w:tc>
          <w:tcPr>
            <w:tcW w:w="8660" w:type="dxa"/>
            <w:vAlign w:val="bottom"/>
            <w:gridSpan w:val="3"/>
          </w:tcPr>
          <w:p>
            <w:pPr>
              <w:ind w:left="24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Periodically reviews and makes recommendations regarding the composition and size of the board of directors and each</w:t>
            </w:r>
          </w:p>
        </w:tc>
        <w:tc>
          <w:tcPr>
            <w:tcW w:w="1040" w:type="dxa"/>
            <w:vAlign w:val="bottom"/>
          </w:tcPr>
          <w:p>
            <w:pPr>
              <w:spacing w:after="0"/>
              <w:rPr>
                <w:sz w:val="15"/>
                <w:szCs w:val="15"/>
                <w:color w:val="auto"/>
              </w:rPr>
            </w:pPr>
          </w:p>
        </w:tc>
      </w:tr>
      <w:tr>
        <w:trPr>
          <w:trHeight w:val="177"/>
        </w:trPr>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20" w:type="dxa"/>
            <w:vAlign w:val="bottom"/>
          </w:tcPr>
          <w:p>
            <w:pPr>
              <w:ind w:left="60"/>
              <w:spacing w:after="0"/>
              <w:rPr>
                <w:sz w:val="20"/>
                <w:szCs w:val="20"/>
                <w:color w:val="auto"/>
              </w:rPr>
            </w:pPr>
            <w:r>
              <w:rPr>
                <w:rFonts w:ascii="Arial" w:cs="Arial" w:eastAsia="Arial" w:hAnsi="Arial"/>
                <w:sz w:val="15"/>
                <w:szCs w:val="15"/>
                <w:color w:val="auto"/>
              </w:rPr>
              <w:t>of its committees.</w:t>
            </w:r>
          </w:p>
        </w:tc>
        <w:tc>
          <w:tcPr>
            <w:tcW w:w="3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7"/>
        </w:trPr>
        <w:tc>
          <w:tcPr>
            <w:tcW w:w="1540" w:type="dxa"/>
            <w:vAlign w:val="bottom"/>
          </w:tcPr>
          <w:p>
            <w:pPr>
              <w:spacing w:after="0"/>
              <w:rPr>
                <w:sz w:val="15"/>
                <w:szCs w:val="15"/>
                <w:color w:val="auto"/>
              </w:rPr>
            </w:pPr>
          </w:p>
        </w:tc>
        <w:tc>
          <w:tcPr>
            <w:tcW w:w="5160" w:type="dxa"/>
            <w:vAlign w:val="bottom"/>
            <w:gridSpan w:val="2"/>
          </w:tcPr>
          <w:p>
            <w:pPr>
              <w:ind w:left="24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Reviews and makes recommendations to the board of directors</w:t>
            </w:r>
          </w:p>
        </w:tc>
        <w:tc>
          <w:tcPr>
            <w:tcW w:w="3500" w:type="dxa"/>
            <w:vAlign w:val="bottom"/>
          </w:tcPr>
          <w:p>
            <w:pPr>
              <w:ind w:left="40"/>
              <w:spacing w:after="0"/>
              <w:rPr>
                <w:sz w:val="20"/>
                <w:szCs w:val="20"/>
                <w:color w:val="auto"/>
              </w:rPr>
            </w:pPr>
            <w:r>
              <w:rPr>
                <w:rFonts w:ascii="Arial" w:cs="Arial" w:eastAsia="Arial" w:hAnsi="Arial"/>
                <w:sz w:val="15"/>
                <w:szCs w:val="15"/>
                <w:color w:val="auto"/>
              </w:rPr>
              <w:t>regarding significant stockholder concerns and</w:t>
            </w:r>
          </w:p>
        </w:tc>
        <w:tc>
          <w:tcPr>
            <w:tcW w:w="1040" w:type="dxa"/>
            <w:vAlign w:val="bottom"/>
          </w:tcPr>
          <w:p>
            <w:pPr>
              <w:spacing w:after="0"/>
              <w:rPr>
                <w:sz w:val="15"/>
                <w:szCs w:val="15"/>
                <w:color w:val="auto"/>
              </w:rPr>
            </w:pPr>
          </w:p>
        </w:tc>
      </w:tr>
      <w:tr>
        <w:trPr>
          <w:trHeight w:val="177"/>
        </w:trPr>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20" w:type="dxa"/>
            <w:vAlign w:val="bottom"/>
          </w:tcPr>
          <w:p>
            <w:pPr>
              <w:ind w:left="60"/>
              <w:spacing w:after="0"/>
              <w:rPr>
                <w:sz w:val="20"/>
                <w:szCs w:val="20"/>
                <w:color w:val="auto"/>
              </w:rPr>
            </w:pPr>
            <w:r>
              <w:rPr>
                <w:rFonts w:ascii="Arial" w:cs="Arial" w:eastAsia="Arial" w:hAnsi="Arial"/>
                <w:sz w:val="15"/>
                <w:szCs w:val="15"/>
                <w:color w:val="auto"/>
              </w:rPr>
              <w:t>stockholder proposals related to corporate governance matters.</w:t>
            </w:r>
          </w:p>
        </w:tc>
        <w:tc>
          <w:tcPr>
            <w:tcW w:w="3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7"/>
        </w:trPr>
        <w:tc>
          <w:tcPr>
            <w:tcW w:w="1540" w:type="dxa"/>
            <w:vAlign w:val="bottom"/>
          </w:tcPr>
          <w:p>
            <w:pPr>
              <w:spacing w:after="0"/>
              <w:rPr>
                <w:sz w:val="15"/>
                <w:szCs w:val="15"/>
                <w:color w:val="auto"/>
              </w:rPr>
            </w:pPr>
          </w:p>
        </w:tc>
        <w:tc>
          <w:tcPr>
            <w:tcW w:w="340" w:type="dxa"/>
            <w:vAlign w:val="bottom"/>
          </w:tcPr>
          <w:p>
            <w:pPr>
              <w:ind w:left="240"/>
              <w:spacing w:after="0"/>
              <w:rPr>
                <w:sz w:val="20"/>
                <w:szCs w:val="20"/>
                <w:color w:val="auto"/>
              </w:rPr>
            </w:pPr>
            <w:r>
              <w:rPr>
                <w:rFonts w:ascii="Arial" w:cs="Arial" w:eastAsia="Arial" w:hAnsi="Arial"/>
                <w:sz w:val="15"/>
                <w:szCs w:val="15"/>
                <w:color w:val="A26F2A"/>
              </w:rPr>
              <w:t>•</w:t>
            </w:r>
          </w:p>
        </w:tc>
        <w:tc>
          <w:tcPr>
            <w:tcW w:w="8320" w:type="dxa"/>
            <w:vAlign w:val="bottom"/>
            <w:gridSpan w:val="2"/>
          </w:tcPr>
          <w:p>
            <w:pPr>
              <w:ind w:left="60"/>
              <w:spacing w:after="0"/>
              <w:rPr>
                <w:sz w:val="20"/>
                <w:szCs w:val="20"/>
                <w:color w:val="auto"/>
              </w:rPr>
            </w:pPr>
            <w:r>
              <w:rPr>
                <w:rFonts w:ascii="Arial" w:cs="Arial" w:eastAsia="Arial" w:hAnsi="Arial"/>
                <w:sz w:val="15"/>
                <w:szCs w:val="15"/>
                <w:color w:val="auto"/>
              </w:rPr>
              <w:t>Annually reviews and reassesses the adequacy of the Company’s Corporate Governance Guidelines and recommends</w:t>
            </w:r>
          </w:p>
        </w:tc>
        <w:tc>
          <w:tcPr>
            <w:tcW w:w="1040" w:type="dxa"/>
            <w:vAlign w:val="bottom"/>
          </w:tcPr>
          <w:p>
            <w:pPr>
              <w:spacing w:after="0"/>
              <w:rPr>
                <w:sz w:val="15"/>
                <w:szCs w:val="15"/>
                <w:color w:val="auto"/>
              </w:rPr>
            </w:pPr>
          </w:p>
        </w:tc>
      </w:tr>
      <w:tr>
        <w:trPr>
          <w:trHeight w:val="177"/>
        </w:trPr>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20" w:type="dxa"/>
            <w:vAlign w:val="bottom"/>
          </w:tcPr>
          <w:p>
            <w:pPr>
              <w:ind w:left="60"/>
              <w:spacing w:after="0"/>
              <w:rPr>
                <w:sz w:val="20"/>
                <w:szCs w:val="20"/>
                <w:color w:val="auto"/>
              </w:rPr>
            </w:pPr>
            <w:r>
              <w:rPr>
                <w:rFonts w:ascii="Arial" w:cs="Arial" w:eastAsia="Arial" w:hAnsi="Arial"/>
                <w:sz w:val="15"/>
                <w:szCs w:val="15"/>
                <w:color w:val="auto"/>
              </w:rPr>
              <w:t>any proposed changes to the board of directors for approval.</w:t>
            </w:r>
          </w:p>
        </w:tc>
        <w:tc>
          <w:tcPr>
            <w:tcW w:w="3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7"/>
        </w:trPr>
        <w:tc>
          <w:tcPr>
            <w:tcW w:w="1540" w:type="dxa"/>
            <w:vAlign w:val="bottom"/>
          </w:tcPr>
          <w:p>
            <w:pPr>
              <w:spacing w:after="0"/>
              <w:rPr>
                <w:sz w:val="15"/>
                <w:szCs w:val="15"/>
                <w:color w:val="auto"/>
              </w:rPr>
            </w:pPr>
          </w:p>
        </w:tc>
        <w:tc>
          <w:tcPr>
            <w:tcW w:w="340" w:type="dxa"/>
            <w:vAlign w:val="bottom"/>
          </w:tcPr>
          <w:p>
            <w:pPr>
              <w:ind w:left="240"/>
              <w:spacing w:after="0"/>
              <w:rPr>
                <w:sz w:val="20"/>
                <w:szCs w:val="20"/>
                <w:color w:val="auto"/>
              </w:rPr>
            </w:pPr>
            <w:r>
              <w:rPr>
                <w:rFonts w:ascii="Arial" w:cs="Arial" w:eastAsia="Arial" w:hAnsi="Arial"/>
                <w:sz w:val="15"/>
                <w:szCs w:val="15"/>
                <w:color w:val="A26F2A"/>
              </w:rPr>
              <w:t>•</w:t>
            </w:r>
          </w:p>
        </w:tc>
        <w:tc>
          <w:tcPr>
            <w:tcW w:w="8320" w:type="dxa"/>
            <w:vAlign w:val="bottom"/>
            <w:gridSpan w:val="2"/>
          </w:tcPr>
          <w:p>
            <w:pPr>
              <w:ind w:left="60"/>
              <w:spacing w:after="0"/>
              <w:rPr>
                <w:sz w:val="20"/>
                <w:szCs w:val="20"/>
                <w:color w:val="auto"/>
              </w:rPr>
            </w:pPr>
            <w:r>
              <w:rPr>
                <w:rFonts w:ascii="Arial" w:cs="Arial" w:eastAsia="Arial" w:hAnsi="Arial"/>
                <w:sz w:val="15"/>
                <w:szCs w:val="15"/>
                <w:color w:val="auto"/>
              </w:rPr>
              <w:t>Periodically reviews and reassesses the adequacy of the Company’s Certificate of Incorporation, Bylaws, and other</w:t>
            </w:r>
          </w:p>
        </w:tc>
        <w:tc>
          <w:tcPr>
            <w:tcW w:w="1040" w:type="dxa"/>
            <w:vAlign w:val="bottom"/>
          </w:tcPr>
          <w:p>
            <w:pPr>
              <w:spacing w:after="0"/>
              <w:rPr>
                <w:sz w:val="15"/>
                <w:szCs w:val="15"/>
                <w:color w:val="auto"/>
              </w:rPr>
            </w:pPr>
          </w:p>
        </w:tc>
      </w:tr>
      <w:tr>
        <w:trPr>
          <w:trHeight w:val="177"/>
        </w:trPr>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20" w:type="dxa"/>
            <w:vAlign w:val="bottom"/>
            <w:gridSpan w:val="2"/>
          </w:tcPr>
          <w:p>
            <w:pPr>
              <w:ind w:left="60"/>
              <w:spacing w:after="0"/>
              <w:rPr>
                <w:sz w:val="20"/>
                <w:szCs w:val="20"/>
                <w:color w:val="auto"/>
              </w:rPr>
            </w:pPr>
            <w:r>
              <w:rPr>
                <w:rFonts w:ascii="Arial" w:cs="Arial" w:eastAsia="Arial" w:hAnsi="Arial"/>
                <w:sz w:val="15"/>
                <w:szCs w:val="15"/>
                <w:color w:val="auto"/>
              </w:rPr>
              <w:t>corporate governance related documents and recommends any proposed changes to the board of directors for approval.</w:t>
            </w:r>
          </w:p>
        </w:tc>
        <w:tc>
          <w:tcPr>
            <w:tcW w:w="1040" w:type="dxa"/>
            <w:vAlign w:val="bottom"/>
          </w:tcPr>
          <w:p>
            <w:pPr>
              <w:spacing w:after="0"/>
              <w:rPr>
                <w:sz w:val="15"/>
                <w:szCs w:val="15"/>
                <w:color w:val="auto"/>
              </w:rPr>
            </w:pPr>
          </w:p>
        </w:tc>
      </w:tr>
      <w:tr>
        <w:trPr>
          <w:trHeight w:val="177"/>
        </w:trPr>
        <w:tc>
          <w:tcPr>
            <w:tcW w:w="1540" w:type="dxa"/>
            <w:vAlign w:val="bottom"/>
          </w:tcPr>
          <w:p>
            <w:pPr>
              <w:spacing w:after="0"/>
              <w:rPr>
                <w:sz w:val="15"/>
                <w:szCs w:val="15"/>
                <w:color w:val="auto"/>
              </w:rPr>
            </w:pPr>
          </w:p>
        </w:tc>
        <w:tc>
          <w:tcPr>
            <w:tcW w:w="5160" w:type="dxa"/>
            <w:vAlign w:val="bottom"/>
            <w:gridSpan w:val="2"/>
          </w:tcPr>
          <w:p>
            <w:pPr>
              <w:ind w:left="24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Conducts an annual performance evaluation of the committee.</w:t>
            </w:r>
          </w:p>
        </w:tc>
        <w:tc>
          <w:tcPr>
            <w:tcW w:w="3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7"/>
        </w:trPr>
        <w:tc>
          <w:tcPr>
            <w:tcW w:w="1540" w:type="dxa"/>
            <w:vAlign w:val="bottom"/>
          </w:tcPr>
          <w:p>
            <w:pPr>
              <w:spacing w:after="0"/>
              <w:rPr>
                <w:sz w:val="15"/>
                <w:szCs w:val="15"/>
                <w:color w:val="auto"/>
              </w:rPr>
            </w:pPr>
          </w:p>
        </w:tc>
        <w:tc>
          <w:tcPr>
            <w:tcW w:w="340" w:type="dxa"/>
            <w:vAlign w:val="bottom"/>
          </w:tcPr>
          <w:p>
            <w:pPr>
              <w:ind w:left="240"/>
              <w:spacing w:after="0"/>
              <w:rPr>
                <w:sz w:val="20"/>
                <w:szCs w:val="20"/>
                <w:color w:val="auto"/>
              </w:rPr>
            </w:pPr>
            <w:r>
              <w:rPr>
                <w:rFonts w:ascii="Arial" w:cs="Arial" w:eastAsia="Arial" w:hAnsi="Arial"/>
                <w:sz w:val="15"/>
                <w:szCs w:val="15"/>
                <w:color w:val="A26F2A"/>
              </w:rPr>
              <w:t>•</w:t>
            </w:r>
          </w:p>
        </w:tc>
        <w:tc>
          <w:tcPr>
            <w:tcW w:w="8320" w:type="dxa"/>
            <w:vAlign w:val="bottom"/>
            <w:gridSpan w:val="2"/>
          </w:tcPr>
          <w:p>
            <w:pPr>
              <w:ind w:left="60"/>
              <w:spacing w:after="0"/>
              <w:rPr>
                <w:sz w:val="20"/>
                <w:szCs w:val="20"/>
                <w:color w:val="auto"/>
              </w:rPr>
            </w:pPr>
            <w:r>
              <w:rPr>
                <w:rFonts w:ascii="Arial" w:cs="Arial" w:eastAsia="Arial" w:hAnsi="Arial"/>
                <w:sz w:val="15"/>
                <w:szCs w:val="15"/>
                <w:color w:val="auto"/>
              </w:rPr>
              <w:t>Reviews and reassesses the adequacy of the nominating and corporate governance committee charter on an annual</w:t>
            </w:r>
          </w:p>
        </w:tc>
        <w:tc>
          <w:tcPr>
            <w:tcW w:w="1040" w:type="dxa"/>
            <w:vAlign w:val="bottom"/>
          </w:tcPr>
          <w:p>
            <w:pPr>
              <w:spacing w:after="0"/>
              <w:rPr>
                <w:sz w:val="15"/>
                <w:szCs w:val="15"/>
                <w:color w:val="auto"/>
              </w:rPr>
            </w:pPr>
          </w:p>
        </w:tc>
      </w:tr>
      <w:tr>
        <w:trPr>
          <w:trHeight w:val="189"/>
        </w:trPr>
        <w:tc>
          <w:tcPr>
            <w:tcW w:w="1540" w:type="dxa"/>
            <w:vAlign w:val="bottom"/>
            <w:tcBorders>
              <w:bottom w:val="single" w:sz="8" w:color="A26F2A"/>
            </w:tcBorders>
          </w:tcPr>
          <w:p>
            <w:pPr>
              <w:spacing w:after="0"/>
              <w:rPr>
                <w:sz w:val="16"/>
                <w:szCs w:val="16"/>
                <w:color w:val="auto"/>
              </w:rPr>
            </w:pPr>
          </w:p>
        </w:tc>
        <w:tc>
          <w:tcPr>
            <w:tcW w:w="340" w:type="dxa"/>
            <w:vAlign w:val="bottom"/>
            <w:tcBorders>
              <w:bottom w:val="single" w:sz="8" w:color="A26F2A"/>
            </w:tcBorders>
          </w:tcPr>
          <w:p>
            <w:pPr>
              <w:spacing w:after="0"/>
              <w:rPr>
                <w:sz w:val="16"/>
                <w:szCs w:val="16"/>
                <w:color w:val="auto"/>
              </w:rPr>
            </w:pPr>
          </w:p>
        </w:tc>
        <w:tc>
          <w:tcPr>
            <w:tcW w:w="8320" w:type="dxa"/>
            <w:vAlign w:val="bottom"/>
            <w:tcBorders>
              <w:bottom w:val="single" w:sz="8" w:color="A26F2A"/>
            </w:tcBorders>
            <w:gridSpan w:val="2"/>
          </w:tcPr>
          <w:p>
            <w:pPr>
              <w:ind w:left="60"/>
              <w:spacing w:after="0"/>
              <w:rPr>
                <w:sz w:val="20"/>
                <w:szCs w:val="20"/>
                <w:color w:val="auto"/>
              </w:rPr>
            </w:pPr>
            <w:r>
              <w:rPr>
                <w:rFonts w:ascii="Arial" w:cs="Arial" w:eastAsia="Arial" w:hAnsi="Arial"/>
                <w:sz w:val="15"/>
                <w:szCs w:val="15"/>
                <w:color w:val="auto"/>
              </w:rPr>
              <w:t>basis and recommends any proposed changes to the board of directors for approval.</w:t>
            </w:r>
          </w:p>
        </w:tc>
        <w:tc>
          <w:tcPr>
            <w:tcW w:w="1040" w:type="dxa"/>
            <w:vAlign w:val="bottom"/>
            <w:tcBorders>
              <w:bottom w:val="single" w:sz="8" w:color="A26F2A"/>
            </w:tcBorders>
          </w:tcPr>
          <w:p>
            <w:pPr>
              <w:spacing w:after="0"/>
              <w:rPr>
                <w:sz w:val="16"/>
                <w:szCs w:val="16"/>
                <w:color w:val="auto"/>
              </w:rPr>
            </w:pPr>
          </w:p>
        </w:tc>
      </w:tr>
    </w:tbl>
    <w:p>
      <w:pPr>
        <w:spacing w:after="0" w:line="43" w:lineRule="exact"/>
        <w:rPr>
          <w:sz w:val="20"/>
          <w:szCs w:val="20"/>
          <w:color w:val="auto"/>
        </w:rPr>
      </w:pPr>
    </w:p>
    <w:p>
      <w:pPr>
        <w:ind w:left="300" w:hanging="299"/>
        <w:spacing w:after="0"/>
        <w:tabs>
          <w:tab w:leader="none" w:pos="300" w:val="left"/>
        </w:tabs>
        <w:numPr>
          <w:ilvl w:val="0"/>
          <w:numId w:val="45"/>
        </w:numPr>
        <w:rPr>
          <w:rFonts w:ascii="Arial" w:cs="Arial" w:eastAsia="Arial" w:hAnsi="Arial"/>
          <w:sz w:val="13"/>
          <w:szCs w:val="13"/>
          <w:i w:val="1"/>
          <w:iCs w:val="1"/>
          <w:color w:val="auto"/>
        </w:rPr>
      </w:pPr>
      <w:r>
        <w:rPr>
          <w:rFonts w:ascii="Arial" w:cs="Arial" w:eastAsia="Arial" w:hAnsi="Arial"/>
          <w:sz w:val="13"/>
          <w:szCs w:val="13"/>
          <w:i w:val="1"/>
          <w:iCs w:val="1"/>
          <w:color w:val="auto"/>
        </w:rPr>
        <w:t>Committee Chair.</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Safety, Sustainability and Corporate Responsibility Committee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Number of</w:t>
            </w:r>
          </w:p>
        </w:tc>
      </w:tr>
      <w:tr>
        <w:trPr>
          <w:trHeight w:val="177"/>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3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b w:val="1"/>
                <w:bCs w:val="1"/>
                <w:color w:val="auto"/>
              </w:rPr>
              <w:t>Meetings in</w:t>
            </w:r>
          </w:p>
        </w:tc>
      </w:tr>
      <w:tr>
        <w:trPr>
          <w:trHeight w:val="194"/>
        </w:trPr>
        <w:tc>
          <w:tcPr>
            <w:tcW w:w="152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Members</w:t>
            </w:r>
          </w:p>
        </w:tc>
        <w:tc>
          <w:tcPr>
            <w:tcW w:w="8680" w:type="dxa"/>
            <w:vAlign w:val="bottom"/>
            <w:tcBorders>
              <w:bottom w:val="single" w:sz="8" w:color="A26F2A"/>
            </w:tcBorders>
            <w:gridSpan w:val="2"/>
          </w:tcPr>
          <w:p>
            <w:pPr>
              <w:ind w:left="260"/>
              <w:spacing w:after="0"/>
              <w:rPr>
                <w:sz w:val="20"/>
                <w:szCs w:val="20"/>
                <w:color w:val="auto"/>
              </w:rPr>
            </w:pPr>
            <w:r>
              <w:rPr>
                <w:rFonts w:ascii="Arial" w:cs="Arial" w:eastAsia="Arial" w:hAnsi="Arial"/>
                <w:sz w:val="15"/>
                <w:szCs w:val="15"/>
                <w:b w:val="1"/>
                <w:bCs w:val="1"/>
                <w:color w:val="auto"/>
              </w:rPr>
              <w:t>Principal Functions</w:t>
            </w:r>
          </w:p>
        </w:tc>
        <w:tc>
          <w:tcPr>
            <w:tcW w:w="1040" w:type="dxa"/>
            <w:vAlign w:val="bottom"/>
            <w:tcBorders>
              <w:bottom w:val="single" w:sz="8" w:color="A26F2A"/>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164"/>
        </w:trPr>
        <w:tc>
          <w:tcPr>
            <w:tcW w:w="1520" w:type="dxa"/>
            <w:vAlign w:val="bottom"/>
          </w:tcPr>
          <w:p>
            <w:pPr>
              <w:ind w:left="60"/>
              <w:spacing w:after="0" w:line="164" w:lineRule="exact"/>
              <w:rPr>
                <w:sz w:val="20"/>
                <w:szCs w:val="20"/>
                <w:color w:val="auto"/>
              </w:rPr>
            </w:pPr>
            <w:r>
              <w:rPr>
                <w:rFonts w:ascii="Arial" w:cs="Arial" w:eastAsia="Arial" w:hAnsi="Arial"/>
                <w:sz w:val="15"/>
                <w:szCs w:val="15"/>
                <w:color w:val="auto"/>
              </w:rPr>
              <w:t>Rebecca A. Klein*</w:t>
            </w:r>
          </w:p>
        </w:tc>
        <w:tc>
          <w:tcPr>
            <w:tcW w:w="360" w:type="dxa"/>
            <w:vAlign w:val="bottom"/>
          </w:tcPr>
          <w:p>
            <w:pPr>
              <w:ind w:left="260"/>
              <w:spacing w:after="0" w:line="164" w:lineRule="exact"/>
              <w:rPr>
                <w:sz w:val="20"/>
                <w:szCs w:val="20"/>
                <w:color w:val="auto"/>
              </w:rPr>
            </w:pPr>
            <w:r>
              <w:rPr>
                <w:rFonts w:ascii="Arial" w:cs="Arial" w:eastAsia="Arial" w:hAnsi="Arial"/>
                <w:sz w:val="15"/>
                <w:szCs w:val="15"/>
                <w:color w:val="A26F2A"/>
              </w:rPr>
              <w:t>•</w:t>
            </w:r>
          </w:p>
        </w:tc>
        <w:tc>
          <w:tcPr>
            <w:tcW w:w="8320" w:type="dxa"/>
            <w:vAlign w:val="bottom"/>
          </w:tcPr>
          <w:p>
            <w:pPr>
              <w:ind w:left="60"/>
              <w:spacing w:after="0" w:line="164" w:lineRule="exact"/>
              <w:rPr>
                <w:sz w:val="20"/>
                <w:szCs w:val="20"/>
                <w:color w:val="auto"/>
              </w:rPr>
            </w:pPr>
            <w:r>
              <w:rPr>
                <w:rFonts w:ascii="Arial" w:cs="Arial" w:eastAsia="Arial" w:hAnsi="Arial"/>
                <w:sz w:val="15"/>
                <w:szCs w:val="15"/>
                <w:color w:val="auto"/>
              </w:rPr>
              <w:t>Periodically reviews and discusses with management the Company’s strategy, policies, practices and public disclosures</w:t>
            </w:r>
          </w:p>
        </w:tc>
        <w:tc>
          <w:tcPr>
            <w:tcW w:w="1040" w:type="dxa"/>
            <w:vAlign w:val="bottom"/>
          </w:tcPr>
          <w:p>
            <w:pPr>
              <w:jc w:val="right"/>
              <w:spacing w:after="0" w:line="164" w:lineRule="exact"/>
              <w:rPr>
                <w:sz w:val="20"/>
                <w:szCs w:val="20"/>
                <w:color w:val="auto"/>
              </w:rPr>
            </w:pPr>
            <w:r>
              <w:rPr>
                <w:rFonts w:ascii="Arial" w:cs="Arial" w:eastAsia="Arial" w:hAnsi="Arial"/>
                <w:sz w:val="15"/>
                <w:szCs w:val="15"/>
                <w:color w:val="auto"/>
              </w:rPr>
              <w:t>Two</w:t>
            </w:r>
          </w:p>
        </w:tc>
      </w:tr>
      <w:tr>
        <w:trPr>
          <w:trHeight w:val="177"/>
        </w:trPr>
        <w:tc>
          <w:tcPr>
            <w:tcW w:w="1520" w:type="dxa"/>
            <w:vAlign w:val="bottom"/>
          </w:tcPr>
          <w:p>
            <w:pPr>
              <w:ind w:left="60"/>
              <w:spacing w:after="0"/>
              <w:rPr>
                <w:sz w:val="20"/>
                <w:szCs w:val="20"/>
                <w:color w:val="auto"/>
              </w:rPr>
            </w:pPr>
            <w:r>
              <w:rPr>
                <w:rFonts w:ascii="Arial" w:cs="Arial" w:eastAsia="Arial" w:hAnsi="Arial"/>
                <w:sz w:val="15"/>
                <w:szCs w:val="15"/>
                <w:color w:val="auto"/>
              </w:rPr>
              <w:t>Vincent K. Brooks</w:t>
            </w:r>
          </w:p>
        </w:tc>
        <w:tc>
          <w:tcPr>
            <w:tcW w:w="360" w:type="dxa"/>
            <w:vAlign w:val="bottom"/>
          </w:tcPr>
          <w:p>
            <w:pPr>
              <w:spacing w:after="0"/>
              <w:rPr>
                <w:sz w:val="15"/>
                <w:szCs w:val="15"/>
                <w:color w:val="auto"/>
              </w:rPr>
            </w:pPr>
          </w:p>
        </w:tc>
        <w:tc>
          <w:tcPr>
            <w:tcW w:w="8320" w:type="dxa"/>
            <w:vAlign w:val="bottom"/>
          </w:tcPr>
          <w:p>
            <w:pPr>
              <w:ind w:left="60"/>
              <w:spacing w:after="0"/>
              <w:rPr>
                <w:sz w:val="20"/>
                <w:szCs w:val="20"/>
                <w:color w:val="auto"/>
              </w:rPr>
            </w:pPr>
            <w:r>
              <w:rPr>
                <w:rFonts w:ascii="Arial" w:cs="Arial" w:eastAsia="Arial" w:hAnsi="Arial"/>
                <w:sz w:val="15"/>
                <w:szCs w:val="15"/>
                <w:color w:val="auto"/>
              </w:rPr>
              <w:t>regarding environmental and safety matters, makes related recommendations to the board of directors and conducts any</w:t>
            </w:r>
          </w:p>
        </w:tc>
        <w:tc>
          <w:tcPr>
            <w:tcW w:w="1040" w:type="dxa"/>
            <w:vAlign w:val="bottom"/>
          </w:tcPr>
          <w:p>
            <w:pPr>
              <w:spacing w:after="0"/>
              <w:rPr>
                <w:sz w:val="15"/>
                <w:szCs w:val="15"/>
                <w:color w:val="auto"/>
              </w:rPr>
            </w:pPr>
          </w:p>
        </w:tc>
      </w:tr>
      <w:tr>
        <w:trPr>
          <w:trHeight w:val="177"/>
        </w:trPr>
        <w:tc>
          <w:tcPr>
            <w:tcW w:w="1520" w:type="dxa"/>
            <w:vAlign w:val="bottom"/>
          </w:tcPr>
          <w:p>
            <w:pPr>
              <w:ind w:left="60"/>
              <w:spacing w:after="0"/>
              <w:rPr>
                <w:sz w:val="20"/>
                <w:szCs w:val="20"/>
                <w:color w:val="auto"/>
              </w:rPr>
            </w:pPr>
            <w:r>
              <w:rPr>
                <w:rFonts w:ascii="Arial" w:cs="Arial" w:eastAsia="Arial" w:hAnsi="Arial"/>
                <w:sz w:val="15"/>
                <w:szCs w:val="15"/>
                <w:color w:val="auto"/>
              </w:rPr>
              <w:t>Charles A. Meloy</w:t>
            </w:r>
          </w:p>
        </w:tc>
        <w:tc>
          <w:tcPr>
            <w:tcW w:w="360" w:type="dxa"/>
            <w:vAlign w:val="bottom"/>
          </w:tcPr>
          <w:p>
            <w:pPr>
              <w:spacing w:after="0"/>
              <w:rPr>
                <w:sz w:val="15"/>
                <w:szCs w:val="15"/>
                <w:color w:val="auto"/>
              </w:rPr>
            </w:pPr>
          </w:p>
        </w:tc>
        <w:tc>
          <w:tcPr>
            <w:tcW w:w="8320" w:type="dxa"/>
            <w:vAlign w:val="bottom"/>
          </w:tcPr>
          <w:p>
            <w:pPr>
              <w:ind w:left="60"/>
              <w:spacing w:after="0"/>
              <w:rPr>
                <w:sz w:val="20"/>
                <w:szCs w:val="20"/>
                <w:color w:val="auto"/>
              </w:rPr>
            </w:pPr>
            <w:r>
              <w:rPr>
                <w:rFonts w:ascii="Arial" w:cs="Arial" w:eastAsia="Arial" w:hAnsi="Arial"/>
                <w:sz w:val="15"/>
                <w:szCs w:val="15"/>
                <w:color w:val="auto"/>
              </w:rPr>
              <w:t>necessary investigations or studies.</w:t>
            </w:r>
          </w:p>
        </w:tc>
        <w:tc>
          <w:tcPr>
            <w:tcW w:w="1040" w:type="dxa"/>
            <w:vAlign w:val="bottom"/>
          </w:tcPr>
          <w:p>
            <w:pPr>
              <w:spacing w:after="0"/>
              <w:rPr>
                <w:sz w:val="15"/>
                <w:szCs w:val="15"/>
                <w:color w:val="auto"/>
              </w:rPr>
            </w:pPr>
          </w:p>
        </w:tc>
      </w:tr>
      <w:tr>
        <w:trPr>
          <w:trHeight w:val="177"/>
        </w:trPr>
        <w:tc>
          <w:tcPr>
            <w:tcW w:w="1520" w:type="dxa"/>
            <w:vAlign w:val="bottom"/>
          </w:tcPr>
          <w:p>
            <w:pPr>
              <w:ind w:left="60"/>
              <w:spacing w:after="0"/>
              <w:rPr>
                <w:sz w:val="20"/>
                <w:szCs w:val="20"/>
                <w:color w:val="auto"/>
              </w:rPr>
            </w:pPr>
            <w:r>
              <w:rPr>
                <w:rFonts w:ascii="Arial" w:cs="Arial" w:eastAsia="Arial" w:hAnsi="Arial"/>
                <w:sz w:val="15"/>
                <w:szCs w:val="15"/>
                <w:color w:val="auto"/>
              </w:rPr>
              <w:t>Frank D. Tsuru</w:t>
            </w:r>
          </w:p>
        </w:tc>
        <w:tc>
          <w:tcPr>
            <w:tcW w:w="360" w:type="dxa"/>
            <w:vAlign w:val="bottom"/>
          </w:tcPr>
          <w:p>
            <w:pPr>
              <w:ind w:left="260"/>
              <w:spacing w:after="0"/>
              <w:rPr>
                <w:sz w:val="20"/>
                <w:szCs w:val="20"/>
                <w:color w:val="auto"/>
              </w:rPr>
            </w:pPr>
            <w:r>
              <w:rPr>
                <w:rFonts w:ascii="Arial" w:cs="Arial" w:eastAsia="Arial" w:hAnsi="Arial"/>
                <w:sz w:val="15"/>
                <w:szCs w:val="15"/>
                <w:color w:val="A26F2A"/>
              </w:rPr>
              <w:t>•</w:t>
            </w:r>
          </w:p>
        </w:tc>
        <w:tc>
          <w:tcPr>
            <w:tcW w:w="8320" w:type="dxa"/>
            <w:vAlign w:val="bottom"/>
          </w:tcPr>
          <w:p>
            <w:pPr>
              <w:ind w:left="60"/>
              <w:spacing w:after="0"/>
              <w:rPr>
                <w:sz w:val="20"/>
                <w:szCs w:val="20"/>
                <w:color w:val="auto"/>
              </w:rPr>
            </w:pPr>
            <w:r>
              <w:rPr>
                <w:rFonts w:ascii="Arial" w:cs="Arial" w:eastAsia="Arial" w:hAnsi="Arial"/>
                <w:sz w:val="15"/>
                <w:szCs w:val="15"/>
                <w:color w:val="auto"/>
              </w:rPr>
              <w:t>Oversees management’s monitoring and adherence to the Company’s policies on environmental and safety matters and</w:t>
            </w:r>
          </w:p>
        </w:tc>
        <w:tc>
          <w:tcPr>
            <w:tcW w:w="104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320" w:type="dxa"/>
            <w:vAlign w:val="bottom"/>
          </w:tcPr>
          <w:p>
            <w:pPr>
              <w:ind w:left="60"/>
              <w:spacing w:after="0"/>
              <w:rPr>
                <w:sz w:val="20"/>
                <w:szCs w:val="20"/>
                <w:color w:val="auto"/>
              </w:rPr>
            </w:pPr>
            <w:r>
              <w:rPr>
                <w:rFonts w:ascii="Arial" w:cs="Arial" w:eastAsia="Arial" w:hAnsi="Arial"/>
                <w:sz w:val="15"/>
                <w:szCs w:val="15"/>
                <w:color w:val="auto"/>
              </w:rPr>
              <w:t>the quality of the Company’s procedures and disclosure for identifying, assessing, monitoring and managing the principal</w:t>
            </w:r>
          </w:p>
        </w:tc>
        <w:tc>
          <w:tcPr>
            <w:tcW w:w="104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320" w:type="dxa"/>
            <w:vAlign w:val="bottom"/>
          </w:tcPr>
          <w:p>
            <w:pPr>
              <w:ind w:left="60"/>
              <w:spacing w:after="0"/>
              <w:rPr>
                <w:sz w:val="20"/>
                <w:szCs w:val="20"/>
                <w:color w:val="auto"/>
              </w:rPr>
            </w:pPr>
            <w:r>
              <w:rPr>
                <w:rFonts w:ascii="Arial" w:cs="Arial" w:eastAsia="Arial" w:hAnsi="Arial"/>
                <w:sz w:val="15"/>
                <w:szCs w:val="15"/>
                <w:color w:val="auto"/>
              </w:rPr>
              <w:t>environmental, health, safety, social, reputational and climate change-related risks in the Company’s business.</w:t>
            </w:r>
          </w:p>
        </w:tc>
        <w:tc>
          <w:tcPr>
            <w:tcW w:w="104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360" w:type="dxa"/>
            <w:vAlign w:val="bottom"/>
          </w:tcPr>
          <w:p>
            <w:pPr>
              <w:ind w:left="260"/>
              <w:spacing w:after="0"/>
              <w:rPr>
                <w:sz w:val="20"/>
                <w:szCs w:val="20"/>
                <w:color w:val="auto"/>
              </w:rPr>
            </w:pPr>
            <w:r>
              <w:rPr>
                <w:rFonts w:ascii="Arial" w:cs="Arial" w:eastAsia="Arial" w:hAnsi="Arial"/>
                <w:sz w:val="15"/>
                <w:szCs w:val="15"/>
                <w:color w:val="A26F2A"/>
              </w:rPr>
              <w:t>•</w:t>
            </w:r>
          </w:p>
        </w:tc>
        <w:tc>
          <w:tcPr>
            <w:tcW w:w="8320" w:type="dxa"/>
            <w:vAlign w:val="bottom"/>
          </w:tcPr>
          <w:p>
            <w:pPr>
              <w:ind w:left="60"/>
              <w:spacing w:after="0"/>
              <w:rPr>
                <w:sz w:val="20"/>
                <w:szCs w:val="20"/>
                <w:color w:val="auto"/>
              </w:rPr>
            </w:pPr>
            <w:r>
              <w:rPr>
                <w:rFonts w:ascii="Arial" w:cs="Arial" w:eastAsia="Arial" w:hAnsi="Arial"/>
                <w:sz w:val="15"/>
                <w:szCs w:val="15"/>
                <w:color w:val="auto"/>
              </w:rPr>
              <w:t>Reviews and advises the Board on (i) the establishment of appropriate targets and goals with respect to environmental</w:t>
            </w:r>
          </w:p>
        </w:tc>
        <w:tc>
          <w:tcPr>
            <w:tcW w:w="104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320" w:type="dxa"/>
            <w:vAlign w:val="bottom"/>
          </w:tcPr>
          <w:p>
            <w:pPr>
              <w:ind w:left="60"/>
              <w:spacing w:after="0"/>
              <w:rPr>
                <w:sz w:val="20"/>
                <w:szCs w:val="20"/>
                <w:color w:val="auto"/>
              </w:rPr>
            </w:pPr>
            <w:r>
              <w:rPr>
                <w:rFonts w:ascii="Arial" w:cs="Arial" w:eastAsia="Arial" w:hAnsi="Arial"/>
                <w:sz w:val="15"/>
                <w:szCs w:val="15"/>
                <w:color w:val="auto"/>
              </w:rPr>
              <w:t>and safety matters for the Company and related public reporting; (ii) the evaluation of the Company’s performance with</w:t>
            </w:r>
          </w:p>
        </w:tc>
        <w:tc>
          <w:tcPr>
            <w:tcW w:w="104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320" w:type="dxa"/>
            <w:vAlign w:val="bottom"/>
          </w:tcPr>
          <w:p>
            <w:pPr>
              <w:ind w:left="60"/>
              <w:spacing w:after="0"/>
              <w:rPr>
                <w:sz w:val="20"/>
                <w:szCs w:val="20"/>
                <w:color w:val="auto"/>
              </w:rPr>
            </w:pPr>
            <w:r>
              <w:rPr>
                <w:rFonts w:ascii="Arial" w:cs="Arial" w:eastAsia="Arial" w:hAnsi="Arial"/>
                <w:sz w:val="15"/>
                <w:szCs w:val="15"/>
                <w:color w:val="auto"/>
              </w:rPr>
              <w:t>respect to the achievement of such goals and (iii) whether the Company should seek external assurance of its data with</w:t>
            </w:r>
          </w:p>
        </w:tc>
        <w:tc>
          <w:tcPr>
            <w:tcW w:w="104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320" w:type="dxa"/>
            <w:vAlign w:val="bottom"/>
          </w:tcPr>
          <w:p>
            <w:pPr>
              <w:ind w:left="60"/>
              <w:spacing w:after="0"/>
              <w:rPr>
                <w:sz w:val="20"/>
                <w:szCs w:val="20"/>
                <w:color w:val="auto"/>
              </w:rPr>
            </w:pPr>
            <w:r>
              <w:rPr>
                <w:rFonts w:ascii="Arial" w:cs="Arial" w:eastAsia="Arial" w:hAnsi="Arial"/>
                <w:sz w:val="15"/>
                <w:szCs w:val="15"/>
                <w:color w:val="auto"/>
              </w:rPr>
              <w:t>respect to environmental and safety matters.</w:t>
            </w:r>
          </w:p>
        </w:tc>
        <w:tc>
          <w:tcPr>
            <w:tcW w:w="104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360" w:type="dxa"/>
            <w:vAlign w:val="bottom"/>
          </w:tcPr>
          <w:p>
            <w:pPr>
              <w:ind w:left="260"/>
              <w:spacing w:after="0"/>
              <w:rPr>
                <w:sz w:val="20"/>
                <w:szCs w:val="20"/>
                <w:color w:val="auto"/>
              </w:rPr>
            </w:pPr>
            <w:r>
              <w:rPr>
                <w:rFonts w:ascii="Arial" w:cs="Arial" w:eastAsia="Arial" w:hAnsi="Arial"/>
                <w:sz w:val="15"/>
                <w:szCs w:val="15"/>
                <w:color w:val="A26F2A"/>
              </w:rPr>
              <w:t>•</w:t>
            </w:r>
          </w:p>
        </w:tc>
        <w:tc>
          <w:tcPr>
            <w:tcW w:w="8320" w:type="dxa"/>
            <w:vAlign w:val="bottom"/>
          </w:tcPr>
          <w:p>
            <w:pPr>
              <w:ind w:left="60"/>
              <w:spacing w:after="0"/>
              <w:rPr>
                <w:sz w:val="20"/>
                <w:szCs w:val="20"/>
                <w:color w:val="auto"/>
              </w:rPr>
            </w:pPr>
            <w:r>
              <w:rPr>
                <w:rFonts w:ascii="Arial" w:cs="Arial" w:eastAsia="Arial" w:hAnsi="Arial"/>
                <w:sz w:val="15"/>
                <w:szCs w:val="15"/>
                <w:color w:val="auto"/>
              </w:rPr>
              <w:t>Considers and recommends to the Board regarding current and emerging political, social, environmental and climate</w:t>
            </w:r>
          </w:p>
        </w:tc>
        <w:tc>
          <w:tcPr>
            <w:tcW w:w="104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320" w:type="dxa"/>
            <w:vAlign w:val="bottom"/>
          </w:tcPr>
          <w:p>
            <w:pPr>
              <w:ind w:left="60"/>
              <w:spacing w:after="0"/>
              <w:rPr>
                <w:sz w:val="20"/>
                <w:szCs w:val="20"/>
                <w:color w:val="auto"/>
              </w:rPr>
            </w:pPr>
            <w:r>
              <w:rPr>
                <w:rFonts w:ascii="Arial" w:cs="Arial" w:eastAsia="Arial" w:hAnsi="Arial"/>
                <w:sz w:val="15"/>
                <w:szCs w:val="15"/>
                <w:color w:val="auto"/>
              </w:rPr>
              <w:t>change-related trends, major legislative and regulatory developments and other public policy issues that are reasonably</w:t>
            </w:r>
          </w:p>
        </w:tc>
        <w:tc>
          <w:tcPr>
            <w:tcW w:w="104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320" w:type="dxa"/>
            <w:vAlign w:val="bottom"/>
          </w:tcPr>
          <w:p>
            <w:pPr>
              <w:ind w:left="60"/>
              <w:spacing w:after="0"/>
              <w:rPr>
                <w:sz w:val="20"/>
                <w:szCs w:val="20"/>
                <w:color w:val="auto"/>
              </w:rPr>
            </w:pPr>
            <w:r>
              <w:rPr>
                <w:rFonts w:ascii="Arial" w:cs="Arial" w:eastAsia="Arial" w:hAnsi="Arial"/>
                <w:sz w:val="15"/>
                <w:szCs w:val="15"/>
                <w:color w:val="auto"/>
              </w:rPr>
              <w:t>likely to affect the business operations, performance or public image of the Company.</w:t>
            </w:r>
          </w:p>
        </w:tc>
        <w:tc>
          <w:tcPr>
            <w:tcW w:w="104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360" w:type="dxa"/>
            <w:vAlign w:val="bottom"/>
          </w:tcPr>
          <w:p>
            <w:pPr>
              <w:ind w:left="260"/>
              <w:spacing w:after="0"/>
              <w:rPr>
                <w:sz w:val="20"/>
                <w:szCs w:val="20"/>
                <w:color w:val="auto"/>
              </w:rPr>
            </w:pPr>
            <w:r>
              <w:rPr>
                <w:rFonts w:ascii="Arial" w:cs="Arial" w:eastAsia="Arial" w:hAnsi="Arial"/>
                <w:sz w:val="15"/>
                <w:szCs w:val="15"/>
                <w:color w:val="A26F2A"/>
              </w:rPr>
              <w:t>•</w:t>
            </w:r>
          </w:p>
        </w:tc>
        <w:tc>
          <w:tcPr>
            <w:tcW w:w="8320" w:type="dxa"/>
            <w:vAlign w:val="bottom"/>
          </w:tcPr>
          <w:p>
            <w:pPr>
              <w:ind w:left="60"/>
              <w:spacing w:after="0"/>
              <w:rPr>
                <w:sz w:val="20"/>
                <w:szCs w:val="20"/>
                <w:color w:val="auto"/>
              </w:rPr>
            </w:pPr>
            <w:r>
              <w:rPr>
                <w:rFonts w:ascii="Arial" w:cs="Arial" w:eastAsia="Arial" w:hAnsi="Arial"/>
                <w:sz w:val="15"/>
                <w:szCs w:val="15"/>
                <w:color w:val="auto"/>
              </w:rPr>
              <w:t>Annually reviews and discusses with management the Company’s (i) policies and contributions related to corporate</w:t>
            </w:r>
          </w:p>
        </w:tc>
        <w:tc>
          <w:tcPr>
            <w:tcW w:w="104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320" w:type="dxa"/>
            <w:vAlign w:val="bottom"/>
          </w:tcPr>
          <w:p>
            <w:pPr>
              <w:ind w:left="60"/>
              <w:spacing w:after="0"/>
              <w:rPr>
                <w:sz w:val="20"/>
                <w:szCs w:val="20"/>
                <w:color w:val="auto"/>
              </w:rPr>
            </w:pPr>
            <w:r>
              <w:rPr>
                <w:rFonts w:ascii="Arial" w:cs="Arial" w:eastAsia="Arial" w:hAnsi="Arial"/>
                <w:sz w:val="15"/>
                <w:szCs w:val="15"/>
                <w:color w:val="auto"/>
              </w:rPr>
              <w:t>charitable and philanthropic activities, (ii) policies and expenditures related to public policy advocacy efforts, including</w:t>
            </w:r>
          </w:p>
        </w:tc>
        <w:tc>
          <w:tcPr>
            <w:tcW w:w="104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320" w:type="dxa"/>
            <w:vAlign w:val="bottom"/>
          </w:tcPr>
          <w:p>
            <w:pPr>
              <w:ind w:left="60"/>
              <w:spacing w:after="0"/>
              <w:rPr>
                <w:sz w:val="20"/>
                <w:szCs w:val="20"/>
                <w:color w:val="auto"/>
              </w:rPr>
            </w:pPr>
            <w:r>
              <w:rPr>
                <w:rFonts w:ascii="Arial" w:cs="Arial" w:eastAsia="Arial" w:hAnsi="Arial"/>
                <w:sz w:val="15"/>
                <w:szCs w:val="15"/>
                <w:color w:val="auto"/>
              </w:rPr>
              <w:t>political contributions directly from the Company and its political action committees, trade association memberships and</w:t>
            </w:r>
          </w:p>
        </w:tc>
        <w:tc>
          <w:tcPr>
            <w:tcW w:w="104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320" w:type="dxa"/>
            <w:vAlign w:val="bottom"/>
          </w:tcPr>
          <w:p>
            <w:pPr>
              <w:ind w:left="60"/>
              <w:spacing w:after="0"/>
              <w:rPr>
                <w:sz w:val="20"/>
                <w:szCs w:val="20"/>
                <w:color w:val="auto"/>
              </w:rPr>
            </w:pPr>
            <w:r>
              <w:rPr>
                <w:rFonts w:ascii="Arial" w:cs="Arial" w:eastAsia="Arial" w:hAnsi="Arial"/>
                <w:sz w:val="15"/>
                <w:szCs w:val="15"/>
                <w:color w:val="auto"/>
              </w:rPr>
              <w:t>lobbying activities and (iii) human capital programs related to recruiting, retention, training and development, including</w:t>
            </w:r>
          </w:p>
        </w:tc>
        <w:tc>
          <w:tcPr>
            <w:tcW w:w="1040" w:type="dxa"/>
            <w:vAlign w:val="bottom"/>
          </w:tcPr>
          <w:p>
            <w:pPr>
              <w:spacing w:after="0"/>
              <w:rPr>
                <w:sz w:val="15"/>
                <w:szCs w:val="15"/>
                <w:color w:val="auto"/>
              </w:rPr>
            </w:pPr>
          </w:p>
        </w:tc>
      </w:tr>
      <w:tr>
        <w:trPr>
          <w:trHeight w:val="191"/>
        </w:trPr>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320" w:type="dxa"/>
            <w:vAlign w:val="bottom"/>
          </w:tcPr>
          <w:p>
            <w:pPr>
              <w:ind w:left="60"/>
              <w:spacing w:after="0"/>
              <w:rPr>
                <w:sz w:val="20"/>
                <w:szCs w:val="20"/>
                <w:color w:val="auto"/>
              </w:rPr>
            </w:pPr>
            <w:r>
              <w:rPr>
                <w:rFonts w:ascii="Arial" w:cs="Arial" w:eastAsia="Arial" w:hAnsi="Arial"/>
                <w:sz w:val="15"/>
                <w:szCs w:val="15"/>
                <w:color w:val="auto"/>
              </w:rPr>
              <w:t>policies promoting diversity, inclusion and human and workplace rights.</w:t>
            </w:r>
          </w:p>
        </w:tc>
        <w:tc>
          <w:tcPr>
            <w:tcW w:w="1040" w:type="dxa"/>
            <w:vAlign w:val="bottom"/>
          </w:tcPr>
          <w:p>
            <w:pPr>
              <w:spacing w:after="0"/>
              <w:rPr>
                <w:sz w:val="16"/>
                <w:szCs w:val="16"/>
                <w:color w:val="auto"/>
              </w:rPr>
            </w:pPr>
          </w:p>
        </w:tc>
      </w:tr>
    </w:tbl>
    <w:p>
      <w:pPr>
        <w:ind w:left="178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Reviews the Company’s annual Corporate Sustainability Report.</w:t>
      </w:r>
    </w:p>
    <w:p>
      <w:pPr>
        <w:spacing w:after="0" w:line="4" w:lineRule="exact"/>
        <w:rPr>
          <w:sz w:val="20"/>
          <w:szCs w:val="20"/>
          <w:color w:val="auto"/>
        </w:rPr>
      </w:pPr>
    </w:p>
    <w:p>
      <w:pPr>
        <w:ind w:left="178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Conducts an annual performance evaluation of the committee.</w:t>
      </w:r>
    </w:p>
    <w:p>
      <w:pPr>
        <w:spacing w:after="0" w:line="4" w:lineRule="exact"/>
        <w:rPr>
          <w:sz w:val="20"/>
          <w:szCs w:val="20"/>
          <w:color w:val="auto"/>
        </w:rPr>
      </w:pPr>
    </w:p>
    <w:p>
      <w:pPr>
        <w:ind w:left="178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Reassesses and reports to the board of directors on the adequacy of the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412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 w:lineRule="exact"/>
        <w:rPr>
          <w:sz w:val="20"/>
          <w:szCs w:val="20"/>
          <w:color w:val="auto"/>
        </w:rPr>
      </w:pPr>
    </w:p>
    <w:p>
      <w:pPr>
        <w:ind w:left="300" w:hanging="299"/>
        <w:spacing w:after="0"/>
        <w:tabs>
          <w:tab w:leader="none" w:pos="300"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Committee Chair.</w:t>
      </w:r>
    </w:p>
    <w:p>
      <w:pPr>
        <w:spacing w:after="0" w:line="174"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Committee Charters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charters for our audit committee, compensation committee, nominating and corporate governance committee and safety, sustainability and corporate responsibility committee can be found on our website at www.diamondbackenergy.com under the “Investors—Corporate Governance” caption. You may also obtain copies of these charters at no charge to you, by writing to Corporate Secretary, Diamondback Energy, Inc., 500 West Texas Ave, Suite 100, Midland, TX 79701.</w:t>
      </w:r>
    </w:p>
    <w:p>
      <w:pPr>
        <w:spacing w:after="0" w:line="333"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ANNUAL BOARD AND COMMITTEE EVALUATIONS</w:t>
      </w:r>
    </w:p>
    <w:p>
      <w:pPr>
        <w:spacing w:after="0" w:line="31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board is committed to continuous improvement with respect to its ability to carry out its responsibilities. In accordance with our Corporate Governance Guidelines, the board and each of its committees annually conduct a comprehensive evaluation process. These board and committee evaluations are a critical tool in assessing the composition and effectiveness of the board and each of its committees and present an opportunity to identify areas of strength and areas capable of improvement. Our nominating and corporate governance committee oversees the annual board and committee evaluation process which is described in more detail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97790</wp:posOffset>
            </wp:positionV>
            <wp:extent cx="7141210" cy="13544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1210" cy="1354455"/>
                    </a:xfrm>
                    <a:prstGeom prst="rect">
                      <a:avLst/>
                    </a:prstGeom>
                    <a:noFill/>
                  </pic:spPr>
                </pic:pic>
              </a:graphicData>
            </a:graphic>
          </wp:anchor>
        </w:drawing>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26F2A"/>
        </w:rPr>
        <w:t>Our board and committee written evaluations cover the following topics:</w:t>
      </w:r>
    </w:p>
    <w:p>
      <w:pPr>
        <w:spacing w:after="0" w:line="93" w:lineRule="exact"/>
        <w:rPr>
          <w:sz w:val="20"/>
          <w:szCs w:val="20"/>
          <w:color w:val="auto"/>
        </w:rPr>
      </w:pPr>
    </w:p>
    <w:p>
      <w:pPr>
        <w:ind w:left="240" w:hanging="155"/>
        <w:spacing w:after="0"/>
        <w:tabs>
          <w:tab w:leader="none" w:pos="240" w:val="left"/>
        </w:tabs>
        <w:numPr>
          <w:ilvl w:val="0"/>
          <w:numId w:val="48"/>
        </w:numPr>
        <w:rPr>
          <w:rFonts w:ascii="Arial" w:cs="Arial" w:eastAsia="Arial" w:hAnsi="Arial"/>
          <w:sz w:val="15"/>
          <w:szCs w:val="15"/>
          <w:color w:val="A26F2A"/>
        </w:rPr>
      </w:pPr>
      <w:r>
        <w:rPr>
          <w:rFonts w:ascii="Arial" w:cs="Arial" w:eastAsia="Arial" w:hAnsi="Arial"/>
          <w:sz w:val="15"/>
          <w:szCs w:val="15"/>
          <w:color w:val="auto"/>
        </w:rPr>
        <w:t>board and committee responsibilities and effectiveness;</w:t>
      </w:r>
    </w:p>
    <w:p>
      <w:pPr>
        <w:spacing w:after="0" w:line="79" w:lineRule="exact"/>
        <w:rPr>
          <w:rFonts w:ascii="Arial" w:cs="Arial" w:eastAsia="Arial" w:hAnsi="Arial"/>
          <w:sz w:val="15"/>
          <w:szCs w:val="15"/>
          <w:color w:val="A26F2A"/>
        </w:rPr>
      </w:pPr>
    </w:p>
    <w:p>
      <w:pPr>
        <w:ind w:left="240" w:hanging="155"/>
        <w:spacing w:after="0"/>
        <w:tabs>
          <w:tab w:leader="none" w:pos="240" w:val="left"/>
        </w:tabs>
        <w:numPr>
          <w:ilvl w:val="0"/>
          <w:numId w:val="48"/>
        </w:numPr>
        <w:rPr>
          <w:rFonts w:ascii="Arial" w:cs="Arial" w:eastAsia="Arial" w:hAnsi="Arial"/>
          <w:sz w:val="15"/>
          <w:szCs w:val="15"/>
          <w:color w:val="A26F2A"/>
        </w:rPr>
      </w:pPr>
      <w:r>
        <w:rPr>
          <w:rFonts w:ascii="Arial" w:cs="Arial" w:eastAsia="Arial" w:hAnsi="Arial"/>
          <w:sz w:val="15"/>
          <w:szCs w:val="15"/>
          <w:color w:val="auto"/>
        </w:rPr>
        <w:t>board and committee size, structure and composition, including assessment of skills, experience, diversity, occupational and personal backgrounds;</w:t>
      </w:r>
    </w:p>
    <w:p>
      <w:pPr>
        <w:spacing w:after="0" w:line="79" w:lineRule="exact"/>
        <w:rPr>
          <w:rFonts w:ascii="Arial" w:cs="Arial" w:eastAsia="Arial" w:hAnsi="Arial"/>
          <w:sz w:val="15"/>
          <w:szCs w:val="15"/>
          <w:color w:val="A26F2A"/>
        </w:rPr>
      </w:pPr>
    </w:p>
    <w:p>
      <w:pPr>
        <w:ind w:left="240" w:hanging="155"/>
        <w:spacing w:after="0"/>
        <w:tabs>
          <w:tab w:leader="none" w:pos="240" w:val="left"/>
        </w:tabs>
        <w:numPr>
          <w:ilvl w:val="0"/>
          <w:numId w:val="48"/>
        </w:numPr>
        <w:rPr>
          <w:rFonts w:ascii="Arial" w:cs="Arial" w:eastAsia="Arial" w:hAnsi="Arial"/>
          <w:sz w:val="15"/>
          <w:szCs w:val="15"/>
          <w:color w:val="A26F2A"/>
        </w:rPr>
      </w:pPr>
      <w:r>
        <w:rPr>
          <w:rFonts w:ascii="Arial" w:cs="Arial" w:eastAsia="Arial" w:hAnsi="Arial"/>
          <w:sz w:val="15"/>
          <w:szCs w:val="15"/>
          <w:color w:val="auto"/>
        </w:rPr>
        <w:t>board culture and dynamics, including the effectiveness of discussion and debate at board and committee meetings;</w:t>
      </w:r>
    </w:p>
    <w:p>
      <w:pPr>
        <w:spacing w:after="0" w:line="79" w:lineRule="exact"/>
        <w:rPr>
          <w:rFonts w:ascii="Arial" w:cs="Arial" w:eastAsia="Arial" w:hAnsi="Arial"/>
          <w:sz w:val="15"/>
          <w:szCs w:val="15"/>
          <w:color w:val="A26F2A"/>
        </w:rPr>
      </w:pPr>
    </w:p>
    <w:p>
      <w:pPr>
        <w:ind w:left="240" w:hanging="155"/>
        <w:spacing w:after="0"/>
        <w:tabs>
          <w:tab w:leader="none" w:pos="240" w:val="left"/>
        </w:tabs>
        <w:numPr>
          <w:ilvl w:val="0"/>
          <w:numId w:val="48"/>
        </w:numPr>
        <w:rPr>
          <w:rFonts w:ascii="Arial" w:cs="Arial" w:eastAsia="Arial" w:hAnsi="Arial"/>
          <w:sz w:val="15"/>
          <w:szCs w:val="15"/>
          <w:color w:val="A26F2A"/>
        </w:rPr>
      </w:pPr>
      <w:r>
        <w:rPr>
          <w:rFonts w:ascii="Arial" w:cs="Arial" w:eastAsia="Arial" w:hAnsi="Arial"/>
          <w:sz w:val="15"/>
          <w:szCs w:val="15"/>
          <w:color w:val="auto"/>
        </w:rPr>
        <w:t>strategic planning and oversight;</w:t>
      </w:r>
    </w:p>
    <w:p>
      <w:pPr>
        <w:spacing w:after="0" w:line="79" w:lineRule="exact"/>
        <w:rPr>
          <w:rFonts w:ascii="Arial" w:cs="Arial" w:eastAsia="Arial" w:hAnsi="Arial"/>
          <w:sz w:val="15"/>
          <w:szCs w:val="15"/>
          <w:color w:val="A26F2A"/>
        </w:rPr>
      </w:pPr>
    </w:p>
    <w:p>
      <w:pPr>
        <w:ind w:left="240" w:hanging="155"/>
        <w:spacing w:after="0"/>
        <w:tabs>
          <w:tab w:leader="none" w:pos="240" w:val="left"/>
        </w:tabs>
        <w:numPr>
          <w:ilvl w:val="0"/>
          <w:numId w:val="48"/>
        </w:numPr>
        <w:rPr>
          <w:rFonts w:ascii="Arial" w:cs="Arial" w:eastAsia="Arial" w:hAnsi="Arial"/>
          <w:sz w:val="15"/>
          <w:szCs w:val="15"/>
          <w:color w:val="A26F2A"/>
        </w:rPr>
      </w:pPr>
      <w:r>
        <w:rPr>
          <w:rFonts w:ascii="Arial" w:cs="Arial" w:eastAsia="Arial" w:hAnsi="Arial"/>
          <w:sz w:val="15"/>
          <w:szCs w:val="15"/>
          <w:color w:val="auto"/>
        </w:rPr>
        <w:t>the quality of board and committee agendas and meeting materials</w:t>
      </w:r>
    </w:p>
    <w:p>
      <w:pPr>
        <w:spacing w:after="0" w:line="79" w:lineRule="exact"/>
        <w:rPr>
          <w:rFonts w:ascii="Arial" w:cs="Arial" w:eastAsia="Arial" w:hAnsi="Arial"/>
          <w:sz w:val="15"/>
          <w:szCs w:val="15"/>
          <w:color w:val="A26F2A"/>
        </w:rPr>
      </w:pPr>
    </w:p>
    <w:p>
      <w:pPr>
        <w:ind w:left="240" w:hanging="155"/>
        <w:spacing w:after="0"/>
        <w:tabs>
          <w:tab w:leader="none" w:pos="240" w:val="left"/>
        </w:tabs>
        <w:numPr>
          <w:ilvl w:val="0"/>
          <w:numId w:val="48"/>
        </w:numPr>
        <w:rPr>
          <w:rFonts w:ascii="Arial" w:cs="Arial" w:eastAsia="Arial" w:hAnsi="Arial"/>
          <w:sz w:val="15"/>
          <w:szCs w:val="15"/>
          <w:color w:val="A26F2A"/>
        </w:rPr>
      </w:pPr>
      <w:r>
        <w:rPr>
          <w:rFonts w:ascii="Arial" w:cs="Arial" w:eastAsia="Arial" w:hAnsi="Arial"/>
          <w:sz w:val="15"/>
          <w:szCs w:val="15"/>
          <w:color w:val="auto"/>
        </w:rPr>
        <w:t>access to resources, including management and outside advisors; and</w:t>
      </w:r>
    </w:p>
    <w:p>
      <w:pPr>
        <w:spacing w:after="0" w:line="79" w:lineRule="exact"/>
        <w:rPr>
          <w:rFonts w:ascii="Arial" w:cs="Arial" w:eastAsia="Arial" w:hAnsi="Arial"/>
          <w:sz w:val="15"/>
          <w:szCs w:val="15"/>
          <w:color w:val="A26F2A"/>
        </w:rPr>
      </w:pPr>
    </w:p>
    <w:p>
      <w:pPr>
        <w:ind w:left="240" w:hanging="155"/>
        <w:spacing w:after="0"/>
        <w:tabs>
          <w:tab w:leader="none" w:pos="240" w:val="left"/>
        </w:tabs>
        <w:numPr>
          <w:ilvl w:val="0"/>
          <w:numId w:val="48"/>
        </w:numPr>
        <w:rPr>
          <w:rFonts w:ascii="Arial" w:cs="Arial" w:eastAsia="Arial" w:hAnsi="Arial"/>
          <w:sz w:val="15"/>
          <w:szCs w:val="15"/>
          <w:color w:val="A26F2A"/>
        </w:rPr>
      </w:pPr>
      <w:r>
        <w:rPr>
          <w:rFonts w:ascii="Arial" w:cs="Arial" w:eastAsia="Arial" w:hAnsi="Arial"/>
          <w:sz w:val="15"/>
          <w:szCs w:val="15"/>
          <w:color w:val="auto"/>
        </w:rPr>
        <w:t>board and individual committee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179070</wp:posOffset>
            </wp:positionV>
            <wp:extent cx="6411595" cy="41516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11595" cy="415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THE BOARD’S ROLE IN RISK OVERSIGHT</w:t>
      </w:r>
    </w:p>
    <w:p>
      <w:pPr>
        <w:spacing w:after="0" w:line="31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As an exploration and production company, we face a number of risks, including, but not limited to, risks associated with supply of and demand for oil and natural gas, volatility of oil and natural gas prices, exploring for, developing, producing and delivering oil and natural gas, declining production, environmental and other government regulations and taxes, weather conditions that can affect oil and natural gas operations over a wide area, adequacy of our insurance coverage, political instability or armed conflict in oil and natural gas producing regions, changes in trade policies and the impacts of tariffs, cybersecurity and data privacy, access to water and regulation of produced water, and the overall economic environment. Management is responsible for the day-to-day management of risks we face as a company,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Our board of directors believes that full and open communication between management and the board of directors is essential for effective risk management and oversight. Our board of directors meets regularly with our executive officers to discuss strategy and risks facing the Company. Our executive officers regularly attend our board meetings and are available to address any questions or concerns raised by the board on risk management-related and any other matters. Other members of our management team periodically attend the board meetings or are otherwise available to confer with our board to the extent their expertise is required to address risk management matters. Periodically, our board of directors receives presentations from senior management on strategic matters involving our operations. During such meetings, our board of directors also discusses strategies, key challenges, and risks and opportunities for the Company with senior management.</w:t>
      </w:r>
    </w:p>
    <w:p>
      <w:pPr>
        <w:spacing w:after="0" w:line="249"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Committee Risk Oversight Responsibilities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While our board of directors is ultimately responsible for enterprise-wide risk oversight, the board’s four committees assist the board in fulfilling its oversight responsibilities in certain areas of risk.</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audit committee assists the board in fulfilling its oversight responsibilities with respect to risk management in the areas of financial reporting, internal controls and compliance with legal and regulatory requirements, and discusses policies with respect to risk assessment and risk management, including with respect to cybersecurity, which plays an integral role in our risk management strategy and continues to be an area of increasing focus for our board, the audit committee and our management team. For additional information, see “Cybersecurity Risk Management and Governance” on page 36.</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compensation committee assists the board in fulfilling its oversight responsibilities with respect to the management of risks arising from our compensation policies and programs.</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nominating and corporate governance committee assists the board in fulfilling its oversight responsibilities with respect to the management of risks associated with the board’s organization, membership and structure and corporate governance.</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safety, sustainability and corporate responsibility committee assists the board in fulfilling its oversight responsibility over management’s monitoring and adherence to the Company’s policies on sustainability and governance matters and the quality of the Company’s procedures for identifying, assessing, monitoring and managing the principal environmental, health, climate change, human capital, safety and social risks in the Company’s business.</w:t>
      </w:r>
    </w:p>
    <w:p>
      <w:pPr>
        <w:spacing w:after="0" w:line="333"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STOCKHOLDER ENGAGEMENT</w:t>
      </w:r>
    </w:p>
    <w:p>
      <w:pPr>
        <w:spacing w:after="0" w:line="31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value the views of our stockholders and embrace active stockholder engagement as an important tenet of good governance. Because positive and ongoing dialogue builds informed relationships that promote transparency and accountability, members of senior management engage with our stockholders on a year-round basis, including proactive outreach as well as responsiveness to specific areas of focus. Information and feedback received through our engagement activities is shared with our board, which helps inform its decisions. In response to feedback obtained during our stockholder outreach efforts, the following past actions, some of which have already been independently considered for implementation by our board of directors or committees, were undertaken:</w:t>
      </w:r>
    </w:p>
    <w:p>
      <w:pPr>
        <w:spacing w:after="0" w:line="144" w:lineRule="exact"/>
        <w:rPr>
          <w:sz w:val="20"/>
          <w:szCs w:val="20"/>
          <w:color w:val="auto"/>
        </w:rPr>
      </w:pPr>
    </w:p>
    <w:p>
      <w:pPr>
        <w:ind w:left="160" w:hanging="159"/>
        <w:spacing w:after="0"/>
        <w:tabs>
          <w:tab w:leader="none" w:pos="160" w:val="left"/>
        </w:tabs>
        <w:numPr>
          <w:ilvl w:val="0"/>
          <w:numId w:val="51"/>
        </w:numPr>
        <w:rPr>
          <w:rFonts w:ascii="Arial" w:cs="Arial" w:eastAsia="Arial" w:hAnsi="Arial"/>
          <w:sz w:val="15"/>
          <w:szCs w:val="15"/>
          <w:color w:val="A26F2A"/>
        </w:rPr>
      </w:pPr>
      <w:r>
        <w:rPr>
          <w:rFonts w:ascii="Arial" w:cs="Arial" w:eastAsia="Arial" w:hAnsi="Arial"/>
          <w:sz w:val="15"/>
          <w:szCs w:val="15"/>
          <w:color w:val="auto"/>
        </w:rPr>
        <w:t>Our board of directors amended our bylaws to provide our stockholders with proxy access;</w:t>
      </w:r>
    </w:p>
    <w:p>
      <w:pPr>
        <w:spacing w:after="0" w:line="79"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51"/>
        </w:numPr>
        <w:rPr>
          <w:rFonts w:ascii="Arial" w:cs="Arial" w:eastAsia="Arial" w:hAnsi="Arial"/>
          <w:sz w:val="15"/>
          <w:szCs w:val="15"/>
          <w:color w:val="A26F2A"/>
        </w:rPr>
      </w:pPr>
      <w:r>
        <w:rPr>
          <w:rFonts w:ascii="Arial" w:cs="Arial" w:eastAsia="Arial" w:hAnsi="Arial"/>
          <w:sz w:val="15"/>
          <w:szCs w:val="15"/>
          <w:color w:val="auto"/>
        </w:rPr>
        <w:t>Our board of directors also amended our bylaws to provide for the majority vote requirement to elect directors to our board, which replaced the prior plurality voting standard applicable to our director election;</w:t>
      </w:r>
    </w:p>
    <w:p>
      <w:pPr>
        <w:spacing w:after="0" w:line="23" w:lineRule="exact"/>
        <w:rPr>
          <w:rFonts w:ascii="Arial" w:cs="Arial" w:eastAsia="Arial" w:hAnsi="Arial"/>
          <w:sz w:val="15"/>
          <w:szCs w:val="15"/>
          <w:color w:val="A26F2A"/>
        </w:rPr>
      </w:pPr>
    </w:p>
    <w:p>
      <w:pPr>
        <w:ind w:left="160" w:hanging="159"/>
        <w:spacing w:after="0"/>
        <w:tabs>
          <w:tab w:leader="none" w:pos="160" w:val="left"/>
        </w:tabs>
        <w:numPr>
          <w:ilvl w:val="0"/>
          <w:numId w:val="51"/>
        </w:numPr>
        <w:rPr>
          <w:rFonts w:ascii="Arial" w:cs="Arial" w:eastAsia="Arial" w:hAnsi="Arial"/>
          <w:sz w:val="15"/>
          <w:szCs w:val="15"/>
          <w:color w:val="A26F2A"/>
        </w:rPr>
      </w:pPr>
      <w:r>
        <w:rPr>
          <w:rFonts w:ascii="Arial" w:cs="Arial" w:eastAsia="Arial" w:hAnsi="Arial"/>
          <w:sz w:val="15"/>
          <w:szCs w:val="15"/>
          <w:color w:val="auto"/>
        </w:rPr>
        <w:t>Amended our charter to eliminate the 66 2/3% supermajority vote requirements;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51"/>
        </w:numPr>
        <w:rPr>
          <w:rFonts w:ascii="Arial" w:cs="Arial" w:eastAsia="Arial" w:hAnsi="Arial"/>
          <w:sz w:val="15"/>
          <w:szCs w:val="15"/>
          <w:color w:val="A26F2A"/>
        </w:rPr>
      </w:pPr>
      <w:r>
        <w:rPr>
          <w:rFonts w:ascii="Arial" w:cs="Arial" w:eastAsia="Arial" w:hAnsi="Arial"/>
          <w:sz w:val="15"/>
          <w:szCs w:val="15"/>
          <w:color w:val="auto"/>
        </w:rPr>
        <w:t>Amended our governing documents to provide stockholders with the right to call a special meeting;</w:t>
      </w:r>
    </w:p>
    <w:p>
      <w:pPr>
        <w:spacing w:after="0" w:line="18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ind w:left="160" w:hanging="159"/>
        <w:spacing w:after="0" w:line="272" w:lineRule="auto"/>
        <w:tabs>
          <w:tab w:leader="none" w:pos="160" w:val="left"/>
        </w:tabs>
        <w:numPr>
          <w:ilvl w:val="0"/>
          <w:numId w:val="52"/>
        </w:numPr>
        <w:rPr>
          <w:rFonts w:ascii="Arial" w:cs="Arial" w:eastAsia="Arial" w:hAnsi="Arial"/>
          <w:sz w:val="15"/>
          <w:szCs w:val="15"/>
          <w:color w:val="A26F2A"/>
        </w:rPr>
      </w:pPr>
      <w:r>
        <w:rPr>
          <w:rFonts w:ascii="Arial" w:cs="Arial" w:eastAsia="Arial" w:hAnsi="Arial"/>
          <w:sz w:val="15"/>
          <w:szCs w:val="15"/>
          <w:color w:val="auto"/>
        </w:rPr>
        <w:t>Our board of directors and the nominating and corporate governance committee approved enhancements to the nominating committee charter and director nomination process that focused on increasing the size of the board and number of independent directors, with a supermajority of the board currently being independent;</w:t>
      </w:r>
    </w:p>
    <w:p>
      <w:pPr>
        <w:spacing w:after="0" w:line="214"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52"/>
        </w:numPr>
        <w:rPr>
          <w:rFonts w:ascii="Arial" w:cs="Arial" w:eastAsia="Arial" w:hAnsi="Arial"/>
          <w:sz w:val="15"/>
          <w:szCs w:val="15"/>
          <w:color w:val="A26F2A"/>
        </w:rPr>
      </w:pPr>
      <w:r>
        <w:rPr>
          <w:rFonts w:ascii="Arial" w:cs="Arial" w:eastAsia="Arial" w:hAnsi="Arial"/>
          <w:sz w:val="15"/>
          <w:szCs w:val="15"/>
          <w:color w:val="auto"/>
        </w:rPr>
        <w:t>Our board of directors created the safety, sustainability and corporate responsibility committee focused on sound strategy and best policies and practices regarding environmental, safety, human capital and social responsibility matters;</w:t>
      </w:r>
    </w:p>
    <w:p>
      <w:pPr>
        <w:spacing w:after="0" w:line="23"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52"/>
        </w:numPr>
        <w:rPr>
          <w:rFonts w:ascii="Arial" w:cs="Arial" w:eastAsia="Arial" w:hAnsi="Arial"/>
          <w:sz w:val="15"/>
          <w:szCs w:val="15"/>
          <w:color w:val="A26F2A"/>
        </w:rPr>
      </w:pPr>
      <w:r>
        <w:rPr>
          <w:rFonts w:ascii="Arial" w:cs="Arial" w:eastAsia="Arial" w:hAnsi="Arial"/>
          <w:sz w:val="15"/>
          <w:szCs w:val="15"/>
          <w:color w:val="auto"/>
        </w:rPr>
        <w:t>Our board of directors adopted and annually evaluates Corporate Governance Guidelines as an additional step to reinforce our commitment to prudent corporate governance practices and policies;</w:t>
      </w:r>
    </w:p>
    <w:p>
      <w:pPr>
        <w:spacing w:after="0" w:line="23" w:lineRule="exact"/>
        <w:rPr>
          <w:rFonts w:ascii="Arial" w:cs="Arial" w:eastAsia="Arial" w:hAnsi="Arial"/>
          <w:sz w:val="15"/>
          <w:szCs w:val="15"/>
          <w:color w:val="A26F2A"/>
        </w:rPr>
      </w:pPr>
    </w:p>
    <w:p>
      <w:pPr>
        <w:ind w:left="160" w:hanging="159"/>
        <w:spacing w:after="0"/>
        <w:tabs>
          <w:tab w:leader="none" w:pos="160" w:val="left"/>
        </w:tabs>
        <w:numPr>
          <w:ilvl w:val="0"/>
          <w:numId w:val="52"/>
        </w:numPr>
        <w:rPr>
          <w:rFonts w:ascii="Arial" w:cs="Arial" w:eastAsia="Arial" w:hAnsi="Arial"/>
          <w:sz w:val="15"/>
          <w:szCs w:val="15"/>
          <w:color w:val="A26F2A"/>
        </w:rPr>
      </w:pPr>
      <w:r>
        <w:rPr>
          <w:rFonts w:ascii="Arial" w:cs="Arial" w:eastAsia="Arial" w:hAnsi="Arial"/>
          <w:sz w:val="15"/>
          <w:szCs w:val="15"/>
          <w:color w:val="auto"/>
        </w:rPr>
        <w:t>The compensation committee eliminated single-trigger change of control provisions in all Company equity awards granted since the beginning of 2018;</w:t>
      </w:r>
    </w:p>
    <w:p>
      <w:pPr>
        <w:spacing w:after="0" w:line="79"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52"/>
        </w:numPr>
        <w:rPr>
          <w:rFonts w:ascii="Arial" w:cs="Arial" w:eastAsia="Arial" w:hAnsi="Arial"/>
          <w:sz w:val="15"/>
          <w:szCs w:val="15"/>
          <w:color w:val="A26F2A"/>
        </w:rPr>
      </w:pPr>
      <w:r>
        <w:rPr>
          <w:rFonts w:ascii="Arial" w:cs="Arial" w:eastAsia="Arial" w:hAnsi="Arial"/>
          <w:sz w:val="15"/>
          <w:szCs w:val="15"/>
          <w:color w:val="auto"/>
        </w:rPr>
        <w:t>The compensation committee enhanced the disclosure of targets and goals for performance-based awards, the discussion of equity award process for our named executive officers and the underlying rationale for such awards;</w:t>
      </w:r>
    </w:p>
    <w:p>
      <w:pPr>
        <w:spacing w:after="0" w:line="23"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52"/>
        </w:numPr>
        <w:rPr>
          <w:rFonts w:ascii="Arial" w:cs="Arial" w:eastAsia="Arial" w:hAnsi="Arial"/>
          <w:sz w:val="15"/>
          <w:szCs w:val="15"/>
          <w:color w:val="A26F2A"/>
        </w:rPr>
      </w:pPr>
      <w:r>
        <w:rPr>
          <w:rFonts w:ascii="Arial" w:cs="Arial" w:eastAsia="Arial" w:hAnsi="Arial"/>
          <w:sz w:val="15"/>
          <w:szCs w:val="15"/>
          <w:color w:val="auto"/>
        </w:rPr>
        <w:t>The compensation committee added return on average capital employed and environmental and safety goals among metrics for determining cash performance awards beginning in 2020 and maintained the weighting attributable to the environmental and safety component of our annual incentive metrics at 25% for 2025;</w:t>
      </w:r>
    </w:p>
    <w:p>
      <w:pPr>
        <w:spacing w:after="0" w:line="23" w:lineRule="exact"/>
        <w:rPr>
          <w:rFonts w:ascii="Arial" w:cs="Arial" w:eastAsia="Arial" w:hAnsi="Arial"/>
          <w:sz w:val="15"/>
          <w:szCs w:val="15"/>
          <w:color w:val="A26F2A"/>
        </w:rPr>
      </w:pPr>
    </w:p>
    <w:p>
      <w:pPr>
        <w:ind w:left="160" w:hanging="159"/>
        <w:spacing w:after="0"/>
        <w:tabs>
          <w:tab w:leader="none" w:pos="160" w:val="left"/>
        </w:tabs>
        <w:numPr>
          <w:ilvl w:val="0"/>
          <w:numId w:val="52"/>
        </w:numPr>
        <w:rPr>
          <w:rFonts w:ascii="Arial" w:cs="Arial" w:eastAsia="Arial" w:hAnsi="Arial"/>
          <w:sz w:val="15"/>
          <w:szCs w:val="15"/>
          <w:color w:val="A26F2A"/>
        </w:rPr>
      </w:pPr>
      <w:r>
        <w:rPr>
          <w:rFonts w:ascii="Arial" w:cs="Arial" w:eastAsia="Arial" w:hAnsi="Arial"/>
          <w:sz w:val="15"/>
          <w:szCs w:val="15"/>
          <w:color w:val="auto"/>
        </w:rPr>
        <w:t>Our board of directors implemented and maintains rigorous stock ownership and retention guidelines for our executive officers and non-employee directors;</w:t>
      </w:r>
    </w:p>
    <w:p>
      <w:pPr>
        <w:spacing w:after="0" w:line="79"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52"/>
        </w:numPr>
        <w:rPr>
          <w:rFonts w:ascii="Arial" w:cs="Arial" w:eastAsia="Arial" w:hAnsi="Arial"/>
          <w:sz w:val="15"/>
          <w:szCs w:val="15"/>
          <w:color w:val="A26F2A"/>
        </w:rPr>
      </w:pPr>
      <w:r>
        <w:rPr>
          <w:rFonts w:ascii="Arial" w:cs="Arial" w:eastAsia="Arial" w:hAnsi="Arial"/>
          <w:sz w:val="15"/>
          <w:szCs w:val="15"/>
          <w:color w:val="auto"/>
        </w:rPr>
        <w:t>Our board of directors adopted a comprehensive executive incentive compensation clawback policy compliant with Nasdaq listing standards and implementing Rule 10D-1 of the Exchange Act;</w:t>
      </w:r>
    </w:p>
    <w:p>
      <w:pPr>
        <w:spacing w:after="0" w:line="23" w:lineRule="exact"/>
        <w:rPr>
          <w:rFonts w:ascii="Arial" w:cs="Arial" w:eastAsia="Arial" w:hAnsi="Arial"/>
          <w:sz w:val="15"/>
          <w:szCs w:val="15"/>
          <w:color w:val="A26F2A"/>
        </w:rPr>
      </w:pPr>
    </w:p>
    <w:p>
      <w:pPr>
        <w:ind w:left="160" w:hanging="159"/>
        <w:spacing w:after="0"/>
        <w:tabs>
          <w:tab w:leader="none" w:pos="160" w:val="left"/>
        </w:tabs>
        <w:numPr>
          <w:ilvl w:val="0"/>
          <w:numId w:val="52"/>
        </w:numPr>
        <w:rPr>
          <w:rFonts w:ascii="Arial" w:cs="Arial" w:eastAsia="Arial" w:hAnsi="Arial"/>
          <w:sz w:val="15"/>
          <w:szCs w:val="15"/>
          <w:color w:val="A26F2A"/>
        </w:rPr>
      </w:pPr>
      <w:r>
        <w:rPr>
          <w:rFonts w:ascii="Arial" w:cs="Arial" w:eastAsia="Arial" w:hAnsi="Arial"/>
          <w:sz w:val="15"/>
          <w:szCs w:val="15"/>
          <w:color w:val="auto"/>
        </w:rPr>
        <w:t>Our Lead Independent Director participated in an investor outreach call with one of our large stockholders;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52"/>
        </w:numPr>
        <w:rPr>
          <w:rFonts w:ascii="Arial" w:cs="Arial" w:eastAsia="Arial" w:hAnsi="Arial"/>
          <w:sz w:val="15"/>
          <w:szCs w:val="15"/>
          <w:color w:val="A26F2A"/>
        </w:rPr>
      </w:pPr>
      <w:r>
        <w:rPr>
          <w:rFonts w:ascii="Arial" w:cs="Arial" w:eastAsia="Arial" w:hAnsi="Arial"/>
          <w:sz w:val="15"/>
          <w:szCs w:val="15"/>
          <w:color w:val="auto"/>
        </w:rPr>
        <w:t>Our board of directors adopted a Human Rights Policy; and</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52"/>
        </w:numPr>
        <w:rPr>
          <w:rFonts w:ascii="Arial" w:cs="Arial" w:eastAsia="Arial" w:hAnsi="Arial"/>
          <w:sz w:val="15"/>
          <w:szCs w:val="15"/>
          <w:color w:val="A26F2A"/>
        </w:rPr>
      </w:pPr>
      <w:r>
        <w:rPr>
          <w:rFonts w:ascii="Arial" w:cs="Arial" w:eastAsia="Arial" w:hAnsi="Arial"/>
          <w:sz w:val="15"/>
          <w:szCs w:val="15"/>
          <w:color w:val="auto"/>
        </w:rPr>
        <w:t>Our safety, sustainability and corporate responsibility committee adopted a Policy Governing Corporate Political Contributions.</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During 2025 and through the first quarter of 2026, we continued our stockholder outreach efforts and solicited feedback on our executive compensation programs, corporate governance, human capital programs and strategies, corporate responsibility, environmental and sustainability matters and other important issues. We initiated contact with stockholders representing approximately 77% of our outstanding shares as of June 30, 2025. One or more of our Executive Chairman, Lead Independent Director and Chief Executive Officer and other key members of Company senior management spoke with stockholders representing approximately 49% of our outstanding shares as of June 30, 2025, including five of our 10 largest stockholders. In addition, members of Company senior management attended approximately 19 virtual or in person investor conferences and hosted approximately six virtual or in person bus tours. We also discussed certain topics noted above with other investors during investor presentation events and earnings and other investor calls throughout the year.</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These discussions have provided us with an opportunity to further explore issues important to us and our stockholders, including corporate governance policies, human capital programs and strategies, executive compensation and corporate sustainability and environmental policies. In 2025, approximately 97.2% of votes cast by our stockholders were in favor of our say-on-pay proposal. Although this vote demonstrates substantial support for our executive compensation programs, representatives of our board and management team continued to undertake stockholder engagement efforts to, among other things, solicit stockholder input on our executive compensation program and ensure ongoing stockholder support of our executive compensation programs. We look forward to continued engagement with stockholders throughout the year so that we can incorporate their ideas to further strengthen our executive compensation programs, continue our commitment to environmental and sustainability matters, improve our disclosure practices and enhance our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100330</wp:posOffset>
            </wp:positionV>
            <wp:extent cx="5690235" cy="12661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90235" cy="126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CODE OF BUSINESS CONDUCT AND ETHICS</w:t>
      </w:r>
    </w:p>
    <w:p>
      <w:pPr>
        <w:spacing w:after="0" w:line="31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board of directors previously adopted a Code of Business Conduct and Ethics designed for directors and employees to ensure clarity regarding our expectations. This code was further updated to reflect additional policies and enhancements in February 2026. Our Code of Business Conduct and Ethics embodies our commitment to conduct our business in accordance with our core values, all applicable laws, rules and regulations and the highest ethical standards. Our Code of Business Conduct and Ethics applies to all directors, executive officers, including the Chief Executive Officer, the Chief Financial Officer, principal accounting officer and controller and persons performing similar functions, and all other employees. Our Code of Business Conduct and Ethics covers various topics including, among others, public disclosure, conflicts of interest, equal employment, fair dealing, sanctions, anti-discrimination, anti-harassment, confidentiality, data privacy, cybersecurity, intellectual property, artificial intelligence, political activity and contributions, environmental responsibility, human rights, health and safety, transactions with vendors and gifts and the limited process for waivers. Our Code of Business Conduct and Ethics is also focused on compliance with applicable laws, rules and regulations, governing, among others, insider trading, anti-trust, anti-corruption, anti-bribery, anti-money laundering, anti-boycott and export controls, and establishes reporting and complaint procedures, including an anonymous hotline, for any irregularities or violations, including with respect to accounting, internal control and auditing matters. Our Code of Business Conduct and Ethics is posted on our website under the “Investors-Corporate Governance” caption. You may also obtain copies of our Code of Business Conduct and Ethics at no charge to you, by writing to Corporate Secretary, Diamondback Energy, Inc., 500 West Texas Ave, Suite 100, Midland, TX 79701.</w:t>
      </w:r>
    </w:p>
    <w:p>
      <w:pPr>
        <w:spacing w:after="0" w:line="345"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TRADING IN COMPANY SECURITIES</w:t>
      </w:r>
    </w:p>
    <w:p>
      <w:pPr>
        <w:spacing w:after="0" w:line="31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have adopted general and supplemental insider trading policies that govern transactions in securities by our directors, executive officers and other employees. We believe these policies are reasonably designed to promote compliance with applicable insider trading laws, rules and regulations, and Nasdaq listing standards. Our general insider trading policy prohibits our directors, officers and employees from engaging in hedging transactions, trading in puts or calls or engaging in short sales with respect to Company securities and securities of the Company’s publicly traded subsidiary Viper Energy, Inc. (“Viper”). Under our supplemental insider trading policy, directors, executive officers and certain “designated persons” are also prohibited from holding such securities in a margin account or otherwise pledging such securities as collateral for a loan. Additionally, directors, executive officers and certain other “designated persons” are only allowed to trade in, donate or otherwise gift Company or Viper securities, as applicable, during the applicable designated trading windows, and must obtain approval from our compliance officer prior to any such trade, donation or gift, except such restrictions do not generally apply to transactions under any pre-arranged trading plans meeting the requirements of SEC Rule 10b5-1(c). Our general and supplemental insider trading policies were included as Exhibit 19.1 and 19.2, respectively, to our Annual Report on Form 10-K for the fiscal year ended December 31, 2025.</w:t>
      </w:r>
    </w:p>
    <w:p>
      <w:pPr>
        <w:spacing w:after="0" w:line="349"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COMMUNICATIONS WITH THE BOARD</w:t>
      </w:r>
    </w:p>
    <w:p>
      <w:pPr>
        <w:spacing w:after="0" w:line="315"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Individuals may communicate with our board of directors or individual directors by writing to Corporate Secretary, Diamondback Energy, Inc., 500 West Texas Ave, Suite 100, Midland, TX 79701. Our Corporate Secretary will review all such correspondence and forward to our board of directors a summary of all such correspondence and copies of all correspondence that, in the opinion of our Corporate Secretary, relates to the functions of our board of directors or any committee thereof or that he otherwise determines requires their attention. Directors may review a log of all such correspondence received by us and request copies. Concerns relating to accounting, internal control over financial reporting or auditing matters will be immediately brought to the attention of the chair of the audit committee and handled in accordance with the audit committee procedures established with respect to such matters.</w:t>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DIRECTOR COMPENSATION</w:t>
      </w:r>
    </w:p>
    <w:p>
      <w:pPr>
        <w:spacing w:after="0" w:line="31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Members of our board of directors who are also officers or employees of the Company do not receive compensation for their services as directors. Further details regarding our director compensation in 2025 are set forth under the heading “Compensation Tables—2025 Director Compensation.”</w:t>
      </w:r>
    </w:p>
    <w:p>
      <w:pPr>
        <w:spacing w:after="0" w:line="320"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CORPORATE RESPONSIBILITY AND SUSTAINABILITY</w:t>
      </w:r>
    </w:p>
    <w:p>
      <w:pPr>
        <w:spacing w:after="0" w:line="315"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As an oil and gas company, we understand that we have the potential to make a uniquely positive impact on the world. We provide affordable, domestically produced energy that helps run our homes, businesses, transportation networks and other key components of our economy. As we continue to provide a critical product that contributes to economic growth and society, we view the connection between responsible operations and business success a fundamental necessity. We are committed to the safe and responsible development of our resources in the Permian Basin. We operate in the same areas in which the overwhelming majority of our employees and their families live and are dedicated to preserving and protecting the environment for the benefit of our stockholders, employees, our community and other stakeholders.</w:t>
      </w:r>
    </w:p>
    <w:p>
      <w:pPr>
        <w:spacing w:after="0" w:line="32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We have identified key areas of focus, including energy, emissions, waste and spills, water use, compliance, health and safety, training and education, human capital and community, and have described below certain of our efforts relating to these areas. We have also established the safety, sustainability and corporate responsibility committee of our board of directors that oversees, among other things, our management’s monitoring and adherence to our policies on environmental responsibility and sustainability matters and the quality of our procedures for identifying, assessing, monitoring and managing the principal environmental, health, climate change, human capital, safety and social risks in our business. Our safety, sustainability and corporate responsibility committee also provides leadership with respect to best practices in environmental responsibility, sustainability and corporate and social responsibility.</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2019, Diamondback set ambitious medium-term environmental targets with respect to reduction of Scope 1 GHG intensity and methane intensity. At the time, we set these goals with what we believed to be an informed view of our future operations and regulatory framework. Since the time the Company set these goals, we have completed multiple, large acquisitions that have added significant new assets to our operations, and the Company was historically able to maintain a path toward achieving these targets. Recently, regulatory frameworks for environmental reporting standards have evolved in the jurisdictions where we operate. Under the new reporting framework, certain emissions factors were significantly increased, and such new factors result in emissions outcomes being recalculated at higher levels that do not align with the assumptions underlying the targets the Company set in 2019. These regulatory framework changes, as well as the significant impact of the Endeavor Merger on our asset base, impacted our ability to achieve the medium-term targets we established in 2019.</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To underscore our commitment to carbon neutrality, we have maintained our “Net Zero Now” initiative under which we strive to produce every hydrocarbon molecule with zero net Scope 1 emissions. We have also maintained our target to reduce combined Scope 1 and 2 GHG intensity by at least 50% from 2020 levels by 2030. In addition, as detailed in our 2025 Corporate Sustainability Report published in September 2025, we established new medium-term environmental targets to (i) reduce methane intensity by at least 20% from 2024 levels by 2030 and (ii) maintain peer leading Scope 1 GHG intensity at 2024 levels. We are proud of the progress we have made in the past six years.</w:t>
      </w:r>
    </w:p>
    <w:p>
      <w:pPr>
        <w:spacing w:after="0" w:line="247"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Commitment to Environmental Responsibility</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are committed to the exploration, exploitation, acquisition and production of oil, natural gas and natural gas liquids in an environmentally responsible manner and in compliance with applicable federal, state and local laws, including laws regulating emissions of greenhouse gases, such as methane. We take actions beyond those required by law to reduce methane emissions, use an increasing percentage of non-potable water and make significant investments in infrastructure to reduce environmental impact.</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In keeping with that commitment, our overall approach includes these key activities:</w:t>
      </w:r>
    </w:p>
    <w:p>
      <w:pPr>
        <w:spacing w:after="0" w:line="181" w:lineRule="exact"/>
        <w:rPr>
          <w:sz w:val="20"/>
          <w:szCs w:val="20"/>
          <w:color w:val="auto"/>
        </w:rPr>
      </w:pPr>
    </w:p>
    <w:p>
      <w:pPr>
        <w:ind w:left="160" w:hanging="159"/>
        <w:spacing w:after="0" w:line="282" w:lineRule="auto"/>
        <w:tabs>
          <w:tab w:leader="none" w:pos="160" w:val="left"/>
        </w:tabs>
        <w:numPr>
          <w:ilvl w:val="0"/>
          <w:numId w:val="58"/>
        </w:numPr>
        <w:rPr>
          <w:rFonts w:ascii="Arial" w:cs="Arial" w:eastAsia="Arial" w:hAnsi="Arial"/>
          <w:sz w:val="15"/>
          <w:szCs w:val="15"/>
          <w:color w:val="A26F2A"/>
        </w:rPr>
      </w:pPr>
      <w:r>
        <w:rPr>
          <w:rFonts w:ascii="Arial" w:cs="Arial" w:eastAsia="Arial" w:hAnsi="Arial"/>
          <w:sz w:val="15"/>
          <w:szCs w:val="15"/>
          <w:color w:val="auto"/>
        </w:rPr>
        <w:t>Investing in and implementing the best available control technology (BACT) and innovative methods for drilling and completing wells, which has allowed us to achieve the same or improved results with less proppant, fewer wells and a greatly reduced environmental footprint;</w:t>
      </w:r>
    </w:p>
    <w:p>
      <w:pPr>
        <w:spacing w:after="0" w:line="23" w:lineRule="exact"/>
        <w:rPr>
          <w:rFonts w:ascii="Arial" w:cs="Arial" w:eastAsia="Arial" w:hAnsi="Arial"/>
          <w:sz w:val="15"/>
          <w:szCs w:val="15"/>
          <w:color w:val="A26F2A"/>
        </w:rPr>
      </w:pPr>
    </w:p>
    <w:p>
      <w:pPr>
        <w:ind w:left="160" w:hanging="159"/>
        <w:spacing w:after="0"/>
        <w:tabs>
          <w:tab w:leader="none" w:pos="160" w:val="left"/>
        </w:tabs>
        <w:numPr>
          <w:ilvl w:val="0"/>
          <w:numId w:val="58"/>
        </w:numPr>
        <w:rPr>
          <w:rFonts w:ascii="Arial" w:cs="Arial" w:eastAsia="Arial" w:hAnsi="Arial"/>
          <w:sz w:val="15"/>
          <w:szCs w:val="15"/>
          <w:color w:val="A26F2A"/>
        </w:rPr>
      </w:pPr>
      <w:r>
        <w:rPr>
          <w:rFonts w:ascii="Arial" w:cs="Arial" w:eastAsia="Arial" w:hAnsi="Arial"/>
          <w:sz w:val="15"/>
          <w:szCs w:val="15"/>
          <w:color w:val="auto"/>
        </w:rPr>
        <w:t>Minimizing our environmental impact and improving safety for all stakeholders;</w:t>
      </w:r>
    </w:p>
    <w:p>
      <w:pPr>
        <w:spacing w:after="0" w:line="79"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58"/>
        </w:numPr>
        <w:rPr>
          <w:rFonts w:ascii="Arial" w:cs="Arial" w:eastAsia="Arial" w:hAnsi="Arial"/>
          <w:sz w:val="15"/>
          <w:szCs w:val="15"/>
          <w:color w:val="A26F2A"/>
        </w:rPr>
      </w:pPr>
      <w:r>
        <w:rPr>
          <w:rFonts w:ascii="Arial" w:cs="Arial" w:eastAsia="Arial" w:hAnsi="Arial"/>
          <w:sz w:val="15"/>
          <w:szCs w:val="15"/>
          <w:color w:val="auto"/>
        </w:rPr>
        <w:t>Implementing our “Net Zero Now” initiative under which, effective January 1, 2021, every hydrocarbon molecule we produce is anticipated to be produced with zero net Scope 1 GHG emissions;</w:t>
      </w:r>
    </w:p>
    <w:p>
      <w:pPr>
        <w:spacing w:after="0" w:line="12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ind w:left="160" w:hanging="159"/>
        <w:spacing w:after="0" w:line="282" w:lineRule="auto"/>
        <w:tabs>
          <w:tab w:leader="none" w:pos="160" w:val="left"/>
        </w:tabs>
        <w:numPr>
          <w:ilvl w:val="0"/>
          <w:numId w:val="59"/>
        </w:numPr>
        <w:rPr>
          <w:rFonts w:ascii="Arial" w:cs="Arial" w:eastAsia="Arial" w:hAnsi="Arial"/>
          <w:sz w:val="15"/>
          <w:szCs w:val="15"/>
          <w:color w:val="A26F2A"/>
        </w:rPr>
      </w:pPr>
      <w:r>
        <w:rPr>
          <w:rFonts w:ascii="Arial" w:cs="Arial" w:eastAsia="Arial" w:hAnsi="Arial"/>
          <w:sz w:val="15"/>
          <w:szCs w:val="15"/>
          <w:color w:val="auto"/>
        </w:rPr>
        <w:t>Purchasing carbon credits to offset the remaining emissions to the extent our GHG and methane intensity reduction efforts do not eliminate our Scope 1 GHG emissions;</w:t>
      </w:r>
    </w:p>
    <w:p>
      <w:pPr>
        <w:spacing w:after="0" w:line="23" w:lineRule="exact"/>
        <w:rPr>
          <w:rFonts w:ascii="Arial" w:cs="Arial" w:eastAsia="Arial" w:hAnsi="Arial"/>
          <w:sz w:val="15"/>
          <w:szCs w:val="15"/>
          <w:color w:val="A26F2A"/>
        </w:rPr>
      </w:pPr>
    </w:p>
    <w:p>
      <w:pPr>
        <w:ind w:left="160" w:hanging="159"/>
        <w:spacing w:after="0"/>
        <w:tabs>
          <w:tab w:leader="none" w:pos="160" w:val="left"/>
        </w:tabs>
        <w:numPr>
          <w:ilvl w:val="0"/>
          <w:numId w:val="59"/>
        </w:numPr>
        <w:rPr>
          <w:rFonts w:ascii="Arial" w:cs="Arial" w:eastAsia="Arial" w:hAnsi="Arial"/>
          <w:sz w:val="15"/>
          <w:szCs w:val="15"/>
          <w:color w:val="A26F2A"/>
        </w:rPr>
      </w:pPr>
      <w:r>
        <w:rPr>
          <w:rFonts w:ascii="Arial" w:cs="Arial" w:eastAsia="Arial" w:hAnsi="Arial"/>
          <w:sz w:val="15"/>
          <w:szCs w:val="15"/>
          <w:color w:val="auto"/>
        </w:rPr>
        <w:t>Achieving and exceeding our 2025 goal to source over 65% of our water used for drilling and completion operations from recycled sources in both 2023 and 2024;</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59"/>
        </w:numPr>
        <w:rPr>
          <w:rFonts w:ascii="Arial" w:cs="Arial" w:eastAsia="Arial" w:hAnsi="Arial"/>
          <w:sz w:val="15"/>
          <w:szCs w:val="15"/>
          <w:color w:val="A26F2A"/>
        </w:rPr>
      </w:pPr>
      <w:r>
        <w:rPr>
          <w:rFonts w:ascii="Arial" w:cs="Arial" w:eastAsia="Arial" w:hAnsi="Arial"/>
          <w:sz w:val="15"/>
          <w:szCs w:val="15"/>
          <w:color w:val="auto"/>
        </w:rPr>
        <w:t>Maintaining the commitment to reduce combined Scope 1 and Scope 2 GHG intensity by at least 50% from 2020 levels by 2030;</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59"/>
        </w:numPr>
        <w:rPr>
          <w:rFonts w:ascii="Arial" w:cs="Arial" w:eastAsia="Arial" w:hAnsi="Arial"/>
          <w:sz w:val="15"/>
          <w:szCs w:val="15"/>
          <w:color w:val="A26F2A"/>
        </w:rPr>
      </w:pPr>
      <w:r>
        <w:rPr>
          <w:rFonts w:ascii="Arial" w:cs="Arial" w:eastAsia="Arial" w:hAnsi="Arial"/>
          <w:sz w:val="15"/>
          <w:szCs w:val="15"/>
          <w:color w:val="auto"/>
        </w:rPr>
        <w:t>Achieving goal to Eliminate routine flaring (as defined by the World Bank) by 2025;</w:t>
      </w:r>
    </w:p>
    <w:p>
      <w:pPr>
        <w:spacing w:after="0" w:line="79" w:lineRule="exact"/>
        <w:rPr>
          <w:rFonts w:ascii="Arial" w:cs="Arial" w:eastAsia="Arial" w:hAnsi="Arial"/>
          <w:sz w:val="15"/>
          <w:szCs w:val="15"/>
          <w:color w:val="A26F2A"/>
        </w:rPr>
      </w:pPr>
    </w:p>
    <w:p>
      <w:pPr>
        <w:jc w:val="both"/>
        <w:ind w:left="160" w:hanging="159"/>
        <w:spacing w:after="0" w:line="264" w:lineRule="auto"/>
        <w:tabs>
          <w:tab w:leader="none" w:pos="160" w:val="left"/>
        </w:tabs>
        <w:numPr>
          <w:ilvl w:val="0"/>
          <w:numId w:val="59"/>
        </w:numPr>
        <w:rPr>
          <w:rFonts w:ascii="Arial" w:cs="Arial" w:eastAsia="Arial" w:hAnsi="Arial"/>
          <w:sz w:val="15"/>
          <w:szCs w:val="15"/>
          <w:color w:val="A26F2A"/>
        </w:rPr>
      </w:pPr>
      <w:r>
        <w:rPr>
          <w:rFonts w:ascii="Arial" w:cs="Arial" w:eastAsia="Arial" w:hAnsi="Arial"/>
          <w:sz w:val="15"/>
          <w:szCs w:val="15"/>
          <w:color w:val="auto"/>
        </w:rPr>
        <w:t>Motivating our executive team, senior management and all of our employees to strive to achieve measurable targets and goals with respect to flaring associated with the Company’s operations, non-fresh water use, GHG emission intensity and produced liquids spills; the weighting of current environmental and safety performance metrics in the 2025 short-term annual incentive compensation plan is 25%;</w:t>
      </w:r>
    </w:p>
    <w:p>
      <w:pPr>
        <w:spacing w:after="0" w:line="36" w:lineRule="exact"/>
        <w:rPr>
          <w:rFonts w:ascii="Arial" w:cs="Arial" w:eastAsia="Arial" w:hAnsi="Arial"/>
          <w:sz w:val="15"/>
          <w:szCs w:val="15"/>
          <w:color w:val="A26F2A"/>
        </w:rPr>
      </w:pPr>
    </w:p>
    <w:p>
      <w:pPr>
        <w:ind w:left="160" w:hanging="159"/>
        <w:spacing w:after="0"/>
        <w:tabs>
          <w:tab w:leader="none" w:pos="160" w:val="left"/>
        </w:tabs>
        <w:numPr>
          <w:ilvl w:val="0"/>
          <w:numId w:val="59"/>
        </w:numPr>
        <w:rPr>
          <w:rFonts w:ascii="Arial" w:cs="Arial" w:eastAsia="Arial" w:hAnsi="Arial"/>
          <w:sz w:val="15"/>
          <w:szCs w:val="15"/>
          <w:color w:val="A26F2A"/>
        </w:rPr>
      </w:pPr>
      <w:r>
        <w:rPr>
          <w:rFonts w:ascii="Arial" w:cs="Arial" w:eastAsia="Arial" w:hAnsi="Arial"/>
          <w:sz w:val="15"/>
          <w:szCs w:val="15"/>
          <w:color w:val="auto"/>
        </w:rPr>
        <w:t>Minimizing use of potable water in our operations;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59"/>
        </w:numPr>
        <w:rPr>
          <w:rFonts w:ascii="Arial" w:cs="Arial" w:eastAsia="Arial" w:hAnsi="Arial"/>
          <w:sz w:val="15"/>
          <w:szCs w:val="15"/>
          <w:color w:val="A26F2A"/>
        </w:rPr>
      </w:pPr>
      <w:r>
        <w:rPr>
          <w:rFonts w:ascii="Arial" w:cs="Arial" w:eastAsia="Arial" w:hAnsi="Arial"/>
          <w:sz w:val="15"/>
          <w:szCs w:val="15"/>
          <w:color w:val="auto"/>
        </w:rPr>
        <w:t>Safely transporting oil and gas and minimizing impacts from air emissions, flared gas and spills;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59"/>
        </w:numPr>
        <w:rPr>
          <w:rFonts w:ascii="Arial" w:cs="Arial" w:eastAsia="Arial" w:hAnsi="Arial"/>
          <w:sz w:val="15"/>
          <w:szCs w:val="15"/>
          <w:color w:val="A26F2A"/>
        </w:rPr>
      </w:pPr>
      <w:r>
        <w:rPr>
          <w:rFonts w:ascii="Arial" w:cs="Arial" w:eastAsia="Arial" w:hAnsi="Arial"/>
          <w:sz w:val="15"/>
          <w:szCs w:val="15"/>
          <w:color w:val="auto"/>
        </w:rPr>
        <w:t>Maximizing fluid transportation via pipelines rather than diesel powered trucks;</w:t>
      </w:r>
    </w:p>
    <w:p>
      <w:pPr>
        <w:spacing w:after="0" w:line="79"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59"/>
        </w:numPr>
        <w:rPr>
          <w:rFonts w:ascii="Arial" w:cs="Arial" w:eastAsia="Arial" w:hAnsi="Arial"/>
          <w:sz w:val="15"/>
          <w:szCs w:val="15"/>
          <w:color w:val="A26F2A"/>
        </w:rPr>
      </w:pPr>
      <w:r>
        <w:rPr>
          <w:rFonts w:ascii="Arial" w:cs="Arial" w:eastAsia="Arial" w:hAnsi="Arial"/>
          <w:sz w:val="15"/>
          <w:szCs w:val="15"/>
          <w:color w:val="auto"/>
        </w:rPr>
        <w:t>As part of our flare reduction and mitigation strategy for non-routine flaring, we (i) include performance-based incentives and penalties related to flaring in our midstream contracts and (ii) negotiated downstream commitments and other offload arrangements;</w:t>
      </w:r>
    </w:p>
    <w:p>
      <w:pPr>
        <w:spacing w:after="0" w:line="23" w:lineRule="exact"/>
        <w:rPr>
          <w:rFonts w:ascii="Arial" w:cs="Arial" w:eastAsia="Arial" w:hAnsi="Arial"/>
          <w:sz w:val="15"/>
          <w:szCs w:val="15"/>
          <w:color w:val="A26F2A"/>
        </w:rPr>
      </w:pPr>
    </w:p>
    <w:p>
      <w:pPr>
        <w:ind w:left="160" w:hanging="159"/>
        <w:spacing w:after="0"/>
        <w:tabs>
          <w:tab w:leader="none" w:pos="160" w:val="left"/>
        </w:tabs>
        <w:numPr>
          <w:ilvl w:val="0"/>
          <w:numId w:val="59"/>
        </w:numPr>
        <w:rPr>
          <w:rFonts w:ascii="Arial" w:cs="Arial" w:eastAsia="Arial" w:hAnsi="Arial"/>
          <w:sz w:val="15"/>
          <w:szCs w:val="15"/>
          <w:color w:val="A26F2A"/>
        </w:rPr>
      </w:pPr>
      <w:r>
        <w:rPr>
          <w:rFonts w:ascii="Arial" w:cs="Arial" w:eastAsia="Arial" w:hAnsi="Arial"/>
          <w:sz w:val="15"/>
          <w:szCs w:val="15"/>
          <w:color w:val="auto"/>
        </w:rPr>
        <w:t>Hosting bi-annual in-person meetings with major midstream partners to improve operational collaboration and mitigate flaring;</w:t>
      </w:r>
    </w:p>
    <w:p>
      <w:pPr>
        <w:spacing w:after="0" w:line="79"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59"/>
        </w:numPr>
        <w:rPr>
          <w:rFonts w:ascii="Arial" w:cs="Arial" w:eastAsia="Arial" w:hAnsi="Arial"/>
          <w:sz w:val="15"/>
          <w:szCs w:val="15"/>
          <w:color w:val="A26F2A"/>
        </w:rPr>
      </w:pPr>
      <w:r>
        <w:rPr>
          <w:rFonts w:ascii="Arial" w:cs="Arial" w:eastAsia="Arial" w:hAnsi="Arial"/>
          <w:sz w:val="15"/>
          <w:szCs w:val="15"/>
          <w:color w:val="auto"/>
        </w:rPr>
        <w:t>Replacing natural gas-controlled pneumatic devices on some of our older tank batteries with air-controlled pneumatic devices when operationally feasible and pursuing initiatives to install air-controlled pneumatic devices on new tank batteries;</w:t>
      </w:r>
    </w:p>
    <w:p>
      <w:pPr>
        <w:spacing w:after="0" w:line="23" w:lineRule="exact"/>
        <w:rPr>
          <w:rFonts w:ascii="Arial" w:cs="Arial" w:eastAsia="Arial" w:hAnsi="Arial"/>
          <w:sz w:val="15"/>
          <w:szCs w:val="15"/>
          <w:color w:val="A26F2A"/>
        </w:rPr>
      </w:pPr>
    </w:p>
    <w:p>
      <w:pPr>
        <w:ind w:left="160" w:hanging="159"/>
        <w:spacing w:after="0"/>
        <w:tabs>
          <w:tab w:leader="none" w:pos="160" w:val="left"/>
        </w:tabs>
        <w:numPr>
          <w:ilvl w:val="0"/>
          <w:numId w:val="59"/>
        </w:numPr>
        <w:rPr>
          <w:rFonts w:ascii="Arial" w:cs="Arial" w:eastAsia="Arial" w:hAnsi="Arial"/>
          <w:sz w:val="15"/>
          <w:szCs w:val="15"/>
          <w:color w:val="A26F2A"/>
        </w:rPr>
      </w:pPr>
      <w:r>
        <w:rPr>
          <w:rFonts w:ascii="Arial" w:cs="Arial" w:eastAsia="Arial" w:hAnsi="Arial"/>
          <w:sz w:val="15"/>
          <w:szCs w:val="15"/>
          <w:color w:val="auto"/>
        </w:rPr>
        <w:t>Achieving over 90% of oil production monitored by Continuous Emissions Methane Systems (CEMS);</w:t>
      </w:r>
    </w:p>
    <w:p>
      <w:pPr>
        <w:spacing w:after="0" w:line="79"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59"/>
        </w:numPr>
        <w:rPr>
          <w:rFonts w:ascii="Arial" w:cs="Arial" w:eastAsia="Arial" w:hAnsi="Arial"/>
          <w:sz w:val="15"/>
          <w:szCs w:val="15"/>
          <w:color w:val="A26F2A"/>
        </w:rPr>
      </w:pPr>
      <w:r>
        <w:rPr>
          <w:rFonts w:ascii="Arial" w:cs="Arial" w:eastAsia="Arial" w:hAnsi="Arial"/>
          <w:sz w:val="15"/>
          <w:szCs w:val="15"/>
          <w:color w:val="auto"/>
        </w:rPr>
        <w:t>Adding Gas Mapping LiDAR (GML) systems mounted on aircraft to our methane monitoring strategy providing primary coverage for “final 10%” of facilities and quarterly supplemental monitoring for OOOOa/b assets;</w:t>
      </w:r>
    </w:p>
    <w:p>
      <w:pPr>
        <w:spacing w:after="0" w:line="23" w:lineRule="exact"/>
        <w:rPr>
          <w:rFonts w:ascii="Arial" w:cs="Arial" w:eastAsia="Arial" w:hAnsi="Arial"/>
          <w:sz w:val="15"/>
          <w:szCs w:val="15"/>
          <w:color w:val="A26F2A"/>
        </w:rPr>
      </w:pPr>
    </w:p>
    <w:p>
      <w:pPr>
        <w:jc w:val="both"/>
        <w:ind w:left="160" w:hanging="159"/>
        <w:spacing w:after="0" w:line="264" w:lineRule="auto"/>
        <w:tabs>
          <w:tab w:leader="none" w:pos="160" w:val="left"/>
        </w:tabs>
        <w:numPr>
          <w:ilvl w:val="0"/>
          <w:numId w:val="59"/>
        </w:numPr>
        <w:rPr>
          <w:rFonts w:ascii="Arial" w:cs="Arial" w:eastAsia="Arial" w:hAnsi="Arial"/>
          <w:sz w:val="15"/>
          <w:szCs w:val="15"/>
          <w:color w:val="A26F2A"/>
        </w:rPr>
      </w:pPr>
      <w:r>
        <w:rPr>
          <w:rFonts w:ascii="Arial" w:cs="Arial" w:eastAsia="Arial" w:hAnsi="Arial"/>
          <w:sz w:val="15"/>
          <w:szCs w:val="15"/>
          <w:color w:val="auto"/>
        </w:rPr>
        <w:t>Actively working to obtain multiple gas sales connections at our larger gas-producing batteries wherever possible, allowing us to sell gas to the secondary outlet and minimize flaring in the event a third-party gatherer and processor has planned maintenance or experiences an unplanned event that prevents them from taking our gas;</w:t>
      </w:r>
    </w:p>
    <w:p>
      <w:pPr>
        <w:spacing w:after="0" w:line="36" w:lineRule="exact"/>
        <w:rPr>
          <w:rFonts w:ascii="Arial" w:cs="Arial" w:eastAsia="Arial" w:hAnsi="Arial"/>
          <w:sz w:val="15"/>
          <w:szCs w:val="15"/>
          <w:color w:val="A26F2A"/>
        </w:rPr>
      </w:pPr>
    </w:p>
    <w:p>
      <w:pPr>
        <w:ind w:left="160" w:hanging="159"/>
        <w:spacing w:after="0"/>
        <w:tabs>
          <w:tab w:leader="none" w:pos="160" w:val="left"/>
        </w:tabs>
        <w:numPr>
          <w:ilvl w:val="0"/>
          <w:numId w:val="59"/>
        </w:numPr>
        <w:rPr>
          <w:rFonts w:ascii="Arial" w:cs="Arial" w:eastAsia="Arial" w:hAnsi="Arial"/>
          <w:sz w:val="15"/>
          <w:szCs w:val="15"/>
          <w:color w:val="A26F2A"/>
        </w:rPr>
      </w:pPr>
      <w:r>
        <w:rPr>
          <w:rFonts w:ascii="Arial" w:cs="Arial" w:eastAsia="Arial" w:hAnsi="Arial"/>
          <w:sz w:val="15"/>
          <w:szCs w:val="15"/>
          <w:color w:val="auto"/>
        </w:rPr>
        <w:t>Continuing to electrify many of our gas compression services and equipment;</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59"/>
        </w:numPr>
        <w:rPr>
          <w:rFonts w:ascii="Arial" w:cs="Arial" w:eastAsia="Arial" w:hAnsi="Arial"/>
          <w:sz w:val="15"/>
          <w:szCs w:val="15"/>
          <w:color w:val="A26F2A"/>
        </w:rPr>
      </w:pPr>
      <w:r>
        <w:rPr>
          <w:rFonts w:ascii="Arial" w:cs="Arial" w:eastAsia="Arial" w:hAnsi="Arial"/>
          <w:sz w:val="15"/>
          <w:szCs w:val="15"/>
          <w:color w:val="auto"/>
        </w:rPr>
        <w:t>Constructing and operating company-owned electric substations to maintain better control and limit use of local generation;</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59"/>
        </w:numPr>
        <w:rPr>
          <w:rFonts w:ascii="Arial" w:cs="Arial" w:eastAsia="Arial" w:hAnsi="Arial"/>
          <w:sz w:val="15"/>
          <w:szCs w:val="15"/>
          <w:color w:val="A26F2A"/>
        </w:rPr>
      </w:pPr>
      <w:r>
        <w:rPr>
          <w:rFonts w:ascii="Arial" w:cs="Arial" w:eastAsia="Arial" w:hAnsi="Arial"/>
          <w:sz w:val="15"/>
          <w:szCs w:val="15"/>
          <w:color w:val="auto"/>
        </w:rPr>
        <w:t>Continuing efforts to tie-in flare monitoring to our tank battery SCADA systems; and</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59"/>
        </w:numPr>
        <w:rPr>
          <w:rFonts w:ascii="Arial" w:cs="Arial" w:eastAsia="Arial" w:hAnsi="Arial"/>
          <w:sz w:val="15"/>
          <w:szCs w:val="15"/>
          <w:color w:val="A26F2A"/>
        </w:rPr>
      </w:pPr>
      <w:r>
        <w:rPr>
          <w:rFonts w:ascii="Arial" w:cs="Arial" w:eastAsia="Arial" w:hAnsi="Arial"/>
          <w:sz w:val="15"/>
          <w:szCs w:val="15"/>
          <w:color w:val="auto"/>
        </w:rPr>
        <w:t>Continued to grow our inventory of wells drilled by rigs on electricity supplied directly from utility power.</w:t>
      </w:r>
    </w:p>
    <w:p>
      <w:pPr>
        <w:spacing w:after="0" w:line="284"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Commitment to Human Capital</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strategy of operational excellence is achieved by our people through our disciplined culture grounded in clarity, efficiency and inclusion. We are extremely committed to our culture which is built upon the solid foundation of our five core values: leadership, integrity, excellence, people and teamwork, which guide how we operate and interact across our organization. We understand our success is based upon not just what we do, but how we do it. Therefore, we set a high bar for all of our employees in terms of how they operate and interact, both in the office and in the field. We challenge our workforce to ensure all people are treated with dignity and respect. The key elements of our human capital programs and strategies are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Oversight by Board of Directors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board of directors provides oversight of our human capital strategies with the assistance of its board committees, specifically the safety, sustainability, and corporate responsibility committee and the compensation committee. Our safety, sustainability, and corporate responsibility committee is responsible for the oversight of our human capital programs related to recruiting, retention, training, and development. The safety, sustainability, and corporate responsibility committee receives regular updates from our executive leadership, senior management and third-party consultants on human capital trends and other key human capital matters impacting our business. We believe our board’s oversight of these matters helps the Company identify and mitigate exposure to human capital risks.</w:t>
      </w:r>
    </w:p>
    <w:p>
      <w:pPr>
        <w:spacing w:after="0" w:line="14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Commitment to Protecting People</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organizational culture fosters teamwork and open dialogues about work practices, which includes putting safety first. Whether it is minimizing workplace incidents or preparing for the unexpected, we continue to make protecting our people a fundamental component of our corporate responsibility efforts. We maintain a formal health and safety program that includes employee training, new hire orientation, and ongoing education on a variety of environmental and safety topics, including proper reporting procedures. We also ensure our employees have all necessary equipment to operate safely. Employees undergo significant training and education each year to become knowledgeable on regulatory compliance, industry standards and innovative opportunities to effectively manage the challenges of developing our resources. In light of the nature of our work and the locations of some sites in and near communities, we also proactively prepare for the unexpected by developing emergency response plans designed to address potentially hazardous situations.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For 2025, we also continued to demonstrate our commitment to safety by maintaining a performance metric in our annual incentive compensation scorecard that measures our total recordable incident rate. Our health, safety and environmental organization includes full-time, field-dedicated coordinators to monitor facilities and proactively help prevent potential issues.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Equal Opportunity, Recruiting and Retention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Fair, consistent and equitable treatment of our employees is core to how we manage our dedicated workforce. Our employment decisions are based on merit, qualifications, competencies, and demonstrated contributions. We actively seek to attract and retain top talent and continue to cultivate a respectful work environment. We value the perspectives, experiences and ideas contributed by our employees from a wide range of backgrounds. As of December 31, 2025, over 25% of our employees were women, and more than 40% of our employees self-identified as ethnic minorities. We publicly disclosed our 2024 Equal Employment Opportunity (EEO-1) data as of December 31, 2024 in our 2025 Corporate Sustainability Report published in September 2025.</w:t>
      </w:r>
    </w:p>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In 2025, we expanded our recruitment efforts, particularly in our college recruitment and internship programs. We collaborated with several student organizations to reinforce this inclusive initiative, which will continue in the future. In addition, we targeted experienced hires to attract and retain top industry talent.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Reward – Performance Based Compensation</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value results and believe in recognizing and rewarding performance. Our comprehensive total reward compensation philosophy is rooted in a real-time market-based approach, where we reward and recognize value creation and cultural alignment. We participate in industry-specific benchmarking surveys ensuring comparison points against local markets in a comprehensive manner. Overall, our employee compensation programs consist of an annual base salary, a discretionary performance-based annual cash incentive award and a discretionary long-term equity incentive award. All of our employees are eligible for the discretionary long-term equity incentive awards and discretionary short-term cash incentive awards based on both specific Company performance metrics tied to the same scorecard as the executive annual incentive awards and individual performance outcomes. These awards are a central part of ensuring that we competitively reward our employees in order to attract and retain top talent, as well as ensuring that their work efforts align with our stockholders by providing stock ownership opportunities for 100% of our employees.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 and Wellness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recognize that a strong health and wellness culture is important to our employees and positively impacts their engagement in their jobs and communities. We offer our employees robust health and wellness benefits, and employees do not pay any health insurance premiums for core coverage such as medical, dental, vision, long-term disability and life insurance, resulting in a high level of enrollment by our employees. Further, we offer a competitive Company match on 401(k) retirement savings, and employees are immediately vested in their contributions as well as the Company matching dollars. Our retirement savings plan allows employees to choose between pre-tax or post-tax (ROTH) contributions, allowing them to plan for retirement in the format which best meets individual financial objectives.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benefits program also includes health savings and flexible spending accounts, a private family clinic, a child learning center, paid time off, education assistance, gym reimbursement, volunteer time off, extended time off, and paid maternity and paternity leave. We also offer our employees the opportunity to work a flexible work schedule under which, during the standard two week pay period, an employee works a minimum of eight 9-hour days and two 4-hour days (Fridays). We continue with our commitment to a flexible work life balance by offering a work from home policy which provides office-based employees with a bank of days that they may utilize to work remotely.</w:t>
      </w:r>
    </w:p>
    <w:p>
      <w:pPr>
        <w:spacing w:after="0" w:line="14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Training and Development</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Our training and development opportunities are designed to expand the professional knowledge of our team. Most offerings are provided across the organization to all employees at any level. We also supplement formal training with on-the-job learning opportunities that allow employees to apply new knowledge, practice work activities and develop a broad range of skills. Our internal course offerings in 2025 and through the first quarter of 2026 included a wide array of topics such as extensive cybersecurity, safety and other compliance training sessions. Additionally, our new hires undergo training and education on our Code of Business Conduct and Ethics. Our employees also receive training on regulatory compliance, industry standards and innovative opportunities to effectively manage the challenges of developing our oil and gas resources and related environmental and social responsibility. We have also implemented development programs that are designed to support learning, collaboration, and leadership capabilities at all levels of the organization. Looking ahead, in 2026, we will continue to enhance job-specific competencies, enabling us to identify opportunities for more targeted training and development for our employees. We remain committed to providing training for supervisors to ensure they are equipped with the skills and knowledge needed to succeed in their roles, further strengthening our leadership development efforts.</w:t>
      </w:r>
    </w:p>
    <w:p>
      <w:pPr>
        <w:spacing w:after="0" w:line="253"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Cybersecurity Risk Management and Governance</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have implemented and invested in, and will continue to implement and invest in, controls, procedures and protections (including internal and external personnel) that are designed to protect our systems, identify and remediate on a regular basis vulnerabilities in our systems and related infrastructure and monitor and mitigate the risk of data loss and other cybersecurity threats. We have engaged third-party consultants to conduct penetration testing and risk assessments. Our cybersecurity program is informed by the National Institute of Standards and Technology (“NIST”) Cybersecurity Framework and measured by the Maturity and Risk Assessment Ratings associated with the NIST Cybersecurity Framework and the Capability Maturity Model Integration. 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Our cybersecurity risk management program includes:</w:t>
      </w:r>
    </w:p>
    <w:p>
      <w:pPr>
        <w:spacing w:after="0" w:line="181" w:lineRule="exact"/>
        <w:rPr>
          <w:sz w:val="20"/>
          <w:szCs w:val="20"/>
          <w:color w:val="auto"/>
        </w:rPr>
      </w:pPr>
    </w:p>
    <w:p>
      <w:pPr>
        <w:ind w:left="160" w:hanging="159"/>
        <w:spacing w:after="0" w:line="282" w:lineRule="auto"/>
        <w:tabs>
          <w:tab w:leader="none" w:pos="160" w:val="left"/>
        </w:tabs>
        <w:numPr>
          <w:ilvl w:val="0"/>
          <w:numId w:val="60"/>
        </w:numPr>
        <w:rPr>
          <w:rFonts w:ascii="Arial" w:cs="Arial" w:eastAsia="Arial" w:hAnsi="Arial"/>
          <w:sz w:val="15"/>
          <w:szCs w:val="15"/>
          <w:color w:val="A26F2A"/>
        </w:rPr>
      </w:pPr>
      <w:r>
        <w:rPr>
          <w:rFonts w:ascii="Arial" w:cs="Arial" w:eastAsia="Arial" w:hAnsi="Arial"/>
          <w:sz w:val="15"/>
          <w:szCs w:val="15"/>
          <w:color w:val="auto"/>
        </w:rPr>
        <w:t>risk assessments designed to help identify material cybersecurity risks to our critical systems, information, products, services, and our broader enterprise IT and operational technology, or OT, environments;</w:t>
      </w:r>
    </w:p>
    <w:p>
      <w:pPr>
        <w:spacing w:after="0" w:line="23"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60"/>
        </w:numPr>
        <w:rPr>
          <w:rFonts w:ascii="Arial" w:cs="Arial" w:eastAsia="Arial" w:hAnsi="Arial"/>
          <w:sz w:val="15"/>
          <w:szCs w:val="15"/>
          <w:color w:val="A26F2A"/>
        </w:rPr>
      </w:pPr>
      <w:r>
        <w:rPr>
          <w:rFonts w:ascii="Arial" w:cs="Arial" w:eastAsia="Arial" w:hAnsi="Arial"/>
          <w:sz w:val="15"/>
          <w:szCs w:val="15"/>
          <w:color w:val="auto"/>
        </w:rPr>
        <w:t>a security team principally responsible for managing (i) our cybersecurity risk assessment processes, (ii) our security controls, and (iii) our response to cybersecurity incidents;</w:t>
      </w:r>
    </w:p>
    <w:p>
      <w:pPr>
        <w:spacing w:after="0" w:line="23" w:lineRule="exact"/>
        <w:rPr>
          <w:rFonts w:ascii="Arial" w:cs="Arial" w:eastAsia="Arial" w:hAnsi="Arial"/>
          <w:sz w:val="15"/>
          <w:szCs w:val="15"/>
          <w:color w:val="A26F2A"/>
        </w:rPr>
      </w:pPr>
    </w:p>
    <w:p>
      <w:pPr>
        <w:ind w:left="160" w:hanging="159"/>
        <w:spacing w:after="0"/>
        <w:tabs>
          <w:tab w:leader="none" w:pos="160" w:val="left"/>
        </w:tabs>
        <w:numPr>
          <w:ilvl w:val="0"/>
          <w:numId w:val="60"/>
        </w:numPr>
        <w:rPr>
          <w:rFonts w:ascii="Arial" w:cs="Arial" w:eastAsia="Arial" w:hAnsi="Arial"/>
          <w:sz w:val="15"/>
          <w:szCs w:val="15"/>
          <w:color w:val="A26F2A"/>
        </w:rPr>
      </w:pPr>
      <w:r>
        <w:rPr>
          <w:rFonts w:ascii="Arial" w:cs="Arial" w:eastAsia="Arial" w:hAnsi="Arial"/>
          <w:sz w:val="15"/>
          <w:szCs w:val="15"/>
          <w:color w:val="auto"/>
        </w:rPr>
        <w:t>the use of external service providers, where appropriate, to assess, test, train or otherwise assist with aspects of our security controls;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60"/>
        </w:numPr>
        <w:rPr>
          <w:rFonts w:ascii="Arial" w:cs="Arial" w:eastAsia="Arial" w:hAnsi="Arial"/>
          <w:sz w:val="15"/>
          <w:szCs w:val="15"/>
          <w:color w:val="A26F2A"/>
        </w:rPr>
      </w:pPr>
      <w:r>
        <w:rPr>
          <w:rFonts w:ascii="Arial" w:cs="Arial" w:eastAsia="Arial" w:hAnsi="Arial"/>
          <w:sz w:val="15"/>
          <w:szCs w:val="15"/>
          <w:color w:val="auto"/>
        </w:rPr>
        <w:t>security tools deployed in the IT and OT environments for protection against, and monitoring for, suspicious activity;</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60"/>
        </w:numPr>
        <w:rPr>
          <w:rFonts w:ascii="Arial" w:cs="Arial" w:eastAsia="Arial" w:hAnsi="Arial"/>
          <w:sz w:val="15"/>
          <w:szCs w:val="15"/>
          <w:color w:val="A26F2A"/>
        </w:rPr>
      </w:pPr>
      <w:r>
        <w:rPr>
          <w:rFonts w:ascii="Arial" w:cs="Arial" w:eastAsia="Arial" w:hAnsi="Arial"/>
          <w:sz w:val="15"/>
          <w:szCs w:val="15"/>
          <w:color w:val="auto"/>
        </w:rPr>
        <w:t>cybersecurity awareness training of our employees, including incident response personnel and senior management;</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60"/>
        </w:numPr>
        <w:rPr>
          <w:rFonts w:ascii="Arial" w:cs="Arial" w:eastAsia="Arial" w:hAnsi="Arial"/>
          <w:sz w:val="15"/>
          <w:szCs w:val="15"/>
          <w:color w:val="A26F2A"/>
        </w:rPr>
      </w:pPr>
      <w:r>
        <w:rPr>
          <w:rFonts w:ascii="Arial" w:cs="Arial" w:eastAsia="Arial" w:hAnsi="Arial"/>
          <w:sz w:val="15"/>
          <w:szCs w:val="15"/>
          <w:color w:val="auto"/>
        </w:rPr>
        <w:t>cybersecurity tabletop exercises for members of our cybersecurity incident response team and legal department;</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60"/>
        </w:numPr>
        <w:rPr>
          <w:rFonts w:ascii="Arial" w:cs="Arial" w:eastAsia="Arial" w:hAnsi="Arial"/>
          <w:sz w:val="15"/>
          <w:szCs w:val="15"/>
          <w:color w:val="A26F2A"/>
        </w:rPr>
      </w:pPr>
      <w:r>
        <w:rPr>
          <w:rFonts w:ascii="Arial" w:cs="Arial" w:eastAsia="Arial" w:hAnsi="Arial"/>
          <w:sz w:val="15"/>
          <w:szCs w:val="15"/>
          <w:color w:val="auto"/>
        </w:rPr>
        <w:t>a cybersecurity incident response plan that includes procedures for responding to cybersecurity incidents; and</w:t>
      </w:r>
    </w:p>
    <w:p>
      <w:pPr>
        <w:spacing w:after="0" w:line="79"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60"/>
        </w:numPr>
        <w:rPr>
          <w:rFonts w:ascii="Arial" w:cs="Arial" w:eastAsia="Arial" w:hAnsi="Arial"/>
          <w:sz w:val="15"/>
          <w:szCs w:val="15"/>
          <w:color w:val="A26F2A"/>
        </w:rPr>
      </w:pPr>
      <w:r>
        <w:rPr>
          <w:rFonts w:ascii="Arial" w:cs="Arial" w:eastAsia="Arial" w:hAnsi="Arial"/>
          <w:sz w:val="15"/>
          <w:szCs w:val="15"/>
          <w:color w:val="auto"/>
        </w:rPr>
        <w:t>third-party risk management process for service providers, which may include diligence, assessments and/or contractual requirements, depending on each service provider’s operational criticality and relative risk profile.</w:t>
      </w:r>
    </w:p>
    <w:p>
      <w:pPr>
        <w:spacing w:after="0" w:line="125"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Our cybersecurity governance program is led by the Senior Vice President and Chief Information Officer, with support from the internal information technology department. The Senior Vice President and Chief Information Officer has over 20 years of technological leadership experience in the oil and gas industry, providing oversight of all information technology disciplines, including cybersecurity, networking, infrastructure, applications, and data management and protection. The Senior Vice President and Chief Information Officer and his team, which consists of individuals who hold designations as Certified Information Systems Security Professionals (CISSP), Certified Information Systems Auditors (CISA) and CompTIA Security+, are responsible for leading enterprise-wide cybersecurity strategy, policy, standards, architecture and processes. In addition, our cybersecurity incident response team is responsible for responding to cybersecurity incidents and is guided by our Computer Security Incident Response Plan. Progress and developments in our cybersecurity governance program are communicated to members of the executive team. Our management team takes steps to remain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third-party consultants engaged by us; alerts and reports produced by security tools deployed in our IT and OT environments; and through reporting by employees and service providers. While our board of directors is ultimately responsible for enterprise-wide risk oversight, the board’s committees assist the board in fulfilling its oversight responsibilities in certain areas of risk. In particular, the board’s audit committee is responsible, among other things, for risk management relating to legal and regulatory requirements, including cybersecurity, which plays an integral role in our risk management strategy and continues to be an area of increasing focus for our board, the audit committee and our management team.</w:t>
      </w:r>
    </w:p>
    <w:p>
      <w:pPr>
        <w:spacing w:after="0" w:line="15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audit committee of the board of directors receives quarterly updates from our Senior Vice President and Chief Information Officer on the status of our cybersecurity governance program, including as related to new or developing initiatives and any significant security incidents that may occur. Board members also receive presentations on cybersecurity topics from the Senior Vice President and Chief Information Officer as part of the board’s continuing education on topics that impact public companies. Our cybersecurity governance program also includes processes to assess cybersecurity risks related to third-party services providers, suppliers and vendors.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Commitment to Community</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Giving back to the communities where our employees live and in which we operate is part of our identity. We strongly believe these investments of time, money and compassion allow our employees to both experience and demonstrate the core values of our Company. We sponsor improvements in public education, participate in, and support, many community and national organizations and actively promote local groups who focus on the underserved and underprivileged. Below are a few examples of investments of time and money that we made in our Midland and Oklahoma City communities during 2025:</w:t>
      </w:r>
    </w:p>
    <w:p>
      <w:pPr>
        <w:spacing w:after="0" w:line="142" w:lineRule="exact"/>
        <w:rPr>
          <w:sz w:val="20"/>
          <w:szCs w:val="20"/>
          <w:color w:val="auto"/>
        </w:rPr>
      </w:pPr>
    </w:p>
    <w:p>
      <w:pPr>
        <w:ind w:left="160" w:hanging="159"/>
        <w:spacing w:after="0"/>
        <w:tabs>
          <w:tab w:leader="none" w:pos="160" w:val="left"/>
        </w:tabs>
        <w:numPr>
          <w:ilvl w:val="0"/>
          <w:numId w:val="61"/>
        </w:numPr>
        <w:rPr>
          <w:rFonts w:ascii="Arial" w:cs="Arial" w:eastAsia="Arial" w:hAnsi="Arial"/>
          <w:sz w:val="15"/>
          <w:szCs w:val="15"/>
          <w:color w:val="A26F2A"/>
        </w:rPr>
      </w:pPr>
      <w:r>
        <w:rPr>
          <w:rFonts w:ascii="Arial" w:cs="Arial" w:eastAsia="Arial" w:hAnsi="Arial"/>
          <w:sz w:val="15"/>
          <w:szCs w:val="15"/>
          <w:color w:val="auto"/>
        </w:rPr>
        <w:t>Over 650 company employees volunteered a total of 5,739 hours.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61"/>
        </w:numPr>
        <w:rPr>
          <w:rFonts w:ascii="Arial" w:cs="Arial" w:eastAsia="Arial" w:hAnsi="Arial"/>
          <w:sz w:val="15"/>
          <w:szCs w:val="15"/>
          <w:color w:val="A26F2A"/>
        </w:rPr>
      </w:pPr>
      <w:r>
        <w:rPr>
          <w:rFonts w:ascii="Arial" w:cs="Arial" w:eastAsia="Arial" w:hAnsi="Arial"/>
          <w:sz w:val="15"/>
          <w:szCs w:val="15"/>
          <w:color w:val="auto"/>
        </w:rPr>
        <w:t>140 company employees served as student mentors in our community throughout the year.</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61"/>
        </w:numPr>
        <w:rPr>
          <w:rFonts w:ascii="Arial" w:cs="Arial" w:eastAsia="Arial" w:hAnsi="Arial"/>
          <w:sz w:val="15"/>
          <w:szCs w:val="15"/>
          <w:color w:val="A26F2A"/>
        </w:rPr>
      </w:pPr>
      <w:r>
        <w:rPr>
          <w:rFonts w:ascii="Arial" w:cs="Arial" w:eastAsia="Arial" w:hAnsi="Arial"/>
          <w:sz w:val="15"/>
          <w:szCs w:val="15"/>
          <w:color w:val="auto"/>
        </w:rPr>
        <w:t>Planted 200 trees in Midland public parks in underserved areas with irrigation for long-term support.</w:t>
      </w:r>
    </w:p>
    <w:p>
      <w:pPr>
        <w:spacing w:after="0" w:line="79" w:lineRule="exact"/>
        <w:rPr>
          <w:rFonts w:ascii="Arial" w:cs="Arial" w:eastAsia="Arial" w:hAnsi="Arial"/>
          <w:sz w:val="15"/>
          <w:szCs w:val="15"/>
          <w:color w:val="A26F2A"/>
        </w:rPr>
      </w:pPr>
    </w:p>
    <w:p>
      <w:pPr>
        <w:jc w:val="both"/>
        <w:ind w:left="160" w:hanging="159"/>
        <w:spacing w:after="0" w:line="258" w:lineRule="auto"/>
        <w:tabs>
          <w:tab w:leader="none" w:pos="160" w:val="left"/>
        </w:tabs>
        <w:numPr>
          <w:ilvl w:val="0"/>
          <w:numId w:val="61"/>
        </w:numPr>
        <w:rPr>
          <w:rFonts w:ascii="Arial" w:cs="Arial" w:eastAsia="Arial" w:hAnsi="Arial"/>
          <w:sz w:val="15"/>
          <w:szCs w:val="15"/>
          <w:color w:val="A26F2A"/>
        </w:rPr>
      </w:pPr>
      <w:r>
        <w:rPr>
          <w:rFonts w:ascii="Arial" w:cs="Arial" w:eastAsia="Arial" w:hAnsi="Arial"/>
          <w:sz w:val="15"/>
          <w:szCs w:val="15"/>
          <w:color w:val="auto"/>
        </w:rPr>
        <w:t>Expanded the Diamondback STEM Lab powered by syGlass to Midland High School, building upon the labs previously established at Legacy High School and Young Women’s Leadership Academy, expanding the immersive (Virtual Reality) instruction method for students taking Anatomy and Physiology, Environmental Science and Neuroscience. Students learn from professors at prestigious universities in the multi-player room while also contributing to research and development on a collegiate level. Through this STEM Network, Diamondback has opened up 77 dual credit seats and has 287 students learning in an exciting, new educational space.</w:t>
      </w:r>
    </w:p>
    <w:p>
      <w:pPr>
        <w:spacing w:after="0" w:line="40" w:lineRule="exact"/>
        <w:rPr>
          <w:rFonts w:ascii="Arial" w:cs="Arial" w:eastAsia="Arial" w:hAnsi="Arial"/>
          <w:sz w:val="15"/>
          <w:szCs w:val="15"/>
          <w:color w:val="A26F2A"/>
        </w:rPr>
      </w:pPr>
    </w:p>
    <w:p>
      <w:pPr>
        <w:jc w:val="both"/>
        <w:ind w:left="160" w:hanging="159"/>
        <w:spacing w:after="0" w:line="258" w:lineRule="auto"/>
        <w:tabs>
          <w:tab w:leader="none" w:pos="160" w:val="left"/>
        </w:tabs>
        <w:numPr>
          <w:ilvl w:val="0"/>
          <w:numId w:val="61"/>
        </w:numPr>
        <w:rPr>
          <w:rFonts w:ascii="Arial" w:cs="Arial" w:eastAsia="Arial" w:hAnsi="Arial"/>
          <w:sz w:val="15"/>
          <w:szCs w:val="15"/>
          <w:color w:val="A26F2A"/>
        </w:rPr>
      </w:pPr>
      <w:r>
        <w:rPr>
          <w:rFonts w:ascii="Arial" w:cs="Arial" w:eastAsia="Arial" w:hAnsi="Arial"/>
          <w:sz w:val="15"/>
          <w:szCs w:val="15"/>
          <w:color w:val="auto"/>
        </w:rPr>
        <w:t>Partnered with Midland Independent School District and their special services department to implement the Diamondback Rolling Baristas Program, aimed at providing valuable opportunities for students with disabilities to develop their work-readiness skills. Students come to Fasken Towers twice a week to serve coffee and refreshments while engaging with visitors and employees at our headquarters. This is our third year of implementation, and we have empowered 150 students across our Midland community.</w:t>
      </w:r>
    </w:p>
    <w:p>
      <w:pPr>
        <w:spacing w:after="0" w:line="40" w:lineRule="exact"/>
        <w:rPr>
          <w:rFonts w:ascii="Arial" w:cs="Arial" w:eastAsia="Arial" w:hAnsi="Arial"/>
          <w:sz w:val="15"/>
          <w:szCs w:val="15"/>
          <w:color w:val="A26F2A"/>
        </w:rPr>
      </w:pPr>
    </w:p>
    <w:p>
      <w:pPr>
        <w:jc w:val="both"/>
        <w:ind w:left="160" w:hanging="159"/>
        <w:spacing w:after="0" w:line="264" w:lineRule="auto"/>
        <w:tabs>
          <w:tab w:leader="none" w:pos="160" w:val="left"/>
        </w:tabs>
        <w:numPr>
          <w:ilvl w:val="0"/>
          <w:numId w:val="61"/>
        </w:numPr>
        <w:rPr>
          <w:rFonts w:ascii="Arial" w:cs="Arial" w:eastAsia="Arial" w:hAnsi="Arial"/>
          <w:sz w:val="15"/>
          <w:szCs w:val="15"/>
          <w:color w:val="A26F2A"/>
        </w:rPr>
      </w:pPr>
      <w:r>
        <w:rPr>
          <w:rFonts w:ascii="Arial" w:cs="Arial" w:eastAsia="Arial" w:hAnsi="Arial"/>
          <w:sz w:val="15"/>
          <w:szCs w:val="15"/>
          <w:color w:val="auto"/>
        </w:rPr>
        <w:t>Through our Diamondback Reading Buddy Program, Diamondback has partnered with three Midland elementary schools (including a bilingual campus) to read to 105 students that struggle with low literacy skills and/or language acquisition skills. We have over 50 volunteers who meet with students every other week to develop relationships and create a safe space where students can explore various books and experience the fun of reading.</w:t>
      </w:r>
    </w:p>
    <w:p>
      <w:pPr>
        <w:spacing w:after="0" w:line="36" w:lineRule="exact"/>
        <w:rPr>
          <w:rFonts w:ascii="Arial" w:cs="Arial" w:eastAsia="Arial" w:hAnsi="Arial"/>
          <w:sz w:val="15"/>
          <w:szCs w:val="15"/>
          <w:color w:val="A26F2A"/>
        </w:rPr>
      </w:pPr>
    </w:p>
    <w:p>
      <w:pPr>
        <w:jc w:val="both"/>
        <w:ind w:left="160" w:hanging="159"/>
        <w:spacing w:after="0" w:line="258" w:lineRule="auto"/>
        <w:tabs>
          <w:tab w:leader="none" w:pos="160" w:val="left"/>
        </w:tabs>
        <w:numPr>
          <w:ilvl w:val="0"/>
          <w:numId w:val="61"/>
        </w:numPr>
        <w:rPr>
          <w:rFonts w:ascii="Arial" w:cs="Arial" w:eastAsia="Arial" w:hAnsi="Arial"/>
          <w:sz w:val="15"/>
          <w:szCs w:val="15"/>
          <w:color w:val="A26F2A"/>
        </w:rPr>
      </w:pPr>
      <w:r>
        <w:rPr>
          <w:rFonts w:ascii="Arial" w:cs="Arial" w:eastAsia="Arial" w:hAnsi="Arial"/>
          <w:sz w:val="15"/>
          <w:szCs w:val="15"/>
          <w:color w:val="auto"/>
        </w:rPr>
        <w:t>The Diamondback Robotics Mentorship Program is a partnership with a local secondary campus that focuses on building strong, collaborative robotics teams aligned with the FIRST Tech Challenge (FTC), and also help students strengthen teamwork and presentation skills critical for future leadership. Our teams have advanced to the Area Championship and State Championship and have won multiple awards at district and area competitions. Over 90% of participating students report increased confidence in pursuing STEM careers and alumni have returned as mentors in other Diamondback education programs, demonstrating the program’s lasting impact.</w:t>
      </w:r>
    </w:p>
    <w:p>
      <w:pPr>
        <w:spacing w:after="0" w:line="40" w:lineRule="exact"/>
        <w:rPr>
          <w:rFonts w:ascii="Arial" w:cs="Arial" w:eastAsia="Arial" w:hAnsi="Arial"/>
          <w:sz w:val="15"/>
          <w:szCs w:val="15"/>
          <w:color w:val="A26F2A"/>
        </w:rPr>
      </w:pPr>
    </w:p>
    <w:p>
      <w:pPr>
        <w:jc w:val="both"/>
        <w:ind w:left="160" w:hanging="159"/>
        <w:spacing w:after="0" w:line="264" w:lineRule="auto"/>
        <w:tabs>
          <w:tab w:leader="none" w:pos="160" w:val="left"/>
        </w:tabs>
        <w:numPr>
          <w:ilvl w:val="0"/>
          <w:numId w:val="61"/>
        </w:numPr>
        <w:rPr>
          <w:rFonts w:ascii="Arial" w:cs="Arial" w:eastAsia="Arial" w:hAnsi="Arial"/>
          <w:sz w:val="15"/>
          <w:szCs w:val="15"/>
          <w:color w:val="A26F2A"/>
        </w:rPr>
      </w:pPr>
      <w:r>
        <w:rPr>
          <w:rFonts w:ascii="Arial" w:cs="Arial" w:eastAsia="Arial" w:hAnsi="Arial"/>
          <w:sz w:val="15"/>
          <w:szCs w:val="15"/>
          <w:color w:val="auto"/>
        </w:rPr>
        <w:t>The Diamondback STEM Camp is a three-week camp held during the summer that served 77 young girls from 24 campuses across Midland. We had 89 Diamondback volunteers who contributed 1,346 hours of service to ensure the effectiveness of outreach, deepen a passion of STEM in our students and increase organizational pride.</w:t>
      </w:r>
    </w:p>
    <w:p>
      <w:pPr>
        <w:spacing w:after="0" w:line="36" w:lineRule="exact"/>
        <w:rPr>
          <w:rFonts w:ascii="Arial" w:cs="Arial" w:eastAsia="Arial" w:hAnsi="Arial"/>
          <w:sz w:val="15"/>
          <w:szCs w:val="15"/>
          <w:color w:val="A26F2A"/>
        </w:rPr>
      </w:pPr>
    </w:p>
    <w:p>
      <w:pPr>
        <w:ind w:left="160" w:hanging="159"/>
        <w:spacing w:after="0"/>
        <w:tabs>
          <w:tab w:leader="none" w:pos="160" w:val="left"/>
        </w:tabs>
        <w:numPr>
          <w:ilvl w:val="0"/>
          <w:numId w:val="61"/>
        </w:numPr>
        <w:rPr>
          <w:rFonts w:ascii="Arial" w:cs="Arial" w:eastAsia="Arial" w:hAnsi="Arial"/>
          <w:sz w:val="15"/>
          <w:szCs w:val="15"/>
          <w:color w:val="A26F2A"/>
        </w:rPr>
      </w:pPr>
      <w:r>
        <w:rPr>
          <w:rFonts w:ascii="Arial" w:cs="Arial" w:eastAsia="Arial" w:hAnsi="Arial"/>
          <w:sz w:val="15"/>
          <w:szCs w:val="15"/>
          <w:color w:val="auto"/>
        </w:rPr>
        <w:t>For the sixth year, donated “back to school” kits and more than 300 winter coats for every student at an underserved Oklahoma City Elementary School.</w:t>
      </w:r>
    </w:p>
    <w:p>
      <w:pPr>
        <w:spacing w:after="0" w:line="79"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61"/>
        </w:numPr>
        <w:rPr>
          <w:rFonts w:ascii="Arial" w:cs="Arial" w:eastAsia="Arial" w:hAnsi="Arial"/>
          <w:sz w:val="15"/>
          <w:szCs w:val="15"/>
          <w:color w:val="A26F2A"/>
        </w:rPr>
      </w:pPr>
      <w:r>
        <w:rPr>
          <w:rFonts w:ascii="Arial" w:cs="Arial" w:eastAsia="Arial" w:hAnsi="Arial"/>
          <w:sz w:val="15"/>
          <w:szCs w:val="15"/>
          <w:color w:val="auto"/>
        </w:rPr>
        <w:t>Diamondback Energy volunteers in Oklahoma City partnered with the local education foundation in the spring semester to read to 50 students weekly in their local school district.</w:t>
      </w:r>
    </w:p>
    <w:p>
      <w:pPr>
        <w:spacing w:after="0" w:line="23"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61"/>
        </w:numPr>
        <w:rPr>
          <w:rFonts w:ascii="Arial" w:cs="Arial" w:eastAsia="Arial" w:hAnsi="Arial"/>
          <w:sz w:val="15"/>
          <w:szCs w:val="15"/>
          <w:color w:val="A26F2A"/>
        </w:rPr>
      </w:pPr>
      <w:r>
        <w:rPr>
          <w:rFonts w:ascii="Arial" w:cs="Arial" w:eastAsia="Arial" w:hAnsi="Arial"/>
          <w:sz w:val="15"/>
          <w:szCs w:val="15"/>
          <w:color w:val="auto"/>
        </w:rPr>
        <w:t>For the second year, Diamondback Career Connections Mentorship Program partnered with a local secondary school for career mentorship. 60 volunteers from Diamondback provided year long career mentorship to students with a focus on college/ career readiness.</w:t>
      </w:r>
    </w:p>
    <w:p>
      <w:pPr>
        <w:spacing w:after="0" w:line="23" w:lineRule="exact"/>
        <w:rPr>
          <w:rFonts w:ascii="Arial" w:cs="Arial" w:eastAsia="Arial" w:hAnsi="Arial"/>
          <w:sz w:val="15"/>
          <w:szCs w:val="15"/>
          <w:color w:val="A26F2A"/>
        </w:rPr>
      </w:pPr>
    </w:p>
    <w:p>
      <w:pPr>
        <w:ind w:left="160" w:hanging="159"/>
        <w:spacing w:after="0"/>
        <w:tabs>
          <w:tab w:leader="none" w:pos="160" w:val="left"/>
        </w:tabs>
        <w:numPr>
          <w:ilvl w:val="0"/>
          <w:numId w:val="61"/>
        </w:numPr>
        <w:rPr>
          <w:rFonts w:ascii="Arial" w:cs="Arial" w:eastAsia="Arial" w:hAnsi="Arial"/>
          <w:sz w:val="15"/>
          <w:szCs w:val="15"/>
          <w:color w:val="A26F2A"/>
        </w:rPr>
      </w:pPr>
      <w:r>
        <w:rPr>
          <w:rFonts w:ascii="Arial" w:cs="Arial" w:eastAsia="Arial" w:hAnsi="Arial"/>
          <w:sz w:val="15"/>
          <w:szCs w:val="15"/>
          <w:color w:val="auto"/>
        </w:rPr>
        <w:t>Hosted the seventh annual First Responders Appreciation Luncheon for over 500 first responders.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61"/>
        </w:numPr>
        <w:rPr>
          <w:rFonts w:ascii="Arial" w:cs="Arial" w:eastAsia="Arial" w:hAnsi="Arial"/>
          <w:sz w:val="15"/>
          <w:szCs w:val="15"/>
          <w:color w:val="A26F2A"/>
        </w:rPr>
      </w:pPr>
      <w:r>
        <w:rPr>
          <w:rFonts w:ascii="Arial" w:cs="Arial" w:eastAsia="Arial" w:hAnsi="Arial"/>
          <w:sz w:val="15"/>
          <w:szCs w:val="15"/>
          <w:color w:val="auto"/>
        </w:rPr>
        <w:t>Donated approximately $3.6 million to local charities and philanthropic endeavors.</w:t>
      </w:r>
    </w:p>
    <w:p>
      <w:pPr>
        <w:spacing w:after="0" w:line="79" w:lineRule="exact"/>
        <w:rPr>
          <w:rFonts w:ascii="Arial" w:cs="Arial" w:eastAsia="Arial" w:hAnsi="Arial"/>
          <w:sz w:val="15"/>
          <w:szCs w:val="15"/>
          <w:color w:val="A26F2A"/>
        </w:rPr>
      </w:pPr>
    </w:p>
    <w:p>
      <w:pPr>
        <w:jc w:val="both"/>
        <w:ind w:left="160" w:hanging="159"/>
        <w:spacing w:after="0" w:line="264" w:lineRule="auto"/>
        <w:tabs>
          <w:tab w:leader="none" w:pos="160" w:val="left"/>
        </w:tabs>
        <w:numPr>
          <w:ilvl w:val="0"/>
          <w:numId w:val="61"/>
        </w:numPr>
        <w:rPr>
          <w:rFonts w:ascii="Arial" w:cs="Arial" w:eastAsia="Arial" w:hAnsi="Arial"/>
          <w:sz w:val="15"/>
          <w:szCs w:val="15"/>
          <w:color w:val="A26F2A"/>
        </w:rPr>
      </w:pPr>
      <w:r>
        <w:rPr>
          <w:rFonts w:ascii="Arial" w:cs="Arial" w:eastAsia="Arial" w:hAnsi="Arial"/>
          <w:sz w:val="15"/>
          <w:szCs w:val="15"/>
          <w:color w:val="auto"/>
        </w:rPr>
        <w:t>Donated approximately $2.6 million through the Permian Strategic Partnership (PSP). The PSP was formed over five years ago by 17 (now 28) oil and gas companies to focus on making investments to help build superior educational programs, accessible housing, a supportive healthcare system, safer roads and a more skilled workforce throughout the Permian Basin.</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ind w:left="160" w:hanging="159"/>
        <w:spacing w:after="0" w:line="282" w:lineRule="auto"/>
        <w:tabs>
          <w:tab w:leader="none" w:pos="160" w:val="left"/>
        </w:tabs>
        <w:numPr>
          <w:ilvl w:val="0"/>
          <w:numId w:val="62"/>
        </w:numPr>
        <w:rPr>
          <w:rFonts w:ascii="Arial" w:cs="Arial" w:eastAsia="Arial" w:hAnsi="Arial"/>
          <w:sz w:val="15"/>
          <w:szCs w:val="15"/>
          <w:color w:val="A26F2A"/>
        </w:rPr>
      </w:pPr>
      <w:r>
        <w:rPr>
          <w:rFonts w:ascii="Arial" w:cs="Arial" w:eastAsia="Arial" w:hAnsi="Arial"/>
          <w:sz w:val="15"/>
          <w:szCs w:val="15"/>
          <w:color w:val="auto"/>
        </w:rPr>
        <w:t>Partnered for the third year with the Midland Education Foundation to host the Teacher Winter Wishes Spectacular. During this event, 53 Diamondback volunteers were able to serve over 1,000 educators.</w:t>
      </w:r>
    </w:p>
    <w:p>
      <w:pPr>
        <w:spacing w:after="0" w:line="23"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62"/>
        </w:numPr>
        <w:rPr>
          <w:rFonts w:ascii="Arial" w:cs="Arial" w:eastAsia="Arial" w:hAnsi="Arial"/>
          <w:sz w:val="15"/>
          <w:szCs w:val="15"/>
          <w:color w:val="A26F2A"/>
        </w:rPr>
      </w:pPr>
      <w:r>
        <w:rPr>
          <w:rFonts w:ascii="Arial" w:cs="Arial" w:eastAsia="Arial" w:hAnsi="Arial"/>
          <w:sz w:val="15"/>
          <w:szCs w:val="15"/>
          <w:color w:val="auto"/>
        </w:rPr>
        <w:t>Donated $5 million to the Midland Athletic Syndicate (MAS) for the construction of the MAS Sports Complex, a multi-purpose youth sports complex that will include an indoor field and courts used primarily for local sports and tournaments for youth.</w:t>
      </w:r>
    </w:p>
    <w:p>
      <w:pPr>
        <w:spacing w:after="0" w:line="23" w:lineRule="exact"/>
        <w:rPr>
          <w:rFonts w:ascii="Arial" w:cs="Arial" w:eastAsia="Arial" w:hAnsi="Arial"/>
          <w:sz w:val="15"/>
          <w:szCs w:val="15"/>
          <w:color w:val="A26F2A"/>
        </w:rPr>
      </w:pPr>
    </w:p>
    <w:p>
      <w:pPr>
        <w:jc w:val="both"/>
        <w:ind w:left="160" w:hanging="159"/>
        <w:spacing w:after="0" w:line="264" w:lineRule="auto"/>
        <w:tabs>
          <w:tab w:leader="none" w:pos="160" w:val="left"/>
        </w:tabs>
        <w:numPr>
          <w:ilvl w:val="0"/>
          <w:numId w:val="62"/>
        </w:numPr>
        <w:rPr>
          <w:rFonts w:ascii="Arial" w:cs="Arial" w:eastAsia="Arial" w:hAnsi="Arial"/>
          <w:sz w:val="15"/>
          <w:szCs w:val="15"/>
          <w:color w:val="A26F2A"/>
        </w:rPr>
      </w:pPr>
      <w:r>
        <w:rPr>
          <w:rFonts w:ascii="Arial" w:cs="Arial" w:eastAsia="Arial" w:hAnsi="Arial"/>
          <w:sz w:val="15"/>
          <w:szCs w:val="15"/>
          <w:color w:val="auto"/>
        </w:rPr>
        <w:t>Donated $300,000 to the Texas A&amp;M Engineering Academy at Midland College (MC). As a result of this investment, we have created the Diamondback DNA Mentorship Program which is a partnership with Texas A&amp;M Engineering Academy and Midland College. We have 20 Diamondback mentors that meet with students in the academy every other week throughout the school year which supports student retention and determination of their engineering pathway.</w:t>
      </w:r>
    </w:p>
    <w:p>
      <w:pPr>
        <w:spacing w:after="0" w:line="36"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62"/>
        </w:numPr>
        <w:rPr>
          <w:rFonts w:ascii="Arial" w:cs="Arial" w:eastAsia="Arial" w:hAnsi="Arial"/>
          <w:sz w:val="15"/>
          <w:szCs w:val="15"/>
          <w:color w:val="A26F2A"/>
        </w:rPr>
      </w:pPr>
      <w:r>
        <w:rPr>
          <w:rFonts w:ascii="Arial" w:cs="Arial" w:eastAsia="Arial" w:hAnsi="Arial"/>
          <w:sz w:val="15"/>
          <w:szCs w:val="15"/>
          <w:color w:val="auto"/>
        </w:rPr>
        <w:t>Donated $2.9 million to international non-profits and philanthropy to support Ukraine humanitarian needs. In 2022, Diamondback made a commitment to stand with the Ukrainian people by contributing $10 million toward humanitarian relief; the Company has achieved this commitment.</w:t>
      </w:r>
    </w:p>
    <w:p>
      <w:pPr>
        <w:spacing w:after="0" w:line="228"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Political Contributions and Activities</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We are committed to transparency about the Company’s public policy advocacy efforts, political contributions and related activities. The safety, sustainability and corporate responsibility committee is responsible for reviewing and discussing with Company management our public policy advocacy efforts and annually reviews the activities of our political action committees (each, a “PAC”), all political contributions made with corporate funds and membership dues paid to 501(c)(6) U.S. based trade associations (including any portion of dues used for lobbying activities). In an effort to encourage employee participation, we have initiated a matching program whereby eligible employees, in the case of the Company’s sponsored state PAC, and eligible employees and their spouses, in the case of the Company’s sponsored federal PAC and a Company chosen PAC sponsored by a 501(c)(6) U.S. based federal trade association, who are contributing to the specified PAC can request that that Company make a matching donation in accordance with the Company’s matching guidelines and subject to the limits thereof for an aggregate match not to exceed $30,000 per employee per year. The matching program is broadly available to all eligible employees, including executive officers, on the same terms. All employee contributions to these PACs are not tax deductible and are not reimbursed by the Company.</w:t>
      </w:r>
    </w:p>
    <w:p>
      <w:pPr>
        <w:spacing w:after="0" w:line="15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published our 2025 Corporate Political Contributions Disclosure Report in February 2026 on our website. In 2025, the Center for Political Accountability assessed our political contribution disclosures for its annual CPA-Zicklin Index of Corporate Political Disclosure and Accountability and designated the Company a trendsetter score of 90.0%.</w:t>
      </w:r>
    </w:p>
    <w:p>
      <w:pPr>
        <w:spacing w:after="0" w:line="13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Company evaluates its Corporate Political Contribution Disclosure Report annually, and we encourage you to review our 2025 Corporate Political Contributions Report and our Policy Governing Political Contributions and Activities, which are both available on our website under the “Investors—Corporate Governance” caption.</w:t>
      </w:r>
    </w:p>
    <w:p>
      <w:pPr>
        <w:spacing w:after="0" w:line="228"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Moving Forward</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are proud of what we have been able to accomplish as a company and believe our achievements show a serious and growing commitment, to our evolving corporate responsibility. We are resolved to live our core values of leadership, integrity, excellence, people and teamwork and we will continue to strive for continuous improvement in the years ahead.</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Highlights of our accomplishments with respect to Environmental and Safety matters are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1412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ENVIRONMENTAL</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20" w:type="dxa"/>
            <w:vAlign w:val="bottom"/>
            <w:tcBorders>
              <w:top w:val="single" w:sz="8" w:color="A26F2A"/>
            </w:tcBorders>
          </w:tcPr>
          <w:p>
            <w:pPr>
              <w:ind w:left="160"/>
              <w:spacing w:after="0" w:line="157" w:lineRule="exact"/>
              <w:rPr>
                <w:sz w:val="20"/>
                <w:szCs w:val="20"/>
                <w:color w:val="auto"/>
              </w:rPr>
            </w:pPr>
            <w:r>
              <w:rPr>
                <w:rFonts w:ascii="Arial" w:cs="Arial" w:eastAsia="Arial" w:hAnsi="Arial"/>
                <w:sz w:val="15"/>
                <w:szCs w:val="15"/>
                <w:color w:val="auto"/>
              </w:rPr>
              <w:t>Emissions</w:t>
            </w:r>
          </w:p>
        </w:tc>
        <w:tc>
          <w:tcPr>
            <w:tcW w:w="260" w:type="dxa"/>
            <w:vAlign w:val="bottom"/>
            <w:tcBorders>
              <w:top w:val="single" w:sz="8" w:color="A26F2A"/>
            </w:tcBorders>
          </w:tcPr>
          <w:p>
            <w:pPr>
              <w:ind w:left="160"/>
              <w:spacing w:after="0" w:line="157" w:lineRule="exact"/>
              <w:rPr>
                <w:sz w:val="20"/>
                <w:szCs w:val="20"/>
                <w:color w:val="auto"/>
              </w:rPr>
            </w:pPr>
            <w:r>
              <w:rPr>
                <w:rFonts w:ascii="Arial" w:cs="Arial" w:eastAsia="Arial" w:hAnsi="Arial"/>
                <w:sz w:val="15"/>
                <w:szCs w:val="15"/>
                <w:color w:val="A26F2A"/>
              </w:rPr>
              <w:t>•</w:t>
            </w:r>
          </w:p>
        </w:tc>
        <w:tc>
          <w:tcPr>
            <w:tcW w:w="8760" w:type="dxa"/>
            <w:vAlign w:val="bottom"/>
            <w:tcBorders>
              <w:top w:val="single" w:sz="8" w:color="A26F2A"/>
            </w:tcBorders>
          </w:tcPr>
          <w:p>
            <w:pPr>
              <w:ind w:left="80"/>
              <w:spacing w:after="0" w:line="157" w:lineRule="exact"/>
              <w:rPr>
                <w:sz w:val="20"/>
                <w:szCs w:val="20"/>
                <w:color w:val="auto"/>
              </w:rPr>
            </w:pPr>
            <w:r>
              <w:rPr>
                <w:rFonts w:ascii="Arial" w:cs="Arial" w:eastAsia="Arial" w:hAnsi="Arial"/>
                <w:sz w:val="15"/>
                <w:szCs w:val="15"/>
                <w:color w:val="auto"/>
              </w:rPr>
              <w:t>Electrified our primary frac fleets at the end of Q1 2025.</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260" w:type="dxa"/>
            <w:vAlign w:val="bottom"/>
          </w:tcPr>
          <w:p>
            <w:pPr>
              <w:ind w:left="160"/>
              <w:spacing w:after="0"/>
              <w:rPr>
                <w:sz w:val="20"/>
                <w:szCs w:val="20"/>
                <w:color w:val="auto"/>
              </w:rPr>
            </w:pPr>
            <w:r>
              <w:rPr>
                <w:rFonts w:ascii="Arial" w:cs="Arial" w:eastAsia="Arial" w:hAnsi="Arial"/>
                <w:sz w:val="15"/>
                <w:szCs w:val="15"/>
                <w:color w:val="A26F2A"/>
              </w:rPr>
              <w:t>•</w:t>
            </w:r>
          </w:p>
        </w:tc>
        <w:tc>
          <w:tcPr>
            <w:tcW w:w="8760" w:type="dxa"/>
            <w:vAlign w:val="bottom"/>
          </w:tcPr>
          <w:p>
            <w:pPr>
              <w:ind w:left="60"/>
              <w:spacing w:after="0"/>
              <w:rPr>
                <w:sz w:val="20"/>
                <w:szCs w:val="20"/>
                <w:color w:val="auto"/>
              </w:rPr>
            </w:pPr>
            <w:r>
              <w:rPr>
                <w:rFonts w:ascii="Arial" w:cs="Arial" w:eastAsia="Arial" w:hAnsi="Arial"/>
                <w:sz w:val="15"/>
                <w:szCs w:val="15"/>
                <w:color w:val="auto"/>
              </w:rPr>
              <w:t>All of our drilling rigs are electric capable. Actual electric drilling is governed by the specific location of the rigs and power</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260" w:type="dxa"/>
            <w:vAlign w:val="bottom"/>
            <w:vMerge w:val="restart"/>
          </w:tcPr>
          <w:p>
            <w:pPr>
              <w:ind w:left="160"/>
              <w:spacing w:after="0"/>
              <w:rPr>
                <w:sz w:val="20"/>
                <w:szCs w:val="20"/>
                <w:color w:val="auto"/>
              </w:rPr>
            </w:pPr>
            <w:r>
              <w:rPr>
                <w:rFonts w:ascii="Arial" w:cs="Arial" w:eastAsia="Arial" w:hAnsi="Arial"/>
                <w:sz w:val="15"/>
                <w:szCs w:val="15"/>
                <w:color w:val="A26F2A"/>
              </w:rPr>
              <w:t>•</w:t>
            </w:r>
          </w:p>
        </w:tc>
        <w:tc>
          <w:tcPr>
            <w:tcW w:w="8760" w:type="dxa"/>
            <w:vAlign w:val="bottom"/>
          </w:tcPr>
          <w:p>
            <w:pPr>
              <w:ind w:left="60"/>
              <w:spacing w:after="0"/>
              <w:rPr>
                <w:sz w:val="20"/>
                <w:szCs w:val="20"/>
                <w:color w:val="auto"/>
              </w:rPr>
            </w:pPr>
            <w:r>
              <w:rPr>
                <w:rFonts w:ascii="Arial" w:cs="Arial" w:eastAsia="Arial" w:hAnsi="Arial"/>
                <w:sz w:val="15"/>
                <w:szCs w:val="15"/>
                <w:color w:val="auto"/>
              </w:rPr>
              <w:t>availability.</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8760" w:type="dxa"/>
            <w:vAlign w:val="bottom"/>
          </w:tcPr>
          <w:p>
            <w:pPr>
              <w:ind w:left="60"/>
              <w:spacing w:after="0"/>
              <w:rPr>
                <w:sz w:val="20"/>
                <w:szCs w:val="20"/>
                <w:color w:val="auto"/>
              </w:rPr>
            </w:pPr>
            <w:r>
              <w:rPr>
                <w:rFonts w:ascii="Arial" w:cs="Arial" w:eastAsia="Arial" w:hAnsi="Arial"/>
                <w:sz w:val="15"/>
                <w:szCs w:val="15"/>
                <w:color w:val="auto"/>
              </w:rPr>
              <w:t>Immediately conduct an environmental audit upon closing an acquisition with corrective actions to bring any items found up to</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760" w:type="dxa"/>
            <w:vAlign w:val="bottom"/>
          </w:tcPr>
          <w:p>
            <w:pPr>
              <w:ind w:left="60"/>
              <w:spacing w:after="0"/>
              <w:rPr>
                <w:sz w:val="20"/>
                <w:szCs w:val="20"/>
                <w:color w:val="auto"/>
              </w:rPr>
            </w:pPr>
            <w:r>
              <w:rPr>
                <w:rFonts w:ascii="Arial" w:cs="Arial" w:eastAsia="Arial" w:hAnsi="Arial"/>
                <w:sz w:val="15"/>
                <w:szCs w:val="15"/>
                <w:color w:val="auto"/>
              </w:rPr>
              <w:t>Diamondback standards.</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60" w:type="dxa"/>
            <w:vAlign w:val="bottom"/>
          </w:tcPr>
          <w:p>
            <w:pPr>
              <w:ind w:left="160"/>
              <w:spacing w:after="0"/>
              <w:rPr>
                <w:sz w:val="20"/>
                <w:szCs w:val="20"/>
                <w:color w:val="auto"/>
              </w:rPr>
            </w:pPr>
            <w:r>
              <w:rPr>
                <w:rFonts w:ascii="Arial" w:cs="Arial" w:eastAsia="Arial" w:hAnsi="Arial"/>
                <w:sz w:val="15"/>
                <w:szCs w:val="15"/>
                <w:color w:val="A26F2A"/>
              </w:rPr>
              <w:t>•</w:t>
            </w:r>
          </w:p>
        </w:tc>
        <w:tc>
          <w:tcPr>
            <w:tcW w:w="8760" w:type="dxa"/>
            <w:vAlign w:val="bottom"/>
          </w:tcPr>
          <w:p>
            <w:pPr>
              <w:ind w:left="60"/>
              <w:spacing w:after="0"/>
              <w:rPr>
                <w:sz w:val="20"/>
                <w:szCs w:val="20"/>
                <w:color w:val="auto"/>
              </w:rPr>
            </w:pPr>
            <w:r>
              <w:rPr>
                <w:rFonts w:ascii="Arial" w:cs="Arial" w:eastAsia="Arial" w:hAnsi="Arial"/>
                <w:sz w:val="15"/>
                <w:szCs w:val="15"/>
                <w:color w:val="auto"/>
              </w:rPr>
              <w:t>Developed a continuous hydrogen sulfide monitoring and management system to maintain operations and prevent flaring at a</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760" w:type="dxa"/>
            <w:vAlign w:val="bottom"/>
          </w:tcPr>
          <w:p>
            <w:pPr>
              <w:ind w:left="60"/>
              <w:spacing w:after="0"/>
              <w:rPr>
                <w:sz w:val="20"/>
                <w:szCs w:val="20"/>
                <w:color w:val="auto"/>
              </w:rPr>
            </w:pPr>
            <w:r>
              <w:rPr>
                <w:rFonts w:ascii="Arial" w:cs="Arial" w:eastAsia="Arial" w:hAnsi="Arial"/>
                <w:sz w:val="15"/>
                <w:szCs w:val="15"/>
                <w:color w:val="auto"/>
              </w:rPr>
              <w:t>lower cost than other industry solutions.</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9020" w:type="dxa"/>
            <w:vAlign w:val="bottom"/>
            <w:gridSpan w:val="2"/>
          </w:tcPr>
          <w:p>
            <w:pPr>
              <w:ind w:left="16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Operate ~5,600 miles of powerline and 10 substations to electrify our operations and help to eliminate emissions.</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A8A9AC"/>
            </w:tcBorders>
          </w:tcPr>
          <w:p>
            <w:pPr>
              <w:spacing w:after="0"/>
              <w:rPr>
                <w:sz w:val="16"/>
                <w:szCs w:val="16"/>
                <w:color w:val="auto"/>
              </w:rPr>
            </w:pPr>
          </w:p>
        </w:tc>
        <w:tc>
          <w:tcPr>
            <w:tcW w:w="9020" w:type="dxa"/>
            <w:vAlign w:val="bottom"/>
            <w:tcBorders>
              <w:bottom w:val="single" w:sz="8" w:color="A8A9AC"/>
            </w:tcBorders>
            <w:gridSpan w:val="2"/>
          </w:tcPr>
          <w:p>
            <w:pPr>
              <w:ind w:left="16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At December 31, 2025, approximately 90% of our crude oil production was covered by continuous emissions monitoring devices.</w:t>
            </w:r>
          </w:p>
        </w:tc>
        <w:tc>
          <w:tcPr>
            <w:tcW w:w="0" w:type="dxa"/>
            <w:vAlign w:val="bottom"/>
          </w:tcPr>
          <w:p>
            <w:pPr>
              <w:spacing w:after="0"/>
              <w:rPr>
                <w:sz w:val="1"/>
                <w:szCs w:val="1"/>
                <w:color w:val="auto"/>
              </w:rPr>
            </w:pPr>
          </w:p>
        </w:tc>
      </w:tr>
      <w:tr>
        <w:trPr>
          <w:trHeight w:val="170"/>
        </w:trPr>
        <w:tc>
          <w:tcPr>
            <w:tcW w:w="2220" w:type="dxa"/>
            <w:vAlign w:val="bottom"/>
          </w:tcPr>
          <w:p>
            <w:pPr>
              <w:ind w:left="160"/>
              <w:spacing w:after="0" w:line="170" w:lineRule="exact"/>
              <w:rPr>
                <w:sz w:val="20"/>
                <w:szCs w:val="20"/>
                <w:color w:val="auto"/>
              </w:rPr>
            </w:pPr>
            <w:r>
              <w:rPr>
                <w:rFonts w:ascii="Arial" w:cs="Arial" w:eastAsia="Arial" w:hAnsi="Arial"/>
                <w:sz w:val="15"/>
                <w:szCs w:val="15"/>
                <w:color w:val="auto"/>
              </w:rPr>
              <w:t>Water Management</w:t>
            </w:r>
          </w:p>
        </w:tc>
        <w:tc>
          <w:tcPr>
            <w:tcW w:w="260" w:type="dxa"/>
            <w:vAlign w:val="bottom"/>
          </w:tcPr>
          <w:p>
            <w:pPr>
              <w:ind w:left="160"/>
              <w:spacing w:after="0" w:line="170" w:lineRule="exact"/>
              <w:rPr>
                <w:sz w:val="20"/>
                <w:szCs w:val="20"/>
                <w:color w:val="auto"/>
              </w:rPr>
            </w:pPr>
            <w:r>
              <w:rPr>
                <w:rFonts w:ascii="Arial" w:cs="Arial" w:eastAsia="Arial" w:hAnsi="Arial"/>
                <w:sz w:val="15"/>
                <w:szCs w:val="15"/>
                <w:color w:val="A26F2A"/>
              </w:rPr>
              <w:t>•</w:t>
            </w:r>
          </w:p>
        </w:tc>
        <w:tc>
          <w:tcPr>
            <w:tcW w:w="8760" w:type="dxa"/>
            <w:vAlign w:val="bottom"/>
          </w:tcPr>
          <w:p>
            <w:pPr>
              <w:ind w:left="60"/>
              <w:spacing w:after="0" w:line="170" w:lineRule="exact"/>
              <w:rPr>
                <w:sz w:val="20"/>
                <w:szCs w:val="20"/>
                <w:color w:val="auto"/>
              </w:rPr>
            </w:pPr>
            <w:r>
              <w:rPr>
                <w:rFonts w:ascii="Arial" w:cs="Arial" w:eastAsia="Arial" w:hAnsi="Arial"/>
                <w:sz w:val="15"/>
                <w:szCs w:val="15"/>
                <w:color w:val="auto"/>
              </w:rPr>
              <w:t>Exceeded our goal to source over 65% of our water used for drilling and completion operations from non-potable and non-</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760" w:type="dxa"/>
            <w:vAlign w:val="bottom"/>
          </w:tcPr>
          <w:p>
            <w:pPr>
              <w:ind w:left="60"/>
              <w:spacing w:after="0"/>
              <w:rPr>
                <w:sz w:val="20"/>
                <w:szCs w:val="20"/>
                <w:color w:val="auto"/>
              </w:rPr>
            </w:pPr>
            <w:r>
              <w:rPr>
                <w:rFonts w:ascii="Arial" w:cs="Arial" w:eastAsia="Arial" w:hAnsi="Arial"/>
                <w:sz w:val="15"/>
                <w:szCs w:val="15"/>
                <w:color w:val="auto"/>
              </w:rPr>
              <w:t>agricultural quality sources for two consecutive years and two years earlier than the original 2025 pledge.</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9020" w:type="dxa"/>
            <w:vAlign w:val="bottom"/>
            <w:gridSpan w:val="2"/>
          </w:tcPr>
          <w:p>
            <w:pPr>
              <w:ind w:left="16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Continued to make specific efforts to drill assets where we have water infrastructure already in place.</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A8A9AC"/>
            </w:tcBorders>
          </w:tcPr>
          <w:p>
            <w:pPr>
              <w:spacing w:after="0"/>
              <w:rPr>
                <w:sz w:val="16"/>
                <w:szCs w:val="16"/>
                <w:color w:val="auto"/>
              </w:rPr>
            </w:pPr>
          </w:p>
        </w:tc>
        <w:tc>
          <w:tcPr>
            <w:tcW w:w="9020" w:type="dxa"/>
            <w:vAlign w:val="bottom"/>
            <w:tcBorders>
              <w:bottom w:val="single" w:sz="8" w:color="A8A9AC"/>
            </w:tcBorders>
            <w:gridSpan w:val="2"/>
          </w:tcPr>
          <w:p>
            <w:pPr>
              <w:ind w:left="16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Improved our water score on the CDP 2025 Questionnaire year over year.</w:t>
            </w:r>
          </w:p>
        </w:tc>
        <w:tc>
          <w:tcPr>
            <w:tcW w:w="0" w:type="dxa"/>
            <w:vAlign w:val="bottom"/>
          </w:tcPr>
          <w:p>
            <w:pPr>
              <w:spacing w:after="0"/>
              <w:rPr>
                <w:sz w:val="1"/>
                <w:szCs w:val="1"/>
                <w:color w:val="auto"/>
              </w:rPr>
            </w:pPr>
          </w:p>
        </w:tc>
      </w:tr>
      <w:tr>
        <w:trPr>
          <w:trHeight w:val="170"/>
        </w:trPr>
        <w:tc>
          <w:tcPr>
            <w:tcW w:w="2220" w:type="dxa"/>
            <w:vAlign w:val="bottom"/>
          </w:tcPr>
          <w:p>
            <w:pPr>
              <w:ind w:left="160"/>
              <w:spacing w:after="0" w:line="170" w:lineRule="exact"/>
              <w:rPr>
                <w:sz w:val="20"/>
                <w:szCs w:val="20"/>
                <w:color w:val="auto"/>
              </w:rPr>
            </w:pPr>
            <w:r>
              <w:rPr>
                <w:rFonts w:ascii="Arial" w:cs="Arial" w:eastAsia="Arial" w:hAnsi="Arial"/>
                <w:sz w:val="15"/>
                <w:szCs w:val="15"/>
                <w:color w:val="auto"/>
              </w:rPr>
              <w:t>Spills and Spill Management</w:t>
            </w:r>
          </w:p>
        </w:tc>
        <w:tc>
          <w:tcPr>
            <w:tcW w:w="260" w:type="dxa"/>
            <w:vAlign w:val="bottom"/>
          </w:tcPr>
          <w:p>
            <w:pPr>
              <w:ind w:left="160"/>
              <w:spacing w:after="0" w:line="170" w:lineRule="exact"/>
              <w:rPr>
                <w:sz w:val="20"/>
                <w:szCs w:val="20"/>
                <w:color w:val="auto"/>
              </w:rPr>
            </w:pPr>
            <w:r>
              <w:rPr>
                <w:rFonts w:ascii="Arial" w:cs="Arial" w:eastAsia="Arial" w:hAnsi="Arial"/>
                <w:sz w:val="15"/>
                <w:szCs w:val="15"/>
                <w:color w:val="A26F2A"/>
              </w:rPr>
              <w:t>•</w:t>
            </w:r>
          </w:p>
        </w:tc>
        <w:tc>
          <w:tcPr>
            <w:tcW w:w="8760" w:type="dxa"/>
            <w:vAlign w:val="bottom"/>
          </w:tcPr>
          <w:p>
            <w:pPr>
              <w:ind w:left="60"/>
              <w:spacing w:after="0" w:line="170" w:lineRule="exact"/>
              <w:rPr>
                <w:sz w:val="20"/>
                <w:szCs w:val="20"/>
                <w:color w:val="auto"/>
              </w:rPr>
            </w:pPr>
            <w:r>
              <w:rPr>
                <w:rFonts w:ascii="Arial" w:cs="Arial" w:eastAsia="Arial" w:hAnsi="Arial"/>
                <w:sz w:val="15"/>
                <w:szCs w:val="15"/>
                <w:color w:val="auto"/>
              </w:rPr>
              <w:t>Implemented a production operations maintenance team to proactively maintain equipment thereby reducing the likelihood of</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760" w:type="dxa"/>
            <w:vAlign w:val="bottom"/>
          </w:tcPr>
          <w:p>
            <w:pPr>
              <w:ind w:left="60"/>
              <w:spacing w:after="0"/>
              <w:rPr>
                <w:sz w:val="20"/>
                <w:szCs w:val="20"/>
                <w:color w:val="auto"/>
              </w:rPr>
            </w:pPr>
            <w:r>
              <w:rPr>
                <w:rFonts w:ascii="Arial" w:cs="Arial" w:eastAsia="Arial" w:hAnsi="Arial"/>
                <w:sz w:val="15"/>
                <w:szCs w:val="15"/>
                <w:color w:val="auto"/>
              </w:rPr>
              <w:t>spills.</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9020" w:type="dxa"/>
            <w:vAlign w:val="bottom"/>
            <w:gridSpan w:val="2"/>
          </w:tcPr>
          <w:p>
            <w:pPr>
              <w:ind w:left="16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Completed our integrated operations center, which provides 24-hour support and visibility for improved response.</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60" w:type="dxa"/>
            <w:vAlign w:val="bottom"/>
          </w:tcPr>
          <w:p>
            <w:pPr>
              <w:ind w:left="160"/>
              <w:spacing w:after="0"/>
              <w:rPr>
                <w:sz w:val="20"/>
                <w:szCs w:val="20"/>
                <w:color w:val="auto"/>
              </w:rPr>
            </w:pPr>
            <w:r>
              <w:rPr>
                <w:rFonts w:ascii="Arial" w:cs="Arial" w:eastAsia="Arial" w:hAnsi="Arial"/>
                <w:sz w:val="15"/>
                <w:szCs w:val="15"/>
                <w:color w:val="A26F2A"/>
              </w:rPr>
              <w:t>•</w:t>
            </w:r>
          </w:p>
        </w:tc>
        <w:tc>
          <w:tcPr>
            <w:tcW w:w="8760" w:type="dxa"/>
            <w:vAlign w:val="bottom"/>
          </w:tcPr>
          <w:p>
            <w:pPr>
              <w:ind w:left="60"/>
              <w:spacing w:after="0"/>
              <w:rPr>
                <w:sz w:val="20"/>
                <w:szCs w:val="20"/>
                <w:color w:val="auto"/>
              </w:rPr>
            </w:pPr>
            <w:r>
              <w:rPr>
                <w:rFonts w:ascii="Arial" w:cs="Arial" w:eastAsia="Arial" w:hAnsi="Arial"/>
                <w:sz w:val="15"/>
                <w:szCs w:val="15"/>
                <w:color w:val="auto"/>
              </w:rPr>
              <w:t>All new batteries are built with a lined secondary containment area for recovering liquids that might be lost in the event of a</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A8A9AC"/>
            </w:tcBorders>
          </w:tcPr>
          <w:p>
            <w:pPr>
              <w:spacing w:after="0"/>
              <w:rPr>
                <w:sz w:val="16"/>
                <w:szCs w:val="16"/>
                <w:color w:val="auto"/>
              </w:rPr>
            </w:pPr>
          </w:p>
        </w:tc>
        <w:tc>
          <w:tcPr>
            <w:tcW w:w="260" w:type="dxa"/>
            <w:vAlign w:val="bottom"/>
            <w:tcBorders>
              <w:bottom w:val="single" w:sz="8" w:color="A8A9AC"/>
            </w:tcBorders>
          </w:tcPr>
          <w:p>
            <w:pPr>
              <w:spacing w:after="0"/>
              <w:rPr>
                <w:sz w:val="16"/>
                <w:szCs w:val="16"/>
                <w:color w:val="auto"/>
              </w:rPr>
            </w:pPr>
          </w:p>
        </w:tc>
        <w:tc>
          <w:tcPr>
            <w:tcW w:w="876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rPr>
              <w:t>release.</w:t>
            </w:r>
          </w:p>
        </w:tc>
        <w:tc>
          <w:tcPr>
            <w:tcW w:w="0" w:type="dxa"/>
            <w:vAlign w:val="bottom"/>
          </w:tcPr>
          <w:p>
            <w:pPr>
              <w:spacing w:after="0"/>
              <w:rPr>
                <w:sz w:val="1"/>
                <w:szCs w:val="1"/>
                <w:color w:val="auto"/>
              </w:rPr>
            </w:pPr>
          </w:p>
        </w:tc>
      </w:tr>
      <w:tr>
        <w:trPr>
          <w:trHeight w:val="170"/>
        </w:trPr>
        <w:tc>
          <w:tcPr>
            <w:tcW w:w="2220" w:type="dxa"/>
            <w:vAlign w:val="bottom"/>
          </w:tcPr>
          <w:p>
            <w:pPr>
              <w:ind w:left="160"/>
              <w:spacing w:after="0" w:line="170" w:lineRule="exact"/>
              <w:rPr>
                <w:sz w:val="20"/>
                <w:szCs w:val="20"/>
                <w:color w:val="auto"/>
              </w:rPr>
            </w:pPr>
            <w:r>
              <w:rPr>
                <w:rFonts w:ascii="Arial" w:cs="Arial" w:eastAsia="Arial" w:hAnsi="Arial"/>
                <w:sz w:val="15"/>
                <w:szCs w:val="15"/>
                <w:color w:val="auto"/>
              </w:rPr>
              <w:t>Climate Change</w:t>
            </w:r>
          </w:p>
        </w:tc>
        <w:tc>
          <w:tcPr>
            <w:tcW w:w="260" w:type="dxa"/>
            <w:vAlign w:val="bottom"/>
          </w:tcPr>
          <w:p>
            <w:pPr>
              <w:ind w:left="160"/>
              <w:spacing w:after="0" w:line="170" w:lineRule="exact"/>
              <w:rPr>
                <w:sz w:val="20"/>
                <w:szCs w:val="20"/>
                <w:color w:val="auto"/>
              </w:rPr>
            </w:pPr>
            <w:r>
              <w:rPr>
                <w:rFonts w:ascii="Arial" w:cs="Arial" w:eastAsia="Arial" w:hAnsi="Arial"/>
                <w:sz w:val="15"/>
                <w:szCs w:val="15"/>
                <w:color w:val="A26F2A"/>
              </w:rPr>
              <w:t>•</w:t>
            </w:r>
          </w:p>
        </w:tc>
        <w:tc>
          <w:tcPr>
            <w:tcW w:w="8760" w:type="dxa"/>
            <w:vAlign w:val="bottom"/>
          </w:tcPr>
          <w:p>
            <w:pPr>
              <w:ind w:left="60"/>
              <w:spacing w:after="0" w:line="170" w:lineRule="exact"/>
              <w:rPr>
                <w:sz w:val="20"/>
                <w:szCs w:val="20"/>
                <w:color w:val="auto"/>
              </w:rPr>
            </w:pPr>
            <w:r>
              <w:rPr>
                <w:rFonts w:ascii="Arial" w:cs="Arial" w:eastAsia="Arial" w:hAnsi="Arial"/>
                <w:sz w:val="15"/>
                <w:szCs w:val="15"/>
                <w:color w:val="auto"/>
              </w:rPr>
              <w:t>Committed to understanding the potential impact of growing alternative energy sources and the transition to a lower-carbon</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760" w:type="dxa"/>
            <w:vAlign w:val="bottom"/>
          </w:tcPr>
          <w:p>
            <w:pPr>
              <w:ind w:left="60"/>
              <w:spacing w:after="0"/>
              <w:rPr>
                <w:sz w:val="20"/>
                <w:szCs w:val="20"/>
                <w:color w:val="auto"/>
              </w:rPr>
            </w:pPr>
            <w:r>
              <w:rPr>
                <w:rFonts w:ascii="Arial" w:cs="Arial" w:eastAsia="Arial" w:hAnsi="Arial"/>
                <w:sz w:val="15"/>
                <w:szCs w:val="15"/>
                <w:color w:val="auto"/>
              </w:rPr>
              <w:t>economy on our oil and gas portfolio and seek to factor changing conditions into our strategic plans, primarily through scenario</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760" w:type="dxa"/>
            <w:vAlign w:val="bottom"/>
          </w:tcPr>
          <w:p>
            <w:pPr>
              <w:ind w:left="60"/>
              <w:spacing w:after="0"/>
              <w:rPr>
                <w:sz w:val="20"/>
                <w:szCs w:val="20"/>
                <w:color w:val="auto"/>
              </w:rPr>
            </w:pPr>
            <w:r>
              <w:rPr>
                <w:rFonts w:ascii="Arial" w:cs="Arial" w:eastAsia="Arial" w:hAnsi="Arial"/>
                <w:sz w:val="15"/>
                <w:szCs w:val="15"/>
                <w:color w:val="auto"/>
              </w:rPr>
              <w:t>planning to assess portfolio resilience over the long-term.</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9020" w:type="dxa"/>
            <w:vAlign w:val="bottom"/>
            <w:gridSpan w:val="2"/>
          </w:tcPr>
          <w:p>
            <w:pPr>
              <w:ind w:left="16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Improved our climate change score on the CDP 2025 Questionnaire year over year.</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60" w:type="dxa"/>
            <w:vAlign w:val="bottom"/>
          </w:tcPr>
          <w:p>
            <w:pPr>
              <w:ind w:left="160"/>
              <w:spacing w:after="0"/>
              <w:rPr>
                <w:sz w:val="20"/>
                <w:szCs w:val="20"/>
                <w:color w:val="auto"/>
              </w:rPr>
            </w:pPr>
            <w:r>
              <w:rPr>
                <w:rFonts w:ascii="Arial" w:cs="Arial" w:eastAsia="Arial" w:hAnsi="Arial"/>
                <w:sz w:val="15"/>
                <w:szCs w:val="15"/>
                <w:color w:val="A26F2A"/>
              </w:rPr>
              <w:t>•</w:t>
            </w:r>
          </w:p>
        </w:tc>
        <w:tc>
          <w:tcPr>
            <w:tcW w:w="8760" w:type="dxa"/>
            <w:vAlign w:val="bottom"/>
          </w:tcPr>
          <w:p>
            <w:pPr>
              <w:ind w:left="60"/>
              <w:spacing w:after="0"/>
              <w:rPr>
                <w:sz w:val="20"/>
                <w:szCs w:val="20"/>
                <w:color w:val="auto"/>
              </w:rPr>
            </w:pPr>
            <w:r>
              <w:rPr>
                <w:rFonts w:ascii="Arial" w:cs="Arial" w:eastAsia="Arial" w:hAnsi="Arial"/>
                <w:sz w:val="15"/>
                <w:szCs w:val="15"/>
                <w:color w:val="auto"/>
              </w:rPr>
              <w:t>Implemented our “Net Zero Now” initiative under which, effective January 1, 2021, every hydrocarbon molecule we produce is</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760" w:type="dxa"/>
            <w:vAlign w:val="bottom"/>
          </w:tcPr>
          <w:p>
            <w:pPr>
              <w:ind w:left="60"/>
              <w:spacing w:after="0"/>
              <w:rPr>
                <w:sz w:val="20"/>
                <w:szCs w:val="20"/>
                <w:color w:val="auto"/>
              </w:rPr>
            </w:pPr>
            <w:r>
              <w:rPr>
                <w:rFonts w:ascii="Arial" w:cs="Arial" w:eastAsia="Arial" w:hAnsi="Arial"/>
                <w:sz w:val="15"/>
                <w:szCs w:val="15"/>
                <w:color w:val="auto"/>
              </w:rPr>
              <w:t>anticipated to be produced with zero net Scope 1 GHG emissions.</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9020" w:type="dxa"/>
            <w:vAlign w:val="bottom"/>
            <w:gridSpan w:val="2"/>
          </w:tcPr>
          <w:p>
            <w:pPr>
              <w:ind w:left="16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Purchased carbon credits to offset the remaining emissions to the extent our GHG and methane intensity reduction targets do not</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760" w:type="dxa"/>
            <w:vAlign w:val="bottom"/>
          </w:tcPr>
          <w:p>
            <w:pPr>
              <w:ind w:left="60"/>
              <w:spacing w:after="0"/>
              <w:rPr>
                <w:sz w:val="20"/>
                <w:szCs w:val="20"/>
                <w:color w:val="auto"/>
              </w:rPr>
            </w:pPr>
            <w:r>
              <w:rPr>
                <w:rFonts w:ascii="Arial" w:cs="Arial" w:eastAsia="Arial" w:hAnsi="Arial"/>
                <w:sz w:val="15"/>
                <w:szCs w:val="15"/>
                <w:color w:val="auto"/>
              </w:rPr>
              <w:t>eliminate our carbon footprint.</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9020" w:type="dxa"/>
            <w:vAlign w:val="bottom"/>
            <w:gridSpan w:val="2"/>
          </w:tcPr>
          <w:p>
            <w:pPr>
              <w:ind w:left="16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Continue to search for innovative ways to implement cost-effective, appropriate steps to monitor, measure and reduce our energy</w:t>
            </w:r>
          </w:p>
        </w:tc>
        <w:tc>
          <w:tcPr>
            <w:tcW w:w="0" w:type="dxa"/>
            <w:vAlign w:val="bottom"/>
          </w:tcPr>
          <w:p>
            <w:pPr>
              <w:spacing w:after="0"/>
              <w:rPr>
                <w:sz w:val="1"/>
                <w:szCs w:val="1"/>
                <w:color w:val="auto"/>
              </w:rPr>
            </w:pPr>
          </w:p>
        </w:tc>
      </w:tr>
      <w:tr>
        <w:trPr>
          <w:trHeight w:val="176"/>
        </w:trPr>
        <w:tc>
          <w:tcPr>
            <w:tcW w:w="2220" w:type="dxa"/>
            <w:vAlign w:val="bottom"/>
            <w:tcBorders>
              <w:bottom w:val="single" w:sz="8" w:color="A26F2A"/>
            </w:tcBorders>
          </w:tcPr>
          <w:p>
            <w:pPr>
              <w:spacing w:after="0"/>
              <w:rPr>
                <w:sz w:val="15"/>
                <w:szCs w:val="15"/>
                <w:color w:val="auto"/>
              </w:rPr>
            </w:pPr>
          </w:p>
        </w:tc>
        <w:tc>
          <w:tcPr>
            <w:tcW w:w="260" w:type="dxa"/>
            <w:vAlign w:val="bottom"/>
            <w:tcBorders>
              <w:bottom w:val="single" w:sz="8" w:color="A26F2A"/>
            </w:tcBorders>
          </w:tcPr>
          <w:p>
            <w:pPr>
              <w:spacing w:after="0"/>
              <w:rPr>
                <w:sz w:val="15"/>
                <w:szCs w:val="15"/>
                <w:color w:val="auto"/>
              </w:rPr>
            </w:pPr>
          </w:p>
        </w:tc>
        <w:tc>
          <w:tcPr>
            <w:tcW w:w="8760" w:type="dxa"/>
            <w:vAlign w:val="bottom"/>
            <w:tcBorders>
              <w:bottom w:val="single" w:sz="8" w:color="A26F2A"/>
            </w:tcBorders>
          </w:tcPr>
          <w:p>
            <w:pPr>
              <w:ind w:left="60"/>
              <w:spacing w:after="0"/>
              <w:rPr>
                <w:sz w:val="20"/>
                <w:szCs w:val="20"/>
                <w:color w:val="auto"/>
              </w:rPr>
            </w:pPr>
            <w:r>
              <w:rPr>
                <w:rFonts w:ascii="Arial" w:cs="Arial" w:eastAsia="Arial" w:hAnsi="Arial"/>
                <w:sz w:val="15"/>
                <w:szCs w:val="15"/>
                <w:color w:val="auto"/>
              </w:rPr>
              <w:t>use, waste and emissions.</w:t>
            </w:r>
          </w:p>
        </w:tc>
        <w:tc>
          <w:tcPr>
            <w:tcW w:w="0" w:type="dxa"/>
            <w:vAlign w:val="bottom"/>
          </w:tcPr>
          <w:p>
            <w:pPr>
              <w:spacing w:after="0"/>
              <w:rPr>
                <w:sz w:val="1"/>
                <w:szCs w:val="1"/>
                <w:color w:val="auto"/>
              </w:rPr>
            </w:pPr>
          </w:p>
        </w:tc>
      </w:tr>
      <w:tr>
        <w:trPr>
          <w:trHeight w:val="169"/>
        </w:trPr>
        <w:tc>
          <w:tcPr>
            <w:tcW w:w="2220" w:type="dxa"/>
            <w:vAlign w:val="bottom"/>
            <w:tcBorders>
              <w:bottom w:val="single" w:sz="8" w:color="A26F2A"/>
            </w:tcBorders>
          </w:tcPr>
          <w:p>
            <w:pPr>
              <w:ind w:left="60"/>
              <w:spacing w:after="0" w:line="169" w:lineRule="exact"/>
              <w:rPr>
                <w:sz w:val="20"/>
                <w:szCs w:val="20"/>
                <w:color w:val="auto"/>
              </w:rPr>
            </w:pPr>
            <w:r>
              <w:rPr>
                <w:rFonts w:ascii="Arial" w:cs="Arial" w:eastAsia="Arial" w:hAnsi="Arial"/>
                <w:sz w:val="15"/>
                <w:szCs w:val="15"/>
                <w:b w:val="1"/>
                <w:bCs w:val="1"/>
                <w:color w:val="auto"/>
              </w:rPr>
              <w:t>SAFETY</w:t>
            </w:r>
          </w:p>
        </w:tc>
        <w:tc>
          <w:tcPr>
            <w:tcW w:w="260" w:type="dxa"/>
            <w:vAlign w:val="bottom"/>
            <w:tcBorders>
              <w:bottom w:val="single" w:sz="8" w:color="A26F2A"/>
            </w:tcBorders>
          </w:tcPr>
          <w:p>
            <w:pPr>
              <w:spacing w:after="0"/>
              <w:rPr>
                <w:sz w:val="14"/>
                <w:szCs w:val="14"/>
                <w:color w:val="auto"/>
              </w:rPr>
            </w:pPr>
          </w:p>
        </w:tc>
        <w:tc>
          <w:tcPr>
            <w:tcW w:w="8760" w:type="dxa"/>
            <w:vAlign w:val="bottom"/>
            <w:tcBorders>
              <w:bottom w:val="single" w:sz="8" w:color="A26F2A"/>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20" w:type="dxa"/>
            <w:vAlign w:val="bottom"/>
          </w:tcPr>
          <w:p>
            <w:pPr>
              <w:spacing w:after="0"/>
              <w:rPr>
                <w:sz w:val="14"/>
                <w:szCs w:val="14"/>
                <w:color w:val="auto"/>
              </w:rPr>
            </w:pPr>
          </w:p>
        </w:tc>
        <w:tc>
          <w:tcPr>
            <w:tcW w:w="260" w:type="dxa"/>
            <w:vAlign w:val="bottom"/>
          </w:tcPr>
          <w:p>
            <w:pPr>
              <w:ind w:left="160"/>
              <w:spacing w:after="0" w:line="170" w:lineRule="exact"/>
              <w:rPr>
                <w:sz w:val="20"/>
                <w:szCs w:val="20"/>
                <w:color w:val="auto"/>
              </w:rPr>
            </w:pPr>
            <w:r>
              <w:rPr>
                <w:rFonts w:ascii="Arial" w:cs="Arial" w:eastAsia="Arial" w:hAnsi="Arial"/>
                <w:sz w:val="15"/>
                <w:szCs w:val="15"/>
                <w:color w:val="A26F2A"/>
              </w:rPr>
              <w:t>•</w:t>
            </w:r>
          </w:p>
        </w:tc>
        <w:tc>
          <w:tcPr>
            <w:tcW w:w="8760" w:type="dxa"/>
            <w:vAlign w:val="bottom"/>
          </w:tcPr>
          <w:p>
            <w:pPr>
              <w:ind w:left="60"/>
              <w:spacing w:after="0" w:line="170" w:lineRule="exact"/>
              <w:rPr>
                <w:sz w:val="20"/>
                <w:szCs w:val="20"/>
                <w:color w:val="auto"/>
              </w:rPr>
            </w:pPr>
            <w:r>
              <w:rPr>
                <w:rFonts w:ascii="Arial" w:cs="Arial" w:eastAsia="Arial" w:hAnsi="Arial"/>
                <w:sz w:val="15"/>
                <w:szCs w:val="15"/>
                <w:color w:val="auto"/>
              </w:rPr>
              <w:t>We currently have full-time, field-dedicated coordinators within our health, safety and environmental organization to monitor</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260" w:type="dxa"/>
            <w:vAlign w:val="bottom"/>
            <w:vMerge w:val="restart"/>
          </w:tcPr>
          <w:p>
            <w:pPr>
              <w:ind w:left="160"/>
              <w:spacing w:after="0"/>
              <w:rPr>
                <w:sz w:val="20"/>
                <w:szCs w:val="20"/>
                <w:color w:val="auto"/>
              </w:rPr>
            </w:pPr>
            <w:r>
              <w:rPr>
                <w:rFonts w:ascii="Arial" w:cs="Arial" w:eastAsia="Arial" w:hAnsi="Arial"/>
                <w:sz w:val="15"/>
                <w:szCs w:val="15"/>
                <w:color w:val="A26F2A"/>
              </w:rPr>
              <w:t>•</w:t>
            </w:r>
          </w:p>
        </w:tc>
        <w:tc>
          <w:tcPr>
            <w:tcW w:w="8760" w:type="dxa"/>
            <w:vAlign w:val="bottom"/>
          </w:tcPr>
          <w:p>
            <w:pPr>
              <w:ind w:left="60"/>
              <w:spacing w:after="0"/>
              <w:rPr>
                <w:sz w:val="20"/>
                <w:szCs w:val="20"/>
                <w:color w:val="auto"/>
              </w:rPr>
            </w:pPr>
            <w:r>
              <w:rPr>
                <w:rFonts w:ascii="Arial" w:cs="Arial" w:eastAsia="Arial" w:hAnsi="Arial"/>
                <w:sz w:val="15"/>
                <w:szCs w:val="15"/>
                <w:color w:val="auto"/>
              </w:rPr>
              <w:t>facilities and help prevent potential issues.</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8760" w:type="dxa"/>
            <w:vAlign w:val="bottom"/>
          </w:tcPr>
          <w:p>
            <w:pPr>
              <w:ind w:left="60"/>
              <w:spacing w:after="0"/>
              <w:rPr>
                <w:sz w:val="20"/>
                <w:szCs w:val="20"/>
                <w:color w:val="auto"/>
              </w:rPr>
            </w:pPr>
            <w:r>
              <w:rPr>
                <w:rFonts w:ascii="Arial" w:cs="Arial" w:eastAsia="Arial" w:hAnsi="Arial"/>
                <w:sz w:val="15"/>
                <w:szCs w:val="15"/>
                <w:color w:val="auto"/>
              </w:rPr>
              <w:t>We have implemented a new cloud-based application that allows our employees to identify and immediately report incidents,</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760" w:type="dxa"/>
            <w:vAlign w:val="bottom"/>
          </w:tcPr>
          <w:p>
            <w:pPr>
              <w:ind w:left="60"/>
              <w:spacing w:after="0"/>
              <w:rPr>
                <w:sz w:val="20"/>
                <w:szCs w:val="20"/>
                <w:color w:val="auto"/>
              </w:rPr>
            </w:pPr>
            <w:r>
              <w:rPr>
                <w:rFonts w:ascii="Arial" w:cs="Arial" w:eastAsia="Arial" w:hAnsi="Arial"/>
                <w:sz w:val="15"/>
                <w:szCs w:val="15"/>
                <w:color w:val="auto"/>
              </w:rPr>
              <w:t>potential hazards and near misses using a mobile device.</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60" w:type="dxa"/>
            <w:vAlign w:val="bottom"/>
          </w:tcPr>
          <w:p>
            <w:pPr>
              <w:ind w:left="160"/>
              <w:spacing w:after="0"/>
              <w:rPr>
                <w:sz w:val="20"/>
                <w:szCs w:val="20"/>
                <w:color w:val="auto"/>
              </w:rPr>
            </w:pPr>
            <w:r>
              <w:rPr>
                <w:rFonts w:ascii="Arial" w:cs="Arial" w:eastAsia="Arial" w:hAnsi="Arial"/>
                <w:sz w:val="15"/>
                <w:szCs w:val="15"/>
                <w:color w:val="A26F2A"/>
              </w:rPr>
              <w:t>•</w:t>
            </w:r>
          </w:p>
        </w:tc>
        <w:tc>
          <w:tcPr>
            <w:tcW w:w="8760" w:type="dxa"/>
            <w:vAlign w:val="bottom"/>
          </w:tcPr>
          <w:p>
            <w:pPr>
              <w:ind w:left="60"/>
              <w:spacing w:after="0"/>
              <w:rPr>
                <w:sz w:val="20"/>
                <w:szCs w:val="20"/>
                <w:color w:val="auto"/>
              </w:rPr>
            </w:pPr>
            <w:r>
              <w:rPr>
                <w:rFonts w:ascii="Arial" w:cs="Arial" w:eastAsia="Arial" w:hAnsi="Arial"/>
                <w:sz w:val="15"/>
                <w:szCs w:val="15"/>
                <w:color w:val="auto"/>
              </w:rPr>
              <w:t>We have an active safety, sustainability and corporate responsibility committee of our board of directors that oversees our</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760" w:type="dxa"/>
            <w:vAlign w:val="bottom"/>
          </w:tcPr>
          <w:p>
            <w:pPr>
              <w:ind w:left="60"/>
              <w:spacing w:after="0"/>
              <w:rPr>
                <w:sz w:val="20"/>
                <w:szCs w:val="20"/>
                <w:color w:val="auto"/>
              </w:rPr>
            </w:pPr>
            <w:r>
              <w:rPr>
                <w:rFonts w:ascii="Arial" w:cs="Arial" w:eastAsia="Arial" w:hAnsi="Arial"/>
                <w:sz w:val="15"/>
                <w:szCs w:val="15"/>
                <w:color w:val="auto"/>
              </w:rPr>
              <w:t>policies on these matters and the quality of our procedures for identifying, assessing, monitoring and managing the principal</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760" w:type="dxa"/>
            <w:vAlign w:val="bottom"/>
          </w:tcPr>
          <w:p>
            <w:pPr>
              <w:ind w:left="60"/>
              <w:spacing w:after="0"/>
              <w:rPr>
                <w:sz w:val="20"/>
                <w:szCs w:val="20"/>
                <w:color w:val="auto"/>
              </w:rPr>
            </w:pPr>
            <w:r>
              <w:rPr>
                <w:rFonts w:ascii="Arial" w:cs="Arial" w:eastAsia="Arial" w:hAnsi="Arial"/>
                <w:sz w:val="15"/>
                <w:szCs w:val="15"/>
                <w:color w:val="auto"/>
              </w:rPr>
              <w:t>environmental, health, safety and social risks in our business and provides leadership with respect to best practices in the areas</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760" w:type="dxa"/>
            <w:vAlign w:val="bottom"/>
          </w:tcPr>
          <w:p>
            <w:pPr>
              <w:ind w:left="60"/>
              <w:spacing w:after="0"/>
              <w:rPr>
                <w:sz w:val="20"/>
                <w:szCs w:val="20"/>
                <w:color w:val="auto"/>
              </w:rPr>
            </w:pPr>
            <w:r>
              <w:rPr>
                <w:rFonts w:ascii="Arial" w:cs="Arial" w:eastAsia="Arial" w:hAnsi="Arial"/>
                <w:sz w:val="15"/>
                <w:szCs w:val="15"/>
                <w:color w:val="auto"/>
              </w:rPr>
              <w:t>of environmental, sustainability and corporate and social responsibility.</w:t>
            </w:r>
          </w:p>
        </w:tc>
        <w:tc>
          <w:tcPr>
            <w:tcW w:w="0" w:type="dxa"/>
            <w:vAlign w:val="bottom"/>
          </w:tcPr>
          <w:p>
            <w:pPr>
              <w:spacing w:after="0"/>
              <w:rPr>
                <w:sz w:val="1"/>
                <w:szCs w:val="1"/>
                <w:color w:val="auto"/>
              </w:rPr>
            </w:pPr>
          </w:p>
        </w:tc>
      </w:tr>
      <w:tr>
        <w:trPr>
          <w:trHeight w:val="202"/>
        </w:trPr>
        <w:tc>
          <w:tcPr>
            <w:tcW w:w="2220" w:type="dxa"/>
            <w:vAlign w:val="bottom"/>
            <w:tcBorders>
              <w:bottom w:val="single" w:sz="8" w:color="A26F2A"/>
            </w:tcBorders>
          </w:tcPr>
          <w:p>
            <w:pPr>
              <w:spacing w:after="0"/>
              <w:rPr>
                <w:sz w:val="17"/>
                <w:szCs w:val="17"/>
                <w:color w:val="auto"/>
              </w:rPr>
            </w:pPr>
          </w:p>
        </w:tc>
        <w:tc>
          <w:tcPr>
            <w:tcW w:w="9020" w:type="dxa"/>
            <w:vAlign w:val="bottom"/>
            <w:tcBorders>
              <w:bottom w:val="single" w:sz="8" w:color="A26F2A"/>
            </w:tcBorders>
            <w:gridSpan w:val="2"/>
          </w:tcPr>
          <w:p>
            <w:pPr>
              <w:ind w:left="16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Deployed GPS monitoring in all company vehicles and improved the vehicle incident rate by 29% year over year.</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Our 2025 Corporate Sustainability Report can be found on our website under the “Sustainability” caption.</w:t>
      </w:r>
    </w:p>
    <w:p>
      <w:pPr>
        <w:spacing w:after="0" w:line="181"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111760</wp:posOffset>
            </wp:positionV>
            <wp:extent cx="136525" cy="12103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6525" cy="121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00"/>
        <w:spacing w:after="0"/>
        <w:rPr>
          <w:sz w:val="20"/>
          <w:szCs w:val="20"/>
          <w:color w:val="auto"/>
        </w:rPr>
      </w:pPr>
      <w:r>
        <w:rPr>
          <w:rFonts w:ascii="Arial" w:cs="Arial" w:eastAsia="Arial" w:hAnsi="Arial"/>
          <w:sz w:val="44"/>
          <w:szCs w:val="44"/>
          <w:b w:val="1"/>
          <w:bCs w:val="1"/>
          <w:color w:val="auto"/>
        </w:rPr>
        <w:t>AUDIT COMMITTEE REPORT</w:t>
      </w:r>
    </w:p>
    <w:p>
      <w:pPr>
        <w:spacing w:after="0" w:line="200" w:lineRule="exact"/>
        <w:rPr>
          <w:sz w:val="20"/>
          <w:szCs w:val="20"/>
          <w:color w:val="auto"/>
        </w:rPr>
      </w:pPr>
    </w:p>
    <w:p>
      <w:pPr>
        <w:spacing w:after="0" w:line="39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 xml:space="preserve">The audit committee is responsible for providing independent, objective oversight for the integrity of the Company’s financial reporting process and internal control system and oversight with respect to compliance with legal and regulatory requirements and policies regarding risk assessment and risk management, including with respect to cybersecurity. Other primary responsibilities of the audit committee include the review, oversight and appraisal of the qualifications, independence and audit performance of the Company’s independent registered public accounting firm and providing an open venue for communication among the independent registered public accounting firm, financial and senior management, our internal auditors and the board of directors of the Company. A more detailed description of the responsibilities of the audit committee is set forth in its written charter, which is posted on our website at </w:t>
      </w:r>
      <w:r>
        <w:rPr>
          <w:rFonts w:ascii="Arial" w:cs="Arial" w:eastAsia="Arial" w:hAnsi="Arial"/>
          <w:sz w:val="15"/>
          <w:szCs w:val="15"/>
          <w:i w:val="1"/>
          <w:iCs w:val="1"/>
          <w:color w:val="auto"/>
        </w:rPr>
        <w:t>www.diamondbackenergy.com</w:t>
      </w:r>
      <w:r>
        <w:rPr>
          <w:rFonts w:ascii="Arial" w:cs="Arial" w:eastAsia="Arial" w:hAnsi="Arial"/>
          <w:sz w:val="15"/>
          <w:szCs w:val="15"/>
          <w:color w:val="auto"/>
        </w:rPr>
        <w:t>. The following report summarizes certain of the audit committee’s activities with respect to its responsibilities during 2025.</w:t>
      </w:r>
    </w:p>
    <w:p>
      <w:pPr>
        <w:spacing w:after="0" w:line="249"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Review with Management and Independent Registered Public Accounting Firm</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audit committee has reviewed and discussed with management and Grant Thornton LLP, an independent registered public accounting firm, the audited consolidated financial statements of the Company as of and for the year ended December 31, 2025.</w:t>
      </w:r>
    </w:p>
    <w:p>
      <w:pPr>
        <w:spacing w:after="0" w:line="228"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Controls and Procedures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audit committee discussed with management and Grant Thornton LLP the quality and adequacy of the Company’s disclosure controls and procedures. The audit committee also reviewed and discussed with management and Grant Thornton LLP the Company’s system of internal control over financial reporting in compliance with Section 404 of the Sarbanes-Oxley Act of 2002.</w:t>
      </w: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Discussions with Independent Auditing Firm</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audit committee has discussed with Grant Thornton LLP, independent auditor for the Company, the matters required to be discussed by the applicable requirements of the Public Company Accounting Oversight Board (“PCAOB”) and the SEC. The audit committee has received the written disclosures and the letter from Grant Thornton LLP required by applicable requirements of the PCAOB regarding the independent accountant’s communications with the audit committee concerning independence and has discussed with that firm its independence from the Company.</w:t>
      </w:r>
    </w:p>
    <w:p>
      <w:pPr>
        <w:spacing w:after="0" w:line="245"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Recommendation to the Board of Directors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Based on its review and discussions noted above, the audit committee recommended to the board of directors that the audited financial statements and management’s report on internal control over financial reporting be included in the Company’s Annual Report on Form 10-K for the year ended December 31, 2025.</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COMMITTEE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Stephanie K. Mains, </w:t>
      </w:r>
      <w:r>
        <w:rPr>
          <w:rFonts w:ascii="Arial" w:cs="Arial" w:eastAsia="Arial" w:hAnsi="Arial"/>
          <w:sz w:val="15"/>
          <w:szCs w:val="15"/>
          <w:i w:val="1"/>
          <w:iCs w:val="1"/>
          <w:color w:val="auto"/>
        </w:rPr>
        <w:t>Chair</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Vincent K. Brooks</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Darin G. Holderness</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Mark L. Plaumann</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Robert K. Reeves</w:t>
      </w:r>
    </w:p>
    <w:p>
      <w:pPr>
        <w:spacing w:after="0" w:line="16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111760</wp:posOffset>
            </wp:positionV>
            <wp:extent cx="136525" cy="12103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6525" cy="121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00"/>
        <w:spacing w:after="0"/>
        <w:rPr>
          <w:sz w:val="20"/>
          <w:szCs w:val="20"/>
          <w:color w:val="auto"/>
        </w:rPr>
      </w:pPr>
      <w:r>
        <w:rPr>
          <w:rFonts w:ascii="Arial" w:cs="Arial" w:eastAsia="Arial" w:hAnsi="Arial"/>
          <w:sz w:val="44"/>
          <w:szCs w:val="44"/>
          <w:b w:val="1"/>
          <w:bCs w:val="1"/>
          <w:color w:val="auto"/>
        </w:rPr>
        <w:t>EXECUTIVE OFFICERS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name, age and positions of each of our executive officers as of April 9, 2026.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0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Name</w:t>
            </w:r>
          </w:p>
        </w:tc>
        <w:tc>
          <w:tcPr>
            <w:tcW w:w="1340" w:type="dxa"/>
            <w:vAlign w:val="bottom"/>
            <w:tcBorders>
              <w:bottom w:val="single" w:sz="8" w:color="A26F2A"/>
            </w:tcBorders>
          </w:tcPr>
          <w:p>
            <w:pPr>
              <w:jc w:val="center"/>
              <w:ind w:left="544"/>
              <w:spacing w:after="0"/>
              <w:rPr>
                <w:sz w:val="20"/>
                <w:szCs w:val="20"/>
                <w:color w:val="auto"/>
              </w:rPr>
            </w:pPr>
            <w:r>
              <w:rPr>
                <w:rFonts w:ascii="Arial" w:cs="Arial" w:eastAsia="Arial" w:hAnsi="Arial"/>
                <w:sz w:val="15"/>
                <w:szCs w:val="15"/>
                <w:b w:val="1"/>
                <w:bCs w:val="1"/>
                <w:color w:val="auto"/>
                <w:w w:val="98"/>
              </w:rPr>
              <w:t>Age</w:t>
            </w:r>
          </w:p>
        </w:tc>
        <w:tc>
          <w:tcPr>
            <w:tcW w:w="7500" w:type="dxa"/>
            <w:vAlign w:val="bottom"/>
            <w:tcBorders>
              <w:bottom w:val="single" w:sz="8" w:color="A26F2A"/>
            </w:tcBorders>
          </w:tcPr>
          <w:p>
            <w:pPr>
              <w:ind w:left="200"/>
              <w:spacing w:after="0"/>
              <w:rPr>
                <w:sz w:val="20"/>
                <w:szCs w:val="20"/>
                <w:color w:val="auto"/>
              </w:rPr>
            </w:pPr>
            <w:r>
              <w:rPr>
                <w:rFonts w:ascii="Arial" w:cs="Arial" w:eastAsia="Arial" w:hAnsi="Arial"/>
                <w:sz w:val="15"/>
                <w:szCs w:val="15"/>
                <w:b w:val="1"/>
                <w:bCs w:val="1"/>
                <w:color w:val="auto"/>
              </w:rPr>
              <w:t>Position</w:t>
            </w:r>
          </w:p>
        </w:tc>
      </w:tr>
      <w:tr>
        <w:trPr>
          <w:trHeight w:val="177"/>
        </w:trPr>
        <w:tc>
          <w:tcPr>
            <w:tcW w:w="240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Al Barkmann</w:t>
            </w:r>
          </w:p>
        </w:tc>
        <w:tc>
          <w:tcPr>
            <w:tcW w:w="1340" w:type="dxa"/>
            <w:vAlign w:val="bottom"/>
            <w:tcBorders>
              <w:bottom w:val="single" w:sz="8" w:color="A8A9AC"/>
            </w:tcBorders>
          </w:tcPr>
          <w:p>
            <w:pPr>
              <w:jc w:val="center"/>
              <w:ind w:left="544"/>
              <w:spacing w:after="0"/>
              <w:rPr>
                <w:sz w:val="20"/>
                <w:szCs w:val="20"/>
                <w:color w:val="auto"/>
              </w:rPr>
            </w:pPr>
            <w:r>
              <w:rPr>
                <w:rFonts w:ascii="Arial" w:cs="Arial" w:eastAsia="Arial" w:hAnsi="Arial"/>
                <w:sz w:val="15"/>
                <w:szCs w:val="15"/>
                <w:color w:val="auto"/>
                <w:w w:val="95"/>
              </w:rPr>
              <w:t>45</w:t>
            </w:r>
          </w:p>
        </w:tc>
        <w:tc>
          <w:tcPr>
            <w:tcW w:w="7500" w:type="dxa"/>
            <w:vAlign w:val="bottom"/>
            <w:tcBorders>
              <w:bottom w:val="single" w:sz="8" w:color="A8A9AC"/>
            </w:tcBorders>
          </w:tcPr>
          <w:p>
            <w:pPr>
              <w:ind w:left="200"/>
              <w:spacing w:after="0"/>
              <w:rPr>
                <w:sz w:val="20"/>
                <w:szCs w:val="20"/>
                <w:color w:val="auto"/>
              </w:rPr>
            </w:pPr>
            <w:r>
              <w:rPr>
                <w:rFonts w:ascii="Arial" w:cs="Arial" w:eastAsia="Arial" w:hAnsi="Arial"/>
                <w:sz w:val="15"/>
                <w:szCs w:val="15"/>
                <w:color w:val="auto"/>
              </w:rPr>
              <w:t>Executive Vice President and Chief Engineer</w:t>
            </w:r>
          </w:p>
        </w:tc>
      </w:tr>
      <w:tr>
        <w:trPr>
          <w:trHeight w:val="169"/>
        </w:trPr>
        <w:tc>
          <w:tcPr>
            <w:tcW w:w="240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Teresa L. Dick</w:t>
            </w:r>
          </w:p>
        </w:tc>
        <w:tc>
          <w:tcPr>
            <w:tcW w:w="1340" w:type="dxa"/>
            <w:vAlign w:val="bottom"/>
            <w:tcBorders>
              <w:bottom w:val="single" w:sz="8" w:color="A8A9AC"/>
            </w:tcBorders>
          </w:tcPr>
          <w:p>
            <w:pPr>
              <w:jc w:val="center"/>
              <w:ind w:left="544"/>
              <w:spacing w:after="0" w:line="169" w:lineRule="exact"/>
              <w:rPr>
                <w:sz w:val="20"/>
                <w:szCs w:val="20"/>
                <w:color w:val="auto"/>
              </w:rPr>
            </w:pPr>
            <w:r>
              <w:rPr>
                <w:rFonts w:ascii="Arial" w:cs="Arial" w:eastAsia="Arial" w:hAnsi="Arial"/>
                <w:sz w:val="15"/>
                <w:szCs w:val="15"/>
                <w:color w:val="auto"/>
                <w:w w:val="95"/>
              </w:rPr>
              <w:t>56</w:t>
            </w:r>
          </w:p>
        </w:tc>
        <w:tc>
          <w:tcPr>
            <w:tcW w:w="7500" w:type="dxa"/>
            <w:vAlign w:val="bottom"/>
            <w:tcBorders>
              <w:bottom w:val="single" w:sz="8" w:color="A8A9AC"/>
            </w:tcBorders>
          </w:tcPr>
          <w:p>
            <w:pPr>
              <w:ind w:left="200"/>
              <w:spacing w:after="0" w:line="169" w:lineRule="exact"/>
              <w:rPr>
                <w:sz w:val="20"/>
                <w:szCs w:val="20"/>
                <w:color w:val="auto"/>
              </w:rPr>
            </w:pPr>
            <w:r>
              <w:rPr>
                <w:rFonts w:ascii="Arial" w:cs="Arial" w:eastAsia="Arial" w:hAnsi="Arial"/>
                <w:sz w:val="15"/>
                <w:szCs w:val="15"/>
                <w:color w:val="auto"/>
              </w:rPr>
              <w:t>Executive Vice President, Chief Accounting Officer and Assistant Secretary</w:t>
            </w:r>
          </w:p>
        </w:tc>
      </w:tr>
      <w:tr>
        <w:trPr>
          <w:trHeight w:val="169"/>
        </w:trPr>
        <w:tc>
          <w:tcPr>
            <w:tcW w:w="240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Chad McAllaster</w:t>
            </w:r>
          </w:p>
        </w:tc>
        <w:tc>
          <w:tcPr>
            <w:tcW w:w="1340" w:type="dxa"/>
            <w:vAlign w:val="bottom"/>
            <w:tcBorders>
              <w:bottom w:val="single" w:sz="8" w:color="A8A9AC"/>
            </w:tcBorders>
          </w:tcPr>
          <w:p>
            <w:pPr>
              <w:jc w:val="center"/>
              <w:ind w:left="544"/>
              <w:spacing w:after="0" w:line="169" w:lineRule="exact"/>
              <w:rPr>
                <w:sz w:val="20"/>
                <w:szCs w:val="20"/>
                <w:color w:val="auto"/>
              </w:rPr>
            </w:pPr>
            <w:r>
              <w:rPr>
                <w:rFonts w:ascii="Arial" w:cs="Arial" w:eastAsia="Arial" w:hAnsi="Arial"/>
                <w:sz w:val="15"/>
                <w:szCs w:val="15"/>
                <w:color w:val="auto"/>
                <w:w w:val="95"/>
              </w:rPr>
              <w:t>51</w:t>
            </w:r>
          </w:p>
        </w:tc>
        <w:tc>
          <w:tcPr>
            <w:tcW w:w="7500" w:type="dxa"/>
            <w:vAlign w:val="bottom"/>
            <w:tcBorders>
              <w:bottom w:val="single" w:sz="8" w:color="A8A9AC"/>
            </w:tcBorders>
          </w:tcPr>
          <w:p>
            <w:pPr>
              <w:ind w:left="200"/>
              <w:spacing w:after="0" w:line="169" w:lineRule="exact"/>
              <w:rPr>
                <w:sz w:val="20"/>
                <w:szCs w:val="20"/>
                <w:color w:val="auto"/>
              </w:rPr>
            </w:pPr>
            <w:r>
              <w:rPr>
                <w:rFonts w:ascii="Arial" w:cs="Arial" w:eastAsia="Arial" w:hAnsi="Arial"/>
                <w:sz w:val="15"/>
                <w:szCs w:val="15"/>
                <w:color w:val="auto"/>
              </w:rPr>
              <w:t>Executive Vice President - Operations</w:t>
            </w:r>
          </w:p>
        </w:tc>
      </w:tr>
      <w:tr>
        <w:trPr>
          <w:trHeight w:val="207"/>
        </w:trPr>
        <w:tc>
          <w:tcPr>
            <w:tcW w:w="240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Travis D. Stice</w:t>
            </w:r>
          </w:p>
        </w:tc>
        <w:tc>
          <w:tcPr>
            <w:tcW w:w="1340" w:type="dxa"/>
            <w:vAlign w:val="bottom"/>
            <w:tcBorders>
              <w:bottom w:val="single" w:sz="8" w:color="A8A9AC"/>
            </w:tcBorders>
          </w:tcPr>
          <w:p>
            <w:pPr>
              <w:jc w:val="center"/>
              <w:ind w:left="544"/>
              <w:spacing w:after="0"/>
              <w:rPr>
                <w:sz w:val="20"/>
                <w:szCs w:val="20"/>
                <w:color w:val="auto"/>
              </w:rPr>
            </w:pPr>
            <w:r>
              <w:rPr>
                <w:rFonts w:ascii="Arial" w:cs="Arial" w:eastAsia="Arial" w:hAnsi="Arial"/>
                <w:sz w:val="15"/>
                <w:szCs w:val="15"/>
                <w:color w:val="auto"/>
                <w:w w:val="95"/>
              </w:rPr>
              <w:t>64</w:t>
            </w:r>
          </w:p>
        </w:tc>
        <w:tc>
          <w:tcPr>
            <w:tcW w:w="7500" w:type="dxa"/>
            <w:vAlign w:val="bottom"/>
            <w:tcBorders>
              <w:bottom w:val="single" w:sz="8" w:color="A8A9AC"/>
            </w:tcBorders>
          </w:tcPr>
          <w:p>
            <w:pPr>
              <w:ind w:left="200"/>
              <w:spacing w:after="0" w:line="207" w:lineRule="exact"/>
              <w:rPr>
                <w:sz w:val="20"/>
                <w:szCs w:val="20"/>
                <w:color w:val="auto"/>
              </w:rPr>
            </w:pPr>
            <w:r>
              <w:rPr>
                <w:rFonts w:ascii="Arial" w:cs="Arial" w:eastAsia="Arial" w:hAnsi="Arial"/>
                <w:sz w:val="15"/>
                <w:szCs w:val="15"/>
                <w:color w:val="auto"/>
              </w:rPr>
              <w:t>Executive Chairman</w:t>
            </w:r>
            <w:r>
              <w:rPr>
                <w:rFonts w:ascii="Arial" w:cs="Arial" w:eastAsia="Arial" w:hAnsi="Arial"/>
                <w:sz w:val="24"/>
                <w:szCs w:val="24"/>
                <w:color w:val="auto"/>
                <w:vertAlign w:val="superscript"/>
              </w:rPr>
              <w:t>(1)</w:t>
            </w:r>
          </w:p>
        </w:tc>
      </w:tr>
      <w:tr>
        <w:trPr>
          <w:trHeight w:val="169"/>
        </w:trPr>
        <w:tc>
          <w:tcPr>
            <w:tcW w:w="240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Jere W. Thompson III</w:t>
            </w:r>
          </w:p>
        </w:tc>
        <w:tc>
          <w:tcPr>
            <w:tcW w:w="1340" w:type="dxa"/>
            <w:vAlign w:val="bottom"/>
            <w:tcBorders>
              <w:bottom w:val="single" w:sz="8" w:color="A8A9AC"/>
            </w:tcBorders>
          </w:tcPr>
          <w:p>
            <w:pPr>
              <w:jc w:val="center"/>
              <w:ind w:left="544"/>
              <w:spacing w:after="0" w:line="169" w:lineRule="exact"/>
              <w:rPr>
                <w:sz w:val="20"/>
                <w:szCs w:val="20"/>
                <w:color w:val="auto"/>
              </w:rPr>
            </w:pPr>
            <w:r>
              <w:rPr>
                <w:rFonts w:ascii="Arial" w:cs="Arial" w:eastAsia="Arial" w:hAnsi="Arial"/>
                <w:sz w:val="15"/>
                <w:szCs w:val="15"/>
                <w:color w:val="auto"/>
                <w:w w:val="95"/>
              </w:rPr>
              <w:t>37</w:t>
            </w:r>
          </w:p>
        </w:tc>
        <w:tc>
          <w:tcPr>
            <w:tcW w:w="7500" w:type="dxa"/>
            <w:vAlign w:val="bottom"/>
            <w:tcBorders>
              <w:bottom w:val="single" w:sz="8" w:color="A8A9AC"/>
            </w:tcBorders>
          </w:tcPr>
          <w:p>
            <w:pPr>
              <w:ind w:left="200"/>
              <w:spacing w:after="0" w:line="169" w:lineRule="exact"/>
              <w:rPr>
                <w:sz w:val="20"/>
                <w:szCs w:val="20"/>
                <w:color w:val="auto"/>
              </w:rPr>
            </w:pPr>
            <w:r>
              <w:rPr>
                <w:rFonts w:ascii="Arial" w:cs="Arial" w:eastAsia="Arial" w:hAnsi="Arial"/>
                <w:sz w:val="15"/>
                <w:szCs w:val="15"/>
                <w:color w:val="auto"/>
              </w:rPr>
              <w:t>Executive Vice President and Chief Financial Officer</w:t>
            </w:r>
          </w:p>
        </w:tc>
      </w:tr>
      <w:tr>
        <w:trPr>
          <w:trHeight w:val="169"/>
        </w:trPr>
        <w:tc>
          <w:tcPr>
            <w:tcW w:w="240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Kaes Van’t Hof</w:t>
            </w:r>
          </w:p>
        </w:tc>
        <w:tc>
          <w:tcPr>
            <w:tcW w:w="1340" w:type="dxa"/>
            <w:vAlign w:val="bottom"/>
            <w:tcBorders>
              <w:bottom w:val="single" w:sz="8" w:color="A8A9AC"/>
            </w:tcBorders>
          </w:tcPr>
          <w:p>
            <w:pPr>
              <w:jc w:val="center"/>
              <w:ind w:left="544"/>
              <w:spacing w:after="0" w:line="169" w:lineRule="exact"/>
              <w:rPr>
                <w:sz w:val="20"/>
                <w:szCs w:val="20"/>
                <w:color w:val="auto"/>
              </w:rPr>
            </w:pPr>
            <w:r>
              <w:rPr>
                <w:rFonts w:ascii="Arial" w:cs="Arial" w:eastAsia="Arial" w:hAnsi="Arial"/>
                <w:sz w:val="15"/>
                <w:szCs w:val="15"/>
                <w:color w:val="auto"/>
                <w:w w:val="95"/>
              </w:rPr>
              <w:t>39</w:t>
            </w:r>
          </w:p>
        </w:tc>
        <w:tc>
          <w:tcPr>
            <w:tcW w:w="7500" w:type="dxa"/>
            <w:vAlign w:val="bottom"/>
            <w:tcBorders>
              <w:bottom w:val="single" w:sz="8" w:color="A8A9AC"/>
            </w:tcBorders>
          </w:tcPr>
          <w:p>
            <w:pPr>
              <w:ind w:left="200"/>
              <w:spacing w:after="0" w:line="169" w:lineRule="exact"/>
              <w:rPr>
                <w:sz w:val="20"/>
                <w:szCs w:val="20"/>
                <w:color w:val="auto"/>
              </w:rPr>
            </w:pPr>
            <w:r>
              <w:rPr>
                <w:rFonts w:ascii="Arial" w:cs="Arial" w:eastAsia="Arial" w:hAnsi="Arial"/>
                <w:sz w:val="15"/>
                <w:szCs w:val="15"/>
                <w:color w:val="auto"/>
              </w:rPr>
              <w:t>Chief Executive Officer</w:t>
            </w:r>
          </w:p>
        </w:tc>
      </w:tr>
      <w:tr>
        <w:trPr>
          <w:trHeight w:val="169"/>
        </w:trPr>
        <w:tc>
          <w:tcPr>
            <w:tcW w:w="240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Daniel N. Wesson</w:t>
            </w:r>
          </w:p>
        </w:tc>
        <w:tc>
          <w:tcPr>
            <w:tcW w:w="1340" w:type="dxa"/>
            <w:vAlign w:val="bottom"/>
            <w:tcBorders>
              <w:bottom w:val="single" w:sz="8" w:color="A8A9AC"/>
            </w:tcBorders>
          </w:tcPr>
          <w:p>
            <w:pPr>
              <w:jc w:val="center"/>
              <w:ind w:left="544"/>
              <w:spacing w:after="0" w:line="169" w:lineRule="exact"/>
              <w:rPr>
                <w:sz w:val="20"/>
                <w:szCs w:val="20"/>
                <w:color w:val="auto"/>
              </w:rPr>
            </w:pPr>
            <w:r>
              <w:rPr>
                <w:rFonts w:ascii="Arial" w:cs="Arial" w:eastAsia="Arial" w:hAnsi="Arial"/>
                <w:sz w:val="15"/>
                <w:szCs w:val="15"/>
                <w:color w:val="auto"/>
                <w:w w:val="95"/>
              </w:rPr>
              <w:t>42</w:t>
            </w:r>
          </w:p>
        </w:tc>
        <w:tc>
          <w:tcPr>
            <w:tcW w:w="7500" w:type="dxa"/>
            <w:vAlign w:val="bottom"/>
            <w:tcBorders>
              <w:bottom w:val="single" w:sz="8" w:color="A8A9AC"/>
            </w:tcBorders>
          </w:tcPr>
          <w:p>
            <w:pPr>
              <w:ind w:left="200"/>
              <w:spacing w:after="0" w:line="169" w:lineRule="exact"/>
              <w:rPr>
                <w:sz w:val="20"/>
                <w:szCs w:val="20"/>
                <w:color w:val="auto"/>
              </w:rPr>
            </w:pPr>
            <w:r>
              <w:rPr>
                <w:rFonts w:ascii="Arial" w:cs="Arial" w:eastAsia="Arial" w:hAnsi="Arial"/>
                <w:sz w:val="15"/>
                <w:szCs w:val="15"/>
                <w:color w:val="auto"/>
              </w:rPr>
              <w:t>Executive Vice President and Chief Operating Officer</w:t>
            </w:r>
          </w:p>
        </w:tc>
      </w:tr>
      <w:tr>
        <w:trPr>
          <w:trHeight w:val="169"/>
        </w:trPr>
        <w:tc>
          <w:tcPr>
            <w:tcW w:w="2400" w:type="dxa"/>
            <w:vAlign w:val="bottom"/>
            <w:tcBorders>
              <w:bottom w:val="single" w:sz="8" w:color="A26F2A"/>
            </w:tcBorders>
          </w:tcPr>
          <w:p>
            <w:pPr>
              <w:ind w:left="60"/>
              <w:spacing w:after="0" w:line="169" w:lineRule="exact"/>
              <w:rPr>
                <w:sz w:val="20"/>
                <w:szCs w:val="20"/>
                <w:color w:val="auto"/>
              </w:rPr>
            </w:pPr>
            <w:r>
              <w:rPr>
                <w:rFonts w:ascii="Arial" w:cs="Arial" w:eastAsia="Arial" w:hAnsi="Arial"/>
                <w:sz w:val="15"/>
                <w:szCs w:val="15"/>
                <w:b w:val="1"/>
                <w:bCs w:val="1"/>
                <w:color w:val="auto"/>
              </w:rPr>
              <w:t>Matt Zmigrosky</w:t>
            </w:r>
          </w:p>
        </w:tc>
        <w:tc>
          <w:tcPr>
            <w:tcW w:w="1340" w:type="dxa"/>
            <w:vAlign w:val="bottom"/>
            <w:tcBorders>
              <w:bottom w:val="single" w:sz="8" w:color="A26F2A"/>
            </w:tcBorders>
          </w:tcPr>
          <w:p>
            <w:pPr>
              <w:jc w:val="center"/>
              <w:ind w:left="544"/>
              <w:spacing w:after="0" w:line="169" w:lineRule="exact"/>
              <w:rPr>
                <w:sz w:val="20"/>
                <w:szCs w:val="20"/>
                <w:color w:val="auto"/>
              </w:rPr>
            </w:pPr>
            <w:r>
              <w:rPr>
                <w:rFonts w:ascii="Arial" w:cs="Arial" w:eastAsia="Arial" w:hAnsi="Arial"/>
                <w:sz w:val="15"/>
                <w:szCs w:val="15"/>
                <w:color w:val="auto"/>
                <w:w w:val="95"/>
              </w:rPr>
              <w:t>47</w:t>
            </w:r>
          </w:p>
        </w:tc>
        <w:tc>
          <w:tcPr>
            <w:tcW w:w="7500" w:type="dxa"/>
            <w:vAlign w:val="bottom"/>
            <w:tcBorders>
              <w:bottom w:val="single" w:sz="8" w:color="A26F2A"/>
            </w:tcBorders>
          </w:tcPr>
          <w:p>
            <w:pPr>
              <w:ind w:left="200"/>
              <w:spacing w:after="0" w:line="169" w:lineRule="exact"/>
              <w:rPr>
                <w:sz w:val="20"/>
                <w:szCs w:val="20"/>
                <w:color w:val="auto"/>
              </w:rPr>
            </w:pPr>
            <w:r>
              <w:rPr>
                <w:rFonts w:ascii="Arial" w:cs="Arial" w:eastAsia="Arial" w:hAnsi="Arial"/>
                <w:sz w:val="15"/>
                <w:szCs w:val="15"/>
                <w:color w:val="auto"/>
              </w:rPr>
              <w:t>Executive Vice President, Chief Legal and Administrative Officer and Secretary</w:t>
            </w:r>
          </w:p>
        </w:tc>
      </w:tr>
    </w:tbl>
    <w:p>
      <w:pPr>
        <w:spacing w:after="0" w:line="43" w:lineRule="exact"/>
        <w:rPr>
          <w:sz w:val="20"/>
          <w:szCs w:val="20"/>
          <w:color w:val="auto"/>
        </w:rPr>
      </w:pPr>
    </w:p>
    <w:p>
      <w:pPr>
        <w:ind w:left="300" w:hanging="299"/>
        <w:spacing w:after="0"/>
        <w:tabs>
          <w:tab w:leader="none" w:pos="300" w:val="left"/>
        </w:tabs>
        <w:numPr>
          <w:ilvl w:val="0"/>
          <w:numId w:val="63"/>
        </w:numPr>
        <w:rPr>
          <w:rFonts w:ascii="Arial" w:cs="Arial" w:eastAsia="Arial" w:hAnsi="Arial"/>
          <w:sz w:val="13"/>
          <w:szCs w:val="13"/>
          <w:i w:val="1"/>
          <w:iCs w:val="1"/>
          <w:color w:val="auto"/>
        </w:rPr>
      </w:pPr>
      <w:r>
        <w:rPr>
          <w:rFonts w:ascii="Arial" w:cs="Arial" w:eastAsia="Arial" w:hAnsi="Arial"/>
          <w:sz w:val="13"/>
          <w:szCs w:val="13"/>
          <w:i w:val="1"/>
          <w:iCs w:val="1"/>
          <w:color w:val="auto"/>
        </w:rPr>
        <w:t>Immediately following the 2026 Annual Meeting, Mr. Stice will transition from Executive Chairman to non-executive Chairman of the Board and will cease to be an Executive Officer.</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Biographical information for Messrs. Stice and Van’t Hof are set forth in this proxy statement under the heading “Director Nominations—About Director Nominees.”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5"/>
          <w:szCs w:val="15"/>
          <w:b w:val="1"/>
          <w:bCs w:val="1"/>
          <w:color w:val="A26F2A"/>
        </w:rPr>
        <w:t xml:space="preserve">AL BARKMANN. </w:t>
      </w:r>
      <w:r>
        <w:rPr>
          <w:rFonts w:ascii="Arial" w:cs="Arial" w:eastAsia="Arial" w:hAnsi="Arial"/>
          <w:sz w:val="15"/>
          <w:szCs w:val="15"/>
          <w:color w:val="000000"/>
        </w:rPr>
        <w:t>Mr. Barkmann has served as our Executive Vice President and Chief Engineer since February 2024. Prior to his current position with us, he served as</w:t>
      </w:r>
      <w:r>
        <w:rPr>
          <w:rFonts w:ascii="Arial" w:cs="Arial" w:eastAsia="Arial" w:hAnsi="Arial"/>
          <w:sz w:val="15"/>
          <w:szCs w:val="15"/>
          <w:b w:val="1"/>
          <w:bCs w:val="1"/>
          <w:color w:val="A26F2A"/>
        </w:rPr>
        <w:t xml:space="preserve"> </w:t>
      </w:r>
      <w:r>
        <w:rPr>
          <w:rFonts w:ascii="Arial" w:cs="Arial" w:eastAsia="Arial" w:hAnsi="Arial"/>
          <w:sz w:val="15"/>
          <w:szCs w:val="15"/>
          <w:color w:val="000000"/>
        </w:rPr>
        <w:t>our Senior Vice President of Reservoir Engineering since November 2021, as Vice President of Reservoir Engineering from February 2019 to November 2021 and as Reservoir Engineering Manager since joining us in November 2018. Mr. Barkmann has served as Executive Vice President and Chief Engineer of Viper since April 2024. Before joining Diamondback, Mr. Barkmann worked for Energen Resources Corporation from May 2006 to November 2018, serving in various capacities of increasing responsibility, most recently as Reservoir Engineering Manager, where he coordinated all aspects of Reservoir Engineering for Energen’s horizontal shale development program. Mr. Barkmann graduated from Louisiana State University with a Bachelor of Science in Petroleum.</w:t>
      </w:r>
    </w:p>
    <w:p>
      <w:pPr>
        <w:spacing w:after="0" w:line="14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b w:val="1"/>
          <w:bCs w:val="1"/>
          <w:color w:val="A26F2A"/>
        </w:rPr>
        <w:t xml:space="preserve">TERESA L. DICK. </w:t>
      </w:r>
      <w:r>
        <w:rPr>
          <w:rFonts w:ascii="Arial" w:cs="Arial" w:eastAsia="Arial" w:hAnsi="Arial"/>
          <w:sz w:val="15"/>
          <w:szCs w:val="15"/>
          <w:color w:val="000000"/>
        </w:rPr>
        <w:t>Ms. Dick has served as our Executive Vice President and Chief Accounting Officer since March 2019. Ms. Dick served as our Executive Vice</w:t>
      </w:r>
      <w:r>
        <w:rPr>
          <w:rFonts w:ascii="Arial" w:cs="Arial" w:eastAsia="Arial" w:hAnsi="Arial"/>
          <w:sz w:val="15"/>
          <w:szCs w:val="15"/>
          <w:b w:val="1"/>
          <w:bCs w:val="1"/>
          <w:color w:val="A26F2A"/>
        </w:rPr>
        <w:t xml:space="preserve"> </w:t>
      </w:r>
      <w:r>
        <w:rPr>
          <w:rFonts w:ascii="Arial" w:cs="Arial" w:eastAsia="Arial" w:hAnsi="Arial"/>
          <w:sz w:val="15"/>
          <w:szCs w:val="15"/>
          <w:color w:val="000000"/>
        </w:rPr>
        <w:t>President and Chief Financial Officer from February 2017 to February 2019, as our Assistant Secretary since October 2012, as our Chief Financial Officer and Senior Vice President from November 2009 to February 2017 and as our Corporate Controller from November 2007 until November 2009. Ms. Dick has served as Chief Financial Officer, Executive Vice President and Assistant Secretary of Viper since February 2017 and served as its Chief Financial Officer, Senior Vice President and Assistant Secretary from February 2014 to February 2017. From June 2006 to November 2007, Ms. Dick held a key management position as the Controller/Tax Director at Hiland Partners, a publicly-traded midstream energy master limited partnership. Since March 2021, Ms. Dick has served as a director of The Bank7 Corp. (Nasdaq: BSVN) and is a member of their audit and nominating and corporate governance committees. Ms. Dick has over 25 years of accounting experience, including over eight years of public company experience in both audit and tax areas. Ms. Dick received her Bachelor of Business Administration degree in Accounting from the University of Northern Colorado. Ms. Dick is a certified public accountant and a member of the American Institute of CPAs and the Council of Petroleum Accountants Societies.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b w:val="1"/>
          <w:bCs w:val="1"/>
          <w:color w:val="A26F2A"/>
        </w:rPr>
        <w:t xml:space="preserve">CHAD MCALLASTER. </w:t>
      </w:r>
      <w:r>
        <w:rPr>
          <w:rFonts w:ascii="Arial" w:cs="Arial" w:eastAsia="Arial" w:hAnsi="Arial"/>
          <w:sz w:val="15"/>
          <w:szCs w:val="15"/>
          <w:color w:val="000000"/>
        </w:rPr>
        <w:t>Mr. McAllaster has served as our Executive Vice President of Operations since September 2024. Prior to his current position with us, he served</w:t>
      </w:r>
      <w:r>
        <w:rPr>
          <w:rFonts w:ascii="Arial" w:cs="Arial" w:eastAsia="Arial" w:hAnsi="Arial"/>
          <w:sz w:val="15"/>
          <w:szCs w:val="15"/>
          <w:b w:val="1"/>
          <w:bCs w:val="1"/>
          <w:color w:val="A26F2A"/>
        </w:rPr>
        <w:t xml:space="preserve"> </w:t>
      </w:r>
      <w:r>
        <w:rPr>
          <w:rFonts w:ascii="Arial" w:cs="Arial" w:eastAsia="Arial" w:hAnsi="Arial"/>
          <w:sz w:val="15"/>
          <w:szCs w:val="15"/>
          <w:color w:val="000000"/>
        </w:rPr>
        <w:t>as Senior Vice President of Development at Endeavor Energy Resources, L.P. from January 2023 to September 2024 and Vice President of Southern Basin Asset Development &amp; Supply Chain from December 2019 to December 2022. Prior to joining Endeavor, Mr. McAllaster worked in various roles at Anadarko Petroleum Corporation from January 1998 to November 2019. Mr. McAllaster received his Bachelor of Science in Petroleum Engineering from Texas Tech University and his Master of Business Administration from the University of Denver.</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5"/>
          <w:szCs w:val="15"/>
          <w:b w:val="1"/>
          <w:bCs w:val="1"/>
          <w:color w:val="A26F2A"/>
        </w:rPr>
        <w:t xml:space="preserve">JERE W. THOMPSON III. </w:t>
      </w:r>
      <w:r>
        <w:rPr>
          <w:rFonts w:ascii="Arial" w:cs="Arial" w:eastAsia="Arial" w:hAnsi="Arial"/>
          <w:sz w:val="15"/>
          <w:szCs w:val="15"/>
          <w:color w:val="000000"/>
        </w:rPr>
        <w:t>Mr. Thompson has served as our Executive Vice President and Chief Financial Officer since February 2025. Prior to his current position with</w:t>
      </w:r>
      <w:r>
        <w:rPr>
          <w:rFonts w:ascii="Arial" w:cs="Arial" w:eastAsia="Arial" w:hAnsi="Arial"/>
          <w:sz w:val="15"/>
          <w:szCs w:val="15"/>
          <w:b w:val="1"/>
          <w:bCs w:val="1"/>
          <w:color w:val="A26F2A"/>
        </w:rPr>
        <w:t xml:space="preserve"> </w:t>
      </w:r>
      <w:r>
        <w:rPr>
          <w:rFonts w:ascii="Arial" w:cs="Arial" w:eastAsia="Arial" w:hAnsi="Arial"/>
          <w:sz w:val="15"/>
          <w:szCs w:val="15"/>
          <w:color w:val="000000"/>
        </w:rPr>
        <w:t>us, Mr. Thompson served as our Executive Vice President – Strategy and Corporate Development from February 2024 until February 2025 and as our Senior Vice President of Strategy and Corporate Development from February 2023 until February 2024. Mr. Thompson joined us as our Vice President of Strategy and Corporate Development in March 2021. Before joining Diamondback, Mr. Thompson worked at Concho Resources Inc., serving as Vice President of Planning from January 2019 to January 2021, Director of Finance from May 2017 to January 2019, Finance and Planning Manager from March 2016 to May 2017 and as a Financial Analyst from July 2012 to March 2016. Prior to joining Concho, Mr. Thompson worked in various roles in the energy group at Amegy Bank from June 2010 to July 2012. Mr. Thompson received a Bachelor of Business Administration degree in Finance and a Bachelor of Arts degree in History from the University of Texas at Austin.</w:t>
      </w:r>
    </w:p>
    <w:p>
      <w:pPr>
        <w:spacing w:after="0" w:line="146"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5"/>
          <w:szCs w:val="15"/>
          <w:b w:val="1"/>
          <w:bCs w:val="1"/>
          <w:color w:val="A26F2A"/>
        </w:rPr>
        <w:t xml:space="preserve">DANIEL N. WESSON. </w:t>
      </w:r>
      <w:r>
        <w:rPr>
          <w:rFonts w:ascii="Arial" w:cs="Arial" w:eastAsia="Arial" w:hAnsi="Arial"/>
          <w:sz w:val="15"/>
          <w:szCs w:val="15"/>
          <w:color w:val="000000"/>
        </w:rPr>
        <w:t>Mr. Wesson has served as our Executive Vice President and Chief Operating Officer since February 2022. Prior to his current position with us,</w:t>
      </w:r>
      <w:r>
        <w:rPr>
          <w:rFonts w:ascii="Arial" w:cs="Arial" w:eastAsia="Arial" w:hAnsi="Arial"/>
          <w:sz w:val="15"/>
          <w:szCs w:val="15"/>
          <w:b w:val="1"/>
          <w:bCs w:val="1"/>
          <w:color w:val="A26F2A"/>
        </w:rPr>
        <w:t xml:space="preserve"> </w:t>
      </w:r>
      <w:r>
        <w:rPr>
          <w:rFonts w:ascii="Arial" w:cs="Arial" w:eastAsia="Arial" w:hAnsi="Arial"/>
          <w:sz w:val="15"/>
          <w:szCs w:val="15"/>
          <w:color w:val="000000"/>
        </w:rPr>
        <w:t>Mr. Wesson served as our Executive Vice President of Operations from March 2020 to February 2022, and as Senior Vice President of Operations from February 2019 until March 2020. Mr. Wesson served as our Vice President of Operations from April 2017 to February 2019 and as our Completions Manager from January 2013 to April 2017. He joined us as an Operations Engineer in February 2012. Prior to joining us, Mr. Wesson served in various operations and engineering roles for BOPCO L.P. from 2010 to 2012 and ConocoPhillips from 2007 to 2010. Mr. Wesson received his Bachelor of Science degree in Mechanical Engineering from Louisiana State University and is a member of the Permian Basin Society of Petroleum Engineers.</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5"/>
          <w:szCs w:val="15"/>
          <w:b w:val="1"/>
          <w:bCs w:val="1"/>
          <w:color w:val="A26F2A"/>
        </w:rPr>
        <w:t xml:space="preserve">MATT ZMIGROSKY. </w:t>
      </w:r>
      <w:r>
        <w:rPr>
          <w:rFonts w:ascii="Arial" w:cs="Arial" w:eastAsia="Arial" w:hAnsi="Arial"/>
          <w:sz w:val="15"/>
          <w:szCs w:val="15"/>
          <w:color w:val="000000"/>
        </w:rPr>
        <w:t>Mr. Zmigrosky has served as our Executive Vice President, Chief Legal and Administrative Officer and Secretary since February 2023. Prior to his</w:t>
      </w:r>
      <w:r>
        <w:rPr>
          <w:rFonts w:ascii="Arial" w:cs="Arial" w:eastAsia="Arial" w:hAnsi="Arial"/>
          <w:sz w:val="15"/>
          <w:szCs w:val="15"/>
          <w:b w:val="1"/>
          <w:bCs w:val="1"/>
          <w:color w:val="A26F2A"/>
        </w:rPr>
        <w:t xml:space="preserve"> </w:t>
      </w:r>
      <w:r>
        <w:rPr>
          <w:rFonts w:ascii="Arial" w:cs="Arial" w:eastAsia="Arial" w:hAnsi="Arial"/>
          <w:sz w:val="15"/>
          <w:szCs w:val="15"/>
          <w:color w:val="000000"/>
        </w:rPr>
        <w:t>current position with us, Mr. Zmigrosky served as our Executive Vice President, General Counsel and Secretary from February 2019 to February 2023. From February 2019 to February 2026, Mr. Zmigrosky also served as Executive Vice President, General Counsel and Secretary of Viper. Before joining us, Mr. Zmigrosky was in the private practice of law, most recently as a partner in the corporate section of Akin Gump Strauss Hauer &amp; Feld LLP from October 2012 to February 2019, where he worked extensively with Diamondback and its subsidiaries. Mr. Zmigrosky holds a Bachelor of Science in Management degree in finance from Tulane University and a Juris Doctorate degree from Southern Methodist University Dedman School of Law.</w:t>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111760</wp:posOffset>
            </wp:positionV>
            <wp:extent cx="136525" cy="2059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6525" cy="205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00"/>
        <w:spacing w:after="0"/>
        <w:rPr>
          <w:sz w:val="20"/>
          <w:szCs w:val="20"/>
          <w:color w:val="auto"/>
        </w:rPr>
      </w:pPr>
      <w:r>
        <w:rPr>
          <w:rFonts w:ascii="Arial" w:cs="Arial" w:eastAsia="Arial" w:hAnsi="Arial"/>
          <w:sz w:val="44"/>
          <w:szCs w:val="44"/>
          <w:b w:val="1"/>
          <w:bCs w:val="1"/>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26F2A"/>
        </w:rPr>
        <w:t>TABLE OF CONTENTS</w:t>
      </w:r>
    </w:p>
    <w:p>
      <w:pPr>
        <w:spacing w:after="0" w:line="188" w:lineRule="exact"/>
        <w:rPr>
          <w:sz w:val="20"/>
          <w:szCs w:val="20"/>
          <w:color w:val="auto"/>
        </w:rPr>
      </w:pPr>
    </w:p>
    <w:tbl>
      <w:tblPr>
        <w:tblLayout w:type="fixed"/>
        <w:tblInd w:w="1080" w:type="dxa"/>
        <w:tblCellMar>
          <w:top w:w="0" w:type="dxa"/>
          <w:left w:w="0" w:type="dxa"/>
          <w:bottom w:w="0" w:type="dxa"/>
          <w:right w:w="0" w:type="dxa"/>
        </w:tblCellMar>
      </w:tblPr>
      <w:tr>
        <w:trPr>
          <w:trHeight w:val="202"/>
        </w:trPr>
        <w:tc>
          <w:tcPr>
            <w:tcW w:w="7720" w:type="dxa"/>
            <w:vAlign w:val="bottom"/>
          </w:tcPr>
          <w:p>
            <w:pPr>
              <w:spacing w:after="0"/>
              <w:rPr>
                <w:sz w:val="20"/>
                <w:szCs w:val="20"/>
                <w:color w:val="auto"/>
              </w:rPr>
            </w:pPr>
            <w:r>
              <w:rPr>
                <w:rFonts w:ascii="Arial" w:cs="Arial" w:eastAsia="Arial" w:hAnsi="Arial"/>
                <w:sz w:val="15"/>
                <w:szCs w:val="15"/>
                <w:b w:val="1"/>
                <w:bCs w:val="1"/>
                <w:color w:val="auto"/>
              </w:rPr>
              <w:t>EXECUTIVE SUMMARY</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43</w:t>
            </w:r>
          </w:p>
        </w:tc>
      </w:tr>
      <w:tr>
        <w:trPr>
          <w:trHeight w:val="202"/>
        </w:trPr>
        <w:tc>
          <w:tcPr>
            <w:tcW w:w="7720" w:type="dxa"/>
            <w:vAlign w:val="bottom"/>
          </w:tcPr>
          <w:p>
            <w:pPr>
              <w:spacing w:after="0"/>
              <w:rPr>
                <w:sz w:val="20"/>
                <w:szCs w:val="20"/>
                <w:color w:val="auto"/>
              </w:rPr>
            </w:pPr>
            <w:r>
              <w:rPr>
                <w:rFonts w:ascii="Arial" w:cs="Arial" w:eastAsia="Arial" w:hAnsi="Arial"/>
                <w:sz w:val="15"/>
                <w:szCs w:val="15"/>
                <w:b w:val="1"/>
                <w:bCs w:val="1"/>
                <w:color w:val="auto"/>
              </w:rPr>
              <w:t>HIGHLIGHTS OF EXECUTIVE COMPENSATION BEST PRACTICES</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46</w:t>
            </w:r>
          </w:p>
        </w:tc>
      </w:tr>
      <w:tr>
        <w:trPr>
          <w:trHeight w:val="202"/>
        </w:trPr>
        <w:tc>
          <w:tcPr>
            <w:tcW w:w="7720" w:type="dxa"/>
            <w:vAlign w:val="bottom"/>
          </w:tcPr>
          <w:p>
            <w:pPr>
              <w:spacing w:after="0"/>
              <w:rPr>
                <w:sz w:val="20"/>
                <w:szCs w:val="20"/>
                <w:color w:val="auto"/>
              </w:rPr>
            </w:pPr>
            <w:r>
              <w:rPr>
                <w:rFonts w:ascii="Arial" w:cs="Arial" w:eastAsia="Arial" w:hAnsi="Arial"/>
                <w:sz w:val="15"/>
                <w:szCs w:val="15"/>
                <w:b w:val="1"/>
                <w:bCs w:val="1"/>
                <w:color w:val="auto"/>
              </w:rPr>
              <w:t>EXECUTIVE COMPENSATION POLICY AND OBJECTIVES</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47</w:t>
            </w:r>
          </w:p>
        </w:tc>
      </w:tr>
      <w:tr>
        <w:trPr>
          <w:trHeight w:val="202"/>
        </w:trPr>
        <w:tc>
          <w:tcPr>
            <w:tcW w:w="7720" w:type="dxa"/>
            <w:vAlign w:val="bottom"/>
          </w:tcPr>
          <w:p>
            <w:pPr>
              <w:spacing w:after="0"/>
              <w:rPr>
                <w:sz w:val="20"/>
                <w:szCs w:val="20"/>
                <w:color w:val="auto"/>
              </w:rPr>
            </w:pPr>
            <w:r>
              <w:rPr>
                <w:rFonts w:ascii="Arial" w:cs="Arial" w:eastAsia="Arial" w:hAnsi="Arial"/>
                <w:sz w:val="15"/>
                <w:szCs w:val="15"/>
                <w:b w:val="1"/>
                <w:bCs w:val="1"/>
                <w:color w:val="auto"/>
              </w:rPr>
              <w:t>COMPETITIVE BENCHMARKING</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48</w:t>
            </w:r>
          </w:p>
        </w:tc>
      </w:tr>
      <w:tr>
        <w:trPr>
          <w:trHeight w:val="202"/>
        </w:trPr>
        <w:tc>
          <w:tcPr>
            <w:tcW w:w="7720" w:type="dxa"/>
            <w:vAlign w:val="bottom"/>
          </w:tcPr>
          <w:p>
            <w:pPr>
              <w:spacing w:after="0"/>
              <w:rPr>
                <w:sz w:val="20"/>
                <w:szCs w:val="20"/>
                <w:color w:val="auto"/>
              </w:rPr>
            </w:pPr>
            <w:r>
              <w:rPr>
                <w:rFonts w:ascii="Arial" w:cs="Arial" w:eastAsia="Arial" w:hAnsi="Arial"/>
                <w:sz w:val="15"/>
                <w:szCs w:val="15"/>
                <w:b w:val="1"/>
                <w:bCs w:val="1"/>
                <w:color w:val="auto"/>
              </w:rPr>
              <w:t>2025 COMPENSATION PROGRAM DESIGN AND STRUCTURE</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50</w:t>
            </w:r>
          </w:p>
        </w:tc>
      </w:tr>
      <w:tr>
        <w:trPr>
          <w:trHeight w:val="202"/>
        </w:trPr>
        <w:tc>
          <w:tcPr>
            <w:tcW w:w="7720" w:type="dxa"/>
            <w:vAlign w:val="bottom"/>
          </w:tcPr>
          <w:p>
            <w:pPr>
              <w:spacing w:after="0"/>
              <w:rPr>
                <w:sz w:val="20"/>
                <w:szCs w:val="20"/>
                <w:color w:val="auto"/>
              </w:rPr>
            </w:pPr>
            <w:r>
              <w:rPr>
                <w:rFonts w:ascii="Arial" w:cs="Arial" w:eastAsia="Arial" w:hAnsi="Arial"/>
                <w:sz w:val="15"/>
                <w:szCs w:val="15"/>
                <w:b w:val="1"/>
                <w:bCs w:val="1"/>
                <w:color w:val="auto"/>
              </w:rPr>
              <w:t>EXECUTIVE COMPENSATION PROGRAM ELEMENTS</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51</w:t>
            </w:r>
          </w:p>
        </w:tc>
      </w:tr>
      <w:tr>
        <w:trPr>
          <w:trHeight w:val="202"/>
        </w:trPr>
        <w:tc>
          <w:tcPr>
            <w:tcW w:w="7720" w:type="dxa"/>
            <w:vAlign w:val="bottom"/>
          </w:tcPr>
          <w:p>
            <w:pPr>
              <w:spacing w:after="0"/>
              <w:rPr>
                <w:sz w:val="20"/>
                <w:szCs w:val="20"/>
                <w:color w:val="auto"/>
              </w:rPr>
            </w:pPr>
            <w:r>
              <w:rPr>
                <w:rFonts w:ascii="Arial" w:cs="Arial" w:eastAsia="Arial" w:hAnsi="Arial"/>
                <w:sz w:val="15"/>
                <w:szCs w:val="15"/>
                <w:b w:val="1"/>
                <w:bCs w:val="1"/>
                <w:color w:val="auto"/>
              </w:rPr>
              <w:t>OTHER SIGNIFICANT COMPENSATION AND BENEFIT PLANS, POLICIES AND PRACTICES</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59</w:t>
            </w:r>
          </w:p>
        </w:tc>
      </w:tr>
      <w:tr>
        <w:trPr>
          <w:trHeight w:val="207"/>
        </w:trPr>
        <w:tc>
          <w:tcPr>
            <w:tcW w:w="7720" w:type="dxa"/>
            <w:vAlign w:val="bottom"/>
          </w:tcPr>
          <w:p>
            <w:pPr>
              <w:spacing w:after="0"/>
              <w:rPr>
                <w:sz w:val="20"/>
                <w:szCs w:val="20"/>
                <w:color w:val="auto"/>
              </w:rPr>
            </w:pPr>
            <w:r>
              <w:rPr>
                <w:rFonts w:ascii="Arial" w:cs="Arial" w:eastAsia="Arial" w:hAnsi="Arial"/>
                <w:sz w:val="15"/>
                <w:szCs w:val="15"/>
                <w:b w:val="1"/>
                <w:bCs w:val="1"/>
                <w:color w:val="auto"/>
              </w:rPr>
              <w:t>COMPENSATION COMMITTEE REPORT</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65</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7"/>
          <w:szCs w:val="27"/>
          <w:color w:val="A26F2A"/>
        </w:rPr>
        <w:t xml:space="preserve">— </w:t>
      </w:r>
      <w:r>
        <w:rPr>
          <w:rFonts w:ascii="Arial" w:cs="Arial" w:eastAsia="Arial" w:hAnsi="Arial"/>
          <w:sz w:val="27"/>
          <w:szCs w:val="27"/>
          <w:b w:val="1"/>
          <w:bCs w:val="1"/>
          <w:color w:val="000000"/>
        </w:rPr>
        <w:t>EXECUTIVE SUMMARY</w:t>
      </w:r>
    </w:p>
    <w:p>
      <w:pPr>
        <w:spacing w:after="0" w:line="34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This compensation discussion and analysis identifies Diamondback’s named executive officers (NEOs) for 2025, describes the Company’s executive compensation program, including the objectives and rationale for each element of compensation, and presents the compensation outcomes for our NEOs relative to our 2025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Named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For 2025, our NEOs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122555</wp:posOffset>
            </wp:positionV>
            <wp:extent cx="6411595" cy="1365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11595" cy="13652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80" w:type="dxa"/>
        <w:tblCellMar>
          <w:top w:w="0" w:type="dxa"/>
          <w:left w:w="0" w:type="dxa"/>
          <w:bottom w:w="0" w:type="dxa"/>
          <w:right w:w="0" w:type="dxa"/>
        </w:tblCellMar>
      </w:tblPr>
      <w:tr>
        <w:trPr>
          <w:trHeight w:val="177"/>
        </w:trPr>
        <w:tc>
          <w:tcPr>
            <w:tcW w:w="1600" w:type="dxa"/>
            <w:vAlign w:val="bottom"/>
          </w:tcPr>
          <w:p>
            <w:pPr>
              <w:jc w:val="center"/>
              <w:ind w:right="104"/>
              <w:spacing w:after="0"/>
              <w:rPr>
                <w:sz w:val="20"/>
                <w:szCs w:val="20"/>
                <w:color w:val="auto"/>
              </w:rPr>
            </w:pPr>
            <w:r>
              <w:rPr>
                <w:rFonts w:ascii="Arial" w:cs="Arial" w:eastAsia="Arial" w:hAnsi="Arial"/>
                <w:sz w:val="15"/>
                <w:szCs w:val="15"/>
                <w:b w:val="1"/>
                <w:bCs w:val="1"/>
                <w:color w:val="A26F2A"/>
                <w:w w:val="99"/>
              </w:rPr>
              <w:t>TRAVIS D. STICE</w:t>
            </w: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26F2A"/>
                <w:w w:val="99"/>
              </w:rPr>
              <w:t>KAES VAN’T HOF</w:t>
            </w:r>
          </w:p>
        </w:tc>
        <w:tc>
          <w:tcPr>
            <w:tcW w:w="1720" w:type="dxa"/>
            <w:vAlign w:val="bottom"/>
          </w:tcPr>
          <w:p>
            <w:pPr>
              <w:jc w:val="center"/>
              <w:spacing w:after="0"/>
              <w:rPr>
                <w:sz w:val="20"/>
                <w:szCs w:val="20"/>
                <w:color w:val="auto"/>
              </w:rPr>
            </w:pPr>
            <w:r>
              <w:rPr>
                <w:rFonts w:ascii="Arial" w:cs="Arial" w:eastAsia="Arial" w:hAnsi="Arial"/>
                <w:sz w:val="15"/>
                <w:szCs w:val="15"/>
                <w:b w:val="1"/>
                <w:bCs w:val="1"/>
                <w:color w:val="A26F2A"/>
              </w:rPr>
              <w:t>JERE W.</w:t>
            </w:r>
          </w:p>
        </w:tc>
        <w:tc>
          <w:tcPr>
            <w:tcW w:w="1740" w:type="dxa"/>
            <w:vAlign w:val="bottom"/>
          </w:tcPr>
          <w:p>
            <w:pPr>
              <w:jc w:val="center"/>
              <w:spacing w:after="0"/>
              <w:rPr>
                <w:sz w:val="20"/>
                <w:szCs w:val="20"/>
                <w:color w:val="auto"/>
              </w:rPr>
            </w:pPr>
            <w:r>
              <w:rPr>
                <w:rFonts w:ascii="Arial" w:cs="Arial" w:eastAsia="Arial" w:hAnsi="Arial"/>
                <w:sz w:val="15"/>
                <w:szCs w:val="15"/>
                <w:b w:val="1"/>
                <w:bCs w:val="1"/>
                <w:color w:val="A26F2A"/>
              </w:rPr>
              <w:t>TERESA L. DICK</w:t>
            </w:r>
          </w:p>
        </w:tc>
        <w:tc>
          <w:tcPr>
            <w:tcW w:w="1760" w:type="dxa"/>
            <w:vAlign w:val="bottom"/>
          </w:tcPr>
          <w:p>
            <w:pPr>
              <w:jc w:val="center"/>
              <w:spacing w:after="0"/>
              <w:rPr>
                <w:sz w:val="20"/>
                <w:szCs w:val="20"/>
                <w:color w:val="auto"/>
              </w:rPr>
            </w:pPr>
            <w:r>
              <w:rPr>
                <w:rFonts w:ascii="Arial" w:cs="Arial" w:eastAsia="Arial" w:hAnsi="Arial"/>
                <w:sz w:val="15"/>
                <w:szCs w:val="15"/>
                <w:b w:val="1"/>
                <w:bCs w:val="1"/>
                <w:color w:val="A26F2A"/>
              </w:rPr>
              <w:t>DANIEL N.</w:t>
            </w:r>
          </w:p>
        </w:tc>
        <w:tc>
          <w:tcPr>
            <w:tcW w:w="1660" w:type="dxa"/>
            <w:vAlign w:val="bottom"/>
          </w:tcPr>
          <w:p>
            <w:pPr>
              <w:jc w:val="center"/>
              <w:ind w:left="184"/>
              <w:spacing w:after="0"/>
              <w:rPr>
                <w:sz w:val="20"/>
                <w:szCs w:val="20"/>
                <w:color w:val="auto"/>
              </w:rPr>
            </w:pPr>
            <w:r>
              <w:rPr>
                <w:rFonts w:ascii="Arial" w:cs="Arial" w:eastAsia="Arial" w:hAnsi="Arial"/>
                <w:sz w:val="15"/>
                <w:szCs w:val="15"/>
                <w:b w:val="1"/>
                <w:bCs w:val="1"/>
                <w:color w:val="A26F2A"/>
                <w:w w:val="99"/>
              </w:rPr>
              <w:t>MATT ZMIGROSKY</w:t>
            </w:r>
          </w:p>
        </w:tc>
      </w:tr>
      <w:tr>
        <w:trPr>
          <w:trHeight w:val="177"/>
        </w:trPr>
        <w:tc>
          <w:tcPr>
            <w:tcW w:w="1600" w:type="dxa"/>
            <w:vAlign w:val="bottom"/>
          </w:tcPr>
          <w:p>
            <w:pPr>
              <w:jc w:val="center"/>
              <w:ind w:right="104"/>
              <w:spacing w:after="0"/>
              <w:rPr>
                <w:sz w:val="20"/>
                <w:szCs w:val="20"/>
                <w:color w:val="auto"/>
              </w:rPr>
            </w:pPr>
            <w:r>
              <w:rPr>
                <w:rFonts w:ascii="Arial" w:cs="Arial" w:eastAsia="Arial" w:hAnsi="Arial"/>
                <w:sz w:val="15"/>
                <w:szCs w:val="15"/>
                <w:color w:val="auto"/>
              </w:rPr>
              <w:t>Executive Chairman*</w:t>
            </w:r>
          </w:p>
        </w:tc>
        <w:tc>
          <w:tcPr>
            <w:tcW w:w="1660" w:type="dxa"/>
            <w:vAlign w:val="bottom"/>
          </w:tcPr>
          <w:p>
            <w:pPr>
              <w:jc w:val="center"/>
              <w:spacing w:after="0"/>
              <w:rPr>
                <w:sz w:val="20"/>
                <w:szCs w:val="20"/>
                <w:color w:val="auto"/>
              </w:rPr>
            </w:pPr>
            <w:r>
              <w:rPr>
                <w:rFonts w:ascii="Arial" w:cs="Arial" w:eastAsia="Arial" w:hAnsi="Arial"/>
                <w:sz w:val="15"/>
                <w:szCs w:val="15"/>
                <w:color w:val="auto"/>
              </w:rPr>
              <w:t>Chief Executive</w:t>
            </w:r>
          </w:p>
        </w:tc>
        <w:tc>
          <w:tcPr>
            <w:tcW w:w="1720" w:type="dxa"/>
            <w:vAlign w:val="bottom"/>
          </w:tcPr>
          <w:p>
            <w:pPr>
              <w:jc w:val="center"/>
              <w:spacing w:after="0"/>
              <w:rPr>
                <w:sz w:val="20"/>
                <w:szCs w:val="20"/>
                <w:color w:val="auto"/>
              </w:rPr>
            </w:pPr>
            <w:r>
              <w:rPr>
                <w:rFonts w:ascii="Arial" w:cs="Arial" w:eastAsia="Arial" w:hAnsi="Arial"/>
                <w:sz w:val="15"/>
                <w:szCs w:val="15"/>
                <w:b w:val="1"/>
                <w:bCs w:val="1"/>
                <w:color w:val="A26F2A"/>
              </w:rPr>
              <w:t>THOMPSON III</w:t>
            </w:r>
          </w:p>
        </w:tc>
        <w:tc>
          <w:tcPr>
            <w:tcW w:w="1740" w:type="dxa"/>
            <w:vAlign w:val="bottom"/>
          </w:tcPr>
          <w:p>
            <w:pPr>
              <w:jc w:val="center"/>
              <w:spacing w:after="0"/>
              <w:rPr>
                <w:sz w:val="20"/>
                <w:szCs w:val="20"/>
                <w:color w:val="auto"/>
              </w:rPr>
            </w:pPr>
            <w:r>
              <w:rPr>
                <w:rFonts w:ascii="Arial" w:cs="Arial" w:eastAsia="Arial" w:hAnsi="Arial"/>
                <w:sz w:val="15"/>
                <w:szCs w:val="15"/>
                <w:color w:val="auto"/>
              </w:rPr>
              <w:t>Executive Vice</w:t>
            </w:r>
          </w:p>
        </w:tc>
        <w:tc>
          <w:tcPr>
            <w:tcW w:w="1760" w:type="dxa"/>
            <w:vAlign w:val="bottom"/>
          </w:tcPr>
          <w:p>
            <w:pPr>
              <w:jc w:val="center"/>
              <w:spacing w:after="0"/>
              <w:rPr>
                <w:sz w:val="20"/>
                <w:szCs w:val="20"/>
                <w:color w:val="auto"/>
              </w:rPr>
            </w:pPr>
            <w:r>
              <w:rPr>
                <w:rFonts w:ascii="Arial" w:cs="Arial" w:eastAsia="Arial" w:hAnsi="Arial"/>
                <w:sz w:val="15"/>
                <w:szCs w:val="15"/>
                <w:b w:val="1"/>
                <w:bCs w:val="1"/>
                <w:color w:val="A26F2A"/>
                <w:w w:val="98"/>
              </w:rPr>
              <w:t>WESSON</w:t>
            </w:r>
          </w:p>
        </w:tc>
        <w:tc>
          <w:tcPr>
            <w:tcW w:w="1660" w:type="dxa"/>
            <w:vAlign w:val="bottom"/>
          </w:tcPr>
          <w:p>
            <w:pPr>
              <w:jc w:val="center"/>
              <w:ind w:left="184"/>
              <w:spacing w:after="0"/>
              <w:rPr>
                <w:sz w:val="20"/>
                <w:szCs w:val="20"/>
                <w:color w:val="auto"/>
              </w:rPr>
            </w:pPr>
            <w:r>
              <w:rPr>
                <w:rFonts w:ascii="Arial" w:cs="Arial" w:eastAsia="Arial" w:hAnsi="Arial"/>
                <w:sz w:val="15"/>
                <w:szCs w:val="15"/>
                <w:color w:val="auto"/>
              </w:rPr>
              <w:t>Executive Vice</w:t>
            </w:r>
          </w:p>
        </w:tc>
      </w:tr>
      <w:tr>
        <w:trPr>
          <w:trHeight w:val="177"/>
        </w:trPr>
        <w:tc>
          <w:tcPr>
            <w:tcW w:w="16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5"/>
                <w:szCs w:val="15"/>
                <w:color w:val="auto"/>
                <w:w w:val="99"/>
              </w:rPr>
              <w:t>Officer*</w:t>
            </w:r>
          </w:p>
        </w:tc>
        <w:tc>
          <w:tcPr>
            <w:tcW w:w="1720" w:type="dxa"/>
            <w:vAlign w:val="bottom"/>
          </w:tcPr>
          <w:p>
            <w:pPr>
              <w:jc w:val="center"/>
              <w:spacing w:after="0"/>
              <w:rPr>
                <w:sz w:val="20"/>
                <w:szCs w:val="20"/>
                <w:color w:val="auto"/>
              </w:rPr>
            </w:pPr>
            <w:r>
              <w:rPr>
                <w:rFonts w:ascii="Arial" w:cs="Arial" w:eastAsia="Arial" w:hAnsi="Arial"/>
                <w:sz w:val="15"/>
                <w:szCs w:val="15"/>
                <w:color w:val="auto"/>
                <w:w w:val="99"/>
              </w:rPr>
              <w:t>Executive Vice</w:t>
            </w:r>
          </w:p>
        </w:tc>
        <w:tc>
          <w:tcPr>
            <w:tcW w:w="1740" w:type="dxa"/>
            <w:vAlign w:val="bottom"/>
          </w:tcPr>
          <w:p>
            <w:pPr>
              <w:jc w:val="center"/>
              <w:spacing w:after="0"/>
              <w:rPr>
                <w:sz w:val="20"/>
                <w:szCs w:val="20"/>
                <w:color w:val="auto"/>
              </w:rPr>
            </w:pPr>
            <w:r>
              <w:rPr>
                <w:rFonts w:ascii="Arial" w:cs="Arial" w:eastAsia="Arial" w:hAnsi="Arial"/>
                <w:sz w:val="15"/>
                <w:szCs w:val="15"/>
                <w:color w:val="auto"/>
              </w:rPr>
              <w:t>President,</w:t>
            </w:r>
          </w:p>
        </w:tc>
        <w:tc>
          <w:tcPr>
            <w:tcW w:w="1760" w:type="dxa"/>
            <w:vAlign w:val="bottom"/>
          </w:tcPr>
          <w:p>
            <w:pPr>
              <w:jc w:val="center"/>
              <w:spacing w:after="0"/>
              <w:rPr>
                <w:sz w:val="20"/>
                <w:szCs w:val="20"/>
                <w:color w:val="auto"/>
              </w:rPr>
            </w:pPr>
            <w:r>
              <w:rPr>
                <w:rFonts w:ascii="Arial" w:cs="Arial" w:eastAsia="Arial" w:hAnsi="Arial"/>
                <w:sz w:val="15"/>
                <w:szCs w:val="15"/>
                <w:color w:val="auto"/>
              </w:rPr>
              <w:t>Executive</w:t>
            </w:r>
          </w:p>
        </w:tc>
        <w:tc>
          <w:tcPr>
            <w:tcW w:w="1660" w:type="dxa"/>
            <w:vAlign w:val="bottom"/>
          </w:tcPr>
          <w:p>
            <w:pPr>
              <w:jc w:val="center"/>
              <w:ind w:left="144"/>
              <w:spacing w:after="0"/>
              <w:rPr>
                <w:sz w:val="20"/>
                <w:szCs w:val="20"/>
                <w:color w:val="auto"/>
              </w:rPr>
            </w:pPr>
            <w:r>
              <w:rPr>
                <w:rFonts w:ascii="Arial" w:cs="Arial" w:eastAsia="Arial" w:hAnsi="Arial"/>
                <w:sz w:val="15"/>
                <w:szCs w:val="15"/>
                <w:color w:val="auto"/>
              </w:rPr>
              <w:t>President,</w:t>
            </w:r>
          </w:p>
        </w:tc>
      </w:tr>
      <w:tr>
        <w:trPr>
          <w:trHeight w:val="177"/>
        </w:trPr>
        <w:tc>
          <w:tcPr>
            <w:tcW w:w="1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5"/>
                <w:szCs w:val="15"/>
                <w:color w:val="auto"/>
              </w:rPr>
              <w:t>President and Chief</w:t>
            </w:r>
          </w:p>
        </w:tc>
        <w:tc>
          <w:tcPr>
            <w:tcW w:w="1740" w:type="dxa"/>
            <w:vAlign w:val="bottom"/>
          </w:tcPr>
          <w:p>
            <w:pPr>
              <w:jc w:val="center"/>
              <w:spacing w:after="0"/>
              <w:rPr>
                <w:sz w:val="20"/>
                <w:szCs w:val="20"/>
                <w:color w:val="auto"/>
              </w:rPr>
            </w:pPr>
            <w:r>
              <w:rPr>
                <w:rFonts w:ascii="Arial" w:cs="Arial" w:eastAsia="Arial" w:hAnsi="Arial"/>
                <w:sz w:val="15"/>
                <w:szCs w:val="15"/>
                <w:color w:val="auto"/>
              </w:rPr>
              <w:t>Chief Accounting</w:t>
            </w:r>
          </w:p>
        </w:tc>
        <w:tc>
          <w:tcPr>
            <w:tcW w:w="1760" w:type="dxa"/>
            <w:vAlign w:val="bottom"/>
          </w:tcPr>
          <w:p>
            <w:pPr>
              <w:jc w:val="center"/>
              <w:spacing w:after="0"/>
              <w:rPr>
                <w:sz w:val="20"/>
                <w:szCs w:val="20"/>
                <w:color w:val="auto"/>
              </w:rPr>
            </w:pPr>
            <w:r>
              <w:rPr>
                <w:rFonts w:ascii="Arial" w:cs="Arial" w:eastAsia="Arial" w:hAnsi="Arial"/>
                <w:sz w:val="15"/>
                <w:szCs w:val="15"/>
                <w:color w:val="auto"/>
              </w:rPr>
              <w:t>Vice President and</w:t>
            </w:r>
          </w:p>
        </w:tc>
        <w:tc>
          <w:tcPr>
            <w:tcW w:w="1660" w:type="dxa"/>
            <w:vAlign w:val="bottom"/>
          </w:tcPr>
          <w:p>
            <w:pPr>
              <w:jc w:val="center"/>
              <w:ind w:left="124"/>
              <w:spacing w:after="0"/>
              <w:rPr>
                <w:sz w:val="20"/>
                <w:szCs w:val="20"/>
                <w:color w:val="auto"/>
              </w:rPr>
            </w:pPr>
            <w:r>
              <w:rPr>
                <w:rFonts w:ascii="Arial" w:cs="Arial" w:eastAsia="Arial" w:hAnsi="Arial"/>
                <w:sz w:val="15"/>
                <w:szCs w:val="15"/>
                <w:color w:val="auto"/>
              </w:rPr>
              <w:t>Chief Legal and</w:t>
            </w:r>
          </w:p>
        </w:tc>
      </w:tr>
      <w:tr>
        <w:trPr>
          <w:trHeight w:val="177"/>
        </w:trPr>
        <w:tc>
          <w:tcPr>
            <w:tcW w:w="1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5"/>
                <w:szCs w:val="15"/>
                <w:color w:val="auto"/>
                <w:w w:val="99"/>
              </w:rPr>
              <w:t>Financial Officer*</w:t>
            </w:r>
          </w:p>
        </w:tc>
        <w:tc>
          <w:tcPr>
            <w:tcW w:w="1740" w:type="dxa"/>
            <w:vAlign w:val="bottom"/>
          </w:tcPr>
          <w:p>
            <w:pPr>
              <w:jc w:val="center"/>
              <w:spacing w:after="0"/>
              <w:rPr>
                <w:sz w:val="20"/>
                <w:szCs w:val="20"/>
                <w:color w:val="auto"/>
              </w:rPr>
            </w:pPr>
            <w:r>
              <w:rPr>
                <w:rFonts w:ascii="Arial" w:cs="Arial" w:eastAsia="Arial" w:hAnsi="Arial"/>
                <w:sz w:val="15"/>
                <w:szCs w:val="15"/>
                <w:color w:val="auto"/>
                <w:w w:val="98"/>
              </w:rPr>
              <w:t>Officer and</w:t>
            </w:r>
          </w:p>
        </w:tc>
        <w:tc>
          <w:tcPr>
            <w:tcW w:w="1760" w:type="dxa"/>
            <w:vAlign w:val="bottom"/>
          </w:tcPr>
          <w:p>
            <w:pPr>
              <w:jc w:val="center"/>
              <w:spacing w:after="0"/>
              <w:rPr>
                <w:sz w:val="20"/>
                <w:szCs w:val="20"/>
                <w:color w:val="auto"/>
              </w:rPr>
            </w:pPr>
            <w:r>
              <w:rPr>
                <w:rFonts w:ascii="Arial" w:cs="Arial" w:eastAsia="Arial" w:hAnsi="Arial"/>
                <w:sz w:val="15"/>
                <w:szCs w:val="15"/>
                <w:color w:val="auto"/>
              </w:rPr>
              <w:t>Chief Operating</w:t>
            </w:r>
          </w:p>
        </w:tc>
        <w:tc>
          <w:tcPr>
            <w:tcW w:w="1660" w:type="dxa"/>
            <w:vAlign w:val="bottom"/>
          </w:tcPr>
          <w:p>
            <w:pPr>
              <w:jc w:val="center"/>
              <w:ind w:left="144"/>
              <w:spacing w:after="0"/>
              <w:rPr>
                <w:sz w:val="20"/>
                <w:szCs w:val="20"/>
                <w:color w:val="auto"/>
              </w:rPr>
            </w:pPr>
            <w:r>
              <w:rPr>
                <w:rFonts w:ascii="Arial" w:cs="Arial" w:eastAsia="Arial" w:hAnsi="Arial"/>
                <w:sz w:val="15"/>
                <w:szCs w:val="15"/>
                <w:color w:val="auto"/>
              </w:rPr>
              <w:t>Administrative</w:t>
            </w:r>
          </w:p>
        </w:tc>
      </w:tr>
      <w:tr>
        <w:trPr>
          <w:trHeight w:val="199"/>
        </w:trPr>
        <w:tc>
          <w:tcPr>
            <w:tcW w:w="1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5"/>
                <w:szCs w:val="15"/>
                <w:color w:val="auto"/>
              </w:rPr>
              <w:t>Assistant Secretary</w:t>
            </w:r>
          </w:p>
        </w:tc>
        <w:tc>
          <w:tcPr>
            <w:tcW w:w="1760" w:type="dxa"/>
            <w:vAlign w:val="bottom"/>
          </w:tcPr>
          <w:p>
            <w:pPr>
              <w:jc w:val="center"/>
              <w:spacing w:after="0"/>
              <w:rPr>
                <w:sz w:val="20"/>
                <w:szCs w:val="20"/>
                <w:color w:val="auto"/>
              </w:rPr>
            </w:pPr>
            <w:r>
              <w:rPr>
                <w:rFonts w:ascii="Arial" w:cs="Arial" w:eastAsia="Arial" w:hAnsi="Arial"/>
                <w:sz w:val="15"/>
                <w:szCs w:val="15"/>
                <w:color w:val="auto"/>
                <w:w w:val="99"/>
              </w:rPr>
              <w:t>Officer</w:t>
            </w:r>
          </w:p>
        </w:tc>
        <w:tc>
          <w:tcPr>
            <w:tcW w:w="1660" w:type="dxa"/>
            <w:vAlign w:val="bottom"/>
          </w:tcPr>
          <w:p>
            <w:pPr>
              <w:jc w:val="center"/>
              <w:ind w:left="164"/>
              <w:spacing w:after="0"/>
              <w:rPr>
                <w:sz w:val="20"/>
                <w:szCs w:val="20"/>
                <w:color w:val="auto"/>
              </w:rPr>
            </w:pPr>
            <w:r>
              <w:rPr>
                <w:rFonts w:ascii="Arial" w:cs="Arial" w:eastAsia="Arial" w:hAnsi="Arial"/>
                <w:sz w:val="15"/>
                <w:szCs w:val="15"/>
                <w:color w:val="auto"/>
              </w:rPr>
              <w:t>Officer and Secretary</w:t>
            </w:r>
          </w:p>
        </w:tc>
      </w:tr>
    </w:tbl>
    <w:p>
      <w:pPr>
        <w:spacing w:after="0" w:line="310" w:lineRule="exact"/>
        <w:rPr>
          <w:sz w:val="20"/>
          <w:szCs w:val="20"/>
          <w:color w:val="auto"/>
        </w:rPr>
      </w:pPr>
    </w:p>
    <w:p>
      <w:pPr>
        <w:jc w:val="both"/>
        <w:ind w:left="300" w:right="1140" w:hanging="299"/>
        <w:spacing w:after="0" w:line="253" w:lineRule="auto"/>
        <w:tabs>
          <w:tab w:leader="none" w:pos="300" w:val="left"/>
        </w:tabs>
        <w:numPr>
          <w:ilvl w:val="0"/>
          <w:numId w:val="65"/>
        </w:numPr>
        <w:rPr>
          <w:rFonts w:ascii="Arial" w:cs="Arial" w:eastAsia="Arial" w:hAnsi="Arial"/>
          <w:sz w:val="13"/>
          <w:szCs w:val="13"/>
          <w:color w:val="auto"/>
        </w:rPr>
      </w:pPr>
      <w:r>
        <w:rPr>
          <w:rFonts w:ascii="Arial" w:cs="Arial" w:eastAsia="Arial" w:hAnsi="Arial"/>
          <w:sz w:val="13"/>
          <w:szCs w:val="13"/>
          <w:i w:val="1"/>
          <w:iCs w:val="1"/>
          <w:color w:val="auto"/>
        </w:rPr>
        <w:t>At the conclusion of the 2025 Annual Meeting on May 21, 2025, Mr. Stice transitioned from the role of Chief Executive Officer to Executive Chairman, and Mr. Van’t Hof succeeded Mr. Stice as Chief Executive Officer. Effective February 20, 2025, Mr. Van’t Hof ceased to serve as Chief Financial Officer, and Jere W. Thompson III, previously Executive Vice President of Strategy and Corporate Development of the Company, assumed the role of Executive Vice President and Chief Financial Officer. At the conclusion of the 2026 Annual Meeting, Mr. Stice will transition from the role of Executive Chairman to non-executive Chairman of the Board and will cease to be an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Biographical information for each of our NEOs currently serving as our executive officers and other key executives of Diamondback can be found on page 41.</w:t>
      </w:r>
    </w:p>
    <w:p>
      <w:pPr>
        <w:spacing w:after="0" w:line="18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26F2A"/>
        </w:rPr>
        <w:t>2025 and Q1 2026 Operational and Financial Performance Highlights and Key Strategic Transactions</w:t>
      </w:r>
    </w:p>
    <w:p>
      <w:pPr>
        <w:spacing w:after="0" w:line="212" w:lineRule="exact"/>
        <w:rPr>
          <w:sz w:val="20"/>
          <w:szCs w:val="20"/>
          <w:color w:val="auto"/>
        </w:rPr>
      </w:pPr>
    </w:p>
    <w:p>
      <w:pPr>
        <w:ind w:right="640"/>
        <w:spacing w:after="0" w:line="282" w:lineRule="auto"/>
        <w:rPr>
          <w:sz w:val="20"/>
          <w:szCs w:val="20"/>
          <w:color w:val="auto"/>
        </w:rPr>
      </w:pPr>
      <w:r>
        <w:rPr>
          <w:rFonts w:ascii="Arial" w:cs="Arial" w:eastAsia="Arial" w:hAnsi="Arial"/>
          <w:sz w:val="15"/>
          <w:szCs w:val="15"/>
          <w:color w:val="auto"/>
        </w:rPr>
        <w:t>In 2025 and the first quarter of 2026, Diamondback consummated the following key strategic transactions and achieved the following operational, financial and environmental, social and governance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86995</wp:posOffset>
            </wp:positionV>
            <wp:extent cx="7141210"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FINANCIAL</w:t>
            </w:r>
          </w:p>
        </w:tc>
        <w:tc>
          <w:tcPr>
            <w:tcW w:w="220" w:type="dxa"/>
            <w:vAlign w:val="bottom"/>
          </w:tcPr>
          <w:p>
            <w:pPr>
              <w:ind w:left="100"/>
              <w:spacing w:after="0"/>
              <w:rPr>
                <w:sz w:val="20"/>
                <w:szCs w:val="20"/>
                <w:color w:val="auto"/>
              </w:rPr>
            </w:pPr>
            <w:r>
              <w:rPr>
                <w:rFonts w:ascii="Arial" w:cs="Arial" w:eastAsia="Arial" w:hAnsi="Arial"/>
                <w:sz w:val="15"/>
                <w:szCs w:val="15"/>
                <w:color w:val="A26F2A"/>
              </w:rPr>
              <w:t>•</w:t>
            </w:r>
          </w:p>
        </w:tc>
        <w:tc>
          <w:tcPr>
            <w:tcW w:w="9760" w:type="dxa"/>
            <w:vAlign w:val="bottom"/>
          </w:tcPr>
          <w:p>
            <w:pPr>
              <w:ind w:left="40"/>
              <w:spacing w:after="0"/>
              <w:rPr>
                <w:sz w:val="20"/>
                <w:szCs w:val="20"/>
                <w:color w:val="auto"/>
              </w:rPr>
            </w:pPr>
            <w:r>
              <w:rPr>
                <w:rFonts w:ascii="Arial" w:cs="Arial" w:eastAsia="Arial" w:hAnsi="Arial"/>
                <w:sz w:val="15"/>
                <w:szCs w:val="15"/>
                <w:color w:val="auto"/>
              </w:rPr>
              <w:t>Generated $8.8 billion in net cash provided by operating activities and $5.5 billion Free Cash Flow</w:t>
            </w:r>
          </w:p>
        </w:tc>
        <w:tc>
          <w:tcPr>
            <w:tcW w:w="0" w:type="dxa"/>
            <w:vAlign w:val="bottom"/>
          </w:tcPr>
          <w:p>
            <w:pPr>
              <w:spacing w:after="0"/>
              <w:rPr>
                <w:sz w:val="1"/>
                <w:szCs w:val="1"/>
                <w:color w:val="auto"/>
              </w:rPr>
            </w:pPr>
          </w:p>
        </w:tc>
      </w:tr>
      <w:tr>
        <w:trPr>
          <w:trHeight w:val="207"/>
        </w:trPr>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HIGHLIGHTS</w:t>
            </w:r>
          </w:p>
        </w:tc>
        <w:tc>
          <w:tcPr>
            <w:tcW w:w="220" w:type="dxa"/>
            <w:vAlign w:val="bottom"/>
            <w:vMerge w:val="restart"/>
          </w:tcPr>
          <w:p>
            <w:pPr>
              <w:ind w:left="100"/>
              <w:spacing w:after="0"/>
              <w:rPr>
                <w:sz w:val="20"/>
                <w:szCs w:val="20"/>
                <w:color w:val="auto"/>
              </w:rPr>
            </w:pPr>
            <w:r>
              <w:rPr>
                <w:rFonts w:ascii="Arial" w:cs="Arial" w:eastAsia="Arial" w:hAnsi="Arial"/>
                <w:sz w:val="15"/>
                <w:szCs w:val="15"/>
                <w:color w:val="A26F2A"/>
              </w:rPr>
              <w:t>•</w:t>
            </w:r>
          </w:p>
        </w:tc>
        <w:tc>
          <w:tcPr>
            <w:tcW w:w="9760" w:type="dxa"/>
            <w:vAlign w:val="bottom"/>
            <w:vMerge w:val="restart"/>
          </w:tcPr>
          <w:p>
            <w:pPr>
              <w:ind w:left="40"/>
              <w:spacing w:after="0"/>
              <w:rPr>
                <w:sz w:val="20"/>
                <w:szCs w:val="20"/>
                <w:color w:val="auto"/>
              </w:rPr>
            </w:pPr>
            <w:r>
              <w:rPr>
                <w:rFonts w:ascii="Arial" w:cs="Arial" w:eastAsia="Arial" w:hAnsi="Arial"/>
                <w:sz w:val="15"/>
                <w:szCs w:val="15"/>
                <w:color w:val="auto"/>
              </w:rPr>
              <w:t>Increased our annual base dividend in February 2026 to $4.20 per share, representing a 5% increase over year end 2024</w:t>
            </w: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9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20" w:type="dxa"/>
            <w:vAlign w:val="bottom"/>
          </w:tcPr>
          <w:p>
            <w:pPr>
              <w:ind w:left="100"/>
              <w:spacing w:after="0"/>
              <w:rPr>
                <w:sz w:val="20"/>
                <w:szCs w:val="20"/>
                <w:color w:val="auto"/>
              </w:rPr>
            </w:pPr>
            <w:r>
              <w:rPr>
                <w:rFonts w:ascii="Arial" w:cs="Arial" w:eastAsia="Arial" w:hAnsi="Arial"/>
                <w:sz w:val="15"/>
                <w:szCs w:val="15"/>
                <w:color w:val="A26F2A"/>
              </w:rPr>
              <w:t>•</w:t>
            </w:r>
          </w:p>
        </w:tc>
        <w:tc>
          <w:tcPr>
            <w:tcW w:w="9760" w:type="dxa"/>
            <w:vAlign w:val="bottom"/>
          </w:tcPr>
          <w:p>
            <w:pPr>
              <w:ind w:left="40"/>
              <w:spacing w:after="0"/>
              <w:rPr>
                <w:sz w:val="20"/>
                <w:szCs w:val="20"/>
                <w:color w:val="auto"/>
              </w:rPr>
            </w:pPr>
            <w:r>
              <w:rPr>
                <w:rFonts w:ascii="Arial" w:cs="Arial" w:eastAsia="Arial" w:hAnsi="Arial"/>
                <w:sz w:val="15"/>
                <w:szCs w:val="15"/>
                <w:color w:val="auto"/>
              </w:rPr>
              <w:t>Returned $3.2 billion, or approximately 54% of Adjusted Free Cash Flow, to stockholders through our base dividend and stock buyback program</w:t>
            </w:r>
          </w:p>
        </w:tc>
        <w:tc>
          <w:tcPr>
            <w:tcW w:w="0" w:type="dxa"/>
            <w:vAlign w:val="bottom"/>
          </w:tcPr>
          <w:p>
            <w:pPr>
              <w:spacing w:after="0"/>
              <w:rPr>
                <w:sz w:val="1"/>
                <w:szCs w:val="1"/>
                <w:color w:val="auto"/>
              </w:rPr>
            </w:pPr>
          </w:p>
        </w:tc>
      </w:tr>
      <w:tr>
        <w:trPr>
          <w:trHeight w:val="189"/>
        </w:trPr>
        <w:tc>
          <w:tcPr>
            <w:tcW w:w="1260" w:type="dxa"/>
            <w:vAlign w:val="bottom"/>
            <w:tcBorders>
              <w:bottom w:val="single" w:sz="8" w:color="A8A9AC"/>
            </w:tcBorders>
          </w:tcPr>
          <w:p>
            <w:pPr>
              <w:spacing w:after="0"/>
              <w:rPr>
                <w:sz w:val="16"/>
                <w:szCs w:val="16"/>
                <w:color w:val="auto"/>
              </w:rPr>
            </w:pPr>
          </w:p>
        </w:tc>
        <w:tc>
          <w:tcPr>
            <w:tcW w:w="220" w:type="dxa"/>
            <w:vAlign w:val="bottom"/>
            <w:tcBorders>
              <w:bottom w:val="single" w:sz="8" w:color="A8A9AC"/>
            </w:tcBorders>
          </w:tcPr>
          <w:p>
            <w:pPr>
              <w:ind w:left="100"/>
              <w:spacing w:after="0"/>
              <w:rPr>
                <w:sz w:val="20"/>
                <w:szCs w:val="20"/>
                <w:color w:val="auto"/>
              </w:rPr>
            </w:pPr>
            <w:r>
              <w:rPr>
                <w:rFonts w:ascii="Arial" w:cs="Arial" w:eastAsia="Arial" w:hAnsi="Arial"/>
                <w:sz w:val="15"/>
                <w:szCs w:val="15"/>
                <w:color w:val="A26F2A"/>
              </w:rPr>
              <w:t>•</w:t>
            </w:r>
          </w:p>
        </w:tc>
        <w:tc>
          <w:tcPr>
            <w:tcW w:w="9760" w:type="dxa"/>
            <w:vAlign w:val="bottom"/>
            <w:tcBorders>
              <w:bottom w:val="single" w:sz="8" w:color="A8A9AC"/>
            </w:tcBorders>
          </w:tcPr>
          <w:p>
            <w:pPr>
              <w:ind w:left="40"/>
              <w:spacing w:after="0"/>
              <w:rPr>
                <w:sz w:val="20"/>
                <w:szCs w:val="20"/>
                <w:color w:val="auto"/>
              </w:rPr>
            </w:pPr>
            <w:r>
              <w:rPr>
                <w:rFonts w:ascii="Arial" w:cs="Arial" w:eastAsia="Arial" w:hAnsi="Arial"/>
                <w:sz w:val="15"/>
                <w:szCs w:val="15"/>
                <w:color w:val="auto"/>
              </w:rPr>
              <w:t>Repurchased over 13.84 million shares of Diamondback’s common stock for approximately $2.0 billion</w:t>
            </w:r>
          </w:p>
        </w:tc>
        <w:tc>
          <w:tcPr>
            <w:tcW w:w="0" w:type="dxa"/>
            <w:vAlign w:val="bottom"/>
          </w:tcPr>
          <w:p>
            <w:pPr>
              <w:spacing w:after="0"/>
              <w:rPr>
                <w:sz w:val="1"/>
                <w:szCs w:val="1"/>
                <w:color w:val="auto"/>
              </w:rPr>
            </w:pPr>
          </w:p>
        </w:tc>
      </w:tr>
      <w:tr>
        <w:trPr>
          <w:trHeight w:val="157"/>
        </w:trPr>
        <w:tc>
          <w:tcPr>
            <w:tcW w:w="1260" w:type="dxa"/>
            <w:vAlign w:val="bottom"/>
          </w:tcPr>
          <w:p>
            <w:pPr>
              <w:ind w:left="60"/>
              <w:spacing w:after="0" w:line="157" w:lineRule="exact"/>
              <w:rPr>
                <w:sz w:val="20"/>
                <w:szCs w:val="20"/>
                <w:color w:val="auto"/>
              </w:rPr>
            </w:pPr>
            <w:r>
              <w:rPr>
                <w:rFonts w:ascii="Arial" w:cs="Arial" w:eastAsia="Arial" w:hAnsi="Arial"/>
                <w:sz w:val="15"/>
                <w:szCs w:val="15"/>
                <w:b w:val="1"/>
                <w:bCs w:val="1"/>
                <w:color w:val="auto"/>
              </w:rPr>
              <w:t>PORTFOLIO</w:t>
            </w:r>
          </w:p>
        </w:tc>
        <w:tc>
          <w:tcPr>
            <w:tcW w:w="220" w:type="dxa"/>
            <w:vAlign w:val="bottom"/>
          </w:tcPr>
          <w:p>
            <w:pPr>
              <w:ind w:left="100"/>
              <w:spacing w:after="0" w:line="157" w:lineRule="exact"/>
              <w:rPr>
                <w:sz w:val="20"/>
                <w:szCs w:val="20"/>
                <w:color w:val="auto"/>
              </w:rPr>
            </w:pPr>
            <w:r>
              <w:rPr>
                <w:rFonts w:ascii="Arial" w:cs="Arial" w:eastAsia="Arial" w:hAnsi="Arial"/>
                <w:sz w:val="15"/>
                <w:szCs w:val="15"/>
                <w:color w:val="A26F2A"/>
              </w:rPr>
              <w:t>•</w:t>
            </w:r>
          </w:p>
        </w:tc>
        <w:tc>
          <w:tcPr>
            <w:tcW w:w="9760" w:type="dxa"/>
            <w:vAlign w:val="bottom"/>
          </w:tcPr>
          <w:p>
            <w:pPr>
              <w:ind w:left="40"/>
              <w:spacing w:after="0" w:line="157" w:lineRule="exact"/>
              <w:rPr>
                <w:sz w:val="20"/>
                <w:szCs w:val="20"/>
                <w:color w:val="auto"/>
              </w:rPr>
            </w:pPr>
            <w:r>
              <w:rPr>
                <w:rFonts w:ascii="Arial" w:cs="Arial" w:eastAsia="Arial" w:hAnsi="Arial"/>
                <w:sz w:val="15"/>
                <w:szCs w:val="15"/>
                <w:color w:val="auto"/>
              </w:rPr>
              <w:t>Completed the previously announced 2025 Drop Down, consisting of a divestment by our wholly owned subsidiary Endeavor Energy Resources,</w:t>
            </w:r>
          </w:p>
        </w:tc>
        <w:tc>
          <w:tcPr>
            <w:tcW w:w="0" w:type="dxa"/>
            <w:vAlign w:val="bottom"/>
          </w:tcPr>
          <w:p>
            <w:pPr>
              <w:spacing w:after="0"/>
              <w:rPr>
                <w:sz w:val="1"/>
                <w:szCs w:val="1"/>
                <w:color w:val="auto"/>
              </w:rPr>
            </w:pPr>
          </w:p>
        </w:tc>
      </w:tr>
      <w:tr>
        <w:trPr>
          <w:trHeight w:val="177"/>
        </w:trPr>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MANAGEMENT</w:t>
            </w:r>
          </w:p>
        </w:tc>
        <w:tc>
          <w:tcPr>
            <w:tcW w:w="220" w:type="dxa"/>
            <w:vAlign w:val="bottom"/>
          </w:tcPr>
          <w:p>
            <w:pPr>
              <w:spacing w:after="0"/>
              <w:rPr>
                <w:sz w:val="15"/>
                <w:szCs w:val="15"/>
                <w:color w:val="auto"/>
              </w:rPr>
            </w:pPr>
          </w:p>
        </w:tc>
        <w:tc>
          <w:tcPr>
            <w:tcW w:w="9760" w:type="dxa"/>
            <w:vAlign w:val="bottom"/>
          </w:tcPr>
          <w:p>
            <w:pPr>
              <w:ind w:left="40"/>
              <w:spacing w:after="0"/>
              <w:rPr>
                <w:sz w:val="20"/>
                <w:szCs w:val="20"/>
                <w:color w:val="auto"/>
              </w:rPr>
            </w:pPr>
            <w:r>
              <w:rPr>
                <w:rFonts w:ascii="Arial" w:cs="Arial" w:eastAsia="Arial" w:hAnsi="Arial"/>
                <w:sz w:val="15"/>
                <w:szCs w:val="15"/>
                <w:color w:val="auto"/>
              </w:rPr>
              <w:t>LP of all of the issued and outstanding equity interests in 1979 Royalties, LP and 1979 Royalties GP, LLC to Viper Energy, Inc. and Viper Energy</w:t>
            </w: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60" w:type="dxa"/>
            <w:vAlign w:val="bottom"/>
          </w:tcPr>
          <w:p>
            <w:pPr>
              <w:ind w:left="40"/>
              <w:spacing w:after="0"/>
              <w:rPr>
                <w:sz w:val="20"/>
                <w:szCs w:val="20"/>
                <w:color w:val="auto"/>
              </w:rPr>
            </w:pPr>
            <w:r>
              <w:rPr>
                <w:rFonts w:ascii="Arial" w:cs="Arial" w:eastAsia="Arial" w:hAnsi="Arial"/>
                <w:sz w:val="15"/>
                <w:szCs w:val="15"/>
                <w:color w:val="auto"/>
              </w:rPr>
              <w:t>Partners LLC in exchange for consideration consisting of (i) $873 million in cash including customary post-closing adjustments and (ii) the</w:t>
            </w: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60" w:type="dxa"/>
            <w:vAlign w:val="bottom"/>
          </w:tcPr>
          <w:p>
            <w:pPr>
              <w:ind w:left="40"/>
              <w:spacing w:after="0"/>
              <w:rPr>
                <w:sz w:val="20"/>
                <w:szCs w:val="20"/>
                <w:color w:val="auto"/>
              </w:rPr>
            </w:pPr>
            <w:r>
              <w:rPr>
                <w:rFonts w:ascii="Arial" w:cs="Arial" w:eastAsia="Arial" w:hAnsi="Arial"/>
                <w:sz w:val="15"/>
                <w:szCs w:val="15"/>
                <w:color w:val="auto"/>
              </w:rPr>
              <w:t>issuance of 69.63 million Viper Energy Partners LLC units and an equal number of shares of Viper’s Class B common stock</w:t>
            </w: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20" w:type="dxa"/>
            <w:vAlign w:val="bottom"/>
          </w:tcPr>
          <w:p>
            <w:pPr>
              <w:ind w:left="100"/>
              <w:spacing w:after="0"/>
              <w:rPr>
                <w:sz w:val="20"/>
                <w:szCs w:val="20"/>
                <w:color w:val="auto"/>
              </w:rPr>
            </w:pPr>
            <w:r>
              <w:rPr>
                <w:rFonts w:ascii="Arial" w:cs="Arial" w:eastAsia="Arial" w:hAnsi="Arial"/>
                <w:sz w:val="15"/>
                <w:szCs w:val="15"/>
                <w:color w:val="A26F2A"/>
              </w:rPr>
              <w:t>•</w:t>
            </w:r>
          </w:p>
        </w:tc>
        <w:tc>
          <w:tcPr>
            <w:tcW w:w="9760" w:type="dxa"/>
            <w:vAlign w:val="bottom"/>
          </w:tcPr>
          <w:p>
            <w:pPr>
              <w:ind w:left="40"/>
              <w:spacing w:after="0"/>
              <w:rPr>
                <w:sz w:val="20"/>
                <w:szCs w:val="20"/>
                <w:color w:val="auto"/>
              </w:rPr>
            </w:pPr>
            <w:r>
              <w:rPr>
                <w:rFonts w:ascii="Arial" w:cs="Arial" w:eastAsia="Arial" w:hAnsi="Arial"/>
                <w:sz w:val="15"/>
                <w:szCs w:val="15"/>
                <w:color w:val="auto"/>
              </w:rPr>
              <w:t>Closed the acquisition of certain subsidiaries of Double Eagle IV Midco, LLC in exchange for approximately 6.84 million shares of Company</w:t>
            </w: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60" w:type="dxa"/>
            <w:vAlign w:val="bottom"/>
          </w:tcPr>
          <w:p>
            <w:pPr>
              <w:ind w:left="40"/>
              <w:spacing w:after="0"/>
              <w:rPr>
                <w:sz w:val="20"/>
                <w:szCs w:val="20"/>
                <w:color w:val="auto"/>
              </w:rPr>
            </w:pPr>
            <w:r>
              <w:rPr>
                <w:rFonts w:ascii="Arial" w:cs="Arial" w:eastAsia="Arial" w:hAnsi="Arial"/>
                <w:sz w:val="15"/>
                <w:szCs w:val="15"/>
                <w:color w:val="auto"/>
              </w:rPr>
              <w:t>common stock and $3.1 billion of cash, which added approximately 40,000 net acres in the core of the Midland Basin and 407 estimated gross</w:t>
            </w: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60" w:type="dxa"/>
            <w:vAlign w:val="bottom"/>
          </w:tcPr>
          <w:p>
            <w:pPr>
              <w:ind w:left="40"/>
              <w:spacing w:after="0"/>
              <w:rPr>
                <w:sz w:val="20"/>
                <w:szCs w:val="20"/>
                <w:color w:val="auto"/>
              </w:rPr>
            </w:pPr>
            <w:r>
              <w:rPr>
                <w:rFonts w:ascii="Arial" w:cs="Arial" w:eastAsia="Arial" w:hAnsi="Arial"/>
                <w:sz w:val="15"/>
                <w:szCs w:val="15"/>
                <w:color w:val="auto"/>
              </w:rPr>
              <w:t>horizontal locations to the Company’s portfolio</w:t>
            </w: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20" w:type="dxa"/>
            <w:vAlign w:val="bottom"/>
          </w:tcPr>
          <w:p>
            <w:pPr>
              <w:ind w:left="100"/>
              <w:spacing w:after="0"/>
              <w:rPr>
                <w:sz w:val="20"/>
                <w:szCs w:val="20"/>
                <w:color w:val="auto"/>
              </w:rPr>
            </w:pPr>
            <w:r>
              <w:rPr>
                <w:rFonts w:ascii="Arial" w:cs="Arial" w:eastAsia="Arial" w:hAnsi="Arial"/>
                <w:sz w:val="15"/>
                <w:szCs w:val="15"/>
                <w:color w:val="A26F2A"/>
              </w:rPr>
              <w:t>•</w:t>
            </w:r>
          </w:p>
        </w:tc>
        <w:tc>
          <w:tcPr>
            <w:tcW w:w="9760" w:type="dxa"/>
            <w:vAlign w:val="bottom"/>
          </w:tcPr>
          <w:p>
            <w:pPr>
              <w:ind w:left="40"/>
              <w:spacing w:after="0"/>
              <w:rPr>
                <w:sz w:val="20"/>
                <w:szCs w:val="20"/>
                <w:color w:val="auto"/>
              </w:rPr>
            </w:pPr>
            <w:r>
              <w:rPr>
                <w:rFonts w:ascii="Arial" w:cs="Arial" w:eastAsia="Arial" w:hAnsi="Arial"/>
                <w:sz w:val="15"/>
                <w:szCs w:val="15"/>
                <w:color w:val="auto"/>
              </w:rPr>
              <w:t>Announced and closed the acquisition by Viper of Sitio Royalties Corp. in an all-equity transaction valued at approximately $4.0 billion and</w:t>
            </w: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60" w:type="dxa"/>
            <w:vAlign w:val="bottom"/>
          </w:tcPr>
          <w:p>
            <w:pPr>
              <w:ind w:left="40"/>
              <w:spacing w:after="0"/>
              <w:rPr>
                <w:sz w:val="20"/>
                <w:szCs w:val="20"/>
                <w:color w:val="auto"/>
              </w:rPr>
            </w:pPr>
            <w:r>
              <w:rPr>
                <w:rFonts w:ascii="Arial" w:cs="Arial" w:eastAsia="Arial" w:hAnsi="Arial"/>
                <w:sz w:val="15"/>
                <w:szCs w:val="15"/>
                <w:color w:val="auto"/>
              </w:rPr>
              <w:t>announced and closed the subsequent divestiture of Sitio’s non-Permian assets for $617 million</w:t>
            </w: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20" w:type="dxa"/>
            <w:vAlign w:val="bottom"/>
          </w:tcPr>
          <w:p>
            <w:pPr>
              <w:ind w:left="100"/>
              <w:spacing w:after="0"/>
              <w:rPr>
                <w:sz w:val="20"/>
                <w:szCs w:val="20"/>
                <w:color w:val="auto"/>
              </w:rPr>
            </w:pPr>
            <w:r>
              <w:rPr>
                <w:rFonts w:ascii="Arial" w:cs="Arial" w:eastAsia="Arial" w:hAnsi="Arial"/>
                <w:sz w:val="15"/>
                <w:szCs w:val="15"/>
                <w:color w:val="A26F2A"/>
              </w:rPr>
              <w:t>•</w:t>
            </w:r>
          </w:p>
        </w:tc>
        <w:tc>
          <w:tcPr>
            <w:tcW w:w="9760" w:type="dxa"/>
            <w:vAlign w:val="bottom"/>
          </w:tcPr>
          <w:p>
            <w:pPr>
              <w:ind w:left="40"/>
              <w:spacing w:after="0"/>
              <w:rPr>
                <w:sz w:val="20"/>
                <w:szCs w:val="20"/>
                <w:color w:val="auto"/>
              </w:rPr>
            </w:pPr>
            <w:r>
              <w:rPr>
                <w:rFonts w:ascii="Arial" w:cs="Arial" w:eastAsia="Arial" w:hAnsi="Arial"/>
                <w:sz w:val="15"/>
                <w:szCs w:val="15"/>
                <w:color w:val="auto"/>
              </w:rPr>
              <w:t>Exceeded goal of $1.5 billion of non-core asset sales set in 2025, which included (i) the sale of the Company’s 27.5% interest in EPIC Crude</w:t>
            </w: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60" w:type="dxa"/>
            <w:vAlign w:val="bottom"/>
          </w:tcPr>
          <w:p>
            <w:pPr>
              <w:ind w:left="40"/>
              <w:spacing w:after="0"/>
              <w:rPr>
                <w:sz w:val="20"/>
                <w:szCs w:val="20"/>
                <w:color w:val="auto"/>
              </w:rPr>
            </w:pPr>
            <w:r>
              <w:rPr>
                <w:rFonts w:ascii="Arial" w:cs="Arial" w:eastAsia="Arial" w:hAnsi="Arial"/>
                <w:sz w:val="15"/>
                <w:szCs w:val="15"/>
                <w:color w:val="auto"/>
              </w:rPr>
              <w:t>Holdings, LP to a wholly-owned subsidiary of Plains All American Pipeline, L.P. for approximately $504 million in net upfront cash and the</w:t>
            </w: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60" w:type="dxa"/>
            <w:vAlign w:val="bottom"/>
          </w:tcPr>
          <w:p>
            <w:pPr>
              <w:ind w:left="40"/>
              <w:spacing w:after="0"/>
              <w:rPr>
                <w:sz w:val="20"/>
                <w:szCs w:val="20"/>
                <w:color w:val="auto"/>
              </w:rPr>
            </w:pPr>
            <w:r>
              <w:rPr>
                <w:rFonts w:ascii="Arial" w:cs="Arial" w:eastAsia="Arial" w:hAnsi="Arial"/>
                <w:sz w:val="15"/>
                <w:szCs w:val="15"/>
                <w:color w:val="auto"/>
              </w:rPr>
              <w:t>potential for an additional $96 million contingent cash payment, (ii) the divestiture of Environmental Disposal Systems, LLC to Deep Blue for</w:t>
            </w: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60" w:type="dxa"/>
            <w:vAlign w:val="bottom"/>
          </w:tcPr>
          <w:p>
            <w:pPr>
              <w:ind w:left="40"/>
              <w:spacing w:after="0"/>
              <w:rPr>
                <w:sz w:val="20"/>
                <w:szCs w:val="20"/>
                <w:color w:val="auto"/>
              </w:rPr>
            </w:pPr>
            <w:r>
              <w:rPr>
                <w:rFonts w:ascii="Arial" w:cs="Arial" w:eastAsia="Arial" w:hAnsi="Arial"/>
                <w:sz w:val="15"/>
                <w:szCs w:val="15"/>
                <w:color w:val="auto"/>
              </w:rPr>
              <w:t>$694 million upfront cash proceeds and up to $200 million in contingent consideration and (iii) the sale of the Company’s 10% interest in the</w:t>
            </w: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60" w:type="dxa"/>
            <w:vAlign w:val="bottom"/>
          </w:tcPr>
          <w:p>
            <w:pPr>
              <w:ind w:left="40"/>
              <w:spacing w:after="0"/>
              <w:rPr>
                <w:sz w:val="20"/>
                <w:szCs w:val="20"/>
                <w:color w:val="auto"/>
              </w:rPr>
            </w:pPr>
            <w:r>
              <w:rPr>
                <w:rFonts w:ascii="Arial" w:cs="Arial" w:eastAsia="Arial" w:hAnsi="Arial"/>
                <w:sz w:val="15"/>
                <w:szCs w:val="15"/>
                <w:color w:val="auto"/>
              </w:rPr>
              <w:t>BANGL pipeline for approximately $130 million with additional potential proceeds tied to an earnout</w:t>
            </w: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20" w:type="dxa"/>
            <w:vAlign w:val="bottom"/>
          </w:tcPr>
          <w:p>
            <w:pPr>
              <w:ind w:left="100"/>
              <w:spacing w:after="0"/>
              <w:rPr>
                <w:sz w:val="20"/>
                <w:szCs w:val="20"/>
                <w:color w:val="auto"/>
              </w:rPr>
            </w:pPr>
            <w:r>
              <w:rPr>
                <w:rFonts w:ascii="Arial" w:cs="Arial" w:eastAsia="Arial" w:hAnsi="Arial"/>
                <w:sz w:val="15"/>
                <w:szCs w:val="15"/>
                <w:color w:val="A26F2A"/>
              </w:rPr>
              <w:t>•</w:t>
            </w:r>
          </w:p>
        </w:tc>
        <w:tc>
          <w:tcPr>
            <w:tcW w:w="9760" w:type="dxa"/>
            <w:vAlign w:val="bottom"/>
          </w:tcPr>
          <w:p>
            <w:pPr>
              <w:ind w:left="40"/>
              <w:spacing w:after="0"/>
              <w:rPr>
                <w:sz w:val="20"/>
                <w:szCs w:val="20"/>
                <w:color w:val="auto"/>
              </w:rPr>
            </w:pPr>
            <w:r>
              <w:rPr>
                <w:rFonts w:ascii="Arial" w:cs="Arial" w:eastAsia="Arial" w:hAnsi="Arial"/>
                <w:sz w:val="15"/>
                <w:szCs w:val="15"/>
                <w:color w:val="auto"/>
              </w:rPr>
              <w:t>Completed a secondary offering of 12,901,375 Class A common shares of Viper for net proceeds of approximately $589 million and utilized the</w:t>
            </w:r>
          </w:p>
        </w:tc>
        <w:tc>
          <w:tcPr>
            <w:tcW w:w="0" w:type="dxa"/>
            <w:vAlign w:val="bottom"/>
          </w:tcPr>
          <w:p>
            <w:pPr>
              <w:spacing w:after="0"/>
              <w:rPr>
                <w:sz w:val="1"/>
                <w:szCs w:val="1"/>
                <w:color w:val="auto"/>
              </w:rPr>
            </w:pPr>
          </w:p>
        </w:tc>
      </w:tr>
      <w:tr>
        <w:trPr>
          <w:trHeight w:val="189"/>
        </w:trPr>
        <w:tc>
          <w:tcPr>
            <w:tcW w:w="1260" w:type="dxa"/>
            <w:vAlign w:val="bottom"/>
            <w:tcBorders>
              <w:bottom w:val="single" w:sz="8" w:color="A8A9AC"/>
            </w:tcBorders>
          </w:tcPr>
          <w:p>
            <w:pPr>
              <w:spacing w:after="0"/>
              <w:rPr>
                <w:sz w:val="16"/>
                <w:szCs w:val="16"/>
                <w:color w:val="auto"/>
              </w:rPr>
            </w:pPr>
          </w:p>
        </w:tc>
        <w:tc>
          <w:tcPr>
            <w:tcW w:w="220" w:type="dxa"/>
            <w:vAlign w:val="bottom"/>
            <w:tcBorders>
              <w:bottom w:val="single" w:sz="8" w:color="A8A9AC"/>
            </w:tcBorders>
          </w:tcPr>
          <w:p>
            <w:pPr>
              <w:spacing w:after="0"/>
              <w:rPr>
                <w:sz w:val="16"/>
                <w:szCs w:val="16"/>
                <w:color w:val="auto"/>
              </w:rPr>
            </w:pPr>
          </w:p>
        </w:tc>
        <w:tc>
          <w:tcPr>
            <w:tcW w:w="9760" w:type="dxa"/>
            <w:vAlign w:val="bottom"/>
            <w:tcBorders>
              <w:bottom w:val="single" w:sz="8" w:color="A8A9AC"/>
            </w:tcBorders>
          </w:tcPr>
          <w:p>
            <w:pPr>
              <w:ind w:left="40"/>
              <w:spacing w:after="0"/>
              <w:rPr>
                <w:sz w:val="20"/>
                <w:szCs w:val="20"/>
                <w:color w:val="auto"/>
              </w:rPr>
            </w:pPr>
            <w:r>
              <w:rPr>
                <w:rFonts w:ascii="Arial" w:cs="Arial" w:eastAsia="Arial" w:hAnsi="Arial"/>
                <w:sz w:val="15"/>
                <w:szCs w:val="15"/>
                <w:color w:val="auto"/>
              </w:rPr>
              <w:t>net proceeds for debt reduction and general corporate purposes</w:t>
            </w:r>
          </w:p>
        </w:tc>
        <w:tc>
          <w:tcPr>
            <w:tcW w:w="0" w:type="dxa"/>
            <w:vAlign w:val="bottom"/>
          </w:tcPr>
          <w:p>
            <w:pPr>
              <w:spacing w:after="0"/>
              <w:rPr>
                <w:sz w:val="1"/>
                <w:szCs w:val="1"/>
                <w:color w:val="auto"/>
              </w:rPr>
            </w:pPr>
          </w:p>
        </w:tc>
      </w:tr>
      <w:tr>
        <w:trPr>
          <w:trHeight w:val="157"/>
        </w:trPr>
        <w:tc>
          <w:tcPr>
            <w:tcW w:w="1480" w:type="dxa"/>
            <w:vAlign w:val="bottom"/>
            <w:gridSpan w:val="2"/>
          </w:tcPr>
          <w:p>
            <w:pPr>
              <w:ind w:left="60"/>
              <w:spacing w:after="0" w:line="157" w:lineRule="exact"/>
              <w:rPr>
                <w:sz w:val="20"/>
                <w:szCs w:val="20"/>
                <w:color w:val="auto"/>
              </w:rPr>
            </w:pPr>
            <w:r>
              <w:rPr>
                <w:rFonts w:ascii="Arial" w:cs="Arial" w:eastAsia="Arial" w:hAnsi="Arial"/>
                <w:sz w:val="15"/>
                <w:szCs w:val="15"/>
                <w:b w:val="1"/>
                <w:bCs w:val="1"/>
                <w:color w:val="auto"/>
              </w:rPr>
              <w:t>ENVIRONMENTAL</w:t>
            </w:r>
            <w:r>
              <w:rPr>
                <w:rFonts w:ascii="Arial" w:cs="Arial" w:eastAsia="Arial" w:hAnsi="Arial"/>
                <w:sz w:val="15"/>
                <w:szCs w:val="15"/>
                <w:color w:val="A26F2A"/>
              </w:rPr>
              <w:t>•</w:t>
            </w:r>
          </w:p>
        </w:tc>
        <w:tc>
          <w:tcPr>
            <w:tcW w:w="9760" w:type="dxa"/>
            <w:vAlign w:val="bottom"/>
          </w:tcPr>
          <w:p>
            <w:pPr>
              <w:ind w:left="40"/>
              <w:spacing w:after="0" w:line="157" w:lineRule="exact"/>
              <w:rPr>
                <w:sz w:val="20"/>
                <w:szCs w:val="20"/>
                <w:color w:val="auto"/>
              </w:rPr>
            </w:pPr>
            <w:r>
              <w:rPr>
                <w:rFonts w:ascii="Arial" w:cs="Arial" w:eastAsia="Arial" w:hAnsi="Arial"/>
                <w:sz w:val="15"/>
                <w:szCs w:val="15"/>
                <w:color w:val="auto"/>
              </w:rPr>
              <w:t>Released our eighth annual Corporate Sustainability Report in September 2025, in which we publicly disclosed for the fourth consecutive year</w:t>
            </w:r>
          </w:p>
        </w:tc>
        <w:tc>
          <w:tcPr>
            <w:tcW w:w="0" w:type="dxa"/>
            <w:vAlign w:val="bottom"/>
          </w:tcPr>
          <w:p>
            <w:pPr>
              <w:spacing w:after="0"/>
              <w:rPr>
                <w:sz w:val="1"/>
                <w:szCs w:val="1"/>
                <w:color w:val="auto"/>
              </w:rPr>
            </w:pPr>
          </w:p>
        </w:tc>
      </w:tr>
      <w:tr>
        <w:trPr>
          <w:trHeight w:val="177"/>
        </w:trPr>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AND SOCIAL</w:t>
            </w:r>
          </w:p>
        </w:tc>
        <w:tc>
          <w:tcPr>
            <w:tcW w:w="220" w:type="dxa"/>
            <w:vAlign w:val="bottom"/>
          </w:tcPr>
          <w:p>
            <w:pPr>
              <w:spacing w:after="0"/>
              <w:rPr>
                <w:sz w:val="15"/>
                <w:szCs w:val="15"/>
                <w:color w:val="auto"/>
              </w:rPr>
            </w:pPr>
          </w:p>
        </w:tc>
        <w:tc>
          <w:tcPr>
            <w:tcW w:w="9760" w:type="dxa"/>
            <w:vAlign w:val="bottom"/>
          </w:tcPr>
          <w:p>
            <w:pPr>
              <w:ind w:left="40"/>
              <w:spacing w:after="0"/>
              <w:rPr>
                <w:sz w:val="20"/>
                <w:szCs w:val="20"/>
                <w:color w:val="auto"/>
              </w:rPr>
            </w:pPr>
            <w:r>
              <w:rPr>
                <w:rFonts w:ascii="Arial" w:cs="Arial" w:eastAsia="Arial" w:hAnsi="Arial"/>
                <w:sz w:val="15"/>
                <w:szCs w:val="15"/>
                <w:color w:val="auto"/>
              </w:rPr>
              <w:t>our Equal Employment Opportunity (EEO-1) data as of December 31, 2024</w:t>
            </w:r>
          </w:p>
        </w:tc>
        <w:tc>
          <w:tcPr>
            <w:tcW w:w="0" w:type="dxa"/>
            <w:vAlign w:val="bottom"/>
          </w:tcPr>
          <w:p>
            <w:pPr>
              <w:spacing w:after="0"/>
              <w:rPr>
                <w:sz w:val="1"/>
                <w:szCs w:val="1"/>
                <w:color w:val="auto"/>
              </w:rPr>
            </w:pPr>
          </w:p>
        </w:tc>
      </w:tr>
      <w:tr>
        <w:trPr>
          <w:trHeight w:val="207"/>
        </w:trPr>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COMMITMENT</w:t>
            </w:r>
          </w:p>
        </w:tc>
        <w:tc>
          <w:tcPr>
            <w:tcW w:w="220" w:type="dxa"/>
            <w:vAlign w:val="bottom"/>
            <w:vMerge w:val="restart"/>
          </w:tcPr>
          <w:p>
            <w:pPr>
              <w:ind w:left="100"/>
              <w:spacing w:after="0"/>
              <w:rPr>
                <w:sz w:val="20"/>
                <w:szCs w:val="20"/>
                <w:color w:val="auto"/>
              </w:rPr>
            </w:pPr>
            <w:r>
              <w:rPr>
                <w:rFonts w:ascii="Arial" w:cs="Arial" w:eastAsia="Arial" w:hAnsi="Arial"/>
                <w:sz w:val="15"/>
                <w:szCs w:val="15"/>
                <w:color w:val="A26F2A"/>
              </w:rPr>
              <w:t>•</w:t>
            </w:r>
          </w:p>
        </w:tc>
        <w:tc>
          <w:tcPr>
            <w:tcW w:w="9760" w:type="dxa"/>
            <w:vAlign w:val="bottom"/>
            <w:vMerge w:val="restart"/>
          </w:tcPr>
          <w:p>
            <w:pPr>
              <w:ind w:left="40"/>
              <w:spacing w:after="0"/>
              <w:rPr>
                <w:sz w:val="20"/>
                <w:szCs w:val="20"/>
                <w:color w:val="auto"/>
              </w:rPr>
            </w:pPr>
            <w:r>
              <w:rPr>
                <w:rFonts w:ascii="Arial" w:cs="Arial" w:eastAsia="Arial" w:hAnsi="Arial"/>
                <w:sz w:val="15"/>
                <w:szCs w:val="15"/>
                <w:color w:val="auto"/>
              </w:rPr>
              <w:t>Contributed significantly to Midland and Oklahoma City communities, including volunteering over 5,739 hours of employee time and donating</w:t>
            </w: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9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60" w:type="dxa"/>
            <w:vAlign w:val="bottom"/>
          </w:tcPr>
          <w:p>
            <w:pPr>
              <w:ind w:left="40"/>
              <w:spacing w:after="0"/>
              <w:rPr>
                <w:sz w:val="20"/>
                <w:szCs w:val="20"/>
                <w:color w:val="auto"/>
              </w:rPr>
            </w:pPr>
            <w:r>
              <w:rPr>
                <w:rFonts w:ascii="Arial" w:cs="Arial" w:eastAsia="Arial" w:hAnsi="Arial"/>
                <w:sz w:val="15"/>
                <w:szCs w:val="15"/>
                <w:color w:val="auto"/>
              </w:rPr>
              <w:t>over $6 million to local charities directly and through the PSP</w:t>
            </w: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20" w:type="dxa"/>
            <w:vAlign w:val="bottom"/>
          </w:tcPr>
          <w:p>
            <w:pPr>
              <w:ind w:left="100"/>
              <w:spacing w:after="0"/>
              <w:rPr>
                <w:sz w:val="20"/>
                <w:szCs w:val="20"/>
                <w:color w:val="auto"/>
              </w:rPr>
            </w:pPr>
            <w:r>
              <w:rPr>
                <w:rFonts w:ascii="Arial" w:cs="Arial" w:eastAsia="Arial" w:hAnsi="Arial"/>
                <w:sz w:val="15"/>
                <w:szCs w:val="15"/>
                <w:color w:val="A26F2A"/>
              </w:rPr>
              <w:t>•</w:t>
            </w:r>
          </w:p>
        </w:tc>
        <w:tc>
          <w:tcPr>
            <w:tcW w:w="9760" w:type="dxa"/>
            <w:vAlign w:val="bottom"/>
          </w:tcPr>
          <w:p>
            <w:pPr>
              <w:ind w:left="40"/>
              <w:spacing w:after="0"/>
              <w:rPr>
                <w:sz w:val="20"/>
                <w:szCs w:val="20"/>
                <w:color w:val="auto"/>
              </w:rPr>
            </w:pPr>
            <w:r>
              <w:rPr>
                <w:rFonts w:ascii="Arial" w:cs="Arial" w:eastAsia="Arial" w:hAnsi="Arial"/>
                <w:sz w:val="15"/>
                <w:szCs w:val="15"/>
                <w:color w:val="auto"/>
              </w:rPr>
              <w:t>Publicly disclosed Diamondback’s corporate political contribution activity for the sixth consecutive year</w:t>
            </w: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20" w:type="dxa"/>
            <w:vAlign w:val="bottom"/>
          </w:tcPr>
          <w:p>
            <w:pPr>
              <w:ind w:left="100"/>
              <w:spacing w:after="0"/>
              <w:rPr>
                <w:sz w:val="20"/>
                <w:szCs w:val="20"/>
                <w:color w:val="auto"/>
              </w:rPr>
            </w:pPr>
            <w:r>
              <w:rPr>
                <w:rFonts w:ascii="Arial" w:cs="Arial" w:eastAsia="Arial" w:hAnsi="Arial"/>
                <w:sz w:val="15"/>
                <w:szCs w:val="15"/>
                <w:color w:val="A26F2A"/>
              </w:rPr>
              <w:t>•</w:t>
            </w:r>
          </w:p>
        </w:tc>
        <w:tc>
          <w:tcPr>
            <w:tcW w:w="9760" w:type="dxa"/>
            <w:vAlign w:val="bottom"/>
          </w:tcPr>
          <w:p>
            <w:pPr>
              <w:ind w:left="40"/>
              <w:spacing w:after="0"/>
              <w:rPr>
                <w:sz w:val="20"/>
                <w:szCs w:val="20"/>
                <w:color w:val="auto"/>
              </w:rPr>
            </w:pPr>
            <w:r>
              <w:rPr>
                <w:rFonts w:ascii="Arial" w:cs="Arial" w:eastAsia="Arial" w:hAnsi="Arial"/>
                <w:sz w:val="15"/>
                <w:szCs w:val="15"/>
                <w:color w:val="auto"/>
              </w:rPr>
              <w:t>Received a trendsetter score of approximately 90.0 for the 2025 CPA-Zicklin Index and recognized as a trendsetter in political disclosure and</w:t>
            </w:r>
          </w:p>
        </w:tc>
        <w:tc>
          <w:tcPr>
            <w:tcW w:w="0" w:type="dxa"/>
            <w:vAlign w:val="bottom"/>
          </w:tcPr>
          <w:p>
            <w:pPr>
              <w:spacing w:after="0"/>
              <w:rPr>
                <w:sz w:val="1"/>
                <w:szCs w:val="1"/>
                <w:color w:val="auto"/>
              </w:rPr>
            </w:pPr>
          </w:p>
        </w:tc>
      </w:tr>
      <w:tr>
        <w:trPr>
          <w:trHeight w:val="189"/>
        </w:trPr>
        <w:tc>
          <w:tcPr>
            <w:tcW w:w="1260" w:type="dxa"/>
            <w:vAlign w:val="bottom"/>
            <w:tcBorders>
              <w:bottom w:val="single" w:sz="8" w:color="A8A9AC"/>
            </w:tcBorders>
          </w:tcPr>
          <w:p>
            <w:pPr>
              <w:spacing w:after="0"/>
              <w:rPr>
                <w:sz w:val="16"/>
                <w:szCs w:val="16"/>
                <w:color w:val="auto"/>
              </w:rPr>
            </w:pPr>
          </w:p>
        </w:tc>
        <w:tc>
          <w:tcPr>
            <w:tcW w:w="220" w:type="dxa"/>
            <w:vAlign w:val="bottom"/>
            <w:tcBorders>
              <w:bottom w:val="single" w:sz="8" w:color="A8A9AC"/>
            </w:tcBorders>
          </w:tcPr>
          <w:p>
            <w:pPr>
              <w:spacing w:after="0"/>
              <w:rPr>
                <w:sz w:val="16"/>
                <w:szCs w:val="16"/>
                <w:color w:val="auto"/>
              </w:rPr>
            </w:pPr>
          </w:p>
        </w:tc>
        <w:tc>
          <w:tcPr>
            <w:tcW w:w="9760" w:type="dxa"/>
            <w:vAlign w:val="bottom"/>
            <w:tcBorders>
              <w:bottom w:val="single" w:sz="8" w:color="A8A9AC"/>
            </w:tcBorders>
          </w:tcPr>
          <w:p>
            <w:pPr>
              <w:ind w:left="40"/>
              <w:spacing w:after="0"/>
              <w:rPr>
                <w:sz w:val="20"/>
                <w:szCs w:val="20"/>
                <w:color w:val="auto"/>
              </w:rPr>
            </w:pPr>
            <w:r>
              <w:rPr>
                <w:rFonts w:ascii="Arial" w:cs="Arial" w:eastAsia="Arial" w:hAnsi="Arial"/>
                <w:sz w:val="15"/>
                <w:szCs w:val="15"/>
                <w:color w:val="auto"/>
              </w:rPr>
              <w:t>accountability</w:t>
            </w:r>
          </w:p>
        </w:tc>
        <w:tc>
          <w:tcPr>
            <w:tcW w:w="0" w:type="dxa"/>
            <w:vAlign w:val="bottom"/>
          </w:tcPr>
          <w:p>
            <w:pPr>
              <w:spacing w:after="0"/>
              <w:rPr>
                <w:sz w:val="1"/>
                <w:szCs w:val="1"/>
                <w:color w:val="auto"/>
              </w:rPr>
            </w:pPr>
          </w:p>
        </w:tc>
      </w:tr>
      <w:tr>
        <w:trPr>
          <w:trHeight w:val="157"/>
        </w:trPr>
        <w:tc>
          <w:tcPr>
            <w:tcW w:w="1260" w:type="dxa"/>
            <w:vAlign w:val="bottom"/>
          </w:tcPr>
          <w:p>
            <w:pPr>
              <w:ind w:left="60"/>
              <w:spacing w:after="0" w:line="157" w:lineRule="exact"/>
              <w:rPr>
                <w:sz w:val="20"/>
                <w:szCs w:val="20"/>
                <w:color w:val="auto"/>
              </w:rPr>
            </w:pPr>
            <w:r>
              <w:rPr>
                <w:rFonts w:ascii="Arial" w:cs="Arial" w:eastAsia="Arial" w:hAnsi="Arial"/>
                <w:sz w:val="15"/>
                <w:szCs w:val="15"/>
                <w:b w:val="1"/>
                <w:bCs w:val="1"/>
                <w:color w:val="auto"/>
              </w:rPr>
              <w:t>FINANCIAL</w:t>
            </w:r>
          </w:p>
        </w:tc>
        <w:tc>
          <w:tcPr>
            <w:tcW w:w="220" w:type="dxa"/>
            <w:vAlign w:val="bottom"/>
          </w:tcPr>
          <w:p>
            <w:pPr>
              <w:ind w:left="100"/>
              <w:spacing w:after="0" w:line="157" w:lineRule="exact"/>
              <w:rPr>
                <w:sz w:val="20"/>
                <w:szCs w:val="20"/>
                <w:color w:val="auto"/>
              </w:rPr>
            </w:pPr>
            <w:r>
              <w:rPr>
                <w:rFonts w:ascii="Arial" w:cs="Arial" w:eastAsia="Arial" w:hAnsi="Arial"/>
                <w:sz w:val="15"/>
                <w:szCs w:val="15"/>
                <w:color w:val="A26F2A"/>
              </w:rPr>
              <w:t>•</w:t>
            </w:r>
          </w:p>
        </w:tc>
        <w:tc>
          <w:tcPr>
            <w:tcW w:w="9760" w:type="dxa"/>
            <w:vAlign w:val="bottom"/>
          </w:tcPr>
          <w:p>
            <w:pPr>
              <w:ind w:left="40"/>
              <w:spacing w:after="0" w:line="157" w:lineRule="exact"/>
              <w:rPr>
                <w:sz w:val="20"/>
                <w:szCs w:val="20"/>
                <w:color w:val="auto"/>
              </w:rPr>
            </w:pPr>
            <w:r>
              <w:rPr>
                <w:rFonts w:ascii="Arial" w:cs="Arial" w:eastAsia="Arial" w:hAnsi="Arial"/>
                <w:sz w:val="15"/>
                <w:szCs w:val="15"/>
                <w:color w:val="auto"/>
              </w:rPr>
              <w:t>Maintained investment grade credit ratings from all three major ratings agencies</w:t>
            </w:r>
          </w:p>
        </w:tc>
        <w:tc>
          <w:tcPr>
            <w:tcW w:w="0" w:type="dxa"/>
            <w:vAlign w:val="bottom"/>
          </w:tcPr>
          <w:p>
            <w:pPr>
              <w:spacing w:after="0"/>
              <w:rPr>
                <w:sz w:val="1"/>
                <w:szCs w:val="1"/>
                <w:color w:val="auto"/>
              </w:rPr>
            </w:pPr>
          </w:p>
        </w:tc>
      </w:tr>
      <w:tr>
        <w:trPr>
          <w:trHeight w:val="207"/>
        </w:trPr>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STRENGTH</w:t>
            </w:r>
          </w:p>
        </w:tc>
        <w:tc>
          <w:tcPr>
            <w:tcW w:w="220" w:type="dxa"/>
            <w:vAlign w:val="bottom"/>
            <w:vMerge w:val="restart"/>
          </w:tcPr>
          <w:p>
            <w:pPr>
              <w:ind w:left="100"/>
              <w:spacing w:after="0"/>
              <w:rPr>
                <w:sz w:val="20"/>
                <w:szCs w:val="20"/>
                <w:color w:val="auto"/>
              </w:rPr>
            </w:pPr>
            <w:r>
              <w:rPr>
                <w:rFonts w:ascii="Arial" w:cs="Arial" w:eastAsia="Arial" w:hAnsi="Arial"/>
                <w:sz w:val="15"/>
                <w:szCs w:val="15"/>
                <w:color w:val="A26F2A"/>
              </w:rPr>
              <w:t>•</w:t>
            </w:r>
          </w:p>
        </w:tc>
        <w:tc>
          <w:tcPr>
            <w:tcW w:w="9760" w:type="dxa"/>
            <w:vAlign w:val="bottom"/>
            <w:vMerge w:val="restart"/>
          </w:tcPr>
          <w:p>
            <w:pPr>
              <w:ind w:left="40"/>
              <w:spacing w:after="0"/>
              <w:rPr>
                <w:sz w:val="20"/>
                <w:szCs w:val="20"/>
                <w:color w:val="auto"/>
              </w:rPr>
            </w:pPr>
            <w:r>
              <w:rPr>
                <w:rFonts w:ascii="Arial" w:cs="Arial" w:eastAsia="Arial" w:hAnsi="Arial"/>
                <w:sz w:val="15"/>
                <w:szCs w:val="15"/>
                <w:color w:val="auto"/>
              </w:rPr>
              <w:t>Completed offering of $1.2 billion of 5.550% senior notes due April 1, 2035</w:t>
            </w: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9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20" w:type="dxa"/>
            <w:vAlign w:val="bottom"/>
          </w:tcPr>
          <w:p>
            <w:pPr>
              <w:ind w:left="100"/>
              <w:spacing w:after="0"/>
              <w:rPr>
                <w:sz w:val="20"/>
                <w:szCs w:val="20"/>
                <w:color w:val="auto"/>
              </w:rPr>
            </w:pPr>
            <w:r>
              <w:rPr>
                <w:rFonts w:ascii="Arial" w:cs="Arial" w:eastAsia="Arial" w:hAnsi="Arial"/>
                <w:sz w:val="15"/>
                <w:szCs w:val="15"/>
                <w:color w:val="A26F2A"/>
              </w:rPr>
              <w:t>•</w:t>
            </w:r>
          </w:p>
        </w:tc>
        <w:tc>
          <w:tcPr>
            <w:tcW w:w="9760" w:type="dxa"/>
            <w:vAlign w:val="bottom"/>
          </w:tcPr>
          <w:p>
            <w:pPr>
              <w:ind w:left="40"/>
              <w:spacing w:after="0"/>
              <w:rPr>
                <w:sz w:val="20"/>
                <w:szCs w:val="20"/>
                <w:color w:val="auto"/>
              </w:rPr>
            </w:pPr>
            <w:r>
              <w:rPr>
                <w:rFonts w:ascii="Arial" w:cs="Arial" w:eastAsia="Arial" w:hAnsi="Arial"/>
                <w:sz w:val="15"/>
                <w:szCs w:val="15"/>
                <w:color w:val="auto"/>
              </w:rPr>
              <w:t>Viper completed offering of $500 million of 4.900% senior notes due August 1, 2030 and $1.1 billion of 5.700% senior notes due August 1, 2035</w:t>
            </w: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220" w:type="dxa"/>
            <w:vAlign w:val="bottom"/>
          </w:tcPr>
          <w:p>
            <w:pPr>
              <w:ind w:left="100"/>
              <w:spacing w:after="0"/>
              <w:rPr>
                <w:sz w:val="20"/>
                <w:szCs w:val="20"/>
                <w:color w:val="auto"/>
              </w:rPr>
            </w:pPr>
            <w:r>
              <w:rPr>
                <w:rFonts w:ascii="Arial" w:cs="Arial" w:eastAsia="Arial" w:hAnsi="Arial"/>
                <w:sz w:val="15"/>
                <w:szCs w:val="15"/>
                <w:color w:val="A26F2A"/>
              </w:rPr>
              <w:t>•</w:t>
            </w:r>
          </w:p>
        </w:tc>
        <w:tc>
          <w:tcPr>
            <w:tcW w:w="9760" w:type="dxa"/>
            <w:vAlign w:val="bottom"/>
          </w:tcPr>
          <w:p>
            <w:pPr>
              <w:ind w:left="40"/>
              <w:spacing w:after="0"/>
              <w:rPr>
                <w:sz w:val="20"/>
                <w:szCs w:val="20"/>
                <w:color w:val="auto"/>
              </w:rPr>
            </w:pPr>
            <w:r>
              <w:rPr>
                <w:rFonts w:ascii="Arial" w:cs="Arial" w:eastAsia="Arial" w:hAnsi="Arial"/>
                <w:sz w:val="15"/>
                <w:szCs w:val="15"/>
                <w:color w:val="auto"/>
              </w:rPr>
              <w:t>Repaid approximately $950 million of principal on $1.5 billion term loan due in 2027 and repurchased $455 million in aggregate principal amount</w:t>
            </w:r>
          </w:p>
        </w:tc>
        <w:tc>
          <w:tcPr>
            <w:tcW w:w="0" w:type="dxa"/>
            <w:vAlign w:val="bottom"/>
          </w:tcPr>
          <w:p>
            <w:pPr>
              <w:spacing w:after="0"/>
              <w:rPr>
                <w:sz w:val="1"/>
                <w:szCs w:val="1"/>
                <w:color w:val="auto"/>
              </w:rPr>
            </w:pPr>
          </w:p>
        </w:tc>
      </w:tr>
      <w:tr>
        <w:trPr>
          <w:trHeight w:val="189"/>
        </w:trPr>
        <w:tc>
          <w:tcPr>
            <w:tcW w:w="1260" w:type="dxa"/>
            <w:vAlign w:val="bottom"/>
            <w:tcBorders>
              <w:bottom w:val="single" w:sz="8" w:color="A8A9AC"/>
            </w:tcBorders>
          </w:tcPr>
          <w:p>
            <w:pPr>
              <w:spacing w:after="0"/>
              <w:rPr>
                <w:sz w:val="16"/>
                <w:szCs w:val="16"/>
                <w:color w:val="auto"/>
              </w:rPr>
            </w:pPr>
          </w:p>
        </w:tc>
        <w:tc>
          <w:tcPr>
            <w:tcW w:w="220" w:type="dxa"/>
            <w:vAlign w:val="bottom"/>
            <w:tcBorders>
              <w:bottom w:val="single" w:sz="8" w:color="A8A9AC"/>
            </w:tcBorders>
          </w:tcPr>
          <w:p>
            <w:pPr>
              <w:spacing w:after="0"/>
              <w:rPr>
                <w:sz w:val="16"/>
                <w:szCs w:val="16"/>
                <w:color w:val="auto"/>
              </w:rPr>
            </w:pPr>
          </w:p>
        </w:tc>
        <w:tc>
          <w:tcPr>
            <w:tcW w:w="9760" w:type="dxa"/>
            <w:vAlign w:val="bottom"/>
            <w:tcBorders>
              <w:bottom w:val="single" w:sz="8" w:color="A8A9AC"/>
            </w:tcBorders>
          </w:tcPr>
          <w:p>
            <w:pPr>
              <w:ind w:left="40"/>
              <w:spacing w:after="0"/>
              <w:rPr>
                <w:sz w:val="20"/>
                <w:szCs w:val="20"/>
                <w:color w:val="auto"/>
              </w:rPr>
            </w:pPr>
            <w:r>
              <w:rPr>
                <w:rFonts w:ascii="Arial" w:cs="Arial" w:eastAsia="Arial" w:hAnsi="Arial"/>
                <w:sz w:val="15"/>
                <w:szCs w:val="15"/>
                <w:color w:val="auto"/>
              </w:rPr>
              <w:t>of longer-dated bonds at a weighted average price of 79.3% of par</w:t>
            </w:r>
          </w:p>
        </w:tc>
        <w:tc>
          <w:tcPr>
            <w:tcW w:w="0" w:type="dxa"/>
            <w:vAlign w:val="bottom"/>
          </w:tcPr>
          <w:p>
            <w:pPr>
              <w:spacing w:after="0"/>
              <w:rPr>
                <w:sz w:val="1"/>
                <w:szCs w:val="1"/>
                <w:color w:val="auto"/>
              </w:rPr>
            </w:pPr>
          </w:p>
        </w:tc>
      </w:tr>
      <w:tr>
        <w:trPr>
          <w:trHeight w:val="157"/>
        </w:trPr>
        <w:tc>
          <w:tcPr>
            <w:tcW w:w="1260" w:type="dxa"/>
            <w:vAlign w:val="bottom"/>
          </w:tcPr>
          <w:p>
            <w:pPr>
              <w:ind w:left="60"/>
              <w:spacing w:after="0" w:line="157" w:lineRule="exact"/>
              <w:rPr>
                <w:sz w:val="20"/>
                <w:szCs w:val="20"/>
                <w:color w:val="auto"/>
              </w:rPr>
            </w:pPr>
            <w:r>
              <w:rPr>
                <w:rFonts w:ascii="Arial" w:cs="Arial" w:eastAsia="Arial" w:hAnsi="Arial"/>
                <w:sz w:val="15"/>
                <w:szCs w:val="15"/>
                <w:b w:val="1"/>
                <w:bCs w:val="1"/>
                <w:color w:val="auto"/>
              </w:rPr>
              <w:t>PORTFOLIO</w:t>
            </w:r>
          </w:p>
        </w:tc>
        <w:tc>
          <w:tcPr>
            <w:tcW w:w="220" w:type="dxa"/>
            <w:vAlign w:val="bottom"/>
          </w:tcPr>
          <w:p>
            <w:pPr>
              <w:ind w:left="100"/>
              <w:spacing w:after="0" w:line="157" w:lineRule="exact"/>
              <w:rPr>
                <w:sz w:val="20"/>
                <w:szCs w:val="20"/>
                <w:color w:val="auto"/>
              </w:rPr>
            </w:pPr>
            <w:r>
              <w:rPr>
                <w:rFonts w:ascii="Arial" w:cs="Arial" w:eastAsia="Arial" w:hAnsi="Arial"/>
                <w:sz w:val="15"/>
                <w:szCs w:val="15"/>
                <w:color w:val="A26F2A"/>
              </w:rPr>
              <w:t>•</w:t>
            </w:r>
          </w:p>
        </w:tc>
        <w:tc>
          <w:tcPr>
            <w:tcW w:w="9760" w:type="dxa"/>
            <w:vAlign w:val="bottom"/>
          </w:tcPr>
          <w:p>
            <w:pPr>
              <w:ind w:left="40"/>
              <w:spacing w:after="0" w:line="157" w:lineRule="exact"/>
              <w:rPr>
                <w:sz w:val="20"/>
                <w:szCs w:val="20"/>
                <w:color w:val="auto"/>
              </w:rPr>
            </w:pPr>
            <w:r>
              <w:rPr>
                <w:rFonts w:ascii="Arial" w:cs="Arial" w:eastAsia="Arial" w:hAnsi="Arial"/>
                <w:sz w:val="15"/>
                <w:szCs w:val="15"/>
                <w:color w:val="auto"/>
              </w:rPr>
              <w:t>Increased our total proved reserves by 2% year over year with such reserves consisting of approximately 49% oil on a 3-stream basis and</w:t>
            </w:r>
          </w:p>
        </w:tc>
        <w:tc>
          <w:tcPr>
            <w:tcW w:w="0" w:type="dxa"/>
            <w:vAlign w:val="bottom"/>
          </w:tcPr>
          <w:p>
            <w:pPr>
              <w:spacing w:after="0"/>
              <w:rPr>
                <w:sz w:val="1"/>
                <w:szCs w:val="1"/>
                <w:color w:val="auto"/>
              </w:rPr>
            </w:pPr>
          </w:p>
        </w:tc>
      </w:tr>
      <w:tr>
        <w:trPr>
          <w:trHeight w:val="177"/>
        </w:trPr>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STRENGTH</w:t>
            </w:r>
          </w:p>
        </w:tc>
        <w:tc>
          <w:tcPr>
            <w:tcW w:w="220" w:type="dxa"/>
            <w:vAlign w:val="bottom"/>
          </w:tcPr>
          <w:p>
            <w:pPr>
              <w:spacing w:after="0"/>
              <w:rPr>
                <w:sz w:val="15"/>
                <w:szCs w:val="15"/>
                <w:color w:val="auto"/>
              </w:rPr>
            </w:pPr>
          </w:p>
        </w:tc>
        <w:tc>
          <w:tcPr>
            <w:tcW w:w="9760" w:type="dxa"/>
            <w:vAlign w:val="bottom"/>
          </w:tcPr>
          <w:p>
            <w:pPr>
              <w:ind w:left="40"/>
              <w:spacing w:after="0"/>
              <w:rPr>
                <w:sz w:val="20"/>
                <w:szCs w:val="20"/>
                <w:color w:val="auto"/>
              </w:rPr>
            </w:pPr>
            <w:r>
              <w:rPr>
                <w:rFonts w:ascii="Arial" w:cs="Arial" w:eastAsia="Arial" w:hAnsi="Arial"/>
                <w:sz w:val="15"/>
                <w:szCs w:val="15"/>
                <w:color w:val="auto"/>
              </w:rPr>
              <w:t>approximately 56% oil on a 2-stream basis</w:t>
            </w:r>
          </w:p>
        </w:tc>
        <w:tc>
          <w:tcPr>
            <w:tcW w:w="0" w:type="dxa"/>
            <w:vAlign w:val="bottom"/>
          </w:tcPr>
          <w:p>
            <w:pPr>
              <w:spacing w:after="0"/>
              <w:rPr>
                <w:sz w:val="1"/>
                <w:szCs w:val="1"/>
                <w:color w:val="auto"/>
              </w:rPr>
            </w:pPr>
          </w:p>
        </w:tc>
      </w:tr>
      <w:tr>
        <w:trPr>
          <w:trHeight w:val="189"/>
        </w:trPr>
        <w:tc>
          <w:tcPr>
            <w:tcW w:w="1260" w:type="dxa"/>
            <w:vAlign w:val="bottom"/>
            <w:tcBorders>
              <w:bottom w:val="single" w:sz="8" w:color="A26F2A"/>
            </w:tcBorders>
          </w:tcPr>
          <w:p>
            <w:pPr>
              <w:spacing w:after="0"/>
              <w:rPr>
                <w:sz w:val="16"/>
                <w:szCs w:val="16"/>
                <w:color w:val="auto"/>
              </w:rPr>
            </w:pPr>
          </w:p>
        </w:tc>
        <w:tc>
          <w:tcPr>
            <w:tcW w:w="220" w:type="dxa"/>
            <w:vAlign w:val="bottom"/>
            <w:tcBorders>
              <w:bottom w:val="single" w:sz="8" w:color="A26F2A"/>
            </w:tcBorders>
          </w:tcPr>
          <w:p>
            <w:pPr>
              <w:ind w:left="100"/>
              <w:spacing w:after="0"/>
              <w:rPr>
                <w:sz w:val="20"/>
                <w:szCs w:val="20"/>
                <w:color w:val="auto"/>
              </w:rPr>
            </w:pPr>
            <w:r>
              <w:rPr>
                <w:rFonts w:ascii="Arial" w:cs="Arial" w:eastAsia="Arial" w:hAnsi="Arial"/>
                <w:sz w:val="15"/>
                <w:szCs w:val="15"/>
                <w:color w:val="A26F2A"/>
              </w:rPr>
              <w:t>•</w:t>
            </w:r>
          </w:p>
        </w:tc>
        <w:tc>
          <w:tcPr>
            <w:tcW w:w="9760" w:type="dxa"/>
            <w:vAlign w:val="bottom"/>
            <w:tcBorders>
              <w:bottom w:val="single" w:sz="8" w:color="A26F2A"/>
            </w:tcBorders>
          </w:tcPr>
          <w:p>
            <w:pPr>
              <w:ind w:left="40"/>
              <w:spacing w:after="0"/>
              <w:rPr>
                <w:sz w:val="20"/>
                <w:szCs w:val="20"/>
                <w:color w:val="auto"/>
              </w:rPr>
            </w:pPr>
            <w:r>
              <w:rPr>
                <w:rFonts w:ascii="Arial" w:cs="Arial" w:eastAsia="Arial" w:hAnsi="Arial"/>
                <w:sz w:val="15"/>
                <w:szCs w:val="15"/>
                <w:color w:val="auto"/>
              </w:rPr>
              <w:t>Increased our proved developed producing reserves by 6%, with such reserves representing approximately 70% of our total proved reserves</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Stockholder Outreach and 2025 “Say-On-Pay” Advisory Vote</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The compensation committee carefully reviews our executive pay programs and focuses on emphasizing pay for performance in making annual compensation decisions. The compensation committee values the insight we receive from our stockholder outreach and from our annual say-on-pay advisory vote on executive compensation. In 2025, approximately 97% of votes cast by our stockholders were in favor of our say-on-pay proposal. Although this vote demonstrates substantial support of our executive compensation programs, representatives of our board and management team continued to undertake stockholder engagement efforts to, among other things, solicit stockholder input on our executive compensation program and ensure ongoing stockholder support of our executive compensation programs. However, no specific changes were made to our executive compensation program as a result of the 2025 say-on-pay vote. During 2025, we solicited feedback on our executive compensation programs, environmental and safety matters and other important corporate governance issues. For a discussion of our stockholder engagement and actions that we have taken in response to stockholder feedback, see “Corporate Governance Matters—Stockholder Engagement” on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217170</wp:posOffset>
            </wp:positionV>
            <wp:extent cx="6411595" cy="1426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11595" cy="142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spacing w:after="0"/>
        <w:rPr>
          <w:sz w:val="20"/>
          <w:szCs w:val="20"/>
          <w:color w:val="auto"/>
        </w:rPr>
      </w:pPr>
      <w:r>
        <w:rPr>
          <w:rFonts w:ascii="Arial" w:cs="Arial" w:eastAsia="Arial" w:hAnsi="Arial"/>
          <w:sz w:val="26"/>
          <w:szCs w:val="26"/>
          <w:color w:val="A26F2A"/>
        </w:rPr>
        <w:t xml:space="preserve">— </w:t>
      </w:r>
      <w:r>
        <w:rPr>
          <w:rFonts w:ascii="Arial" w:cs="Arial" w:eastAsia="Arial" w:hAnsi="Arial"/>
          <w:sz w:val="26"/>
          <w:szCs w:val="26"/>
          <w:b w:val="1"/>
          <w:bCs w:val="1"/>
          <w:color w:val="000000"/>
        </w:rPr>
        <w:t>HIGHLIGHTS OF EXECUTIVE COMPENSATION BEST PRACTICES</w:t>
      </w: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highlights our commitment to the best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141210" cy="144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1210" cy="1441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3462655" cy="48488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62655" cy="4848860"/>
                    </a:xfrm>
                    <a:prstGeom prst="rect">
                      <a:avLst/>
                    </a:prstGeom>
                    <a:noFill/>
                  </pic:spPr>
                </pic:pic>
              </a:graphicData>
            </a:graphic>
          </wp:anchor>
        </w:drawing>
      </w:r>
    </w:p>
    <w:p>
      <w:pPr>
        <w:spacing w:after="0" w:line="35" w:lineRule="exact"/>
        <w:rPr>
          <w:sz w:val="20"/>
          <w:szCs w:val="20"/>
          <w:color w:val="auto"/>
        </w:rPr>
      </w:pPr>
    </w:p>
    <w:p>
      <w:pPr>
        <w:ind w:left="580"/>
        <w:spacing w:after="0" w:line="258" w:lineRule="auto"/>
        <w:rPr>
          <w:sz w:val="20"/>
          <w:szCs w:val="20"/>
          <w:color w:val="auto"/>
        </w:rPr>
      </w:pPr>
      <w:r>
        <w:rPr>
          <w:rFonts w:ascii="Arial" w:cs="Arial" w:eastAsia="Arial" w:hAnsi="Arial"/>
          <w:sz w:val="15"/>
          <w:szCs w:val="15"/>
          <w:color w:val="auto"/>
        </w:rPr>
        <w:t>We strive to pay for performance. The majority of our executive officers’ compensation is long-term, “at risk” and is paid only if the Company achieves certain performance objectives, which are designed to increase the value of our stock.</w:t>
      </w:r>
    </w:p>
    <w:p>
      <w:pPr>
        <w:spacing w:after="0" w:line="28" w:lineRule="exact"/>
        <w:rPr>
          <w:sz w:val="20"/>
          <w:szCs w:val="20"/>
          <w:color w:val="auto"/>
        </w:rPr>
      </w:pPr>
    </w:p>
    <w:p>
      <w:pPr>
        <w:ind w:left="580" w:right="240"/>
        <w:spacing w:after="0" w:line="258" w:lineRule="auto"/>
        <w:rPr>
          <w:sz w:val="20"/>
          <w:szCs w:val="20"/>
          <w:color w:val="auto"/>
        </w:rPr>
      </w:pPr>
      <w:r>
        <w:rPr>
          <w:rFonts w:ascii="Arial" w:cs="Arial" w:eastAsia="Arial" w:hAnsi="Arial"/>
          <w:sz w:val="15"/>
          <w:szCs w:val="15"/>
          <w:color w:val="auto"/>
        </w:rPr>
        <w:t>All of our performance-based equity awards vest over a three-year performance period, subject to achieving a specified TSR measured against our TSR performance peer group and satisfaction of continuous service requirements.</w:t>
      </w:r>
    </w:p>
    <w:p>
      <w:pPr>
        <w:spacing w:after="0" w:line="28" w:lineRule="exact"/>
        <w:rPr>
          <w:sz w:val="20"/>
          <w:szCs w:val="20"/>
          <w:color w:val="auto"/>
        </w:rPr>
      </w:pPr>
    </w:p>
    <w:p>
      <w:pPr>
        <w:ind w:left="580" w:right="120"/>
        <w:spacing w:after="0" w:line="282" w:lineRule="auto"/>
        <w:rPr>
          <w:sz w:val="20"/>
          <w:szCs w:val="20"/>
          <w:color w:val="auto"/>
        </w:rPr>
      </w:pPr>
      <w:r>
        <w:rPr>
          <w:rFonts w:ascii="Arial" w:cs="Arial" w:eastAsia="Arial" w:hAnsi="Arial"/>
          <w:sz w:val="15"/>
          <w:szCs w:val="15"/>
          <w:color w:val="auto"/>
        </w:rPr>
        <w:t>All Diamondback equity awards made under the Equity Incentive Plan contain double-trigger change of control provisions.</w:t>
      </w:r>
    </w:p>
    <w:p>
      <w:pPr>
        <w:spacing w:after="0" w:line="11" w:lineRule="exact"/>
        <w:rPr>
          <w:sz w:val="20"/>
          <w:szCs w:val="20"/>
          <w:color w:val="auto"/>
        </w:rPr>
      </w:pPr>
    </w:p>
    <w:p>
      <w:pPr>
        <w:ind w:left="580" w:right="60"/>
        <w:spacing w:after="0" w:line="258" w:lineRule="auto"/>
        <w:rPr>
          <w:sz w:val="20"/>
          <w:szCs w:val="20"/>
          <w:color w:val="auto"/>
        </w:rPr>
      </w:pPr>
      <w:r>
        <w:rPr>
          <w:rFonts w:ascii="Arial" w:cs="Arial" w:eastAsia="Arial" w:hAnsi="Arial"/>
          <w:sz w:val="15"/>
          <w:szCs w:val="15"/>
          <w:color w:val="auto"/>
        </w:rPr>
        <w:t>We require substantial stock ownership for our non-employee directors and executive officers and they must maintain their applicable stock ownership levels for as long as they serve on our board or are executive officers.</w:t>
      </w:r>
    </w:p>
    <w:p>
      <w:pPr>
        <w:spacing w:after="0" w:line="28" w:lineRule="exact"/>
        <w:rPr>
          <w:sz w:val="20"/>
          <w:szCs w:val="20"/>
          <w:color w:val="auto"/>
        </w:rPr>
      </w:pPr>
    </w:p>
    <w:p>
      <w:pPr>
        <w:ind w:left="580" w:right="300"/>
        <w:spacing w:after="0" w:line="282" w:lineRule="auto"/>
        <w:rPr>
          <w:sz w:val="20"/>
          <w:szCs w:val="20"/>
          <w:color w:val="auto"/>
        </w:rPr>
      </w:pPr>
      <w:r>
        <w:rPr>
          <w:rFonts w:ascii="Arial" w:cs="Arial" w:eastAsia="Arial" w:hAnsi="Arial"/>
          <w:sz w:val="15"/>
          <w:szCs w:val="15"/>
          <w:color w:val="auto"/>
        </w:rPr>
        <w:t>We devote significant time to analyzing and preparing for executive succession and related retention matters.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hold annual advisory “say-on-pay” votes.</w:t>
      </w:r>
    </w:p>
    <w:p>
      <w:pPr>
        <w:spacing w:after="0" w:line="244" w:lineRule="exact"/>
        <w:rPr>
          <w:sz w:val="20"/>
          <w:szCs w:val="20"/>
          <w:color w:val="auto"/>
        </w:rPr>
      </w:pPr>
    </w:p>
    <w:p>
      <w:pPr>
        <w:jc w:val="both"/>
        <w:ind w:left="580" w:right="260"/>
        <w:spacing w:after="0" w:line="264" w:lineRule="auto"/>
        <w:rPr>
          <w:sz w:val="20"/>
          <w:szCs w:val="20"/>
          <w:color w:val="auto"/>
        </w:rPr>
      </w:pPr>
      <w:r>
        <w:rPr>
          <w:rFonts w:ascii="Arial" w:cs="Arial" w:eastAsia="Arial" w:hAnsi="Arial"/>
          <w:sz w:val="15"/>
          <w:szCs w:val="15"/>
          <w:color w:val="auto"/>
        </w:rPr>
        <w:t>We engage in active stockholder outreach with respect to executive compensation, corporate governance and environmental and safety matters.</w:t>
      </w:r>
    </w:p>
    <w:p>
      <w:pPr>
        <w:spacing w:after="0" w:line="24" w:lineRule="exact"/>
        <w:rPr>
          <w:sz w:val="20"/>
          <w:szCs w:val="20"/>
          <w:color w:val="auto"/>
        </w:rPr>
      </w:pPr>
    </w:p>
    <w:p>
      <w:pPr>
        <w:ind w:left="580" w:right="20"/>
        <w:spacing w:after="0" w:line="282" w:lineRule="auto"/>
        <w:rPr>
          <w:sz w:val="20"/>
          <w:szCs w:val="20"/>
          <w:color w:val="auto"/>
        </w:rPr>
      </w:pPr>
      <w:r>
        <w:rPr>
          <w:rFonts w:ascii="Arial" w:cs="Arial" w:eastAsia="Arial" w:hAnsi="Arial"/>
          <w:sz w:val="15"/>
          <w:szCs w:val="15"/>
          <w:color w:val="auto"/>
        </w:rPr>
        <w:t>We benchmark executive compensation against our industry peers and non-oil industrial companies of similar size.</w:t>
      </w:r>
    </w:p>
    <w:p>
      <w:pPr>
        <w:spacing w:after="0" w:line="11" w:lineRule="exact"/>
        <w:rPr>
          <w:sz w:val="20"/>
          <w:szCs w:val="20"/>
          <w:color w:val="auto"/>
        </w:rPr>
      </w:pPr>
    </w:p>
    <w:p>
      <w:pPr>
        <w:ind w:left="580" w:right="460"/>
        <w:spacing w:after="0" w:line="264" w:lineRule="auto"/>
        <w:rPr>
          <w:sz w:val="20"/>
          <w:szCs w:val="20"/>
          <w:color w:val="auto"/>
        </w:rPr>
      </w:pPr>
      <w:r>
        <w:rPr>
          <w:rFonts w:ascii="Arial" w:cs="Arial" w:eastAsia="Arial" w:hAnsi="Arial"/>
          <w:sz w:val="15"/>
          <w:szCs w:val="15"/>
          <w:color w:val="auto"/>
        </w:rPr>
        <w:t>Each member of our compensation committee meets the independence requirements under SEC rules and Nasdaq listing standards.</w:t>
      </w:r>
    </w:p>
    <w:p>
      <w:pPr>
        <w:spacing w:after="0" w:line="24" w:lineRule="exact"/>
        <w:rPr>
          <w:sz w:val="20"/>
          <w:szCs w:val="20"/>
          <w:color w:val="auto"/>
        </w:rPr>
      </w:pPr>
    </w:p>
    <w:p>
      <w:pPr>
        <w:ind w:left="580" w:right="20"/>
        <w:spacing w:after="0" w:line="255" w:lineRule="auto"/>
        <w:rPr>
          <w:sz w:val="20"/>
          <w:szCs w:val="20"/>
          <w:color w:val="auto"/>
        </w:rPr>
      </w:pPr>
      <w:r>
        <w:rPr>
          <w:rFonts w:ascii="Arial" w:cs="Arial" w:eastAsia="Arial" w:hAnsi="Arial"/>
          <w:sz w:val="15"/>
          <w:szCs w:val="15"/>
          <w:color w:val="auto"/>
        </w:rPr>
        <w:t>Our compensation committee engages an external, independent compensation consultant who is retained by, and reports directly to, the compensation committee to assist the Company with, among other things, conducting competitive benchmarking to align the Company’s compensation program with prevailing market practices.</w:t>
      </w:r>
    </w:p>
    <w:p>
      <w:pPr>
        <w:spacing w:after="0" w:line="30" w:lineRule="exact"/>
        <w:rPr>
          <w:sz w:val="20"/>
          <w:szCs w:val="20"/>
          <w:color w:val="auto"/>
        </w:rPr>
      </w:pPr>
    </w:p>
    <w:p>
      <w:pPr>
        <w:ind w:left="580" w:right="60"/>
        <w:spacing w:after="0" w:line="258" w:lineRule="auto"/>
        <w:rPr>
          <w:sz w:val="20"/>
          <w:szCs w:val="20"/>
          <w:color w:val="auto"/>
        </w:rPr>
      </w:pPr>
      <w:r>
        <w:rPr>
          <w:rFonts w:ascii="Arial" w:cs="Arial" w:eastAsia="Arial" w:hAnsi="Arial"/>
          <w:sz w:val="15"/>
          <w:szCs w:val="15"/>
          <w:color w:val="auto"/>
        </w:rPr>
        <w:t>We maintain a clawback policy that complies with the Nasdaq listing standards implementing Rule 10D-1 of the Exchange Act and provides for the recoupment and/or forfeiture of certain executive officer incentive compensation.</w:t>
      </w:r>
    </w:p>
    <w:p>
      <w:pPr>
        <w:spacing w:after="0" w:line="28" w:lineRule="exact"/>
        <w:rPr>
          <w:sz w:val="20"/>
          <w:szCs w:val="20"/>
          <w:color w:val="auto"/>
        </w:rPr>
      </w:pPr>
    </w:p>
    <w:p>
      <w:pPr>
        <w:ind w:left="580" w:right="100"/>
        <w:spacing w:after="0" w:line="264" w:lineRule="auto"/>
        <w:rPr>
          <w:sz w:val="20"/>
          <w:szCs w:val="20"/>
          <w:color w:val="auto"/>
        </w:rPr>
      </w:pPr>
      <w:r>
        <w:rPr>
          <w:rFonts w:ascii="Arial" w:cs="Arial" w:eastAsia="Arial" w:hAnsi="Arial"/>
          <w:sz w:val="15"/>
          <w:szCs w:val="15"/>
          <w:color w:val="auto"/>
        </w:rPr>
        <w:t>We utilize a balanced approach to compensation, which combines performance and time-based, short-term and long-term, and cash and equity 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34626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sz w:val="1"/>
          <w:szCs w:val="1"/>
          <w:color w:val="auto"/>
        </w:rPr>
        <w:drawing>
          <wp:inline distT="0" distB="0" distL="0" distR="0">
            <wp:extent cx="216535" cy="14414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6535" cy="144145"/>
                    </a:xfrm>
                    <a:prstGeom prst="rect">
                      <a:avLst/>
                    </a:prstGeom>
                    <a:noFill/>
                    <a:ln>
                      <a:noFill/>
                    </a:ln>
                  </pic:spPr>
                </pic:pic>
              </a:graphicData>
            </a:graphic>
          </wp:inline>
        </w:drawing>
      </w:r>
      <w:r>
        <w:rPr>
          <w:rFonts w:ascii="Arial" w:cs="Arial" w:eastAsia="Arial" w:hAnsi="Arial"/>
          <w:sz w:val="15"/>
          <w:szCs w:val="15"/>
          <w:b w:val="1"/>
          <w:bCs w:val="1"/>
          <w:color w:val="FFFFFF"/>
        </w:rPr>
        <w:t xml:space="preserve"> 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0</wp:posOffset>
            </wp:positionV>
            <wp:extent cx="3462655" cy="4472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62655" cy="4472305"/>
                    </a:xfrm>
                    <a:prstGeom prst="rect">
                      <a:avLst/>
                    </a:prstGeom>
                    <a:noFill/>
                  </pic:spPr>
                </pic:pic>
              </a:graphicData>
            </a:graphic>
          </wp:anchor>
        </w:drawing>
      </w:r>
    </w:p>
    <w:p>
      <w:pPr>
        <w:jc w:val="both"/>
        <w:ind w:left="900" w:right="200"/>
        <w:spacing w:after="0" w:line="264" w:lineRule="auto"/>
        <w:rPr>
          <w:sz w:val="20"/>
          <w:szCs w:val="20"/>
          <w:color w:val="auto"/>
        </w:rPr>
      </w:pPr>
      <w:r>
        <w:rPr>
          <w:rFonts w:ascii="Arial" w:cs="Arial" w:eastAsia="Arial" w:hAnsi="Arial"/>
          <w:sz w:val="15"/>
          <w:szCs w:val="15"/>
          <w:color w:val="auto"/>
        </w:rPr>
        <w:t>No hedging of Company securities, including by entering into publicly traded options, puts, calls, short sales or similar hedging transactions, by executive officers or directors.</w:t>
      </w:r>
    </w:p>
    <w:p>
      <w:pPr>
        <w:spacing w:after="0" w:line="201" w:lineRule="exact"/>
        <w:rPr>
          <w:sz w:val="20"/>
          <w:szCs w:val="20"/>
          <w:color w:val="auto"/>
        </w:rPr>
      </w:pPr>
    </w:p>
    <w:p>
      <w:pPr>
        <w:jc w:val="both"/>
        <w:ind w:left="900" w:right="220"/>
        <w:spacing w:after="0" w:line="264" w:lineRule="auto"/>
        <w:rPr>
          <w:sz w:val="20"/>
          <w:szCs w:val="20"/>
          <w:color w:val="auto"/>
        </w:rPr>
      </w:pPr>
      <w:r>
        <w:rPr>
          <w:rFonts w:ascii="Arial" w:cs="Arial" w:eastAsia="Arial" w:hAnsi="Arial"/>
          <w:sz w:val="15"/>
          <w:szCs w:val="15"/>
          <w:color w:val="auto"/>
        </w:rPr>
        <w:t>No pledging of our common stock as collateral for a loan or holding of our common stock in margin accounts by our directors and executive officers.</w:t>
      </w:r>
    </w:p>
    <w:p>
      <w:pPr>
        <w:spacing w:after="0" w:line="20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No tax gross-ups for executive officers.</w:t>
      </w:r>
    </w:p>
    <w:p>
      <w:pPr>
        <w:spacing w:after="0" w:line="244" w:lineRule="exact"/>
        <w:rPr>
          <w:sz w:val="20"/>
          <w:szCs w:val="20"/>
          <w:color w:val="auto"/>
        </w:rPr>
      </w:pPr>
    </w:p>
    <w:p>
      <w:pPr>
        <w:ind w:left="900" w:right="320"/>
        <w:spacing w:after="0" w:line="282" w:lineRule="auto"/>
        <w:rPr>
          <w:sz w:val="20"/>
          <w:szCs w:val="20"/>
          <w:color w:val="auto"/>
        </w:rPr>
      </w:pPr>
      <w:r>
        <w:rPr>
          <w:rFonts w:ascii="Arial" w:cs="Arial" w:eastAsia="Arial" w:hAnsi="Arial"/>
          <w:sz w:val="15"/>
          <w:szCs w:val="15"/>
          <w:color w:val="auto"/>
        </w:rPr>
        <w:t>No repricing of underwater stock options or stock appreciation rights without stockholder approval.</w:t>
      </w:r>
    </w:p>
    <w:p>
      <w:pPr>
        <w:spacing w:after="0" w:line="365" w:lineRule="exact"/>
        <w:rPr>
          <w:sz w:val="20"/>
          <w:szCs w:val="20"/>
          <w:color w:val="auto"/>
        </w:rPr>
      </w:pPr>
    </w:p>
    <w:p>
      <w:pPr>
        <w:ind w:left="900" w:right="160"/>
        <w:spacing w:after="0" w:line="264" w:lineRule="auto"/>
        <w:rPr>
          <w:sz w:val="20"/>
          <w:szCs w:val="20"/>
          <w:color w:val="auto"/>
        </w:rPr>
      </w:pPr>
      <w:r>
        <w:rPr>
          <w:rFonts w:ascii="Arial" w:cs="Arial" w:eastAsia="Arial" w:hAnsi="Arial"/>
          <w:sz w:val="15"/>
          <w:szCs w:val="15"/>
          <w:color w:val="auto"/>
        </w:rPr>
        <w:t>No severance compensation unless departing executive officers agree not to compete with us for a specified period of time after the end of their employment.</w:t>
      </w:r>
    </w:p>
    <w:p>
      <w:pPr>
        <w:spacing w:after="0" w:line="24" w:lineRule="exact"/>
        <w:rPr>
          <w:sz w:val="20"/>
          <w:szCs w:val="20"/>
          <w:color w:val="auto"/>
        </w:rPr>
      </w:pPr>
    </w:p>
    <w:p>
      <w:pPr>
        <w:ind w:left="900" w:right="140"/>
        <w:spacing w:after="0" w:line="282" w:lineRule="auto"/>
        <w:rPr>
          <w:sz w:val="20"/>
          <w:szCs w:val="20"/>
          <w:color w:val="auto"/>
        </w:rPr>
      </w:pPr>
      <w:r>
        <w:rPr>
          <w:rFonts w:ascii="Arial" w:cs="Arial" w:eastAsia="Arial" w:hAnsi="Arial"/>
          <w:sz w:val="15"/>
          <w:szCs w:val="15"/>
          <w:color w:val="auto"/>
        </w:rPr>
        <w:t>No performance metrics that would encourage excessive risk taking by our executive officers.</w:t>
      </w:r>
    </w:p>
    <w:p>
      <w:pPr>
        <w:spacing w:after="0" w:line="1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No significant perquisites to our executive officers.</w:t>
      </w:r>
    </w:p>
    <w:p>
      <w:pPr>
        <w:spacing w:after="0" w:line="200" w:lineRule="exact"/>
        <w:rPr>
          <w:sz w:val="20"/>
          <w:szCs w:val="20"/>
          <w:color w:val="auto"/>
        </w:rPr>
      </w:pPr>
    </w:p>
    <w:p>
      <w:pPr>
        <w:spacing w:after="0" w:line="22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No guaranteed annual bonuses.</w:t>
      </w:r>
    </w:p>
    <w:p>
      <w:pPr>
        <w:spacing w:after="0" w:line="244" w:lineRule="exact"/>
        <w:rPr>
          <w:sz w:val="20"/>
          <w:szCs w:val="20"/>
          <w:color w:val="auto"/>
        </w:rPr>
      </w:pPr>
    </w:p>
    <w:p>
      <w:pPr>
        <w:ind w:left="900" w:right="580"/>
        <w:spacing w:after="0" w:line="282" w:lineRule="auto"/>
        <w:rPr>
          <w:sz w:val="20"/>
          <w:szCs w:val="20"/>
          <w:color w:val="auto"/>
        </w:rPr>
      </w:pPr>
      <w:r>
        <w:rPr>
          <w:rFonts w:ascii="Arial" w:cs="Arial" w:eastAsia="Arial" w:hAnsi="Arial"/>
          <w:sz w:val="15"/>
          <w:szCs w:val="15"/>
          <w:color w:val="auto"/>
        </w:rPr>
        <w:t>No pension or supplemental retirement benefits to our executive officers (other than under our broad-based 401(k) plan).</w:t>
      </w:r>
    </w:p>
    <w:p>
      <w:pPr>
        <w:spacing w:after="0" w:line="188" w:lineRule="exact"/>
        <w:rPr>
          <w:sz w:val="20"/>
          <w:szCs w:val="20"/>
          <w:color w:val="auto"/>
        </w:rPr>
      </w:pPr>
    </w:p>
    <w:p>
      <w:pPr>
        <w:jc w:val="both"/>
        <w:ind w:left="900" w:right="240"/>
        <w:spacing w:after="0" w:line="264" w:lineRule="auto"/>
        <w:rPr>
          <w:sz w:val="20"/>
          <w:szCs w:val="20"/>
          <w:color w:val="auto"/>
        </w:rPr>
      </w:pPr>
      <w:r>
        <w:rPr>
          <w:rFonts w:ascii="Arial" w:cs="Arial" w:eastAsia="Arial" w:hAnsi="Arial"/>
          <w:sz w:val="15"/>
          <w:szCs w:val="15"/>
          <w:color w:val="auto"/>
        </w:rPr>
        <w:t>No employment agreements with our executive officers, including our NEOs, except for certain arrangements with our Executive Chairman as part of his previously disclosed leadership transition.</w:t>
      </w:r>
    </w:p>
    <w:p>
      <w:pPr>
        <w:spacing w:after="0" w:line="377" w:lineRule="exact"/>
        <w:rPr>
          <w:sz w:val="20"/>
          <w:szCs w:val="20"/>
          <w:color w:val="auto"/>
        </w:rPr>
      </w:pPr>
    </w:p>
    <w:p>
      <w:pPr>
        <w:ind w:left="900" w:right="160"/>
        <w:spacing w:after="0" w:line="282" w:lineRule="auto"/>
        <w:rPr>
          <w:sz w:val="20"/>
          <w:szCs w:val="20"/>
          <w:color w:val="auto"/>
        </w:rPr>
      </w:pPr>
      <w:r>
        <w:rPr>
          <w:rFonts w:ascii="Arial" w:cs="Arial" w:eastAsia="Arial" w:hAnsi="Arial"/>
          <w:sz w:val="15"/>
          <w:szCs w:val="15"/>
          <w:color w:val="auto"/>
        </w:rPr>
        <w:t>No practice of taking material nonpublic information into account when determining the timing and terms of an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215265</wp:posOffset>
            </wp:positionV>
            <wp:extent cx="34626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1108" w:lineRule="exact"/>
        <w:rPr>
          <w:sz w:val="20"/>
          <w:szCs w:val="20"/>
          <w:color w:val="auto"/>
        </w:rPr>
      </w:pPr>
    </w:p>
    <w:p>
      <w:pPr>
        <w:sectPr>
          <w:pgSz w:w="11900" w:h="16838" w:orient="portrait"/>
          <w:cols w:equalWidth="0" w:num="2">
            <w:col w:w="5360" w:space="100"/>
            <w:col w:w="5780"/>
          </w:cols>
          <w:pgMar w:left="320" w:top="231" w:right="339" w:bottom="1440" w:gutter="0" w:footer="0" w:header="0"/>
          <w:type w:val="continuous"/>
        </w:sect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EXECUTIVE COMPENSATION POLICY AND OBJECTIVES</w:t>
      </w:r>
    </w:p>
    <w:p>
      <w:pPr>
        <w:spacing w:after="0" w:line="305"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Executive Compensation Objectives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Our executive compensation philosophy is guided by several key principles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7141210"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40" w:type="dxa"/>
            <w:vAlign w:val="bottom"/>
          </w:tcPr>
          <w:p>
            <w:pPr>
              <w:ind w:left="60"/>
              <w:spacing w:after="0"/>
              <w:rPr>
                <w:sz w:val="20"/>
                <w:szCs w:val="20"/>
                <w:color w:val="auto"/>
              </w:rPr>
            </w:pPr>
            <w:r>
              <w:rPr>
                <w:rFonts w:ascii="Arial" w:cs="Arial" w:eastAsia="Arial" w:hAnsi="Arial"/>
                <w:sz w:val="15"/>
                <w:szCs w:val="15"/>
                <w:b w:val="1"/>
                <w:bCs w:val="1"/>
                <w:color w:val="auto"/>
              </w:rPr>
              <w:t>Our Goals</w:t>
            </w:r>
          </w:p>
        </w:tc>
        <w:tc>
          <w:tcPr>
            <w:tcW w:w="280" w:type="dxa"/>
            <w:vAlign w:val="bottom"/>
          </w:tcPr>
          <w:p>
            <w:pPr>
              <w:ind w:left="140"/>
              <w:spacing w:after="0"/>
              <w:rPr>
                <w:sz w:val="20"/>
                <w:szCs w:val="20"/>
                <w:color w:val="auto"/>
              </w:rPr>
            </w:pPr>
            <w:r>
              <w:rPr>
                <w:rFonts w:ascii="Arial" w:cs="Arial" w:eastAsia="Arial" w:hAnsi="Arial"/>
                <w:sz w:val="15"/>
                <w:szCs w:val="15"/>
                <w:color w:val="A26F2A"/>
              </w:rPr>
              <w:t>•</w:t>
            </w:r>
          </w:p>
        </w:tc>
        <w:tc>
          <w:tcPr>
            <w:tcW w:w="7720" w:type="dxa"/>
            <w:vAlign w:val="bottom"/>
          </w:tcPr>
          <w:p>
            <w:pPr>
              <w:ind w:left="100"/>
              <w:spacing w:after="0"/>
              <w:rPr>
                <w:sz w:val="20"/>
                <w:szCs w:val="20"/>
                <w:color w:val="auto"/>
              </w:rPr>
            </w:pPr>
            <w:r>
              <w:rPr>
                <w:rFonts w:ascii="Arial" w:cs="Arial" w:eastAsia="Arial" w:hAnsi="Arial"/>
                <w:sz w:val="15"/>
                <w:szCs w:val="15"/>
                <w:color w:val="auto"/>
              </w:rPr>
              <w:t>Our goals are to attract, retain, and motivate our executive team and our organization to deliver results against</w:t>
            </w:r>
          </w:p>
        </w:tc>
      </w:tr>
      <w:tr>
        <w:trPr>
          <w:trHeight w:val="177"/>
        </w:trPr>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20" w:type="dxa"/>
            <w:vAlign w:val="bottom"/>
          </w:tcPr>
          <w:p>
            <w:pPr>
              <w:ind w:left="100"/>
              <w:spacing w:after="0"/>
              <w:rPr>
                <w:sz w:val="20"/>
                <w:szCs w:val="20"/>
                <w:color w:val="auto"/>
              </w:rPr>
            </w:pPr>
            <w:r>
              <w:rPr>
                <w:rFonts w:ascii="Arial" w:cs="Arial" w:eastAsia="Arial" w:hAnsi="Arial"/>
                <w:sz w:val="15"/>
                <w:szCs w:val="15"/>
                <w:color w:val="auto"/>
              </w:rPr>
              <w:t>our short-term and long-term objectives in a principled way, with prudent risk-taking, and alignment with our</w:t>
            </w:r>
          </w:p>
        </w:tc>
      </w:tr>
      <w:tr>
        <w:trPr>
          <w:trHeight w:val="207"/>
        </w:trPr>
        <w:tc>
          <w:tcPr>
            <w:tcW w:w="3240" w:type="dxa"/>
            <w:vAlign w:val="bottom"/>
            <w:tcBorders>
              <w:bottom w:val="single" w:sz="8" w:color="A8A9AC"/>
            </w:tcBorders>
          </w:tcPr>
          <w:p>
            <w:pPr>
              <w:spacing w:after="0"/>
              <w:rPr>
                <w:sz w:val="17"/>
                <w:szCs w:val="17"/>
                <w:color w:val="auto"/>
              </w:rPr>
            </w:pPr>
          </w:p>
        </w:tc>
        <w:tc>
          <w:tcPr>
            <w:tcW w:w="280" w:type="dxa"/>
            <w:vAlign w:val="bottom"/>
            <w:tcBorders>
              <w:bottom w:val="single" w:sz="8" w:color="A8A9AC"/>
            </w:tcBorders>
          </w:tcPr>
          <w:p>
            <w:pPr>
              <w:spacing w:after="0"/>
              <w:rPr>
                <w:sz w:val="17"/>
                <w:szCs w:val="17"/>
                <w:color w:val="auto"/>
              </w:rPr>
            </w:pPr>
          </w:p>
        </w:tc>
        <w:tc>
          <w:tcPr>
            <w:tcW w:w="7720" w:type="dxa"/>
            <w:vAlign w:val="bottom"/>
            <w:tcBorders>
              <w:bottom w:val="single" w:sz="8" w:color="A8A9AC"/>
            </w:tcBorders>
          </w:tcPr>
          <w:p>
            <w:pPr>
              <w:ind w:left="100"/>
              <w:spacing w:after="0"/>
              <w:rPr>
                <w:sz w:val="20"/>
                <w:szCs w:val="20"/>
                <w:color w:val="auto"/>
              </w:rPr>
            </w:pPr>
            <w:r>
              <w:rPr>
                <w:rFonts w:ascii="Arial" w:cs="Arial" w:eastAsia="Arial" w:hAnsi="Arial"/>
                <w:sz w:val="15"/>
                <w:szCs w:val="15"/>
                <w:color w:val="auto"/>
              </w:rPr>
              <w:t>stockholders.</w:t>
            </w:r>
          </w:p>
        </w:tc>
      </w:tr>
      <w:tr>
        <w:trPr>
          <w:trHeight w:val="190"/>
        </w:trPr>
        <w:tc>
          <w:tcPr>
            <w:tcW w:w="3240" w:type="dxa"/>
            <w:vAlign w:val="bottom"/>
          </w:tcPr>
          <w:p>
            <w:pPr>
              <w:ind w:left="60"/>
              <w:spacing w:after="0"/>
              <w:rPr>
                <w:sz w:val="20"/>
                <w:szCs w:val="20"/>
                <w:color w:val="auto"/>
              </w:rPr>
            </w:pPr>
            <w:r>
              <w:rPr>
                <w:rFonts w:ascii="Arial" w:cs="Arial" w:eastAsia="Arial" w:hAnsi="Arial"/>
                <w:sz w:val="15"/>
                <w:szCs w:val="15"/>
                <w:b w:val="1"/>
                <w:bCs w:val="1"/>
                <w:color w:val="auto"/>
              </w:rPr>
              <w:t>Pay for Performance</w:t>
            </w:r>
          </w:p>
        </w:tc>
        <w:tc>
          <w:tcPr>
            <w:tcW w:w="280" w:type="dxa"/>
            <w:vAlign w:val="bottom"/>
          </w:tcPr>
          <w:p>
            <w:pPr>
              <w:ind w:left="140"/>
              <w:spacing w:after="0"/>
              <w:rPr>
                <w:sz w:val="20"/>
                <w:szCs w:val="20"/>
                <w:color w:val="auto"/>
              </w:rPr>
            </w:pPr>
            <w:r>
              <w:rPr>
                <w:rFonts w:ascii="Arial" w:cs="Arial" w:eastAsia="Arial" w:hAnsi="Arial"/>
                <w:sz w:val="15"/>
                <w:szCs w:val="15"/>
                <w:color w:val="A26F2A"/>
              </w:rPr>
              <w:t>•</w:t>
            </w:r>
          </w:p>
        </w:tc>
        <w:tc>
          <w:tcPr>
            <w:tcW w:w="7720" w:type="dxa"/>
            <w:vAlign w:val="bottom"/>
          </w:tcPr>
          <w:p>
            <w:pPr>
              <w:ind w:left="100"/>
              <w:spacing w:after="0"/>
              <w:rPr>
                <w:sz w:val="20"/>
                <w:szCs w:val="20"/>
                <w:color w:val="auto"/>
              </w:rPr>
            </w:pPr>
            <w:r>
              <w:rPr>
                <w:rFonts w:ascii="Arial" w:cs="Arial" w:eastAsia="Arial" w:hAnsi="Arial"/>
                <w:sz w:val="15"/>
                <w:szCs w:val="15"/>
                <w:color w:val="auto"/>
              </w:rPr>
              <w:t>A majority of total compensation to our executive officers is at-risk, performance-based compensation, including</w:t>
            </w:r>
          </w:p>
        </w:tc>
      </w:tr>
      <w:tr>
        <w:trPr>
          <w:trHeight w:val="199"/>
        </w:trPr>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20" w:type="dxa"/>
            <w:vAlign w:val="bottom"/>
          </w:tcPr>
          <w:p>
            <w:pPr>
              <w:ind w:left="100"/>
              <w:spacing w:after="0"/>
              <w:rPr>
                <w:sz w:val="20"/>
                <w:szCs w:val="20"/>
                <w:color w:val="auto"/>
              </w:rPr>
            </w:pPr>
            <w:r>
              <w:rPr>
                <w:rFonts w:ascii="Arial" w:cs="Arial" w:eastAsia="Arial" w:hAnsi="Arial"/>
                <w:sz w:val="15"/>
                <w:szCs w:val="15"/>
                <w:color w:val="auto"/>
              </w:rPr>
              <w:t>both long-term performance-based equity awards and short-term performance-based cash incentive awards.</w:t>
            </w:r>
          </w:p>
        </w:tc>
      </w:tr>
      <w:tr>
        <w:trPr>
          <w:trHeight w:val="180"/>
        </w:trPr>
        <w:tc>
          <w:tcPr>
            <w:tcW w:w="3240" w:type="dxa"/>
            <w:vAlign w:val="bottom"/>
          </w:tcPr>
          <w:p>
            <w:pPr>
              <w:spacing w:after="0"/>
              <w:rPr>
                <w:sz w:val="15"/>
                <w:szCs w:val="15"/>
                <w:color w:val="auto"/>
              </w:rPr>
            </w:pPr>
          </w:p>
        </w:tc>
        <w:tc>
          <w:tcPr>
            <w:tcW w:w="8000" w:type="dxa"/>
            <w:vAlign w:val="bottom"/>
            <w:gridSpan w:val="2"/>
          </w:tcPr>
          <w:p>
            <w:pPr>
              <w:ind w:left="14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Our long-term equity awards include performance-based awards based on relative TSR, as modified by an</w:t>
            </w:r>
          </w:p>
        </w:tc>
      </w:tr>
      <w:tr>
        <w:trPr>
          <w:trHeight w:val="177"/>
        </w:trPr>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20" w:type="dxa"/>
            <w:vAlign w:val="bottom"/>
          </w:tcPr>
          <w:p>
            <w:pPr>
              <w:ind w:left="100"/>
              <w:spacing w:after="0"/>
              <w:rPr>
                <w:sz w:val="20"/>
                <w:szCs w:val="20"/>
                <w:color w:val="auto"/>
              </w:rPr>
            </w:pPr>
            <w:r>
              <w:rPr>
                <w:rFonts w:ascii="Arial" w:cs="Arial" w:eastAsia="Arial" w:hAnsi="Arial"/>
                <w:sz w:val="15"/>
                <w:szCs w:val="15"/>
                <w:color w:val="auto"/>
              </w:rPr>
              <w:t>absolute TSR modifier. For awards made in 2025, the Company’s TSR performance peer group included the</w:t>
            </w:r>
          </w:p>
        </w:tc>
      </w:tr>
      <w:tr>
        <w:trPr>
          <w:trHeight w:val="177"/>
        </w:trPr>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20" w:type="dxa"/>
            <w:vAlign w:val="bottom"/>
          </w:tcPr>
          <w:p>
            <w:pPr>
              <w:ind w:left="100"/>
              <w:spacing w:after="0"/>
              <w:rPr>
                <w:sz w:val="20"/>
                <w:szCs w:val="20"/>
                <w:color w:val="auto"/>
              </w:rPr>
            </w:pPr>
            <w:r>
              <w:rPr>
                <w:rFonts w:ascii="Arial" w:cs="Arial" w:eastAsia="Arial" w:hAnsi="Arial"/>
                <w:sz w:val="15"/>
                <w:szCs w:val="15"/>
                <w:color w:val="auto"/>
              </w:rPr>
              <w:t>S&amp;P 500 and XOP Index (weighted twice) to account for performance against the broader market and industry (in</w:t>
            </w:r>
          </w:p>
        </w:tc>
      </w:tr>
      <w:tr>
        <w:trPr>
          <w:trHeight w:val="199"/>
        </w:trPr>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20" w:type="dxa"/>
            <w:vAlign w:val="bottom"/>
          </w:tcPr>
          <w:p>
            <w:pPr>
              <w:ind w:left="100"/>
              <w:spacing w:after="0"/>
              <w:rPr>
                <w:sz w:val="20"/>
                <w:szCs w:val="20"/>
                <w:color w:val="auto"/>
              </w:rPr>
            </w:pPr>
            <w:r>
              <w:rPr>
                <w:rFonts w:ascii="Arial" w:cs="Arial" w:eastAsia="Arial" w:hAnsi="Arial"/>
                <w:sz w:val="15"/>
                <w:szCs w:val="15"/>
                <w:color w:val="auto"/>
              </w:rPr>
              <w:t>addition to a limited set of similarly situated upstream oil and gas companies).</w:t>
            </w:r>
          </w:p>
        </w:tc>
      </w:tr>
      <w:tr>
        <w:trPr>
          <w:trHeight w:val="180"/>
        </w:trPr>
        <w:tc>
          <w:tcPr>
            <w:tcW w:w="3240" w:type="dxa"/>
            <w:vAlign w:val="bottom"/>
          </w:tcPr>
          <w:p>
            <w:pPr>
              <w:spacing w:after="0"/>
              <w:rPr>
                <w:sz w:val="15"/>
                <w:szCs w:val="15"/>
                <w:color w:val="auto"/>
              </w:rPr>
            </w:pPr>
          </w:p>
        </w:tc>
        <w:tc>
          <w:tcPr>
            <w:tcW w:w="8000" w:type="dxa"/>
            <w:vAlign w:val="bottom"/>
            <w:gridSpan w:val="2"/>
          </w:tcPr>
          <w:p>
            <w:pPr>
              <w:ind w:left="14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Annual cash incentive awards are based on rigorous operational, financial and environmental and safety</w:t>
            </w:r>
          </w:p>
        </w:tc>
      </w:tr>
      <w:tr>
        <w:trPr>
          <w:trHeight w:val="199"/>
        </w:trPr>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20" w:type="dxa"/>
            <w:vAlign w:val="bottom"/>
          </w:tcPr>
          <w:p>
            <w:pPr>
              <w:ind w:left="100"/>
              <w:spacing w:after="0"/>
              <w:rPr>
                <w:sz w:val="20"/>
                <w:szCs w:val="20"/>
                <w:color w:val="auto"/>
              </w:rPr>
            </w:pPr>
            <w:r>
              <w:rPr>
                <w:rFonts w:ascii="Arial" w:cs="Arial" w:eastAsia="Arial" w:hAnsi="Arial"/>
                <w:sz w:val="15"/>
                <w:szCs w:val="15"/>
                <w:color w:val="auto"/>
              </w:rPr>
              <w:t>performance metrics that align with our strategic priorities and are entirely quantitative.</w:t>
            </w:r>
          </w:p>
        </w:tc>
      </w:tr>
      <w:tr>
        <w:trPr>
          <w:trHeight w:val="180"/>
        </w:trPr>
        <w:tc>
          <w:tcPr>
            <w:tcW w:w="3240" w:type="dxa"/>
            <w:vAlign w:val="bottom"/>
          </w:tcPr>
          <w:p>
            <w:pPr>
              <w:spacing w:after="0"/>
              <w:rPr>
                <w:sz w:val="15"/>
                <w:szCs w:val="15"/>
                <w:color w:val="auto"/>
              </w:rPr>
            </w:pPr>
          </w:p>
        </w:tc>
        <w:tc>
          <w:tcPr>
            <w:tcW w:w="280" w:type="dxa"/>
            <w:vAlign w:val="bottom"/>
          </w:tcPr>
          <w:p>
            <w:pPr>
              <w:ind w:left="140"/>
              <w:spacing w:after="0"/>
              <w:rPr>
                <w:sz w:val="20"/>
                <w:szCs w:val="20"/>
                <w:color w:val="auto"/>
              </w:rPr>
            </w:pPr>
            <w:r>
              <w:rPr>
                <w:rFonts w:ascii="Arial" w:cs="Arial" w:eastAsia="Arial" w:hAnsi="Arial"/>
                <w:sz w:val="15"/>
                <w:szCs w:val="15"/>
                <w:color w:val="A26F2A"/>
              </w:rPr>
              <w:t>•</w:t>
            </w:r>
          </w:p>
        </w:tc>
        <w:tc>
          <w:tcPr>
            <w:tcW w:w="7720" w:type="dxa"/>
            <w:vAlign w:val="bottom"/>
          </w:tcPr>
          <w:p>
            <w:pPr>
              <w:ind w:left="100"/>
              <w:spacing w:after="0"/>
              <w:rPr>
                <w:sz w:val="20"/>
                <w:szCs w:val="20"/>
                <w:color w:val="auto"/>
              </w:rPr>
            </w:pPr>
            <w:r>
              <w:rPr>
                <w:rFonts w:ascii="Arial" w:cs="Arial" w:eastAsia="Arial" w:hAnsi="Arial"/>
                <w:sz w:val="15"/>
                <w:szCs w:val="15"/>
                <w:color w:val="auto"/>
              </w:rPr>
              <w:t>Our  compensation  structure  motivates  executives  and  our  employees  to  deliver  outstanding  financial</w:t>
            </w:r>
          </w:p>
        </w:tc>
      </w:tr>
      <w:tr>
        <w:trPr>
          <w:trHeight w:val="177"/>
        </w:trPr>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20" w:type="dxa"/>
            <w:vAlign w:val="bottom"/>
          </w:tcPr>
          <w:p>
            <w:pPr>
              <w:ind w:left="100"/>
              <w:spacing w:after="0"/>
              <w:rPr>
                <w:sz w:val="20"/>
                <w:szCs w:val="20"/>
                <w:color w:val="auto"/>
              </w:rPr>
            </w:pPr>
            <w:r>
              <w:rPr>
                <w:rFonts w:ascii="Arial" w:cs="Arial" w:eastAsia="Arial" w:hAnsi="Arial"/>
                <w:sz w:val="15"/>
                <w:szCs w:val="15"/>
                <w:color w:val="auto"/>
              </w:rPr>
              <w:t>performance and meet or exceed general and specific business, operational and individual objectives, and</w:t>
            </w:r>
          </w:p>
        </w:tc>
      </w:tr>
      <w:tr>
        <w:trPr>
          <w:trHeight w:val="207"/>
        </w:trPr>
        <w:tc>
          <w:tcPr>
            <w:tcW w:w="3240" w:type="dxa"/>
            <w:vAlign w:val="bottom"/>
            <w:tcBorders>
              <w:bottom w:val="single" w:sz="8" w:color="A8A9AC"/>
            </w:tcBorders>
          </w:tcPr>
          <w:p>
            <w:pPr>
              <w:spacing w:after="0"/>
              <w:rPr>
                <w:sz w:val="17"/>
                <w:szCs w:val="17"/>
                <w:color w:val="auto"/>
              </w:rPr>
            </w:pPr>
          </w:p>
        </w:tc>
        <w:tc>
          <w:tcPr>
            <w:tcW w:w="280" w:type="dxa"/>
            <w:vAlign w:val="bottom"/>
            <w:tcBorders>
              <w:bottom w:val="single" w:sz="8" w:color="A8A9AC"/>
            </w:tcBorders>
          </w:tcPr>
          <w:p>
            <w:pPr>
              <w:spacing w:after="0"/>
              <w:rPr>
                <w:sz w:val="17"/>
                <w:szCs w:val="17"/>
                <w:color w:val="auto"/>
              </w:rPr>
            </w:pPr>
          </w:p>
        </w:tc>
        <w:tc>
          <w:tcPr>
            <w:tcW w:w="7720" w:type="dxa"/>
            <w:vAlign w:val="bottom"/>
            <w:tcBorders>
              <w:bottom w:val="single" w:sz="8" w:color="A8A9AC"/>
            </w:tcBorders>
          </w:tcPr>
          <w:p>
            <w:pPr>
              <w:ind w:left="100"/>
              <w:spacing w:after="0"/>
              <w:rPr>
                <w:sz w:val="20"/>
                <w:szCs w:val="20"/>
                <w:color w:val="auto"/>
              </w:rPr>
            </w:pPr>
            <w:r>
              <w:rPr>
                <w:rFonts w:ascii="Arial" w:cs="Arial" w:eastAsia="Arial" w:hAnsi="Arial"/>
                <w:sz w:val="15"/>
                <w:szCs w:val="15"/>
                <w:color w:val="auto"/>
              </w:rPr>
              <w:t>progress towards our long-term strategic goals.</w:t>
            </w:r>
          </w:p>
        </w:tc>
      </w:tr>
      <w:tr>
        <w:trPr>
          <w:trHeight w:val="190"/>
        </w:trPr>
        <w:tc>
          <w:tcPr>
            <w:tcW w:w="3240" w:type="dxa"/>
            <w:vAlign w:val="bottom"/>
          </w:tcPr>
          <w:p>
            <w:pPr>
              <w:ind w:left="60"/>
              <w:spacing w:after="0"/>
              <w:rPr>
                <w:sz w:val="20"/>
                <w:szCs w:val="20"/>
                <w:color w:val="auto"/>
              </w:rPr>
            </w:pPr>
            <w:r>
              <w:rPr>
                <w:rFonts w:ascii="Arial" w:cs="Arial" w:eastAsia="Arial" w:hAnsi="Arial"/>
                <w:sz w:val="15"/>
                <w:szCs w:val="15"/>
                <w:b w:val="1"/>
                <w:bCs w:val="1"/>
                <w:color w:val="auto"/>
              </w:rPr>
              <w:t>Alignment with Stockholder Interests</w:t>
            </w:r>
          </w:p>
        </w:tc>
        <w:tc>
          <w:tcPr>
            <w:tcW w:w="280" w:type="dxa"/>
            <w:vAlign w:val="bottom"/>
          </w:tcPr>
          <w:p>
            <w:pPr>
              <w:ind w:left="140"/>
              <w:spacing w:after="0"/>
              <w:rPr>
                <w:sz w:val="20"/>
                <w:szCs w:val="20"/>
                <w:color w:val="auto"/>
              </w:rPr>
            </w:pPr>
            <w:r>
              <w:rPr>
                <w:rFonts w:ascii="Arial" w:cs="Arial" w:eastAsia="Arial" w:hAnsi="Arial"/>
                <w:sz w:val="15"/>
                <w:szCs w:val="15"/>
                <w:color w:val="A26F2A"/>
              </w:rPr>
              <w:t>•</w:t>
            </w:r>
          </w:p>
        </w:tc>
        <w:tc>
          <w:tcPr>
            <w:tcW w:w="7720" w:type="dxa"/>
            <w:vAlign w:val="bottom"/>
          </w:tcPr>
          <w:p>
            <w:pPr>
              <w:ind w:left="100"/>
              <w:spacing w:after="0"/>
              <w:rPr>
                <w:sz w:val="20"/>
                <w:szCs w:val="20"/>
                <w:color w:val="auto"/>
              </w:rPr>
            </w:pPr>
            <w:r>
              <w:rPr>
                <w:rFonts w:ascii="Arial" w:cs="Arial" w:eastAsia="Arial" w:hAnsi="Arial"/>
                <w:sz w:val="15"/>
                <w:szCs w:val="15"/>
                <w:color w:val="auto"/>
              </w:rPr>
              <w:t>We provide a majority of the total compensation to our executive officers in Company equity, thus ensuring</w:t>
            </w:r>
          </w:p>
        </w:tc>
      </w:tr>
      <w:tr>
        <w:trPr>
          <w:trHeight w:val="177"/>
        </w:trPr>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20" w:type="dxa"/>
            <w:vAlign w:val="bottom"/>
          </w:tcPr>
          <w:p>
            <w:pPr>
              <w:ind w:left="100"/>
              <w:spacing w:after="0"/>
              <w:rPr>
                <w:sz w:val="20"/>
                <w:szCs w:val="20"/>
                <w:color w:val="auto"/>
              </w:rPr>
            </w:pPr>
            <w:r>
              <w:rPr>
                <w:rFonts w:ascii="Arial" w:cs="Arial" w:eastAsia="Arial" w:hAnsi="Arial"/>
                <w:sz w:val="15"/>
                <w:szCs w:val="15"/>
                <w:color w:val="auto"/>
              </w:rPr>
              <w:t>alignment of interests between our executives and our stockholders, and driving alignment of goals, efforts, and</w:t>
            </w:r>
          </w:p>
        </w:tc>
      </w:tr>
      <w:tr>
        <w:trPr>
          <w:trHeight w:val="207"/>
        </w:trPr>
        <w:tc>
          <w:tcPr>
            <w:tcW w:w="3240" w:type="dxa"/>
            <w:vAlign w:val="bottom"/>
            <w:tcBorders>
              <w:bottom w:val="single" w:sz="8" w:color="A8A9AC"/>
            </w:tcBorders>
          </w:tcPr>
          <w:p>
            <w:pPr>
              <w:spacing w:after="0"/>
              <w:rPr>
                <w:sz w:val="17"/>
                <w:szCs w:val="17"/>
                <w:color w:val="auto"/>
              </w:rPr>
            </w:pPr>
          </w:p>
        </w:tc>
        <w:tc>
          <w:tcPr>
            <w:tcW w:w="280" w:type="dxa"/>
            <w:vAlign w:val="bottom"/>
            <w:tcBorders>
              <w:bottom w:val="single" w:sz="8" w:color="A8A9AC"/>
            </w:tcBorders>
          </w:tcPr>
          <w:p>
            <w:pPr>
              <w:spacing w:after="0"/>
              <w:rPr>
                <w:sz w:val="17"/>
                <w:szCs w:val="17"/>
                <w:color w:val="auto"/>
              </w:rPr>
            </w:pPr>
          </w:p>
        </w:tc>
        <w:tc>
          <w:tcPr>
            <w:tcW w:w="7720" w:type="dxa"/>
            <w:vAlign w:val="bottom"/>
            <w:tcBorders>
              <w:bottom w:val="single" w:sz="8" w:color="A8A9AC"/>
            </w:tcBorders>
          </w:tcPr>
          <w:p>
            <w:pPr>
              <w:ind w:left="100"/>
              <w:spacing w:after="0"/>
              <w:rPr>
                <w:sz w:val="20"/>
                <w:szCs w:val="20"/>
                <w:color w:val="auto"/>
              </w:rPr>
            </w:pPr>
            <w:r>
              <w:rPr>
                <w:rFonts w:ascii="Arial" w:cs="Arial" w:eastAsia="Arial" w:hAnsi="Arial"/>
                <w:sz w:val="15"/>
                <w:szCs w:val="15"/>
                <w:color w:val="auto"/>
              </w:rPr>
              <w:t>results throughout the organization.</w:t>
            </w:r>
          </w:p>
        </w:tc>
      </w:tr>
      <w:tr>
        <w:trPr>
          <w:trHeight w:val="190"/>
        </w:trPr>
        <w:tc>
          <w:tcPr>
            <w:tcW w:w="3240" w:type="dxa"/>
            <w:vAlign w:val="bottom"/>
          </w:tcPr>
          <w:p>
            <w:pPr>
              <w:ind w:left="60"/>
              <w:spacing w:after="0"/>
              <w:rPr>
                <w:sz w:val="20"/>
                <w:szCs w:val="20"/>
                <w:color w:val="auto"/>
              </w:rPr>
            </w:pPr>
            <w:r>
              <w:rPr>
                <w:rFonts w:ascii="Arial" w:cs="Arial" w:eastAsia="Arial" w:hAnsi="Arial"/>
                <w:sz w:val="15"/>
                <w:szCs w:val="15"/>
                <w:b w:val="1"/>
                <w:bCs w:val="1"/>
                <w:color w:val="auto"/>
              </w:rPr>
              <w:t>Market-Based Competitive Compensation</w:t>
            </w:r>
          </w:p>
        </w:tc>
        <w:tc>
          <w:tcPr>
            <w:tcW w:w="280" w:type="dxa"/>
            <w:vAlign w:val="bottom"/>
          </w:tcPr>
          <w:p>
            <w:pPr>
              <w:ind w:left="140"/>
              <w:spacing w:after="0"/>
              <w:rPr>
                <w:sz w:val="20"/>
                <w:szCs w:val="20"/>
                <w:color w:val="auto"/>
              </w:rPr>
            </w:pPr>
            <w:r>
              <w:rPr>
                <w:rFonts w:ascii="Arial" w:cs="Arial" w:eastAsia="Arial" w:hAnsi="Arial"/>
                <w:sz w:val="15"/>
                <w:szCs w:val="15"/>
                <w:color w:val="A26F2A"/>
              </w:rPr>
              <w:t>•</w:t>
            </w:r>
          </w:p>
        </w:tc>
        <w:tc>
          <w:tcPr>
            <w:tcW w:w="7720" w:type="dxa"/>
            <w:vAlign w:val="bottom"/>
          </w:tcPr>
          <w:p>
            <w:pPr>
              <w:ind w:left="100"/>
              <w:spacing w:after="0"/>
              <w:rPr>
                <w:sz w:val="20"/>
                <w:szCs w:val="20"/>
                <w:color w:val="auto"/>
              </w:rPr>
            </w:pPr>
            <w:r>
              <w:rPr>
                <w:rFonts w:ascii="Arial" w:cs="Arial" w:eastAsia="Arial" w:hAnsi="Arial"/>
                <w:sz w:val="15"/>
                <w:szCs w:val="15"/>
                <w:color w:val="auto"/>
              </w:rPr>
              <w:t>Our compensation programs are competitive, with compensation and incentive levels that are relevant to the</w:t>
            </w:r>
          </w:p>
        </w:tc>
      </w:tr>
      <w:tr>
        <w:trPr>
          <w:trHeight w:val="177"/>
        </w:trPr>
        <w:tc>
          <w:tcPr>
            <w:tcW w:w="3240" w:type="dxa"/>
            <w:vAlign w:val="bottom"/>
          </w:tcPr>
          <w:p>
            <w:pPr>
              <w:ind w:left="60"/>
              <w:spacing w:after="0"/>
              <w:rPr>
                <w:sz w:val="20"/>
                <w:szCs w:val="20"/>
                <w:color w:val="auto"/>
              </w:rPr>
            </w:pPr>
            <w:r>
              <w:rPr>
                <w:rFonts w:ascii="Arial" w:cs="Arial" w:eastAsia="Arial" w:hAnsi="Arial"/>
                <w:sz w:val="15"/>
                <w:szCs w:val="15"/>
                <w:b w:val="1"/>
                <w:bCs w:val="1"/>
                <w:color w:val="auto"/>
              </w:rPr>
              <w:t>that Attracts, Motivates and Retains Talent</w:t>
            </w:r>
          </w:p>
        </w:tc>
        <w:tc>
          <w:tcPr>
            <w:tcW w:w="280" w:type="dxa"/>
            <w:vAlign w:val="bottom"/>
          </w:tcPr>
          <w:p>
            <w:pPr>
              <w:spacing w:after="0"/>
              <w:rPr>
                <w:sz w:val="15"/>
                <w:szCs w:val="15"/>
                <w:color w:val="auto"/>
              </w:rPr>
            </w:pPr>
          </w:p>
        </w:tc>
        <w:tc>
          <w:tcPr>
            <w:tcW w:w="7720" w:type="dxa"/>
            <w:vAlign w:val="bottom"/>
          </w:tcPr>
          <w:p>
            <w:pPr>
              <w:ind w:left="100"/>
              <w:spacing w:after="0"/>
              <w:rPr>
                <w:sz w:val="20"/>
                <w:szCs w:val="20"/>
                <w:color w:val="auto"/>
              </w:rPr>
            </w:pPr>
            <w:r>
              <w:rPr>
                <w:rFonts w:ascii="Arial" w:cs="Arial" w:eastAsia="Arial" w:hAnsi="Arial"/>
                <w:sz w:val="15"/>
                <w:szCs w:val="15"/>
                <w:color w:val="auto"/>
              </w:rPr>
              <w:t>market and our industry, which enhances our ability to attract, motivate and retain knowledgeable and</w:t>
            </w:r>
          </w:p>
        </w:tc>
      </w:tr>
      <w:tr>
        <w:trPr>
          <w:trHeight w:val="177"/>
        </w:trPr>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20" w:type="dxa"/>
            <w:vAlign w:val="bottom"/>
          </w:tcPr>
          <w:p>
            <w:pPr>
              <w:ind w:left="100"/>
              <w:spacing w:after="0"/>
              <w:rPr>
                <w:sz w:val="20"/>
                <w:szCs w:val="20"/>
                <w:color w:val="auto"/>
              </w:rPr>
            </w:pPr>
            <w:r>
              <w:rPr>
                <w:rFonts w:ascii="Arial" w:cs="Arial" w:eastAsia="Arial" w:hAnsi="Arial"/>
                <w:sz w:val="15"/>
                <w:szCs w:val="15"/>
                <w:color w:val="auto"/>
              </w:rPr>
              <w:t>experienced senior management talent necessary to manage our complex organization and responsibly deliver</w:t>
            </w:r>
          </w:p>
        </w:tc>
      </w:tr>
      <w:tr>
        <w:trPr>
          <w:trHeight w:val="207"/>
        </w:trPr>
        <w:tc>
          <w:tcPr>
            <w:tcW w:w="3240" w:type="dxa"/>
            <w:vAlign w:val="bottom"/>
            <w:tcBorders>
              <w:bottom w:val="single" w:sz="8" w:color="A8A9AC"/>
            </w:tcBorders>
          </w:tcPr>
          <w:p>
            <w:pPr>
              <w:spacing w:after="0"/>
              <w:rPr>
                <w:sz w:val="17"/>
                <w:szCs w:val="17"/>
                <w:color w:val="auto"/>
              </w:rPr>
            </w:pPr>
          </w:p>
        </w:tc>
        <w:tc>
          <w:tcPr>
            <w:tcW w:w="280" w:type="dxa"/>
            <w:vAlign w:val="bottom"/>
            <w:tcBorders>
              <w:bottom w:val="single" w:sz="8" w:color="A8A9AC"/>
            </w:tcBorders>
          </w:tcPr>
          <w:p>
            <w:pPr>
              <w:spacing w:after="0"/>
              <w:rPr>
                <w:sz w:val="17"/>
                <w:szCs w:val="17"/>
                <w:color w:val="auto"/>
              </w:rPr>
            </w:pPr>
          </w:p>
        </w:tc>
        <w:tc>
          <w:tcPr>
            <w:tcW w:w="7720" w:type="dxa"/>
            <w:vAlign w:val="bottom"/>
            <w:tcBorders>
              <w:bottom w:val="single" w:sz="8" w:color="A8A9AC"/>
            </w:tcBorders>
          </w:tcPr>
          <w:p>
            <w:pPr>
              <w:ind w:left="100"/>
              <w:spacing w:after="0"/>
              <w:rPr>
                <w:sz w:val="20"/>
                <w:szCs w:val="20"/>
                <w:color w:val="auto"/>
              </w:rPr>
            </w:pPr>
            <w:r>
              <w:rPr>
                <w:rFonts w:ascii="Arial" w:cs="Arial" w:eastAsia="Arial" w:hAnsi="Arial"/>
                <w:sz w:val="15"/>
                <w:szCs w:val="15"/>
                <w:color w:val="auto"/>
              </w:rPr>
              <w:t>energy to the marketplace.</w:t>
            </w:r>
          </w:p>
        </w:tc>
      </w:tr>
      <w:tr>
        <w:trPr>
          <w:trHeight w:val="190"/>
        </w:trPr>
        <w:tc>
          <w:tcPr>
            <w:tcW w:w="3240" w:type="dxa"/>
            <w:vAlign w:val="bottom"/>
          </w:tcPr>
          <w:p>
            <w:pPr>
              <w:ind w:left="60"/>
              <w:spacing w:after="0"/>
              <w:rPr>
                <w:sz w:val="20"/>
                <w:szCs w:val="20"/>
                <w:color w:val="auto"/>
              </w:rPr>
            </w:pPr>
            <w:r>
              <w:rPr>
                <w:rFonts w:ascii="Arial" w:cs="Arial" w:eastAsia="Arial" w:hAnsi="Arial"/>
                <w:sz w:val="15"/>
                <w:szCs w:val="15"/>
                <w:b w:val="1"/>
                <w:bCs w:val="1"/>
                <w:color w:val="auto"/>
              </w:rPr>
              <w:t>Risk Management Principles</w:t>
            </w:r>
          </w:p>
        </w:tc>
        <w:tc>
          <w:tcPr>
            <w:tcW w:w="280" w:type="dxa"/>
            <w:vAlign w:val="bottom"/>
          </w:tcPr>
          <w:p>
            <w:pPr>
              <w:ind w:left="140"/>
              <w:spacing w:after="0"/>
              <w:rPr>
                <w:sz w:val="20"/>
                <w:szCs w:val="20"/>
                <w:color w:val="auto"/>
              </w:rPr>
            </w:pPr>
            <w:r>
              <w:rPr>
                <w:rFonts w:ascii="Arial" w:cs="Arial" w:eastAsia="Arial" w:hAnsi="Arial"/>
                <w:sz w:val="15"/>
                <w:szCs w:val="15"/>
                <w:color w:val="A26F2A"/>
              </w:rPr>
              <w:t>•</w:t>
            </w:r>
          </w:p>
        </w:tc>
        <w:tc>
          <w:tcPr>
            <w:tcW w:w="7720" w:type="dxa"/>
            <w:vAlign w:val="bottom"/>
          </w:tcPr>
          <w:p>
            <w:pPr>
              <w:ind w:left="100"/>
              <w:spacing w:after="0"/>
              <w:rPr>
                <w:sz w:val="20"/>
                <w:szCs w:val="20"/>
                <w:color w:val="auto"/>
              </w:rPr>
            </w:pPr>
            <w:r>
              <w:rPr>
                <w:rFonts w:ascii="Arial" w:cs="Arial" w:eastAsia="Arial" w:hAnsi="Arial"/>
                <w:sz w:val="15"/>
                <w:szCs w:val="15"/>
                <w:color w:val="auto"/>
              </w:rPr>
              <w:t>Our compensation committee consists entirely of independent directors who engage an external, independent</w:t>
            </w:r>
          </w:p>
        </w:tc>
      </w:tr>
      <w:tr>
        <w:trPr>
          <w:trHeight w:val="177"/>
        </w:trPr>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20" w:type="dxa"/>
            <w:vAlign w:val="bottom"/>
          </w:tcPr>
          <w:p>
            <w:pPr>
              <w:ind w:left="100"/>
              <w:spacing w:after="0"/>
              <w:rPr>
                <w:sz w:val="20"/>
                <w:szCs w:val="20"/>
                <w:color w:val="auto"/>
              </w:rPr>
            </w:pPr>
            <w:r>
              <w:rPr>
                <w:rFonts w:ascii="Arial" w:cs="Arial" w:eastAsia="Arial" w:hAnsi="Arial"/>
                <w:sz w:val="15"/>
                <w:szCs w:val="15"/>
                <w:color w:val="auto"/>
              </w:rPr>
              <w:t>compensation consultant to assist in constructing an executive compensation program that aligns with good</w:t>
            </w:r>
          </w:p>
        </w:tc>
      </w:tr>
      <w:tr>
        <w:trPr>
          <w:trHeight w:val="207"/>
        </w:trPr>
        <w:tc>
          <w:tcPr>
            <w:tcW w:w="3240" w:type="dxa"/>
            <w:vAlign w:val="bottom"/>
            <w:tcBorders>
              <w:bottom w:val="single" w:sz="8" w:color="A26F2A"/>
            </w:tcBorders>
          </w:tcPr>
          <w:p>
            <w:pPr>
              <w:spacing w:after="0"/>
              <w:rPr>
                <w:sz w:val="17"/>
                <w:szCs w:val="17"/>
                <w:color w:val="auto"/>
              </w:rPr>
            </w:pPr>
          </w:p>
        </w:tc>
        <w:tc>
          <w:tcPr>
            <w:tcW w:w="280" w:type="dxa"/>
            <w:vAlign w:val="bottom"/>
            <w:tcBorders>
              <w:bottom w:val="single" w:sz="8" w:color="A26F2A"/>
            </w:tcBorders>
          </w:tcPr>
          <w:p>
            <w:pPr>
              <w:spacing w:after="0"/>
              <w:rPr>
                <w:sz w:val="17"/>
                <w:szCs w:val="17"/>
                <w:color w:val="auto"/>
              </w:rPr>
            </w:pPr>
          </w:p>
        </w:tc>
        <w:tc>
          <w:tcPr>
            <w:tcW w:w="7720" w:type="dxa"/>
            <w:vAlign w:val="bottom"/>
            <w:tcBorders>
              <w:bottom w:val="single" w:sz="8" w:color="A26F2A"/>
            </w:tcBorders>
          </w:tcPr>
          <w:p>
            <w:pPr>
              <w:ind w:left="100"/>
              <w:spacing w:after="0"/>
              <w:rPr>
                <w:sz w:val="20"/>
                <w:szCs w:val="20"/>
                <w:color w:val="auto"/>
              </w:rPr>
            </w:pPr>
            <w:r>
              <w:rPr>
                <w:rFonts w:ascii="Arial" w:cs="Arial" w:eastAsia="Arial" w:hAnsi="Arial"/>
                <w:sz w:val="15"/>
                <w:szCs w:val="15"/>
                <w:color w:val="auto"/>
              </w:rPr>
              <w:t>governance practices and prevailing market trends.</w:t>
            </w:r>
          </w:p>
        </w:tc>
      </w:tr>
    </w:tbl>
    <w:p>
      <w:pPr>
        <w:spacing w:after="0" w:line="268"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The Role of the Compensation Committee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Our compensation committee oversees and approves our executive compensation program and establishes our overall compensation philosophy and strategy. The compensation committee, with the assistance of its external, independent compensation consultant, determines the mix of compensation, both among short-term and long-term components and cash and equity components, to establish compensation that it believes is appropriate for each of our NEOs. Representatives of the compensation committee may also participate in the Company’s stockholder engagement efforts to, among other things, solicit stockholder input on our executive compensation program and ensure ongoing stockholder support of our executive compensation programs. In making compensation decisions with respect to each element of compensation, the compensation committee considers numerous factors, including:</w:t>
      </w:r>
    </w:p>
    <w:p>
      <w:pPr>
        <w:spacing w:after="0" w:line="146" w:lineRule="exact"/>
        <w:rPr>
          <w:sz w:val="20"/>
          <w:szCs w:val="20"/>
          <w:color w:val="auto"/>
        </w:rPr>
      </w:pPr>
    </w:p>
    <w:p>
      <w:pPr>
        <w:ind w:left="160" w:hanging="159"/>
        <w:spacing w:after="0"/>
        <w:tabs>
          <w:tab w:leader="none" w:pos="160" w:val="left"/>
        </w:tabs>
        <w:numPr>
          <w:ilvl w:val="0"/>
          <w:numId w:val="68"/>
        </w:numPr>
        <w:rPr>
          <w:rFonts w:ascii="Arial" w:cs="Arial" w:eastAsia="Arial" w:hAnsi="Arial"/>
          <w:sz w:val="15"/>
          <w:szCs w:val="15"/>
          <w:color w:val="A26F2A"/>
        </w:rPr>
      </w:pPr>
      <w:r>
        <w:rPr>
          <w:rFonts w:ascii="Arial" w:cs="Arial" w:eastAsia="Arial" w:hAnsi="Arial"/>
          <w:sz w:val="15"/>
          <w:szCs w:val="15"/>
          <w:color w:val="auto"/>
        </w:rPr>
        <w:t>aligning the compensation of our executives with the performance of the Company on both a short-term and long-term basis;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68"/>
        </w:numPr>
        <w:rPr>
          <w:rFonts w:ascii="Arial" w:cs="Arial" w:eastAsia="Arial" w:hAnsi="Arial"/>
          <w:sz w:val="15"/>
          <w:szCs w:val="15"/>
          <w:color w:val="A26F2A"/>
        </w:rPr>
      </w:pPr>
      <w:r>
        <w:rPr>
          <w:rFonts w:ascii="Arial" w:cs="Arial" w:eastAsia="Arial" w:hAnsi="Arial"/>
          <w:sz w:val="15"/>
          <w:szCs w:val="15"/>
          <w:color w:val="auto"/>
        </w:rPr>
        <w:t>achievement of individual and Company performance goals and other expectations relating to the executive’s position;</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68"/>
        </w:numPr>
        <w:rPr>
          <w:rFonts w:ascii="Arial" w:cs="Arial" w:eastAsia="Arial" w:hAnsi="Arial"/>
          <w:sz w:val="15"/>
          <w:szCs w:val="15"/>
          <w:color w:val="A26F2A"/>
        </w:rPr>
      </w:pPr>
      <w:r>
        <w:rPr>
          <w:rFonts w:ascii="Arial" w:cs="Arial" w:eastAsia="Arial" w:hAnsi="Arial"/>
          <w:sz w:val="15"/>
          <w:szCs w:val="15"/>
          <w:color w:val="auto"/>
        </w:rPr>
        <w:t>a comparison of the individual to other executives within the Company with similar levels of expertise and experience;</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68"/>
        </w:numPr>
        <w:rPr>
          <w:rFonts w:ascii="Arial" w:cs="Arial" w:eastAsia="Arial" w:hAnsi="Arial"/>
          <w:sz w:val="15"/>
          <w:szCs w:val="15"/>
          <w:color w:val="A26F2A"/>
        </w:rPr>
      </w:pPr>
      <w:r>
        <w:rPr>
          <w:rFonts w:ascii="Arial" w:cs="Arial" w:eastAsia="Arial" w:hAnsi="Arial"/>
          <w:sz w:val="15"/>
          <w:szCs w:val="15"/>
          <w:color w:val="auto"/>
        </w:rPr>
        <w:t>the individual’s role with us and the compensation paid to similar executives at comparable companies;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68"/>
        </w:numPr>
        <w:rPr>
          <w:rFonts w:ascii="Arial" w:cs="Arial" w:eastAsia="Arial" w:hAnsi="Arial"/>
          <w:sz w:val="15"/>
          <w:szCs w:val="15"/>
          <w:color w:val="A26F2A"/>
        </w:rPr>
      </w:pPr>
      <w:r>
        <w:rPr>
          <w:rFonts w:ascii="Arial" w:cs="Arial" w:eastAsia="Arial" w:hAnsi="Arial"/>
          <w:sz w:val="15"/>
          <w:szCs w:val="15"/>
          <w:color w:val="auto"/>
        </w:rPr>
        <w:t>the individual’s particular background and circumstances, including training and prior relevant work experience and unique industry skills;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68"/>
        </w:numPr>
        <w:rPr>
          <w:rFonts w:ascii="Arial" w:cs="Arial" w:eastAsia="Arial" w:hAnsi="Arial"/>
          <w:sz w:val="15"/>
          <w:szCs w:val="15"/>
          <w:color w:val="A26F2A"/>
        </w:rPr>
      </w:pPr>
      <w:r>
        <w:rPr>
          <w:rFonts w:ascii="Arial" w:cs="Arial" w:eastAsia="Arial" w:hAnsi="Arial"/>
          <w:sz w:val="15"/>
          <w:szCs w:val="15"/>
          <w:color w:val="auto"/>
        </w:rPr>
        <w:t>the demand for the individual’s specific expertise and experience;</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68"/>
        </w:numPr>
        <w:rPr>
          <w:rFonts w:ascii="Arial" w:cs="Arial" w:eastAsia="Arial" w:hAnsi="Arial"/>
          <w:sz w:val="15"/>
          <w:szCs w:val="15"/>
          <w:color w:val="A26F2A"/>
        </w:rPr>
      </w:pPr>
      <w:r>
        <w:rPr>
          <w:rFonts w:ascii="Arial" w:cs="Arial" w:eastAsia="Arial" w:hAnsi="Arial"/>
          <w:sz w:val="15"/>
          <w:szCs w:val="15"/>
          <w:color w:val="auto"/>
        </w:rPr>
        <w:t>succession planning and retention considerations; and</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68"/>
        </w:numPr>
        <w:rPr>
          <w:rFonts w:ascii="Arial" w:cs="Arial" w:eastAsia="Arial" w:hAnsi="Arial"/>
          <w:sz w:val="15"/>
          <w:szCs w:val="15"/>
          <w:color w:val="A26F2A"/>
        </w:rPr>
      </w:pPr>
      <w:r>
        <w:rPr>
          <w:rFonts w:ascii="Arial" w:cs="Arial" w:eastAsia="Arial" w:hAnsi="Arial"/>
          <w:sz w:val="15"/>
          <w:szCs w:val="15"/>
          <w:color w:val="auto"/>
        </w:rPr>
        <w:t>recommendations from Messrs. Stice and Van’t Hof (but not with respect to their own compensation).</w:t>
      </w:r>
    </w:p>
    <w:p>
      <w:pPr>
        <w:spacing w:after="0" w:line="181"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compensation committee seeks to design a total compensation package for our NEOs that drives performance, rewards contributions in support of our business strategies and attracts, motivates and retains high quality talent with the skills and competencies our industry requires. The compensation committee seeks to balance these goals by designing our compensation policies and programs to encourage and reward prudent business judgment over the long-term by offering both time-based and performance-based long-term incentive (LTI) awards, setting meaningful performance criteria and targets for incentive compensation, and offering competitive base salaries. The compensation committee believes that this combination promotes performance and retention while also mitigating the risk of executives and management-level employees engaging in excessive risk-taking.</w:t>
      </w:r>
    </w:p>
    <w:p>
      <w:pPr>
        <w:spacing w:after="0" w:line="249"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The Role of Management</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In 2025, Messrs. Stice and Van’t Hof evaluated executive and Company performance for the prior year and made recommendations to the compensation committee regarding the annual base salaries, annual incentive compensation plan target award percentages and LTI awards under the Equity Incentive Plan for the executive officers, including the NEOs (other than with respect to their own compensation). Mr. Stice also made recommendations to the compensation committee regarding the annual base salary, annual incentive compensation plan target award percentage and LTI award under the Equity Incentive Plan for Mr. Van’t Hof. The Company’s Human Resources and Legal departments also assist the compensation committee and its independent compensation consultant in gathering the information needed for their respective reviews of the Company’s executive compensation program. While the compensation committee considers Messrs. Stice and Van’t Hof’s evaluation of the other executive officers and their recommendations as to compensation for the other executive officers, the compensation committee ultimately determines the compensation of each executive officer, including each NEO. No member of the management team has a role in determining his or her own compensation.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compensation committee evaluates Mr. Van’t Hof’s performance and compensation based on his leadership role, his individual performance and the Company’s performance measured against the metrics described in this compensation discussion and analysis, and his total compensation package is ultimately determined by the compensation committee.</w:t>
      </w: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The Role of the Compensation Consultant</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compensation committee annually retains, at the Company’s expense, an external, independent compensation consultant to assist with executive and non-employee director compensation matters. The compensation committee retained Meridian as its independent compensation consultant in connection with its evaluation of executive compensation for 2025.</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compensation committee reviewed the independence of Meridian during the applicable engagement period and determined that there were no conflicts of interest as a result of the compensation committee’s engagement of such consultant. The compensation committee continues to evaluate the independence of its compensation consultant on an ongoing basis. Meridian did not provide any services to the Company during 2025 other than related to executive and director compensation.</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compensation committee has sole authority to hire and terminate its independent compensation consultant, and the independent compensation consultant reports only to the compensation committee. From time to time, Meridian contacts the Company’s executive officers for information necessary to fulfill its assignment and prepares reports for and on behalf of the compensation committee that certain executive officers also receive.</w:t>
      </w:r>
    </w:p>
    <w:p>
      <w:pPr>
        <w:spacing w:after="0" w:line="333"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COMPETITIVE BENCHMARKING</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Role of Benchmarking in Determining Executive Compensation for 2025</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In general, the compensation committee uses competitive market compensation data provided by Meridian, information gathered from Meridian’s proprietary E&amp;P Compensation Survey, public filings of peer companies, supplemental general industry reference data for cross-industry roles and discussions with Messrs. Stice and Van’t Hof to inform its decisions about overall compensation opportunities and specific compensation elements. The compensation committee considers these compensation elements and total compensation benchmarks of peer companies and the broader U.S. market. Next, the compensation committee applies judgment and discretion in establishing targeted pay levels, taking into account not only competitive market data, but also factors such as Company and individual performance, scope of responsibility, critical needs, skill sets, leadership potential, and succession planning.</w:t>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Further, in considering changes to the 2025 executive compensation packages, the compensation committee evaluated, among other things, aspects of executive compensation in general, market data and competitive analysis provided by Meridian, the Company’s 2025 and multi-year performance and growth, our executives’ individual contributions to such performance and growth, compensation alignment with future performance and stockholder value creation, performance-qualified equity awards, retention considerations, market alternatives for our executives, input obtained from our stockholder outreach efforts and the recommendations of Messrs. Stice and Van’t Hof (other than with respect to their own compensation).</w:t>
      </w:r>
    </w:p>
    <w:p>
      <w:pPr>
        <w:spacing w:after="0" w:line="247"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Our 2025 Benchmarking Compensation Peer Group</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In structuring our compensation policies and programs, the compensation committee considers the compensation practices of peer companies consisting of independent oil and gas E&amp;P companies and may also review compensation data from the oil and natural gas industry, any relevant compensation surveys and guidance from the compensation consultant. The compensation committee considers and may make changes to the companies included in our compensation peer group, primarily based on industry segment, and measures of size such as enterprise value, market capitalization and assets, after discussing such considerations with management and Meridian. The compensation committee worked closely with Meridian to construct a sufficiently sized peer group that accounted for the Company’s recent growth, including its recent acquisition of Endeavor, and the significant industry M&amp;A activity in 2023 and 2024. In doing so, the compensation committee elected to expand the Company’s peer group to include similarly sized companies from other sectors within the oil and gas industry and remove peers that were acquired or whose relative size no longer sufficiently aligned with the Company.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its review of the compensation peer group for 2025, the compensation committee considered pertinent financial measures for each company as provided by Meridian, including enterprise value and market capitalization as of November 7, 2024, and assets as of the quarter ended September 30, 2024, as shown (in millions)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60" w:type="dxa"/>
            <w:vAlign w:val="bottom"/>
            <w:tcBorders>
              <w:bottom w:val="single" w:sz="8" w:color="A26F2A"/>
            </w:tcBorders>
          </w:tcPr>
          <w:p>
            <w:pPr>
              <w:spacing w:after="0"/>
              <w:rPr>
                <w:sz w:val="16"/>
                <w:szCs w:val="16"/>
                <w:color w:val="auto"/>
              </w:rPr>
            </w:pPr>
          </w:p>
        </w:tc>
        <w:tc>
          <w:tcPr>
            <w:tcW w:w="3680" w:type="dxa"/>
            <w:vAlign w:val="bottom"/>
            <w:tcBorders>
              <w:bottom w:val="single" w:sz="8" w:color="A26F2A"/>
            </w:tcBorders>
            <w:gridSpan w:val="2"/>
          </w:tcPr>
          <w:p>
            <w:pPr>
              <w:ind w:left="2280"/>
              <w:spacing w:after="0"/>
              <w:rPr>
                <w:sz w:val="20"/>
                <w:szCs w:val="20"/>
                <w:color w:val="auto"/>
              </w:rPr>
            </w:pPr>
            <w:r>
              <w:rPr>
                <w:rFonts w:ascii="Arial" w:cs="Arial" w:eastAsia="Arial" w:hAnsi="Arial"/>
                <w:sz w:val="15"/>
                <w:szCs w:val="15"/>
                <w:b w:val="1"/>
                <w:bCs w:val="1"/>
                <w:color w:val="auto"/>
              </w:rPr>
              <w:t>Enterprise Value</w:t>
            </w:r>
          </w:p>
        </w:tc>
        <w:tc>
          <w:tcPr>
            <w:tcW w:w="1920" w:type="dxa"/>
            <w:vAlign w:val="bottom"/>
            <w:tcBorders>
              <w:bottom w:val="single" w:sz="8" w:color="A26F2A"/>
            </w:tcBorders>
            <w:gridSpan w:val="2"/>
          </w:tcPr>
          <w:p>
            <w:pPr>
              <w:ind w:left="200"/>
              <w:spacing w:after="0"/>
              <w:rPr>
                <w:sz w:val="20"/>
                <w:szCs w:val="20"/>
                <w:color w:val="auto"/>
              </w:rPr>
            </w:pPr>
            <w:r>
              <w:rPr>
                <w:rFonts w:ascii="Arial" w:cs="Arial" w:eastAsia="Arial" w:hAnsi="Arial"/>
                <w:sz w:val="15"/>
                <w:szCs w:val="15"/>
                <w:b w:val="1"/>
                <w:bCs w:val="1"/>
                <w:color w:val="auto"/>
              </w:rPr>
              <w:t>Market Capitalization</w:t>
            </w:r>
          </w:p>
        </w:tc>
        <w:tc>
          <w:tcPr>
            <w:tcW w:w="500" w:type="dxa"/>
            <w:vAlign w:val="bottom"/>
            <w:tcBorders>
              <w:bottom w:val="single" w:sz="8" w:color="A26F2A"/>
            </w:tcBorders>
          </w:tcPr>
          <w:p>
            <w:pPr>
              <w:spacing w:after="0"/>
              <w:rPr>
                <w:sz w:val="16"/>
                <w:szCs w:val="16"/>
                <w:color w:val="auto"/>
              </w:rPr>
            </w:pPr>
          </w:p>
        </w:tc>
        <w:tc>
          <w:tcPr>
            <w:tcW w:w="880" w:type="dxa"/>
            <w:vAlign w:val="bottom"/>
            <w:tcBorders>
              <w:bottom w:val="single" w:sz="8" w:color="A26F2A"/>
            </w:tcBorders>
          </w:tcPr>
          <w:p>
            <w:pPr>
              <w:jc w:val="right"/>
              <w:ind w:right="124"/>
              <w:spacing w:after="0"/>
              <w:rPr>
                <w:sz w:val="20"/>
                <w:szCs w:val="20"/>
                <w:color w:val="auto"/>
              </w:rPr>
            </w:pPr>
            <w:r>
              <w:rPr>
                <w:rFonts w:ascii="Arial" w:cs="Arial" w:eastAsia="Arial" w:hAnsi="Arial"/>
                <w:sz w:val="15"/>
                <w:szCs w:val="15"/>
                <w:b w:val="1"/>
                <w:bCs w:val="1"/>
                <w:color w:val="auto"/>
              </w:rPr>
              <w:t>Assets</w:t>
            </w:r>
          </w:p>
        </w:tc>
      </w:tr>
      <w:tr>
        <w:trPr>
          <w:trHeight w:val="215"/>
        </w:trPr>
        <w:tc>
          <w:tcPr>
            <w:tcW w:w="4260" w:type="dxa"/>
            <w:vAlign w:val="bottom"/>
            <w:tcBorders>
              <w:bottom w:val="single" w:sz="8" w:color="A8A9AC"/>
            </w:tcBorders>
          </w:tcPr>
          <w:p>
            <w:pPr>
              <w:ind w:left="60"/>
              <w:spacing w:after="0" w:line="214" w:lineRule="exact"/>
              <w:rPr>
                <w:sz w:val="20"/>
                <w:szCs w:val="20"/>
                <w:color w:val="auto"/>
              </w:rPr>
            </w:pPr>
            <w:r>
              <w:rPr>
                <w:rFonts w:ascii="Arial" w:cs="Arial" w:eastAsia="Arial" w:hAnsi="Arial"/>
                <w:sz w:val="15"/>
                <w:szCs w:val="15"/>
                <w:b w:val="1"/>
                <w:bCs w:val="1"/>
                <w:color w:val="auto"/>
              </w:rPr>
              <w:t>Peer Group 50</w:t>
            </w:r>
            <w:r>
              <w:rPr>
                <w:rFonts w:ascii="Arial" w:cs="Arial" w:eastAsia="Arial" w:hAnsi="Arial"/>
                <w:sz w:val="24"/>
                <w:szCs w:val="24"/>
                <w:b w:val="1"/>
                <w:bCs w:val="1"/>
                <w:color w:val="auto"/>
                <w:vertAlign w:val="superscript"/>
              </w:rPr>
              <w:t>th</w:t>
            </w:r>
            <w:r>
              <w:rPr>
                <w:rFonts w:ascii="Arial" w:cs="Arial" w:eastAsia="Arial" w:hAnsi="Arial"/>
                <w:sz w:val="15"/>
                <w:szCs w:val="15"/>
                <w:b w:val="1"/>
                <w:bCs w:val="1"/>
                <w:color w:val="auto"/>
              </w:rPr>
              <w:t xml:space="preserve"> Percentile</w:t>
            </w:r>
          </w:p>
        </w:tc>
        <w:tc>
          <w:tcPr>
            <w:tcW w:w="2680" w:type="dxa"/>
            <w:vAlign w:val="bottom"/>
            <w:tcBorders>
              <w:bottom w:val="single" w:sz="8" w:color="A8A9AC"/>
            </w:tcBorders>
          </w:tcPr>
          <w:p>
            <w:pPr>
              <w:ind w:left="2280"/>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8A9AC"/>
            </w:tcBorders>
          </w:tcPr>
          <w:p>
            <w:pPr>
              <w:jc w:val="right"/>
              <w:ind w:right="144"/>
              <w:spacing w:after="0"/>
              <w:rPr>
                <w:sz w:val="20"/>
                <w:szCs w:val="20"/>
                <w:color w:val="auto"/>
              </w:rPr>
            </w:pPr>
            <w:r>
              <w:rPr>
                <w:rFonts w:ascii="Arial" w:cs="Arial" w:eastAsia="Arial" w:hAnsi="Arial"/>
                <w:sz w:val="15"/>
                <w:szCs w:val="15"/>
                <w:color w:val="auto"/>
              </w:rPr>
              <w:t>69,119</w:t>
            </w:r>
          </w:p>
        </w:tc>
        <w:tc>
          <w:tcPr>
            <w:tcW w:w="760" w:type="dxa"/>
            <w:vAlign w:val="bottom"/>
            <w:tcBorders>
              <w:bottom w:val="single" w:sz="8" w:color="A8A9AC"/>
            </w:tcBorders>
          </w:tcPr>
          <w:p>
            <w:pPr>
              <w:ind w:left="20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8A9AC"/>
            </w:tcBorders>
          </w:tcPr>
          <w:p>
            <w:pPr>
              <w:jc w:val="right"/>
              <w:ind w:right="124"/>
              <w:spacing w:after="0"/>
              <w:rPr>
                <w:sz w:val="20"/>
                <w:szCs w:val="20"/>
                <w:color w:val="auto"/>
              </w:rPr>
            </w:pPr>
            <w:r>
              <w:rPr>
                <w:rFonts w:ascii="Arial" w:cs="Arial" w:eastAsia="Arial" w:hAnsi="Arial"/>
                <w:sz w:val="15"/>
                <w:szCs w:val="15"/>
                <w:color w:val="auto"/>
              </w:rPr>
              <w:t>45,319</w:t>
            </w:r>
          </w:p>
        </w:tc>
        <w:tc>
          <w:tcPr>
            <w:tcW w:w="500" w:type="dxa"/>
            <w:vAlign w:val="bottom"/>
            <w:tcBorders>
              <w:bottom w:val="single" w:sz="8" w:color="A8A9AC"/>
            </w:tcBorders>
          </w:tcPr>
          <w:p>
            <w:pPr>
              <w:jc w:val="right"/>
              <w:ind w:right="124"/>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24"/>
              <w:spacing w:after="0"/>
              <w:rPr>
                <w:sz w:val="20"/>
                <w:szCs w:val="20"/>
                <w:color w:val="auto"/>
              </w:rPr>
            </w:pPr>
            <w:r>
              <w:rPr>
                <w:rFonts w:ascii="Arial" w:cs="Arial" w:eastAsia="Arial" w:hAnsi="Arial"/>
                <w:sz w:val="15"/>
                <w:szCs w:val="15"/>
                <w:color w:val="auto"/>
              </w:rPr>
              <w:t>43,075</w:t>
            </w:r>
          </w:p>
        </w:tc>
      </w:tr>
      <w:tr>
        <w:trPr>
          <w:trHeight w:val="169"/>
        </w:trPr>
        <w:tc>
          <w:tcPr>
            <w:tcW w:w="4260" w:type="dxa"/>
            <w:vAlign w:val="bottom"/>
            <w:tcBorders>
              <w:bottom w:val="single" w:sz="8" w:color="A26F2A"/>
            </w:tcBorders>
          </w:tcPr>
          <w:p>
            <w:pPr>
              <w:ind w:left="60"/>
              <w:spacing w:after="0" w:line="169" w:lineRule="exact"/>
              <w:rPr>
                <w:sz w:val="20"/>
                <w:szCs w:val="20"/>
                <w:color w:val="auto"/>
              </w:rPr>
            </w:pPr>
            <w:r>
              <w:rPr>
                <w:rFonts w:ascii="Arial" w:cs="Arial" w:eastAsia="Arial" w:hAnsi="Arial"/>
                <w:sz w:val="15"/>
                <w:szCs w:val="15"/>
                <w:b w:val="1"/>
                <w:bCs w:val="1"/>
                <w:color w:val="auto"/>
              </w:rPr>
              <w:t>Diamondback Energy, Inc.</w:t>
            </w:r>
          </w:p>
        </w:tc>
        <w:tc>
          <w:tcPr>
            <w:tcW w:w="2680" w:type="dxa"/>
            <w:vAlign w:val="bottom"/>
            <w:tcBorders>
              <w:bottom w:val="single" w:sz="8" w:color="A26F2A"/>
            </w:tcBorders>
          </w:tcPr>
          <w:p>
            <w:pPr>
              <w:ind w:left="2280"/>
              <w:spacing w:after="0" w:line="169"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26F2A"/>
            </w:tcBorders>
          </w:tcPr>
          <w:p>
            <w:pPr>
              <w:jc w:val="right"/>
              <w:ind w:right="144"/>
              <w:spacing w:after="0" w:line="169" w:lineRule="exact"/>
              <w:rPr>
                <w:sz w:val="20"/>
                <w:szCs w:val="20"/>
                <w:color w:val="auto"/>
              </w:rPr>
            </w:pPr>
            <w:r>
              <w:rPr>
                <w:rFonts w:ascii="Arial" w:cs="Arial" w:eastAsia="Arial" w:hAnsi="Arial"/>
                <w:sz w:val="15"/>
                <w:szCs w:val="15"/>
                <w:color w:val="auto"/>
              </w:rPr>
              <w:t>70,300</w:t>
            </w:r>
          </w:p>
        </w:tc>
        <w:tc>
          <w:tcPr>
            <w:tcW w:w="760" w:type="dxa"/>
            <w:vAlign w:val="bottom"/>
            <w:tcBorders>
              <w:bottom w:val="single" w:sz="8" w:color="A26F2A"/>
            </w:tcBorders>
          </w:tcPr>
          <w:p>
            <w:pPr>
              <w:ind w:left="200"/>
              <w:spacing w:after="0" w:line="169"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26F2A"/>
            </w:tcBorders>
          </w:tcPr>
          <w:p>
            <w:pPr>
              <w:jc w:val="right"/>
              <w:ind w:right="124"/>
              <w:spacing w:after="0" w:line="169" w:lineRule="exact"/>
              <w:rPr>
                <w:sz w:val="20"/>
                <w:szCs w:val="20"/>
                <w:color w:val="auto"/>
              </w:rPr>
            </w:pPr>
            <w:r>
              <w:rPr>
                <w:rFonts w:ascii="Arial" w:cs="Arial" w:eastAsia="Arial" w:hAnsi="Arial"/>
                <w:sz w:val="15"/>
                <w:szCs w:val="15"/>
                <w:color w:val="auto"/>
              </w:rPr>
              <w:t>56,496</w:t>
            </w:r>
          </w:p>
        </w:tc>
        <w:tc>
          <w:tcPr>
            <w:tcW w:w="500" w:type="dxa"/>
            <w:vAlign w:val="bottom"/>
            <w:tcBorders>
              <w:bottom w:val="single" w:sz="8" w:color="A26F2A"/>
            </w:tcBorders>
          </w:tcPr>
          <w:p>
            <w:pPr>
              <w:jc w:val="right"/>
              <w:ind w:right="124"/>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26F2A"/>
            </w:tcBorders>
          </w:tcPr>
          <w:p>
            <w:pPr>
              <w:jc w:val="right"/>
              <w:ind w:right="124"/>
              <w:spacing w:after="0" w:line="169" w:lineRule="exact"/>
              <w:rPr>
                <w:sz w:val="20"/>
                <w:szCs w:val="20"/>
                <w:color w:val="auto"/>
              </w:rPr>
            </w:pPr>
            <w:r>
              <w:rPr>
                <w:rFonts w:ascii="Arial" w:cs="Arial" w:eastAsia="Arial" w:hAnsi="Arial"/>
                <w:sz w:val="15"/>
                <w:szCs w:val="15"/>
                <w:color w:val="auto"/>
              </w:rPr>
              <w:t>65,747</w:t>
            </w:r>
          </w:p>
        </w:tc>
      </w:tr>
    </w:tbl>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benchmarking compensation peer group used in Meridian’s study, which served as reference for making compensation decisions for 2025, consisted of the following 13 companies.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40" w:type="dxa"/>
            <w:vAlign w:val="bottom"/>
            <w:tcBorders>
              <w:top w:val="single" w:sz="8" w:color="A26F2A"/>
              <w:bottom w:val="single" w:sz="8" w:color="A8A9AC"/>
            </w:tcBorders>
          </w:tcPr>
          <w:p>
            <w:pPr>
              <w:ind w:left="60"/>
              <w:spacing w:after="0"/>
              <w:rPr>
                <w:sz w:val="20"/>
                <w:szCs w:val="20"/>
                <w:color w:val="auto"/>
              </w:rPr>
            </w:pPr>
            <w:r>
              <w:rPr>
                <w:rFonts w:ascii="Arial" w:cs="Arial" w:eastAsia="Arial" w:hAnsi="Arial"/>
                <w:sz w:val="15"/>
                <w:szCs w:val="15"/>
                <w:color w:val="auto"/>
              </w:rPr>
              <w:t>APA Corporation</w:t>
            </w:r>
          </w:p>
        </w:tc>
        <w:tc>
          <w:tcPr>
            <w:tcW w:w="7500" w:type="dxa"/>
            <w:vAlign w:val="bottom"/>
            <w:tcBorders>
              <w:top w:val="single" w:sz="8" w:color="A26F2A"/>
              <w:bottom w:val="single" w:sz="8" w:color="A8A9AC"/>
            </w:tcBorders>
          </w:tcPr>
          <w:p>
            <w:pPr>
              <w:ind w:left="1900"/>
              <w:spacing w:after="0"/>
              <w:rPr>
                <w:sz w:val="20"/>
                <w:szCs w:val="20"/>
                <w:color w:val="auto"/>
              </w:rPr>
            </w:pPr>
            <w:r>
              <w:rPr>
                <w:rFonts w:ascii="Arial" w:cs="Arial" w:eastAsia="Arial" w:hAnsi="Arial"/>
                <w:sz w:val="15"/>
                <w:szCs w:val="15"/>
                <w:color w:val="auto"/>
              </w:rPr>
              <w:t>Expand Energy Corporation</w:t>
            </w:r>
          </w:p>
        </w:tc>
      </w:tr>
      <w:tr>
        <w:trPr>
          <w:trHeight w:val="169"/>
        </w:trPr>
        <w:tc>
          <w:tcPr>
            <w:tcW w:w="37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color w:val="auto"/>
              </w:rPr>
              <w:t>Cheniere Energy, Inc.</w:t>
            </w:r>
          </w:p>
        </w:tc>
        <w:tc>
          <w:tcPr>
            <w:tcW w:w="7500" w:type="dxa"/>
            <w:vAlign w:val="bottom"/>
            <w:tcBorders>
              <w:bottom w:val="single" w:sz="8" w:color="A8A9AC"/>
            </w:tcBorders>
          </w:tcPr>
          <w:p>
            <w:pPr>
              <w:ind w:left="1900"/>
              <w:spacing w:after="0" w:line="169" w:lineRule="exact"/>
              <w:rPr>
                <w:sz w:val="20"/>
                <w:szCs w:val="20"/>
                <w:color w:val="auto"/>
              </w:rPr>
            </w:pPr>
            <w:r>
              <w:rPr>
                <w:rFonts w:ascii="Arial" w:cs="Arial" w:eastAsia="Arial" w:hAnsi="Arial"/>
                <w:sz w:val="15"/>
                <w:szCs w:val="15"/>
                <w:color w:val="auto"/>
              </w:rPr>
              <w:t>Occidental Petroleum Corporation</w:t>
            </w:r>
          </w:p>
        </w:tc>
      </w:tr>
      <w:tr>
        <w:trPr>
          <w:trHeight w:val="169"/>
        </w:trPr>
        <w:tc>
          <w:tcPr>
            <w:tcW w:w="37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color w:val="auto"/>
              </w:rPr>
              <w:t>ConocoPhillips Company</w:t>
            </w:r>
          </w:p>
        </w:tc>
        <w:tc>
          <w:tcPr>
            <w:tcW w:w="7500" w:type="dxa"/>
            <w:vAlign w:val="bottom"/>
            <w:tcBorders>
              <w:bottom w:val="single" w:sz="8" w:color="A8A9AC"/>
            </w:tcBorders>
          </w:tcPr>
          <w:p>
            <w:pPr>
              <w:ind w:left="1900"/>
              <w:spacing w:after="0" w:line="169" w:lineRule="exact"/>
              <w:rPr>
                <w:sz w:val="20"/>
                <w:szCs w:val="20"/>
                <w:color w:val="auto"/>
              </w:rPr>
            </w:pPr>
            <w:r>
              <w:rPr>
                <w:rFonts w:ascii="Arial" w:cs="Arial" w:eastAsia="Arial" w:hAnsi="Arial"/>
                <w:sz w:val="15"/>
                <w:szCs w:val="15"/>
                <w:color w:val="auto"/>
              </w:rPr>
              <w:t>Ovintiv Inc.</w:t>
            </w:r>
          </w:p>
        </w:tc>
      </w:tr>
      <w:tr>
        <w:trPr>
          <w:trHeight w:val="169"/>
        </w:trPr>
        <w:tc>
          <w:tcPr>
            <w:tcW w:w="37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color w:val="auto"/>
              </w:rPr>
              <w:t>Coterra Energy Inc.</w:t>
            </w:r>
          </w:p>
        </w:tc>
        <w:tc>
          <w:tcPr>
            <w:tcW w:w="7500" w:type="dxa"/>
            <w:vAlign w:val="bottom"/>
            <w:tcBorders>
              <w:bottom w:val="single" w:sz="8" w:color="A8A9AC"/>
            </w:tcBorders>
          </w:tcPr>
          <w:p>
            <w:pPr>
              <w:ind w:left="1900"/>
              <w:spacing w:after="0" w:line="169" w:lineRule="exact"/>
              <w:rPr>
                <w:sz w:val="20"/>
                <w:szCs w:val="20"/>
                <w:color w:val="auto"/>
              </w:rPr>
            </w:pPr>
            <w:r>
              <w:rPr>
                <w:rFonts w:ascii="Arial" w:cs="Arial" w:eastAsia="Arial" w:hAnsi="Arial"/>
                <w:sz w:val="15"/>
                <w:szCs w:val="15"/>
                <w:color w:val="auto"/>
              </w:rPr>
              <w:t>Phillips 66</w:t>
            </w:r>
          </w:p>
        </w:tc>
      </w:tr>
      <w:tr>
        <w:trPr>
          <w:trHeight w:val="169"/>
        </w:trPr>
        <w:tc>
          <w:tcPr>
            <w:tcW w:w="37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color w:val="auto"/>
              </w:rPr>
              <w:t>Devon Energy Corporation</w:t>
            </w:r>
          </w:p>
        </w:tc>
        <w:tc>
          <w:tcPr>
            <w:tcW w:w="7500" w:type="dxa"/>
            <w:vAlign w:val="bottom"/>
            <w:tcBorders>
              <w:bottom w:val="single" w:sz="8" w:color="A8A9AC"/>
            </w:tcBorders>
          </w:tcPr>
          <w:p>
            <w:pPr>
              <w:ind w:left="1900"/>
              <w:spacing w:after="0" w:line="169" w:lineRule="exact"/>
              <w:rPr>
                <w:sz w:val="20"/>
                <w:szCs w:val="20"/>
                <w:color w:val="auto"/>
              </w:rPr>
            </w:pPr>
            <w:r>
              <w:rPr>
                <w:rFonts w:ascii="Arial" w:cs="Arial" w:eastAsia="Arial" w:hAnsi="Arial"/>
                <w:sz w:val="15"/>
                <w:szCs w:val="15"/>
                <w:color w:val="auto"/>
              </w:rPr>
              <w:t>SLB Limited</w:t>
            </w:r>
          </w:p>
        </w:tc>
      </w:tr>
      <w:tr>
        <w:trPr>
          <w:trHeight w:val="169"/>
        </w:trPr>
        <w:tc>
          <w:tcPr>
            <w:tcW w:w="37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color w:val="auto"/>
              </w:rPr>
              <w:t>EOG Resources</w:t>
            </w:r>
          </w:p>
        </w:tc>
        <w:tc>
          <w:tcPr>
            <w:tcW w:w="7500" w:type="dxa"/>
            <w:vAlign w:val="bottom"/>
            <w:tcBorders>
              <w:bottom w:val="single" w:sz="8" w:color="A8A9AC"/>
            </w:tcBorders>
          </w:tcPr>
          <w:p>
            <w:pPr>
              <w:ind w:left="1900"/>
              <w:spacing w:after="0" w:line="169" w:lineRule="exact"/>
              <w:rPr>
                <w:sz w:val="20"/>
                <w:szCs w:val="20"/>
                <w:color w:val="auto"/>
              </w:rPr>
            </w:pPr>
            <w:r>
              <w:rPr>
                <w:rFonts w:ascii="Arial" w:cs="Arial" w:eastAsia="Arial" w:hAnsi="Arial"/>
                <w:sz w:val="15"/>
                <w:szCs w:val="15"/>
                <w:color w:val="auto"/>
              </w:rPr>
              <w:t>The Williams Companies</w:t>
            </w:r>
          </w:p>
        </w:tc>
      </w:tr>
      <w:tr>
        <w:trPr>
          <w:trHeight w:val="169"/>
        </w:trPr>
        <w:tc>
          <w:tcPr>
            <w:tcW w:w="3740" w:type="dxa"/>
            <w:vAlign w:val="bottom"/>
            <w:tcBorders>
              <w:bottom w:val="single" w:sz="8" w:color="A26F2A"/>
            </w:tcBorders>
          </w:tcPr>
          <w:p>
            <w:pPr>
              <w:ind w:left="60"/>
              <w:spacing w:after="0" w:line="169" w:lineRule="exact"/>
              <w:rPr>
                <w:sz w:val="20"/>
                <w:szCs w:val="20"/>
                <w:color w:val="auto"/>
              </w:rPr>
            </w:pPr>
            <w:r>
              <w:rPr>
                <w:rFonts w:ascii="Arial" w:cs="Arial" w:eastAsia="Arial" w:hAnsi="Arial"/>
                <w:sz w:val="15"/>
                <w:szCs w:val="15"/>
                <w:color w:val="auto"/>
              </w:rPr>
              <w:t>EQT Corporation</w:t>
            </w:r>
          </w:p>
        </w:tc>
        <w:tc>
          <w:tcPr>
            <w:tcW w:w="7500" w:type="dxa"/>
            <w:vAlign w:val="bottom"/>
            <w:tcBorders>
              <w:bottom w:val="single" w:sz="8" w:color="A26F2A"/>
            </w:tcBorders>
          </w:tcPr>
          <w:p>
            <w:pPr>
              <w:spacing w:after="0"/>
              <w:rPr>
                <w:sz w:val="14"/>
                <w:szCs w:val="14"/>
                <w:color w:val="auto"/>
              </w:rPr>
            </w:pPr>
          </w:p>
        </w:tc>
      </w:tr>
    </w:tbl>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Meridian provided competitive data for similarly situated executives at these compensation peer group companies, focusing on salary, annual incentive opportunity and LTI opportunity, and analyzing how these elements of compensation compare to the elements of compensation afforded to our executive officers, including the NEOs.</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For cross-industry roles (i.e., CFO, General Counsel), Meridian also provided the compensation committee with supplemental data from a private survey of large, cross-industry companies for consideration.</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As described below, to assess our relative TSR performance in the performance-based restricted stock unit awards granted to our NEOs, the compensation committee utilizes a peer group that is limited to similarly sized upstream oil and gas companies and also includes the S&amp;P 500 (weighted once) and XOP Index (weighted twice).</w:t>
      </w:r>
    </w:p>
    <w:p>
      <w:pPr>
        <w:spacing w:after="0" w:line="12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2025 COMPENSATION PROGRAM DESIGN AND STRUCTURE</w:t>
      </w:r>
    </w:p>
    <w:p>
      <w:pPr>
        <w:spacing w:after="0" w:line="315"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During 2025, the Company’s executive compensation program consisted of four primary components including both fixed and variable, at-risk elements, as shown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40" w:type="dxa"/>
            <w:vAlign w:val="bottom"/>
          </w:tcPr>
          <w:p>
            <w:pPr>
              <w:spacing w:after="0"/>
              <w:rPr>
                <w:sz w:val="15"/>
                <w:szCs w:val="15"/>
                <w:color w:val="auto"/>
              </w:rPr>
            </w:pPr>
          </w:p>
        </w:tc>
        <w:tc>
          <w:tcPr>
            <w:tcW w:w="2920" w:type="dxa"/>
            <w:vAlign w:val="bottom"/>
          </w:tcPr>
          <w:p>
            <w:pPr>
              <w:ind w:left="120"/>
              <w:spacing w:after="0"/>
              <w:rPr>
                <w:sz w:val="20"/>
                <w:szCs w:val="20"/>
                <w:color w:val="auto"/>
              </w:rPr>
            </w:pPr>
            <w:r>
              <w:rPr>
                <w:rFonts w:ascii="Arial" w:cs="Arial" w:eastAsia="Arial" w:hAnsi="Arial"/>
                <w:sz w:val="15"/>
                <w:szCs w:val="15"/>
                <w:b w:val="1"/>
                <w:bCs w:val="1"/>
                <w:color w:val="auto"/>
              </w:rPr>
              <w:t>Direct</w:t>
            </w:r>
          </w:p>
        </w:tc>
        <w:tc>
          <w:tcPr>
            <w:tcW w:w="2420" w:type="dxa"/>
            <w:vAlign w:val="bottom"/>
          </w:tcPr>
          <w:p>
            <w:pPr>
              <w:spacing w:after="0"/>
              <w:rPr>
                <w:sz w:val="15"/>
                <w:szCs w:val="15"/>
                <w:color w:val="auto"/>
              </w:rPr>
            </w:pPr>
          </w:p>
        </w:tc>
        <w:tc>
          <w:tcPr>
            <w:tcW w:w="4760" w:type="dxa"/>
            <w:vAlign w:val="bottom"/>
            <w:gridSpan w:val="2"/>
          </w:tcPr>
          <w:p>
            <w:pPr>
              <w:ind w:left="160"/>
              <w:spacing w:after="0"/>
              <w:rPr>
                <w:sz w:val="20"/>
                <w:szCs w:val="20"/>
                <w:color w:val="auto"/>
              </w:rPr>
            </w:pPr>
            <w:r>
              <w:rPr>
                <w:rFonts w:ascii="Arial" w:cs="Arial" w:eastAsia="Arial" w:hAnsi="Arial"/>
                <w:sz w:val="15"/>
                <w:szCs w:val="15"/>
                <w:b w:val="1"/>
                <w:bCs w:val="1"/>
                <w:color w:val="auto"/>
              </w:rPr>
              <w:t>Purposes and Alignment</w:t>
            </w:r>
          </w:p>
        </w:tc>
      </w:tr>
      <w:tr>
        <w:trPr>
          <w:trHeight w:val="219"/>
        </w:trPr>
        <w:tc>
          <w:tcPr>
            <w:tcW w:w="1140" w:type="dxa"/>
            <w:vAlign w:val="bottom"/>
            <w:tcBorders>
              <w:bottom w:val="single" w:sz="8" w:color="A26F2A"/>
            </w:tcBorders>
          </w:tcPr>
          <w:p>
            <w:pPr>
              <w:spacing w:after="0"/>
              <w:rPr>
                <w:sz w:val="19"/>
                <w:szCs w:val="19"/>
                <w:color w:val="auto"/>
              </w:rPr>
            </w:pPr>
          </w:p>
        </w:tc>
        <w:tc>
          <w:tcPr>
            <w:tcW w:w="2920" w:type="dxa"/>
            <w:vAlign w:val="bottom"/>
            <w:tcBorders>
              <w:bottom w:val="single" w:sz="8" w:color="A26F2A"/>
            </w:tcBorders>
          </w:tcPr>
          <w:p>
            <w:pPr>
              <w:ind w:left="120"/>
              <w:spacing w:after="0"/>
              <w:rPr>
                <w:sz w:val="20"/>
                <w:szCs w:val="20"/>
                <w:color w:val="auto"/>
              </w:rPr>
            </w:pPr>
            <w:r>
              <w:rPr>
                <w:rFonts w:ascii="Arial" w:cs="Arial" w:eastAsia="Arial" w:hAnsi="Arial"/>
                <w:sz w:val="15"/>
                <w:szCs w:val="15"/>
                <w:b w:val="1"/>
                <w:bCs w:val="1"/>
                <w:color w:val="auto"/>
              </w:rPr>
              <w:t>Compensation Element</w:t>
            </w:r>
          </w:p>
        </w:tc>
        <w:tc>
          <w:tcPr>
            <w:tcW w:w="2420" w:type="dxa"/>
            <w:vAlign w:val="bottom"/>
            <w:tcBorders>
              <w:bottom w:val="single" w:sz="8" w:color="A26F2A"/>
            </w:tcBorders>
          </w:tcPr>
          <w:p>
            <w:pPr>
              <w:ind w:left="120"/>
              <w:spacing w:after="0"/>
              <w:rPr>
                <w:sz w:val="20"/>
                <w:szCs w:val="20"/>
                <w:color w:val="auto"/>
              </w:rPr>
            </w:pPr>
            <w:r>
              <w:rPr>
                <w:rFonts w:ascii="Arial" w:cs="Arial" w:eastAsia="Arial" w:hAnsi="Arial"/>
                <w:sz w:val="15"/>
                <w:szCs w:val="15"/>
                <w:b w:val="1"/>
                <w:bCs w:val="1"/>
                <w:color w:val="auto"/>
              </w:rPr>
              <w:t>Form of Compensation</w:t>
            </w:r>
          </w:p>
        </w:tc>
        <w:tc>
          <w:tcPr>
            <w:tcW w:w="4760" w:type="dxa"/>
            <w:vAlign w:val="bottom"/>
            <w:tcBorders>
              <w:bottom w:val="single" w:sz="8" w:color="A26F2A"/>
            </w:tcBorders>
            <w:gridSpan w:val="2"/>
          </w:tcPr>
          <w:p>
            <w:pPr>
              <w:ind w:left="160"/>
              <w:spacing w:after="0"/>
              <w:rPr>
                <w:sz w:val="20"/>
                <w:szCs w:val="20"/>
                <w:color w:val="auto"/>
              </w:rPr>
            </w:pPr>
            <w:r>
              <w:rPr>
                <w:rFonts w:ascii="Arial" w:cs="Arial" w:eastAsia="Arial" w:hAnsi="Arial"/>
                <w:sz w:val="15"/>
                <w:szCs w:val="15"/>
                <w:b w:val="1"/>
                <w:bCs w:val="1"/>
                <w:color w:val="auto"/>
              </w:rPr>
              <w:t>with Long-Term Stockholder Interests</w:t>
            </w:r>
          </w:p>
        </w:tc>
      </w:tr>
      <w:tr>
        <w:trPr>
          <w:trHeight w:val="190"/>
        </w:trPr>
        <w:tc>
          <w:tcPr>
            <w:tcW w:w="1140" w:type="dxa"/>
            <w:vAlign w:val="bottom"/>
            <w:shd w:val="clear" w:color="auto" w:fill="E7E7E8"/>
          </w:tcPr>
          <w:p>
            <w:pPr>
              <w:ind w:left="60"/>
              <w:spacing w:after="0"/>
              <w:rPr>
                <w:sz w:val="20"/>
                <w:szCs w:val="20"/>
                <w:color w:val="auto"/>
              </w:rPr>
            </w:pPr>
            <w:r>
              <w:rPr>
                <w:rFonts w:ascii="Arial" w:cs="Arial" w:eastAsia="Arial" w:hAnsi="Arial"/>
                <w:sz w:val="15"/>
                <w:szCs w:val="15"/>
                <w:b w:val="1"/>
                <w:bCs w:val="1"/>
                <w:color w:val="auto"/>
              </w:rPr>
              <w:t>FIXED</w:t>
            </w:r>
          </w:p>
        </w:tc>
        <w:tc>
          <w:tcPr>
            <w:tcW w:w="2920" w:type="dxa"/>
            <w:vAlign w:val="bottom"/>
          </w:tcPr>
          <w:p>
            <w:pPr>
              <w:ind w:left="120"/>
              <w:spacing w:after="0"/>
              <w:rPr>
                <w:sz w:val="20"/>
                <w:szCs w:val="20"/>
                <w:color w:val="auto"/>
              </w:rPr>
            </w:pPr>
            <w:r>
              <w:rPr>
                <w:rFonts w:ascii="Arial" w:cs="Arial" w:eastAsia="Arial" w:hAnsi="Arial"/>
                <w:sz w:val="15"/>
                <w:szCs w:val="15"/>
                <w:b w:val="1"/>
                <w:bCs w:val="1"/>
                <w:color w:val="auto"/>
              </w:rPr>
              <w:t>Base Salary</w:t>
            </w:r>
          </w:p>
        </w:tc>
        <w:tc>
          <w:tcPr>
            <w:tcW w:w="2420" w:type="dxa"/>
            <w:vAlign w:val="bottom"/>
          </w:tcPr>
          <w:p>
            <w:pPr>
              <w:ind w:left="120"/>
              <w:spacing w:after="0"/>
              <w:rPr>
                <w:sz w:val="20"/>
                <w:szCs w:val="20"/>
                <w:color w:val="auto"/>
              </w:rPr>
            </w:pPr>
            <w:r>
              <w:rPr>
                <w:rFonts w:ascii="Arial" w:cs="Arial" w:eastAsia="Arial" w:hAnsi="Arial"/>
                <w:sz w:val="15"/>
                <w:szCs w:val="15"/>
                <w:color w:val="auto"/>
              </w:rPr>
              <w:t>Cash</w:t>
            </w:r>
          </w:p>
        </w:tc>
        <w:tc>
          <w:tcPr>
            <w:tcW w:w="280" w:type="dxa"/>
            <w:vAlign w:val="bottom"/>
          </w:tcPr>
          <w:p>
            <w:pPr>
              <w:ind w:left="160"/>
              <w:spacing w:after="0"/>
              <w:rPr>
                <w:sz w:val="20"/>
                <w:szCs w:val="20"/>
                <w:color w:val="auto"/>
              </w:rPr>
            </w:pPr>
            <w:r>
              <w:rPr>
                <w:rFonts w:ascii="Arial" w:cs="Arial" w:eastAsia="Arial" w:hAnsi="Arial"/>
                <w:sz w:val="15"/>
                <w:szCs w:val="15"/>
                <w:color w:val="A26F2A"/>
              </w:rPr>
              <w:t>•</w:t>
            </w:r>
          </w:p>
        </w:tc>
        <w:tc>
          <w:tcPr>
            <w:tcW w:w="4480" w:type="dxa"/>
            <w:vAlign w:val="bottom"/>
          </w:tcPr>
          <w:p>
            <w:pPr>
              <w:ind w:left="40"/>
              <w:spacing w:after="0"/>
              <w:rPr>
                <w:sz w:val="20"/>
                <w:szCs w:val="20"/>
                <w:color w:val="auto"/>
              </w:rPr>
            </w:pPr>
            <w:r>
              <w:rPr>
                <w:rFonts w:ascii="Arial" w:cs="Arial" w:eastAsia="Arial" w:hAnsi="Arial"/>
                <w:sz w:val="15"/>
                <w:szCs w:val="15"/>
                <w:color w:val="auto"/>
              </w:rPr>
              <w:t>Provide a fixed level of compensation to attract and retain</w:t>
            </w:r>
          </w:p>
        </w:tc>
      </w:tr>
      <w:tr>
        <w:trPr>
          <w:trHeight w:val="164"/>
        </w:trPr>
        <w:tc>
          <w:tcPr>
            <w:tcW w:w="1140" w:type="dxa"/>
            <w:vAlign w:val="bottom"/>
            <w:shd w:val="clear" w:color="auto" w:fill="E7E7E8"/>
          </w:tcPr>
          <w:p>
            <w:pPr>
              <w:spacing w:after="0"/>
              <w:rPr>
                <w:sz w:val="14"/>
                <w:szCs w:val="14"/>
                <w:color w:val="auto"/>
              </w:rPr>
            </w:pPr>
          </w:p>
        </w:tc>
        <w:tc>
          <w:tcPr>
            <w:tcW w:w="29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80" w:type="dxa"/>
            <w:vAlign w:val="bottom"/>
          </w:tcPr>
          <w:p>
            <w:pPr>
              <w:ind w:left="40"/>
              <w:spacing w:after="0" w:line="164" w:lineRule="exact"/>
              <w:rPr>
                <w:sz w:val="20"/>
                <w:szCs w:val="20"/>
                <w:color w:val="auto"/>
              </w:rPr>
            </w:pPr>
            <w:r>
              <w:rPr>
                <w:rFonts w:ascii="Arial" w:cs="Arial" w:eastAsia="Arial" w:hAnsi="Arial"/>
                <w:sz w:val="15"/>
                <w:szCs w:val="15"/>
                <w:color w:val="auto"/>
              </w:rPr>
              <w:t>executives and balance at-risk compensation</w:t>
            </w:r>
          </w:p>
        </w:tc>
      </w:tr>
      <w:tr>
        <w:trPr>
          <w:trHeight w:val="177"/>
        </w:trPr>
        <w:tc>
          <w:tcPr>
            <w:tcW w:w="1140" w:type="dxa"/>
            <w:vAlign w:val="bottom"/>
            <w:shd w:val="clear" w:color="auto" w:fill="E7E7E8"/>
          </w:tcPr>
          <w:p>
            <w:pPr>
              <w:spacing w:after="0"/>
              <w:rPr>
                <w:sz w:val="15"/>
                <w:szCs w:val="15"/>
                <w:color w:val="auto"/>
              </w:rPr>
            </w:pPr>
          </w:p>
        </w:tc>
        <w:tc>
          <w:tcPr>
            <w:tcW w:w="29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Pr>
          <w:p>
            <w:pPr>
              <w:ind w:left="160"/>
              <w:spacing w:after="0"/>
              <w:rPr>
                <w:sz w:val="20"/>
                <w:szCs w:val="20"/>
                <w:color w:val="auto"/>
              </w:rPr>
            </w:pPr>
            <w:r>
              <w:rPr>
                <w:rFonts w:ascii="Arial" w:cs="Arial" w:eastAsia="Arial" w:hAnsi="Arial"/>
                <w:sz w:val="15"/>
                <w:szCs w:val="15"/>
                <w:color w:val="A26F2A"/>
              </w:rPr>
              <w:t>•</w:t>
            </w:r>
          </w:p>
        </w:tc>
        <w:tc>
          <w:tcPr>
            <w:tcW w:w="4480" w:type="dxa"/>
            <w:vAlign w:val="bottom"/>
          </w:tcPr>
          <w:p>
            <w:pPr>
              <w:ind w:left="40"/>
              <w:spacing w:after="0"/>
              <w:rPr>
                <w:sz w:val="20"/>
                <w:szCs w:val="20"/>
                <w:color w:val="auto"/>
              </w:rPr>
            </w:pPr>
            <w:r>
              <w:rPr>
                <w:rFonts w:ascii="Arial" w:cs="Arial" w:eastAsia="Arial" w:hAnsi="Arial"/>
                <w:sz w:val="15"/>
                <w:szCs w:val="15"/>
                <w:color w:val="auto"/>
              </w:rPr>
              <w:t>Benchmarked to market compensation data and adjusted as</w:t>
            </w:r>
          </w:p>
        </w:tc>
      </w:tr>
      <w:tr>
        <w:trPr>
          <w:trHeight w:val="177"/>
        </w:trPr>
        <w:tc>
          <w:tcPr>
            <w:tcW w:w="1140" w:type="dxa"/>
            <w:vAlign w:val="bottom"/>
            <w:shd w:val="clear" w:color="auto" w:fill="E7E7E8"/>
          </w:tcPr>
          <w:p>
            <w:pPr>
              <w:spacing w:after="0"/>
              <w:rPr>
                <w:sz w:val="15"/>
                <w:szCs w:val="15"/>
                <w:color w:val="auto"/>
              </w:rPr>
            </w:pPr>
          </w:p>
        </w:tc>
        <w:tc>
          <w:tcPr>
            <w:tcW w:w="29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tcPr>
          <w:p>
            <w:pPr>
              <w:ind w:left="40"/>
              <w:spacing w:after="0"/>
              <w:rPr>
                <w:sz w:val="20"/>
                <w:szCs w:val="20"/>
                <w:color w:val="auto"/>
              </w:rPr>
            </w:pPr>
            <w:r>
              <w:rPr>
                <w:rFonts w:ascii="Arial" w:cs="Arial" w:eastAsia="Arial" w:hAnsi="Arial"/>
                <w:sz w:val="15"/>
                <w:szCs w:val="15"/>
                <w:color w:val="auto"/>
              </w:rPr>
              <w:t>appropriate  based  on  level  of  responsibility,  experience,</w:t>
            </w:r>
          </w:p>
        </w:tc>
      </w:tr>
      <w:tr>
        <w:trPr>
          <w:trHeight w:val="177"/>
        </w:trPr>
        <w:tc>
          <w:tcPr>
            <w:tcW w:w="1140" w:type="dxa"/>
            <w:vAlign w:val="bottom"/>
            <w:shd w:val="clear" w:color="auto" w:fill="E7E7E8"/>
          </w:tcPr>
          <w:p>
            <w:pPr>
              <w:spacing w:after="0"/>
              <w:rPr>
                <w:sz w:val="15"/>
                <w:szCs w:val="15"/>
                <w:color w:val="auto"/>
              </w:rPr>
            </w:pPr>
          </w:p>
        </w:tc>
        <w:tc>
          <w:tcPr>
            <w:tcW w:w="29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tcPr>
          <w:p>
            <w:pPr>
              <w:ind w:left="40"/>
              <w:spacing w:after="0"/>
              <w:rPr>
                <w:sz w:val="20"/>
                <w:szCs w:val="20"/>
                <w:color w:val="auto"/>
              </w:rPr>
            </w:pPr>
            <w:r>
              <w:rPr>
                <w:rFonts w:ascii="Arial" w:cs="Arial" w:eastAsia="Arial" w:hAnsi="Arial"/>
                <w:sz w:val="15"/>
                <w:szCs w:val="15"/>
                <w:color w:val="auto"/>
              </w:rPr>
              <w:t>individual  performance,  industry  and  market  criteria  and</w:t>
            </w:r>
          </w:p>
        </w:tc>
      </w:tr>
      <w:tr>
        <w:trPr>
          <w:trHeight w:val="207"/>
        </w:trPr>
        <w:tc>
          <w:tcPr>
            <w:tcW w:w="1140" w:type="dxa"/>
            <w:vAlign w:val="bottom"/>
            <w:tcBorders>
              <w:bottom w:val="single" w:sz="8" w:color="A8A9AC"/>
            </w:tcBorders>
            <w:shd w:val="clear" w:color="auto" w:fill="E7E7E8"/>
          </w:tcPr>
          <w:p>
            <w:pPr>
              <w:spacing w:after="0"/>
              <w:rPr>
                <w:sz w:val="17"/>
                <w:szCs w:val="17"/>
                <w:color w:val="auto"/>
              </w:rPr>
            </w:pPr>
          </w:p>
        </w:tc>
        <w:tc>
          <w:tcPr>
            <w:tcW w:w="2920" w:type="dxa"/>
            <w:vAlign w:val="bottom"/>
            <w:tcBorders>
              <w:bottom w:val="single" w:sz="8" w:color="A8A9AC"/>
            </w:tcBorders>
          </w:tcPr>
          <w:p>
            <w:pPr>
              <w:spacing w:after="0"/>
              <w:rPr>
                <w:sz w:val="17"/>
                <w:szCs w:val="17"/>
                <w:color w:val="auto"/>
              </w:rPr>
            </w:pPr>
          </w:p>
        </w:tc>
        <w:tc>
          <w:tcPr>
            <w:tcW w:w="2420" w:type="dxa"/>
            <w:vAlign w:val="bottom"/>
            <w:tcBorders>
              <w:bottom w:val="single" w:sz="8" w:color="A8A9AC"/>
            </w:tcBorders>
          </w:tcPr>
          <w:p>
            <w:pPr>
              <w:spacing w:after="0"/>
              <w:rPr>
                <w:sz w:val="17"/>
                <w:szCs w:val="17"/>
                <w:color w:val="auto"/>
              </w:rPr>
            </w:pPr>
          </w:p>
        </w:tc>
        <w:tc>
          <w:tcPr>
            <w:tcW w:w="280" w:type="dxa"/>
            <w:vAlign w:val="bottom"/>
            <w:tcBorders>
              <w:bottom w:val="single" w:sz="8" w:color="A8A9AC"/>
            </w:tcBorders>
          </w:tcPr>
          <w:p>
            <w:pPr>
              <w:spacing w:after="0"/>
              <w:rPr>
                <w:sz w:val="17"/>
                <w:szCs w:val="17"/>
                <w:color w:val="auto"/>
              </w:rPr>
            </w:pPr>
          </w:p>
        </w:tc>
        <w:tc>
          <w:tcPr>
            <w:tcW w:w="4480" w:type="dxa"/>
            <w:vAlign w:val="bottom"/>
            <w:tcBorders>
              <w:bottom w:val="single" w:sz="8" w:color="A8A9AC"/>
            </w:tcBorders>
          </w:tcPr>
          <w:p>
            <w:pPr>
              <w:ind w:left="40"/>
              <w:spacing w:after="0"/>
              <w:rPr>
                <w:sz w:val="20"/>
                <w:szCs w:val="20"/>
                <w:color w:val="auto"/>
              </w:rPr>
            </w:pPr>
            <w:r>
              <w:rPr>
                <w:rFonts w:ascii="Arial" w:cs="Arial" w:eastAsia="Arial" w:hAnsi="Arial"/>
                <w:sz w:val="15"/>
                <w:szCs w:val="15"/>
                <w:color w:val="auto"/>
              </w:rPr>
              <w:t>competition for talent</w:t>
            </w:r>
          </w:p>
        </w:tc>
      </w:tr>
      <w:tr>
        <w:trPr>
          <w:trHeight w:val="190"/>
        </w:trPr>
        <w:tc>
          <w:tcPr>
            <w:tcW w:w="1140" w:type="dxa"/>
            <w:vAlign w:val="bottom"/>
            <w:shd w:val="clear" w:color="auto" w:fill="F6F1EB"/>
          </w:tcPr>
          <w:p>
            <w:pPr>
              <w:spacing w:after="0"/>
              <w:rPr>
                <w:sz w:val="16"/>
                <w:szCs w:val="16"/>
                <w:color w:val="auto"/>
              </w:rPr>
            </w:pPr>
          </w:p>
        </w:tc>
        <w:tc>
          <w:tcPr>
            <w:tcW w:w="2920" w:type="dxa"/>
            <w:vAlign w:val="bottom"/>
          </w:tcPr>
          <w:p>
            <w:pPr>
              <w:ind w:left="120"/>
              <w:spacing w:after="0"/>
              <w:rPr>
                <w:sz w:val="20"/>
                <w:szCs w:val="20"/>
                <w:color w:val="auto"/>
              </w:rPr>
            </w:pPr>
            <w:r>
              <w:rPr>
                <w:rFonts w:ascii="Arial" w:cs="Arial" w:eastAsia="Arial" w:hAnsi="Arial"/>
                <w:sz w:val="15"/>
                <w:szCs w:val="15"/>
                <w:b w:val="1"/>
                <w:bCs w:val="1"/>
                <w:color w:val="auto"/>
              </w:rPr>
              <w:t>Performance-Based Annual Incentive</w:t>
            </w:r>
          </w:p>
        </w:tc>
        <w:tc>
          <w:tcPr>
            <w:tcW w:w="2420" w:type="dxa"/>
            <w:vAlign w:val="bottom"/>
          </w:tcPr>
          <w:p>
            <w:pPr>
              <w:ind w:left="120"/>
              <w:spacing w:after="0"/>
              <w:rPr>
                <w:sz w:val="20"/>
                <w:szCs w:val="20"/>
                <w:color w:val="auto"/>
              </w:rPr>
            </w:pPr>
            <w:r>
              <w:rPr>
                <w:rFonts w:ascii="Arial" w:cs="Arial" w:eastAsia="Arial" w:hAnsi="Arial"/>
                <w:sz w:val="15"/>
                <w:szCs w:val="15"/>
                <w:color w:val="auto"/>
              </w:rPr>
              <w:t>Cash</w:t>
            </w:r>
          </w:p>
        </w:tc>
        <w:tc>
          <w:tcPr>
            <w:tcW w:w="280" w:type="dxa"/>
            <w:vAlign w:val="bottom"/>
          </w:tcPr>
          <w:p>
            <w:pPr>
              <w:ind w:left="160"/>
              <w:spacing w:after="0"/>
              <w:rPr>
                <w:sz w:val="20"/>
                <w:szCs w:val="20"/>
                <w:color w:val="auto"/>
              </w:rPr>
            </w:pPr>
            <w:r>
              <w:rPr>
                <w:rFonts w:ascii="Arial" w:cs="Arial" w:eastAsia="Arial" w:hAnsi="Arial"/>
                <w:sz w:val="15"/>
                <w:szCs w:val="15"/>
                <w:color w:val="A26F2A"/>
              </w:rPr>
              <w:t>•</w:t>
            </w:r>
          </w:p>
        </w:tc>
        <w:tc>
          <w:tcPr>
            <w:tcW w:w="4480" w:type="dxa"/>
            <w:vAlign w:val="bottom"/>
          </w:tcPr>
          <w:p>
            <w:pPr>
              <w:ind w:left="40"/>
              <w:spacing w:after="0"/>
              <w:rPr>
                <w:sz w:val="20"/>
                <w:szCs w:val="20"/>
                <w:color w:val="auto"/>
              </w:rPr>
            </w:pPr>
            <w:r>
              <w:rPr>
                <w:rFonts w:ascii="Arial" w:cs="Arial" w:eastAsia="Arial" w:hAnsi="Arial"/>
                <w:sz w:val="15"/>
                <w:szCs w:val="15"/>
                <w:color w:val="auto"/>
              </w:rPr>
              <w:t>Reward short-term financial and operational performance over a</w:t>
            </w:r>
          </w:p>
        </w:tc>
      </w:tr>
      <w:tr>
        <w:trPr>
          <w:trHeight w:val="164"/>
        </w:trPr>
        <w:tc>
          <w:tcPr>
            <w:tcW w:w="1140" w:type="dxa"/>
            <w:vAlign w:val="bottom"/>
            <w:shd w:val="clear" w:color="auto" w:fill="F6F1EB"/>
          </w:tcPr>
          <w:p>
            <w:pPr>
              <w:spacing w:after="0"/>
              <w:rPr>
                <w:sz w:val="14"/>
                <w:szCs w:val="14"/>
                <w:color w:val="auto"/>
              </w:rPr>
            </w:pPr>
          </w:p>
        </w:tc>
        <w:tc>
          <w:tcPr>
            <w:tcW w:w="2920" w:type="dxa"/>
            <w:vAlign w:val="bottom"/>
          </w:tcPr>
          <w:p>
            <w:pPr>
              <w:ind w:left="120"/>
              <w:spacing w:after="0" w:line="164" w:lineRule="exact"/>
              <w:rPr>
                <w:sz w:val="20"/>
                <w:szCs w:val="20"/>
                <w:color w:val="auto"/>
              </w:rPr>
            </w:pPr>
            <w:r>
              <w:rPr>
                <w:rFonts w:ascii="Arial" w:cs="Arial" w:eastAsia="Arial" w:hAnsi="Arial"/>
                <w:sz w:val="15"/>
                <w:szCs w:val="15"/>
                <w:b w:val="1"/>
                <w:bCs w:val="1"/>
                <w:color w:val="auto"/>
              </w:rPr>
              <w:t>Bonus</w:t>
            </w:r>
          </w:p>
        </w:tc>
        <w:tc>
          <w:tcPr>
            <w:tcW w:w="2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80" w:type="dxa"/>
            <w:vAlign w:val="bottom"/>
          </w:tcPr>
          <w:p>
            <w:pPr>
              <w:ind w:left="40"/>
              <w:spacing w:after="0" w:line="164" w:lineRule="exact"/>
              <w:rPr>
                <w:sz w:val="20"/>
                <w:szCs w:val="20"/>
                <w:color w:val="auto"/>
              </w:rPr>
            </w:pPr>
            <w:r>
              <w:rPr>
                <w:rFonts w:ascii="Arial" w:cs="Arial" w:eastAsia="Arial" w:hAnsi="Arial"/>
                <w:sz w:val="15"/>
                <w:szCs w:val="15"/>
                <w:color w:val="auto"/>
              </w:rPr>
              <w:t>one-year performance period</w:t>
            </w:r>
          </w:p>
        </w:tc>
      </w:tr>
      <w:tr>
        <w:trPr>
          <w:trHeight w:val="177"/>
        </w:trPr>
        <w:tc>
          <w:tcPr>
            <w:tcW w:w="1140" w:type="dxa"/>
            <w:vAlign w:val="bottom"/>
            <w:shd w:val="clear" w:color="auto" w:fill="F6F1EB"/>
          </w:tcPr>
          <w:p>
            <w:pPr>
              <w:spacing w:after="0"/>
              <w:rPr>
                <w:sz w:val="15"/>
                <w:szCs w:val="15"/>
                <w:color w:val="auto"/>
              </w:rPr>
            </w:pPr>
          </w:p>
        </w:tc>
        <w:tc>
          <w:tcPr>
            <w:tcW w:w="29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Pr>
          <w:p>
            <w:pPr>
              <w:ind w:left="160"/>
              <w:spacing w:after="0"/>
              <w:rPr>
                <w:sz w:val="20"/>
                <w:szCs w:val="20"/>
                <w:color w:val="auto"/>
              </w:rPr>
            </w:pPr>
            <w:r>
              <w:rPr>
                <w:rFonts w:ascii="Arial" w:cs="Arial" w:eastAsia="Arial" w:hAnsi="Arial"/>
                <w:sz w:val="15"/>
                <w:szCs w:val="15"/>
                <w:color w:val="A26F2A"/>
              </w:rPr>
              <w:t>•</w:t>
            </w:r>
          </w:p>
        </w:tc>
        <w:tc>
          <w:tcPr>
            <w:tcW w:w="4480" w:type="dxa"/>
            <w:vAlign w:val="bottom"/>
          </w:tcPr>
          <w:p>
            <w:pPr>
              <w:ind w:left="40"/>
              <w:spacing w:after="0"/>
              <w:rPr>
                <w:sz w:val="20"/>
                <w:szCs w:val="20"/>
                <w:color w:val="auto"/>
              </w:rPr>
            </w:pPr>
            <w:r>
              <w:rPr>
                <w:rFonts w:ascii="Arial" w:cs="Arial" w:eastAsia="Arial" w:hAnsi="Arial"/>
                <w:sz w:val="15"/>
                <w:szCs w:val="15"/>
                <w:color w:val="auto"/>
              </w:rPr>
              <w:t>Based on pre-established performance metrics and goals with</w:t>
            </w:r>
          </w:p>
        </w:tc>
      </w:tr>
      <w:tr>
        <w:trPr>
          <w:trHeight w:val="164"/>
        </w:trPr>
        <w:tc>
          <w:tcPr>
            <w:tcW w:w="1140" w:type="dxa"/>
            <w:vAlign w:val="bottom"/>
            <w:shd w:val="clear" w:color="auto" w:fill="F6F1EB"/>
          </w:tcPr>
          <w:p>
            <w:pPr>
              <w:spacing w:after="0"/>
              <w:rPr>
                <w:sz w:val="14"/>
                <w:szCs w:val="14"/>
                <w:color w:val="auto"/>
              </w:rPr>
            </w:pPr>
          </w:p>
        </w:tc>
        <w:tc>
          <w:tcPr>
            <w:tcW w:w="29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80" w:type="dxa"/>
            <w:vAlign w:val="bottom"/>
          </w:tcPr>
          <w:p>
            <w:pPr>
              <w:ind w:left="40"/>
              <w:spacing w:after="0" w:line="164" w:lineRule="exact"/>
              <w:rPr>
                <w:sz w:val="20"/>
                <w:szCs w:val="20"/>
                <w:color w:val="auto"/>
              </w:rPr>
            </w:pPr>
            <w:r>
              <w:rPr>
                <w:rFonts w:ascii="Arial" w:cs="Arial" w:eastAsia="Arial" w:hAnsi="Arial"/>
                <w:sz w:val="15"/>
                <w:szCs w:val="15"/>
                <w:color w:val="auto"/>
              </w:rPr>
              <w:t>minimum thresholds that must be met (and with payout caps)</w:t>
            </w:r>
          </w:p>
        </w:tc>
      </w:tr>
      <w:tr>
        <w:trPr>
          <w:trHeight w:val="177"/>
        </w:trPr>
        <w:tc>
          <w:tcPr>
            <w:tcW w:w="1140" w:type="dxa"/>
            <w:vAlign w:val="bottom"/>
            <w:shd w:val="clear" w:color="auto" w:fill="F6F1EB"/>
          </w:tcPr>
          <w:p>
            <w:pPr>
              <w:spacing w:after="0"/>
              <w:rPr>
                <w:sz w:val="15"/>
                <w:szCs w:val="15"/>
                <w:color w:val="auto"/>
              </w:rPr>
            </w:pPr>
          </w:p>
        </w:tc>
        <w:tc>
          <w:tcPr>
            <w:tcW w:w="29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Pr>
          <w:p>
            <w:pPr>
              <w:ind w:left="160"/>
              <w:spacing w:after="0"/>
              <w:rPr>
                <w:sz w:val="20"/>
                <w:szCs w:val="20"/>
                <w:color w:val="auto"/>
              </w:rPr>
            </w:pPr>
            <w:r>
              <w:rPr>
                <w:rFonts w:ascii="Arial" w:cs="Arial" w:eastAsia="Arial" w:hAnsi="Arial"/>
                <w:sz w:val="15"/>
                <w:szCs w:val="15"/>
                <w:color w:val="A26F2A"/>
              </w:rPr>
              <w:t>•</w:t>
            </w:r>
          </w:p>
        </w:tc>
        <w:tc>
          <w:tcPr>
            <w:tcW w:w="4480" w:type="dxa"/>
            <w:vAlign w:val="bottom"/>
          </w:tcPr>
          <w:p>
            <w:pPr>
              <w:ind w:left="40"/>
              <w:spacing w:after="0"/>
              <w:rPr>
                <w:sz w:val="20"/>
                <w:szCs w:val="20"/>
                <w:color w:val="auto"/>
              </w:rPr>
            </w:pPr>
            <w:r>
              <w:rPr>
                <w:rFonts w:ascii="Arial" w:cs="Arial" w:eastAsia="Arial" w:hAnsi="Arial"/>
                <w:sz w:val="15"/>
                <w:szCs w:val="15"/>
                <w:color w:val="auto"/>
              </w:rPr>
              <w:t>Performance measured against rigorous operational, financial</w:t>
            </w:r>
          </w:p>
        </w:tc>
      </w:tr>
      <w:tr>
        <w:trPr>
          <w:trHeight w:val="177"/>
        </w:trPr>
        <w:tc>
          <w:tcPr>
            <w:tcW w:w="1140" w:type="dxa"/>
            <w:vAlign w:val="bottom"/>
            <w:shd w:val="clear" w:color="auto" w:fill="F6F1EB"/>
          </w:tcPr>
          <w:p>
            <w:pPr>
              <w:spacing w:after="0"/>
              <w:rPr>
                <w:sz w:val="15"/>
                <w:szCs w:val="15"/>
                <w:color w:val="auto"/>
              </w:rPr>
            </w:pPr>
          </w:p>
        </w:tc>
        <w:tc>
          <w:tcPr>
            <w:tcW w:w="29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tcPr>
          <w:p>
            <w:pPr>
              <w:ind w:left="40"/>
              <w:spacing w:after="0"/>
              <w:rPr>
                <w:sz w:val="20"/>
                <w:szCs w:val="20"/>
                <w:color w:val="auto"/>
              </w:rPr>
            </w:pPr>
            <w:r>
              <w:rPr>
                <w:rFonts w:ascii="Arial" w:cs="Arial" w:eastAsia="Arial" w:hAnsi="Arial"/>
                <w:sz w:val="15"/>
                <w:szCs w:val="15"/>
                <w:color w:val="auto"/>
              </w:rPr>
              <w:t>and environmental and safety performance metrics that aligned</w:t>
            </w:r>
          </w:p>
        </w:tc>
      </w:tr>
      <w:tr>
        <w:trPr>
          <w:trHeight w:val="207"/>
        </w:trPr>
        <w:tc>
          <w:tcPr>
            <w:tcW w:w="1140" w:type="dxa"/>
            <w:vAlign w:val="bottom"/>
            <w:tcBorders>
              <w:bottom w:val="single" w:sz="8" w:color="F6F1EB"/>
            </w:tcBorders>
            <w:shd w:val="clear" w:color="auto" w:fill="F6F1EB"/>
          </w:tcPr>
          <w:p>
            <w:pPr>
              <w:spacing w:after="0"/>
              <w:rPr>
                <w:sz w:val="17"/>
                <w:szCs w:val="17"/>
                <w:color w:val="auto"/>
              </w:rPr>
            </w:pPr>
          </w:p>
        </w:tc>
        <w:tc>
          <w:tcPr>
            <w:tcW w:w="2920" w:type="dxa"/>
            <w:vAlign w:val="bottom"/>
            <w:tcBorders>
              <w:bottom w:val="single" w:sz="8" w:color="A8A9AC"/>
            </w:tcBorders>
          </w:tcPr>
          <w:p>
            <w:pPr>
              <w:spacing w:after="0"/>
              <w:rPr>
                <w:sz w:val="17"/>
                <w:szCs w:val="17"/>
                <w:color w:val="auto"/>
              </w:rPr>
            </w:pPr>
          </w:p>
        </w:tc>
        <w:tc>
          <w:tcPr>
            <w:tcW w:w="2420" w:type="dxa"/>
            <w:vAlign w:val="bottom"/>
            <w:tcBorders>
              <w:bottom w:val="single" w:sz="8" w:color="A8A9AC"/>
            </w:tcBorders>
          </w:tcPr>
          <w:p>
            <w:pPr>
              <w:spacing w:after="0"/>
              <w:rPr>
                <w:sz w:val="17"/>
                <w:szCs w:val="17"/>
                <w:color w:val="auto"/>
              </w:rPr>
            </w:pPr>
          </w:p>
        </w:tc>
        <w:tc>
          <w:tcPr>
            <w:tcW w:w="280" w:type="dxa"/>
            <w:vAlign w:val="bottom"/>
            <w:tcBorders>
              <w:bottom w:val="single" w:sz="8" w:color="A8A9AC"/>
            </w:tcBorders>
          </w:tcPr>
          <w:p>
            <w:pPr>
              <w:spacing w:after="0"/>
              <w:rPr>
                <w:sz w:val="17"/>
                <w:szCs w:val="17"/>
                <w:color w:val="auto"/>
              </w:rPr>
            </w:pPr>
          </w:p>
        </w:tc>
        <w:tc>
          <w:tcPr>
            <w:tcW w:w="4480" w:type="dxa"/>
            <w:vAlign w:val="bottom"/>
            <w:tcBorders>
              <w:bottom w:val="single" w:sz="8" w:color="A8A9AC"/>
            </w:tcBorders>
          </w:tcPr>
          <w:p>
            <w:pPr>
              <w:ind w:left="40"/>
              <w:spacing w:after="0"/>
              <w:rPr>
                <w:sz w:val="20"/>
                <w:szCs w:val="20"/>
                <w:color w:val="auto"/>
              </w:rPr>
            </w:pPr>
            <w:r>
              <w:rPr>
                <w:rFonts w:ascii="Arial" w:cs="Arial" w:eastAsia="Arial" w:hAnsi="Arial"/>
                <w:sz w:val="15"/>
                <w:szCs w:val="15"/>
                <w:color w:val="auto"/>
              </w:rPr>
              <w:t>with our strategic priorities and are entirely quantitative</w:t>
            </w:r>
          </w:p>
        </w:tc>
      </w:tr>
      <w:tr>
        <w:trPr>
          <w:trHeight w:val="190"/>
        </w:trPr>
        <w:tc>
          <w:tcPr>
            <w:tcW w:w="1140" w:type="dxa"/>
            <w:vAlign w:val="bottom"/>
            <w:shd w:val="clear" w:color="auto" w:fill="F6F1EB"/>
          </w:tcPr>
          <w:p>
            <w:pPr>
              <w:spacing w:after="0"/>
              <w:rPr>
                <w:sz w:val="16"/>
                <w:szCs w:val="16"/>
                <w:color w:val="auto"/>
              </w:rPr>
            </w:pPr>
          </w:p>
        </w:tc>
        <w:tc>
          <w:tcPr>
            <w:tcW w:w="2920" w:type="dxa"/>
            <w:vAlign w:val="bottom"/>
          </w:tcPr>
          <w:p>
            <w:pPr>
              <w:ind w:left="120"/>
              <w:spacing w:after="0"/>
              <w:rPr>
                <w:sz w:val="20"/>
                <w:szCs w:val="20"/>
                <w:color w:val="auto"/>
              </w:rPr>
            </w:pPr>
            <w:r>
              <w:rPr>
                <w:rFonts w:ascii="Arial" w:cs="Arial" w:eastAsia="Arial" w:hAnsi="Arial"/>
                <w:sz w:val="15"/>
                <w:szCs w:val="15"/>
                <w:b w:val="1"/>
                <w:bCs w:val="1"/>
                <w:color w:val="auto"/>
              </w:rPr>
              <w:t>Performance-Based Restricted Stock</w:t>
            </w:r>
          </w:p>
        </w:tc>
        <w:tc>
          <w:tcPr>
            <w:tcW w:w="2420" w:type="dxa"/>
            <w:vAlign w:val="bottom"/>
          </w:tcPr>
          <w:p>
            <w:pPr>
              <w:ind w:left="120"/>
              <w:spacing w:after="0"/>
              <w:rPr>
                <w:sz w:val="20"/>
                <w:szCs w:val="20"/>
                <w:color w:val="auto"/>
              </w:rPr>
            </w:pPr>
            <w:r>
              <w:rPr>
                <w:rFonts w:ascii="Arial" w:cs="Arial" w:eastAsia="Arial" w:hAnsi="Arial"/>
                <w:sz w:val="15"/>
                <w:szCs w:val="15"/>
                <w:color w:val="auto"/>
              </w:rPr>
              <w:t>Equity—PSUs with a three-year</w:t>
            </w:r>
          </w:p>
        </w:tc>
        <w:tc>
          <w:tcPr>
            <w:tcW w:w="280" w:type="dxa"/>
            <w:vAlign w:val="bottom"/>
          </w:tcPr>
          <w:p>
            <w:pPr>
              <w:ind w:left="160"/>
              <w:spacing w:after="0"/>
              <w:rPr>
                <w:sz w:val="20"/>
                <w:szCs w:val="20"/>
                <w:color w:val="auto"/>
              </w:rPr>
            </w:pPr>
            <w:r>
              <w:rPr>
                <w:rFonts w:ascii="Arial" w:cs="Arial" w:eastAsia="Arial" w:hAnsi="Arial"/>
                <w:sz w:val="15"/>
                <w:szCs w:val="15"/>
                <w:color w:val="A26F2A"/>
              </w:rPr>
              <w:t>•</w:t>
            </w:r>
          </w:p>
        </w:tc>
        <w:tc>
          <w:tcPr>
            <w:tcW w:w="4480" w:type="dxa"/>
            <w:vAlign w:val="bottom"/>
          </w:tcPr>
          <w:p>
            <w:pPr>
              <w:ind w:left="40"/>
              <w:spacing w:after="0"/>
              <w:rPr>
                <w:sz w:val="20"/>
                <w:szCs w:val="20"/>
                <w:color w:val="auto"/>
              </w:rPr>
            </w:pPr>
            <w:r>
              <w:rPr>
                <w:rFonts w:ascii="Arial" w:cs="Arial" w:eastAsia="Arial" w:hAnsi="Arial"/>
                <w:sz w:val="15"/>
                <w:szCs w:val="15"/>
                <w:color w:val="auto"/>
              </w:rPr>
              <w:t>Align interests of our executives with our stock performance and</w:t>
            </w:r>
          </w:p>
        </w:tc>
      </w:tr>
      <w:tr>
        <w:trPr>
          <w:trHeight w:val="164"/>
        </w:trPr>
        <w:tc>
          <w:tcPr>
            <w:tcW w:w="1140" w:type="dxa"/>
            <w:vAlign w:val="bottom"/>
            <w:shd w:val="clear" w:color="auto" w:fill="F6F1EB"/>
          </w:tcPr>
          <w:p>
            <w:pPr>
              <w:spacing w:after="0"/>
              <w:rPr>
                <w:sz w:val="14"/>
                <w:szCs w:val="14"/>
                <w:color w:val="auto"/>
              </w:rPr>
            </w:pPr>
          </w:p>
        </w:tc>
        <w:tc>
          <w:tcPr>
            <w:tcW w:w="2920" w:type="dxa"/>
            <w:vAlign w:val="bottom"/>
          </w:tcPr>
          <w:p>
            <w:pPr>
              <w:ind w:left="120"/>
              <w:spacing w:after="0" w:line="164" w:lineRule="exact"/>
              <w:rPr>
                <w:sz w:val="20"/>
                <w:szCs w:val="20"/>
                <w:color w:val="auto"/>
              </w:rPr>
            </w:pPr>
            <w:r>
              <w:rPr>
                <w:rFonts w:ascii="Arial" w:cs="Arial" w:eastAsia="Arial" w:hAnsi="Arial"/>
                <w:sz w:val="15"/>
                <w:szCs w:val="15"/>
                <w:b w:val="1"/>
                <w:bCs w:val="1"/>
                <w:color w:val="auto"/>
              </w:rPr>
              <w:t>Unit Award</w:t>
            </w:r>
          </w:p>
        </w:tc>
        <w:tc>
          <w:tcPr>
            <w:tcW w:w="2420" w:type="dxa"/>
            <w:vAlign w:val="bottom"/>
          </w:tcPr>
          <w:p>
            <w:pPr>
              <w:ind w:left="120"/>
              <w:spacing w:after="0" w:line="164" w:lineRule="exact"/>
              <w:rPr>
                <w:sz w:val="20"/>
                <w:szCs w:val="20"/>
                <w:color w:val="auto"/>
              </w:rPr>
            </w:pPr>
            <w:r>
              <w:rPr>
                <w:rFonts w:ascii="Arial" w:cs="Arial" w:eastAsia="Arial" w:hAnsi="Arial"/>
                <w:sz w:val="15"/>
                <w:szCs w:val="15"/>
                <w:color w:val="auto"/>
              </w:rPr>
              <w:t>performance period</w:t>
            </w:r>
          </w:p>
        </w:tc>
        <w:tc>
          <w:tcPr>
            <w:tcW w:w="280" w:type="dxa"/>
            <w:vAlign w:val="bottom"/>
          </w:tcPr>
          <w:p>
            <w:pPr>
              <w:spacing w:after="0"/>
              <w:rPr>
                <w:sz w:val="14"/>
                <w:szCs w:val="14"/>
                <w:color w:val="auto"/>
              </w:rPr>
            </w:pPr>
          </w:p>
        </w:tc>
        <w:tc>
          <w:tcPr>
            <w:tcW w:w="4480" w:type="dxa"/>
            <w:vAlign w:val="bottom"/>
          </w:tcPr>
          <w:p>
            <w:pPr>
              <w:ind w:left="40"/>
              <w:spacing w:after="0" w:line="164" w:lineRule="exact"/>
              <w:rPr>
                <w:sz w:val="20"/>
                <w:szCs w:val="20"/>
                <w:color w:val="auto"/>
              </w:rPr>
            </w:pPr>
            <w:r>
              <w:rPr>
                <w:rFonts w:ascii="Arial" w:cs="Arial" w:eastAsia="Arial" w:hAnsi="Arial"/>
                <w:sz w:val="15"/>
                <w:szCs w:val="15"/>
                <w:color w:val="auto"/>
              </w:rPr>
              <w:t>long-term interests of our stockholders</w:t>
            </w:r>
          </w:p>
        </w:tc>
      </w:tr>
      <w:tr>
        <w:trPr>
          <w:trHeight w:val="177"/>
        </w:trPr>
        <w:tc>
          <w:tcPr>
            <w:tcW w:w="1140" w:type="dxa"/>
            <w:vAlign w:val="bottom"/>
            <w:shd w:val="clear" w:color="auto" w:fill="F6F1EB"/>
          </w:tcPr>
          <w:p>
            <w:pPr>
              <w:spacing w:after="0"/>
              <w:rPr>
                <w:sz w:val="15"/>
                <w:szCs w:val="15"/>
                <w:color w:val="auto"/>
              </w:rPr>
            </w:pPr>
          </w:p>
        </w:tc>
        <w:tc>
          <w:tcPr>
            <w:tcW w:w="29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760" w:type="dxa"/>
            <w:vAlign w:val="bottom"/>
            <w:gridSpan w:val="2"/>
          </w:tcPr>
          <w:p>
            <w:pPr>
              <w:ind w:left="160"/>
              <w:spacing w:after="0"/>
              <w:rPr>
                <w:sz w:val="20"/>
                <w:szCs w:val="20"/>
                <w:color w:val="auto"/>
              </w:rPr>
            </w:pPr>
            <w:r>
              <w:rPr>
                <w:rFonts w:ascii="Arial" w:cs="Arial" w:eastAsia="Arial" w:hAnsi="Arial"/>
                <w:sz w:val="15"/>
                <w:szCs w:val="15"/>
                <w:color w:val="A26F2A"/>
              </w:rPr>
              <w:t xml:space="preserve">•  </w:t>
            </w:r>
            <w:r>
              <w:rPr>
                <w:rFonts w:ascii="Arial" w:cs="Arial" w:eastAsia="Arial" w:hAnsi="Arial"/>
                <w:sz w:val="15"/>
                <w:szCs w:val="15"/>
                <w:color w:val="000000"/>
              </w:rPr>
              <w:t>Based on (i) attainment of specific performance goals established</w:t>
            </w:r>
          </w:p>
        </w:tc>
      </w:tr>
      <w:tr>
        <w:trPr>
          <w:trHeight w:val="177"/>
        </w:trPr>
        <w:tc>
          <w:tcPr>
            <w:tcW w:w="1140" w:type="dxa"/>
            <w:vAlign w:val="bottom"/>
            <w:shd w:val="clear" w:color="auto" w:fill="F6F1EB"/>
          </w:tcPr>
          <w:p>
            <w:pPr>
              <w:spacing w:after="0"/>
              <w:rPr>
                <w:sz w:val="15"/>
                <w:szCs w:val="15"/>
                <w:color w:val="auto"/>
              </w:rPr>
            </w:pPr>
          </w:p>
        </w:tc>
        <w:tc>
          <w:tcPr>
            <w:tcW w:w="29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tcPr>
          <w:p>
            <w:pPr>
              <w:ind w:left="40"/>
              <w:spacing w:after="0"/>
              <w:rPr>
                <w:sz w:val="20"/>
                <w:szCs w:val="20"/>
                <w:color w:val="auto"/>
              </w:rPr>
            </w:pPr>
            <w:r>
              <w:rPr>
                <w:rFonts w:ascii="Arial" w:cs="Arial" w:eastAsia="Arial" w:hAnsi="Arial"/>
                <w:sz w:val="15"/>
                <w:szCs w:val="15"/>
                <w:color w:val="auto"/>
              </w:rPr>
              <w:t>by the compensation committee, (ii) our TSR, both (A) relative to</w:t>
            </w:r>
          </w:p>
        </w:tc>
      </w:tr>
      <w:tr>
        <w:trPr>
          <w:trHeight w:val="177"/>
        </w:trPr>
        <w:tc>
          <w:tcPr>
            <w:tcW w:w="1140" w:type="dxa"/>
            <w:vAlign w:val="bottom"/>
            <w:shd w:val="clear" w:color="auto" w:fill="F6F1EB"/>
          </w:tcPr>
          <w:p>
            <w:pPr>
              <w:ind w:left="60"/>
              <w:spacing w:after="0"/>
              <w:rPr>
                <w:sz w:val="20"/>
                <w:szCs w:val="20"/>
                <w:color w:val="auto"/>
              </w:rPr>
            </w:pPr>
            <w:r>
              <w:rPr>
                <w:rFonts w:ascii="Arial" w:cs="Arial" w:eastAsia="Arial" w:hAnsi="Arial"/>
                <w:sz w:val="15"/>
                <w:szCs w:val="15"/>
                <w:b w:val="1"/>
                <w:bCs w:val="1"/>
                <w:color w:val="auto"/>
              </w:rPr>
              <w:t>VARIABLE, AT</w:t>
            </w:r>
          </w:p>
        </w:tc>
        <w:tc>
          <w:tcPr>
            <w:tcW w:w="2920" w:type="dxa"/>
            <w:vAlign w:val="bottom"/>
          </w:tcPr>
          <w:p>
            <w:pPr>
              <w:ind w:left="700"/>
              <w:spacing w:after="0"/>
              <w:rPr>
                <w:sz w:val="20"/>
                <w:szCs w:val="20"/>
                <w:color w:val="auto"/>
              </w:rPr>
            </w:pPr>
            <w:r>
              <w:rPr>
                <w:rFonts w:ascii="Arial" w:cs="Arial" w:eastAsia="Arial" w:hAnsi="Arial"/>
                <w:sz w:val="15"/>
                <w:szCs w:val="15"/>
                <w:color w:val="auto"/>
              </w:rPr>
              <w:t>of LTI opportunity</w:t>
            </w:r>
          </w:p>
        </w:tc>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tcPr>
          <w:p>
            <w:pPr>
              <w:ind w:left="40"/>
              <w:spacing w:after="0"/>
              <w:rPr>
                <w:sz w:val="20"/>
                <w:szCs w:val="20"/>
                <w:color w:val="auto"/>
              </w:rPr>
            </w:pPr>
            <w:r>
              <w:rPr>
                <w:rFonts w:ascii="Arial" w:cs="Arial" w:eastAsia="Arial" w:hAnsi="Arial"/>
                <w:sz w:val="15"/>
                <w:szCs w:val="15"/>
                <w:color w:val="auto"/>
              </w:rPr>
              <w:t>our TSR performance peer group during the performance period</w:t>
            </w:r>
          </w:p>
        </w:tc>
      </w:tr>
      <w:tr>
        <w:trPr>
          <w:trHeight w:val="177"/>
        </w:trPr>
        <w:tc>
          <w:tcPr>
            <w:tcW w:w="1140" w:type="dxa"/>
            <w:vAlign w:val="bottom"/>
            <w:shd w:val="clear" w:color="auto" w:fill="F6F1EB"/>
          </w:tcPr>
          <w:p>
            <w:pPr>
              <w:ind w:left="60"/>
              <w:spacing w:after="0"/>
              <w:rPr>
                <w:sz w:val="20"/>
                <w:szCs w:val="20"/>
                <w:color w:val="auto"/>
              </w:rPr>
            </w:pPr>
            <w:r>
              <w:rPr>
                <w:rFonts w:ascii="Arial" w:cs="Arial" w:eastAsia="Arial" w:hAnsi="Arial"/>
                <w:sz w:val="15"/>
                <w:szCs w:val="15"/>
                <w:b w:val="1"/>
                <w:bCs w:val="1"/>
                <w:color w:val="auto"/>
              </w:rPr>
              <w:t>RISK</w:t>
            </w:r>
          </w:p>
        </w:tc>
        <w:tc>
          <w:tcPr>
            <w:tcW w:w="29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tcPr>
          <w:p>
            <w:pPr>
              <w:ind w:left="40"/>
              <w:spacing w:after="0"/>
              <w:rPr>
                <w:sz w:val="20"/>
                <w:szCs w:val="20"/>
                <w:color w:val="auto"/>
              </w:rPr>
            </w:pPr>
            <w:r>
              <w:rPr>
                <w:rFonts w:ascii="Arial" w:cs="Arial" w:eastAsia="Arial" w:hAnsi="Arial"/>
                <w:sz w:val="15"/>
                <w:szCs w:val="15"/>
                <w:color w:val="auto"/>
              </w:rPr>
              <w:t>(which for awards made in 2025 included the S&amp;P 500 (weighted</w:t>
            </w:r>
          </w:p>
        </w:tc>
      </w:tr>
      <w:tr>
        <w:trPr>
          <w:trHeight w:val="177"/>
        </w:trPr>
        <w:tc>
          <w:tcPr>
            <w:tcW w:w="1140" w:type="dxa"/>
            <w:vAlign w:val="bottom"/>
            <w:shd w:val="clear" w:color="auto" w:fill="F6F1EB"/>
          </w:tcPr>
          <w:p>
            <w:pPr>
              <w:spacing w:after="0"/>
              <w:rPr>
                <w:sz w:val="15"/>
                <w:szCs w:val="15"/>
                <w:color w:val="auto"/>
              </w:rPr>
            </w:pPr>
          </w:p>
        </w:tc>
        <w:tc>
          <w:tcPr>
            <w:tcW w:w="29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tcPr>
          <w:p>
            <w:pPr>
              <w:ind w:left="40"/>
              <w:spacing w:after="0"/>
              <w:rPr>
                <w:sz w:val="20"/>
                <w:szCs w:val="20"/>
                <w:color w:val="auto"/>
              </w:rPr>
            </w:pPr>
            <w:r>
              <w:rPr>
                <w:rFonts w:ascii="Arial" w:cs="Arial" w:eastAsia="Arial" w:hAnsi="Arial"/>
                <w:sz w:val="15"/>
                <w:szCs w:val="15"/>
                <w:color w:val="auto"/>
              </w:rPr>
              <w:t>once)  and  XOP  Index  (weighted  twice)  to  account  for</w:t>
            </w:r>
          </w:p>
        </w:tc>
      </w:tr>
      <w:tr>
        <w:trPr>
          <w:trHeight w:val="177"/>
        </w:trPr>
        <w:tc>
          <w:tcPr>
            <w:tcW w:w="1140" w:type="dxa"/>
            <w:vAlign w:val="bottom"/>
            <w:shd w:val="clear" w:color="auto" w:fill="F6F1EB"/>
          </w:tcPr>
          <w:p>
            <w:pPr>
              <w:spacing w:after="0"/>
              <w:rPr>
                <w:sz w:val="15"/>
                <w:szCs w:val="15"/>
                <w:color w:val="auto"/>
              </w:rPr>
            </w:pPr>
          </w:p>
        </w:tc>
        <w:tc>
          <w:tcPr>
            <w:tcW w:w="29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tcPr>
          <w:p>
            <w:pPr>
              <w:ind w:left="40"/>
              <w:spacing w:after="0"/>
              <w:rPr>
                <w:sz w:val="20"/>
                <w:szCs w:val="20"/>
                <w:color w:val="auto"/>
              </w:rPr>
            </w:pPr>
            <w:r>
              <w:rPr>
                <w:rFonts w:ascii="Arial" w:cs="Arial" w:eastAsia="Arial" w:hAnsi="Arial"/>
                <w:sz w:val="15"/>
                <w:szCs w:val="15"/>
                <w:color w:val="auto"/>
              </w:rPr>
              <w:t>performance against the broader market and industry) and (B) on</w:t>
            </w:r>
          </w:p>
        </w:tc>
      </w:tr>
      <w:tr>
        <w:trPr>
          <w:trHeight w:val="177"/>
        </w:trPr>
        <w:tc>
          <w:tcPr>
            <w:tcW w:w="1140" w:type="dxa"/>
            <w:vAlign w:val="bottom"/>
            <w:shd w:val="clear" w:color="auto" w:fill="F6F1EB"/>
          </w:tcPr>
          <w:p>
            <w:pPr>
              <w:spacing w:after="0"/>
              <w:rPr>
                <w:sz w:val="15"/>
                <w:szCs w:val="15"/>
                <w:color w:val="auto"/>
              </w:rPr>
            </w:pPr>
          </w:p>
        </w:tc>
        <w:tc>
          <w:tcPr>
            <w:tcW w:w="29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tcPr>
          <w:p>
            <w:pPr>
              <w:ind w:left="40"/>
              <w:spacing w:after="0"/>
              <w:rPr>
                <w:sz w:val="20"/>
                <w:szCs w:val="20"/>
                <w:color w:val="auto"/>
              </w:rPr>
            </w:pPr>
            <w:r>
              <w:rPr>
                <w:rFonts w:ascii="Arial" w:cs="Arial" w:eastAsia="Arial" w:hAnsi="Arial"/>
                <w:sz w:val="15"/>
                <w:szCs w:val="15"/>
                <w:color w:val="auto"/>
              </w:rPr>
              <w:t>an absolute basis, which may result in an adjustment up or down</w:t>
            </w:r>
          </w:p>
        </w:tc>
      </w:tr>
      <w:tr>
        <w:trPr>
          <w:trHeight w:val="177"/>
        </w:trPr>
        <w:tc>
          <w:tcPr>
            <w:tcW w:w="1140" w:type="dxa"/>
            <w:vAlign w:val="bottom"/>
            <w:shd w:val="clear" w:color="auto" w:fill="F6F1EB"/>
          </w:tcPr>
          <w:p>
            <w:pPr>
              <w:spacing w:after="0"/>
              <w:rPr>
                <w:sz w:val="15"/>
                <w:szCs w:val="15"/>
                <w:color w:val="auto"/>
              </w:rPr>
            </w:pPr>
          </w:p>
        </w:tc>
        <w:tc>
          <w:tcPr>
            <w:tcW w:w="29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tcPr>
          <w:p>
            <w:pPr>
              <w:ind w:left="40"/>
              <w:spacing w:after="0"/>
              <w:rPr>
                <w:sz w:val="20"/>
                <w:szCs w:val="20"/>
                <w:color w:val="auto"/>
              </w:rPr>
            </w:pPr>
            <w:r>
              <w:rPr>
                <w:rFonts w:ascii="Arial" w:cs="Arial" w:eastAsia="Arial" w:hAnsi="Arial"/>
                <w:sz w:val="15"/>
                <w:szCs w:val="15"/>
                <w:color w:val="auto"/>
              </w:rPr>
              <w:t>depending  on  performance  and  (iii)  continuous  service</w:t>
            </w:r>
          </w:p>
        </w:tc>
      </w:tr>
      <w:tr>
        <w:trPr>
          <w:trHeight w:val="207"/>
        </w:trPr>
        <w:tc>
          <w:tcPr>
            <w:tcW w:w="1140" w:type="dxa"/>
            <w:vAlign w:val="bottom"/>
            <w:tcBorders>
              <w:bottom w:val="single" w:sz="8" w:color="F6F1EB"/>
            </w:tcBorders>
            <w:shd w:val="clear" w:color="auto" w:fill="F6F1EB"/>
          </w:tcPr>
          <w:p>
            <w:pPr>
              <w:spacing w:after="0"/>
              <w:rPr>
                <w:sz w:val="17"/>
                <w:szCs w:val="17"/>
                <w:color w:val="auto"/>
              </w:rPr>
            </w:pPr>
          </w:p>
        </w:tc>
        <w:tc>
          <w:tcPr>
            <w:tcW w:w="2920" w:type="dxa"/>
            <w:vAlign w:val="bottom"/>
            <w:tcBorders>
              <w:bottom w:val="single" w:sz="8" w:color="A8A9AC"/>
            </w:tcBorders>
          </w:tcPr>
          <w:p>
            <w:pPr>
              <w:spacing w:after="0"/>
              <w:rPr>
                <w:sz w:val="17"/>
                <w:szCs w:val="17"/>
                <w:color w:val="auto"/>
              </w:rPr>
            </w:pPr>
          </w:p>
        </w:tc>
        <w:tc>
          <w:tcPr>
            <w:tcW w:w="2420" w:type="dxa"/>
            <w:vAlign w:val="bottom"/>
            <w:tcBorders>
              <w:bottom w:val="single" w:sz="8" w:color="A8A9AC"/>
            </w:tcBorders>
          </w:tcPr>
          <w:p>
            <w:pPr>
              <w:spacing w:after="0"/>
              <w:rPr>
                <w:sz w:val="17"/>
                <w:szCs w:val="17"/>
                <w:color w:val="auto"/>
              </w:rPr>
            </w:pPr>
          </w:p>
        </w:tc>
        <w:tc>
          <w:tcPr>
            <w:tcW w:w="280" w:type="dxa"/>
            <w:vAlign w:val="bottom"/>
            <w:tcBorders>
              <w:bottom w:val="single" w:sz="8" w:color="A8A9AC"/>
            </w:tcBorders>
          </w:tcPr>
          <w:p>
            <w:pPr>
              <w:spacing w:after="0"/>
              <w:rPr>
                <w:sz w:val="17"/>
                <w:szCs w:val="17"/>
                <w:color w:val="auto"/>
              </w:rPr>
            </w:pPr>
          </w:p>
        </w:tc>
        <w:tc>
          <w:tcPr>
            <w:tcW w:w="4480" w:type="dxa"/>
            <w:vAlign w:val="bottom"/>
            <w:tcBorders>
              <w:bottom w:val="single" w:sz="8" w:color="A8A9AC"/>
            </w:tcBorders>
          </w:tcPr>
          <w:p>
            <w:pPr>
              <w:ind w:left="40"/>
              <w:spacing w:after="0"/>
              <w:rPr>
                <w:sz w:val="20"/>
                <w:szCs w:val="20"/>
                <w:color w:val="auto"/>
              </w:rPr>
            </w:pPr>
            <w:r>
              <w:rPr>
                <w:rFonts w:ascii="Arial" w:cs="Arial" w:eastAsia="Arial" w:hAnsi="Arial"/>
                <w:sz w:val="15"/>
                <w:szCs w:val="15"/>
                <w:color w:val="auto"/>
              </w:rPr>
              <w:t>requirements</w:t>
            </w:r>
          </w:p>
        </w:tc>
      </w:tr>
      <w:tr>
        <w:trPr>
          <w:trHeight w:val="190"/>
        </w:trPr>
        <w:tc>
          <w:tcPr>
            <w:tcW w:w="1140" w:type="dxa"/>
            <w:vAlign w:val="bottom"/>
            <w:shd w:val="clear" w:color="auto" w:fill="F6F1EB"/>
          </w:tcPr>
          <w:p>
            <w:pPr>
              <w:spacing w:after="0"/>
              <w:rPr>
                <w:sz w:val="16"/>
                <w:szCs w:val="16"/>
                <w:color w:val="auto"/>
              </w:rPr>
            </w:pPr>
          </w:p>
        </w:tc>
        <w:tc>
          <w:tcPr>
            <w:tcW w:w="2920" w:type="dxa"/>
            <w:vAlign w:val="bottom"/>
          </w:tcPr>
          <w:p>
            <w:pPr>
              <w:ind w:left="120"/>
              <w:spacing w:after="0"/>
              <w:rPr>
                <w:sz w:val="20"/>
                <w:szCs w:val="20"/>
                <w:color w:val="auto"/>
              </w:rPr>
            </w:pPr>
            <w:r>
              <w:rPr>
                <w:rFonts w:ascii="Arial" w:cs="Arial" w:eastAsia="Arial" w:hAnsi="Arial"/>
                <w:sz w:val="15"/>
                <w:szCs w:val="15"/>
                <w:b w:val="1"/>
                <w:bCs w:val="1"/>
                <w:color w:val="auto"/>
              </w:rPr>
              <w:t>Time-Based Restricted Stock Unit</w:t>
            </w:r>
          </w:p>
        </w:tc>
        <w:tc>
          <w:tcPr>
            <w:tcW w:w="2420" w:type="dxa"/>
            <w:vAlign w:val="bottom"/>
          </w:tcPr>
          <w:p>
            <w:pPr>
              <w:ind w:left="120"/>
              <w:spacing w:after="0"/>
              <w:rPr>
                <w:sz w:val="20"/>
                <w:szCs w:val="20"/>
                <w:color w:val="auto"/>
              </w:rPr>
            </w:pPr>
            <w:r>
              <w:rPr>
                <w:rFonts w:ascii="Arial" w:cs="Arial" w:eastAsia="Arial" w:hAnsi="Arial"/>
                <w:sz w:val="15"/>
                <w:szCs w:val="15"/>
                <w:color w:val="auto"/>
              </w:rPr>
              <w:t>Equity—RSUs</w:t>
            </w:r>
          </w:p>
        </w:tc>
        <w:tc>
          <w:tcPr>
            <w:tcW w:w="280" w:type="dxa"/>
            <w:vAlign w:val="bottom"/>
          </w:tcPr>
          <w:p>
            <w:pPr>
              <w:ind w:left="160"/>
              <w:spacing w:after="0"/>
              <w:rPr>
                <w:sz w:val="20"/>
                <w:szCs w:val="20"/>
                <w:color w:val="auto"/>
              </w:rPr>
            </w:pPr>
            <w:r>
              <w:rPr>
                <w:rFonts w:ascii="Arial" w:cs="Arial" w:eastAsia="Arial" w:hAnsi="Arial"/>
                <w:sz w:val="15"/>
                <w:szCs w:val="15"/>
                <w:color w:val="A26F2A"/>
              </w:rPr>
              <w:t>•</w:t>
            </w:r>
          </w:p>
        </w:tc>
        <w:tc>
          <w:tcPr>
            <w:tcW w:w="4480" w:type="dxa"/>
            <w:vAlign w:val="bottom"/>
          </w:tcPr>
          <w:p>
            <w:pPr>
              <w:ind w:left="40"/>
              <w:spacing w:after="0"/>
              <w:rPr>
                <w:sz w:val="20"/>
                <w:szCs w:val="20"/>
                <w:color w:val="auto"/>
              </w:rPr>
            </w:pPr>
            <w:r>
              <w:rPr>
                <w:rFonts w:ascii="Arial" w:cs="Arial" w:eastAsia="Arial" w:hAnsi="Arial"/>
                <w:sz w:val="15"/>
                <w:szCs w:val="15"/>
                <w:color w:val="auto"/>
              </w:rPr>
              <w:t>Provide a retention incentive, facilitate stock ownership and align</w:t>
            </w:r>
          </w:p>
        </w:tc>
      </w:tr>
      <w:tr>
        <w:trPr>
          <w:trHeight w:val="164"/>
        </w:trPr>
        <w:tc>
          <w:tcPr>
            <w:tcW w:w="1140" w:type="dxa"/>
            <w:vAlign w:val="bottom"/>
            <w:shd w:val="clear" w:color="auto" w:fill="F6F1EB"/>
          </w:tcPr>
          <w:p>
            <w:pPr>
              <w:spacing w:after="0"/>
              <w:rPr>
                <w:sz w:val="14"/>
                <w:szCs w:val="14"/>
                <w:color w:val="auto"/>
              </w:rPr>
            </w:pPr>
          </w:p>
        </w:tc>
        <w:tc>
          <w:tcPr>
            <w:tcW w:w="2920" w:type="dxa"/>
            <w:vAlign w:val="bottom"/>
          </w:tcPr>
          <w:p>
            <w:pPr>
              <w:ind w:left="120"/>
              <w:spacing w:after="0" w:line="164" w:lineRule="exact"/>
              <w:rPr>
                <w:sz w:val="20"/>
                <w:szCs w:val="20"/>
                <w:color w:val="auto"/>
              </w:rPr>
            </w:pPr>
            <w:r>
              <w:rPr>
                <w:rFonts w:ascii="Arial" w:cs="Arial" w:eastAsia="Arial" w:hAnsi="Arial"/>
                <w:sz w:val="15"/>
                <w:szCs w:val="15"/>
                <w:b w:val="1"/>
                <w:bCs w:val="1"/>
                <w:color w:val="auto"/>
              </w:rPr>
              <w:t>Award</w:t>
            </w:r>
          </w:p>
        </w:tc>
        <w:tc>
          <w:tcPr>
            <w:tcW w:w="2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80" w:type="dxa"/>
            <w:vAlign w:val="bottom"/>
          </w:tcPr>
          <w:p>
            <w:pPr>
              <w:ind w:left="40"/>
              <w:spacing w:after="0" w:line="164" w:lineRule="exact"/>
              <w:rPr>
                <w:sz w:val="20"/>
                <w:szCs w:val="20"/>
                <w:color w:val="auto"/>
              </w:rPr>
            </w:pPr>
            <w:r>
              <w:rPr>
                <w:rFonts w:ascii="Arial" w:cs="Arial" w:eastAsia="Arial" w:hAnsi="Arial"/>
                <w:sz w:val="15"/>
                <w:szCs w:val="15"/>
                <w:color w:val="auto"/>
              </w:rPr>
              <w:t>our executives’ interest with long-term stockholder interests</w:t>
            </w:r>
          </w:p>
        </w:tc>
      </w:tr>
      <w:tr>
        <w:trPr>
          <w:trHeight w:val="177"/>
        </w:trPr>
        <w:tc>
          <w:tcPr>
            <w:tcW w:w="1140" w:type="dxa"/>
            <w:vAlign w:val="bottom"/>
            <w:shd w:val="clear" w:color="auto" w:fill="F6F1EB"/>
          </w:tcPr>
          <w:p>
            <w:pPr>
              <w:spacing w:after="0"/>
              <w:rPr>
                <w:sz w:val="15"/>
                <w:szCs w:val="15"/>
                <w:color w:val="auto"/>
              </w:rPr>
            </w:pPr>
          </w:p>
        </w:tc>
        <w:tc>
          <w:tcPr>
            <w:tcW w:w="29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Pr>
          <w:p>
            <w:pPr>
              <w:ind w:left="160"/>
              <w:spacing w:after="0"/>
              <w:rPr>
                <w:sz w:val="20"/>
                <w:szCs w:val="20"/>
                <w:color w:val="auto"/>
              </w:rPr>
            </w:pPr>
            <w:r>
              <w:rPr>
                <w:rFonts w:ascii="Arial" w:cs="Arial" w:eastAsia="Arial" w:hAnsi="Arial"/>
                <w:sz w:val="15"/>
                <w:szCs w:val="15"/>
                <w:color w:val="A26F2A"/>
              </w:rPr>
              <w:t>•</w:t>
            </w:r>
          </w:p>
        </w:tc>
        <w:tc>
          <w:tcPr>
            <w:tcW w:w="4480" w:type="dxa"/>
            <w:vAlign w:val="bottom"/>
          </w:tcPr>
          <w:p>
            <w:pPr>
              <w:ind w:left="40"/>
              <w:spacing w:after="0"/>
              <w:rPr>
                <w:sz w:val="20"/>
                <w:szCs w:val="20"/>
                <w:color w:val="auto"/>
              </w:rPr>
            </w:pPr>
            <w:r>
              <w:rPr>
                <w:rFonts w:ascii="Arial" w:cs="Arial" w:eastAsia="Arial" w:hAnsi="Arial"/>
                <w:sz w:val="15"/>
                <w:szCs w:val="15"/>
                <w:color w:val="auto"/>
              </w:rPr>
              <w:t>Vest in three approximately equal annual installments, with the</w:t>
            </w:r>
          </w:p>
        </w:tc>
      </w:tr>
      <w:tr>
        <w:trPr>
          <w:trHeight w:val="177"/>
        </w:trPr>
        <w:tc>
          <w:tcPr>
            <w:tcW w:w="1140" w:type="dxa"/>
            <w:vAlign w:val="bottom"/>
            <w:shd w:val="clear" w:color="auto" w:fill="F6F1EB"/>
          </w:tcPr>
          <w:p>
            <w:pPr>
              <w:spacing w:after="0"/>
              <w:rPr>
                <w:sz w:val="15"/>
                <w:szCs w:val="15"/>
                <w:color w:val="auto"/>
              </w:rPr>
            </w:pPr>
          </w:p>
        </w:tc>
        <w:tc>
          <w:tcPr>
            <w:tcW w:w="29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tcPr>
          <w:p>
            <w:pPr>
              <w:ind w:left="40"/>
              <w:spacing w:after="0"/>
              <w:rPr>
                <w:sz w:val="20"/>
                <w:szCs w:val="20"/>
                <w:color w:val="auto"/>
              </w:rPr>
            </w:pPr>
            <w:r>
              <w:rPr>
                <w:rFonts w:ascii="Arial" w:cs="Arial" w:eastAsia="Arial" w:hAnsi="Arial"/>
                <w:sz w:val="15"/>
                <w:szCs w:val="15"/>
                <w:color w:val="auto"/>
              </w:rPr>
              <w:t>first installment vesting on the date of grant and the remaining</w:t>
            </w:r>
          </w:p>
        </w:tc>
      </w:tr>
      <w:tr>
        <w:trPr>
          <w:trHeight w:val="177"/>
        </w:trPr>
        <w:tc>
          <w:tcPr>
            <w:tcW w:w="1140" w:type="dxa"/>
            <w:vAlign w:val="bottom"/>
            <w:shd w:val="clear" w:color="auto" w:fill="F6F1EB"/>
          </w:tcPr>
          <w:p>
            <w:pPr>
              <w:spacing w:after="0"/>
              <w:rPr>
                <w:sz w:val="15"/>
                <w:szCs w:val="15"/>
                <w:color w:val="auto"/>
              </w:rPr>
            </w:pPr>
          </w:p>
        </w:tc>
        <w:tc>
          <w:tcPr>
            <w:tcW w:w="2920" w:type="dxa"/>
            <w:vAlign w:val="bottom"/>
          </w:tcPr>
          <w:p>
            <w:pPr>
              <w:ind w:left="700"/>
              <w:spacing w:after="0"/>
              <w:rPr>
                <w:sz w:val="20"/>
                <w:szCs w:val="20"/>
                <w:color w:val="auto"/>
              </w:rPr>
            </w:pPr>
            <w:r>
              <w:rPr>
                <w:rFonts w:ascii="Arial" w:cs="Arial" w:eastAsia="Arial" w:hAnsi="Arial"/>
                <w:sz w:val="15"/>
                <w:szCs w:val="15"/>
                <w:color w:val="auto"/>
              </w:rPr>
              <w:t>of LTI opportunity</w:t>
            </w:r>
          </w:p>
        </w:tc>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tcPr>
          <w:p>
            <w:pPr>
              <w:ind w:left="40"/>
              <w:spacing w:after="0"/>
              <w:rPr>
                <w:sz w:val="20"/>
                <w:szCs w:val="20"/>
                <w:color w:val="auto"/>
              </w:rPr>
            </w:pPr>
            <w:r>
              <w:rPr>
                <w:rFonts w:ascii="Arial" w:cs="Arial" w:eastAsia="Arial" w:hAnsi="Arial"/>
                <w:sz w:val="15"/>
                <w:szCs w:val="15"/>
                <w:color w:val="auto"/>
              </w:rPr>
              <w:t>two installments vesting in March of each subsequent year,</w:t>
            </w:r>
          </w:p>
        </w:tc>
      </w:tr>
      <w:tr>
        <w:trPr>
          <w:trHeight w:val="207"/>
        </w:trPr>
        <w:tc>
          <w:tcPr>
            <w:tcW w:w="1140" w:type="dxa"/>
            <w:vAlign w:val="bottom"/>
            <w:tcBorders>
              <w:bottom w:val="single" w:sz="8" w:color="A26F2A"/>
            </w:tcBorders>
            <w:shd w:val="clear" w:color="auto" w:fill="F6F1EB"/>
          </w:tcPr>
          <w:p>
            <w:pPr>
              <w:spacing w:after="0"/>
              <w:rPr>
                <w:sz w:val="17"/>
                <w:szCs w:val="17"/>
                <w:color w:val="auto"/>
              </w:rPr>
            </w:pPr>
          </w:p>
        </w:tc>
        <w:tc>
          <w:tcPr>
            <w:tcW w:w="2920" w:type="dxa"/>
            <w:vAlign w:val="bottom"/>
            <w:tcBorders>
              <w:bottom w:val="single" w:sz="8" w:color="A26F2A"/>
            </w:tcBorders>
          </w:tcPr>
          <w:p>
            <w:pPr>
              <w:spacing w:after="0"/>
              <w:rPr>
                <w:sz w:val="17"/>
                <w:szCs w:val="17"/>
                <w:color w:val="auto"/>
              </w:rPr>
            </w:pPr>
          </w:p>
        </w:tc>
        <w:tc>
          <w:tcPr>
            <w:tcW w:w="2420" w:type="dxa"/>
            <w:vAlign w:val="bottom"/>
            <w:tcBorders>
              <w:bottom w:val="single" w:sz="8" w:color="A26F2A"/>
            </w:tcBorders>
          </w:tcPr>
          <w:p>
            <w:pPr>
              <w:spacing w:after="0"/>
              <w:rPr>
                <w:sz w:val="17"/>
                <w:szCs w:val="17"/>
                <w:color w:val="auto"/>
              </w:rPr>
            </w:pPr>
          </w:p>
        </w:tc>
        <w:tc>
          <w:tcPr>
            <w:tcW w:w="280" w:type="dxa"/>
            <w:vAlign w:val="bottom"/>
            <w:tcBorders>
              <w:bottom w:val="single" w:sz="8" w:color="A26F2A"/>
            </w:tcBorders>
          </w:tcPr>
          <w:p>
            <w:pPr>
              <w:spacing w:after="0"/>
              <w:rPr>
                <w:sz w:val="17"/>
                <w:szCs w:val="17"/>
                <w:color w:val="auto"/>
              </w:rPr>
            </w:pPr>
          </w:p>
        </w:tc>
        <w:tc>
          <w:tcPr>
            <w:tcW w:w="4480" w:type="dxa"/>
            <w:vAlign w:val="bottom"/>
            <w:tcBorders>
              <w:bottom w:val="single" w:sz="8" w:color="A26F2A"/>
            </w:tcBorders>
          </w:tcPr>
          <w:p>
            <w:pPr>
              <w:ind w:left="40"/>
              <w:spacing w:after="0"/>
              <w:rPr>
                <w:sz w:val="20"/>
                <w:szCs w:val="20"/>
                <w:color w:val="auto"/>
              </w:rPr>
            </w:pPr>
            <w:r>
              <w:rPr>
                <w:rFonts w:ascii="Arial" w:cs="Arial" w:eastAsia="Arial" w:hAnsi="Arial"/>
                <w:sz w:val="15"/>
                <w:szCs w:val="15"/>
                <w:color w:val="auto"/>
              </w:rPr>
              <w:t>assuming continuous service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-1618615</wp:posOffset>
            </wp:positionV>
            <wp:extent cx="312420" cy="3206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12420" cy="32067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-351790</wp:posOffset>
            </wp:positionV>
            <wp:extent cx="312420" cy="3206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12420" cy="320675"/>
                    </a:xfrm>
                    <a:prstGeom prst="rect">
                      <a:avLst/>
                    </a:prstGeom>
                    <a:noFill/>
                  </pic:spPr>
                </pic:pic>
              </a:graphicData>
            </a:graphic>
          </wp:anchor>
        </w:drawing>
      </w:r>
    </w:p>
    <w:p>
      <w:pPr>
        <w:spacing w:after="0" w:line="144"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EXECUTIVE COMPENSATION PROGRAM ELEMENTS</w:t>
      </w:r>
    </w:p>
    <w:p>
      <w:pPr>
        <w:spacing w:after="0" w:line="315"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Our compensation committee determines the mix of compensation, both among short-term and long-term compensation and cash and non-cash compensation, to establish total compensation packages that it believes are appropriate for each of our NEOs. While emphasizing pay for performance, the compensation committee believes that the mix of base salary, performance-based annual incentive bonus awards based on pre-established financial, operational and environmental and safety performance targets, performance-based LTI equity awards, time-based LTI equity awards, and the other benefits that are available to our NEOs will accomplish our overall compensation objectives. We believe that these elements of compensation create competitive, retentive and compelling compensation opportunities and also align our NEO’s interests with long-term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100330</wp:posOffset>
            </wp:positionV>
            <wp:extent cx="6187440" cy="18434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8744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300" w:hanging="299"/>
        <w:spacing w:after="0" w:line="264" w:lineRule="auto"/>
        <w:tabs>
          <w:tab w:leader="none" w:pos="300" w:val="left"/>
        </w:tabs>
        <w:numPr>
          <w:ilvl w:val="0"/>
          <w:numId w:val="72"/>
        </w:numPr>
        <w:rPr>
          <w:rFonts w:ascii="Arial" w:cs="Arial" w:eastAsia="Arial" w:hAnsi="Arial"/>
          <w:sz w:val="13"/>
          <w:szCs w:val="13"/>
          <w:i w:val="1"/>
          <w:iCs w:val="1"/>
          <w:color w:val="auto"/>
        </w:rPr>
      </w:pPr>
      <w:r>
        <w:rPr>
          <w:rFonts w:ascii="Arial" w:cs="Arial" w:eastAsia="Arial" w:hAnsi="Arial"/>
          <w:sz w:val="13"/>
          <w:szCs w:val="13"/>
          <w:i w:val="1"/>
          <w:iCs w:val="1"/>
          <w:color w:val="auto"/>
        </w:rPr>
        <w:t>CEO compensation in this graph is for Mr. Stice, who served as our CEO until May 2025. Each of these pay mix illustrations consists of the annual base salary, annual incentive bonus earned and the grant date fair value of the performance-based and time-based equity awards granted in 2025. These pay mix illustrations exclude amounts listed in the column titled “All Other Compensation” in the Summary Compensation Table set forth on page 66.</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LETTER AGREEMENT WITH EXECUTIVE CHAIRMAN</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On February 20, 2025, the Company and Mr. Stice entered into a letter agreement specifying the terms on which he will serve as Executive Chairman. The letter agreement provides, among other things:</w:t>
      </w:r>
    </w:p>
    <w:p>
      <w:pPr>
        <w:spacing w:after="0" w:line="125" w:lineRule="exact"/>
        <w:rPr>
          <w:sz w:val="20"/>
          <w:szCs w:val="20"/>
          <w:color w:val="auto"/>
        </w:rPr>
      </w:pPr>
    </w:p>
    <w:p>
      <w:pPr>
        <w:ind w:left="160" w:hanging="159"/>
        <w:spacing w:after="0"/>
        <w:tabs>
          <w:tab w:leader="none" w:pos="160" w:val="left"/>
        </w:tabs>
        <w:numPr>
          <w:ilvl w:val="0"/>
          <w:numId w:val="73"/>
        </w:numPr>
        <w:rPr>
          <w:rFonts w:ascii="Arial" w:cs="Arial" w:eastAsia="Arial" w:hAnsi="Arial"/>
          <w:sz w:val="15"/>
          <w:szCs w:val="15"/>
          <w:color w:val="A26F2A"/>
        </w:rPr>
      </w:pPr>
      <w:r>
        <w:rPr>
          <w:rFonts w:ascii="Arial" w:cs="Arial" w:eastAsia="Arial" w:hAnsi="Arial"/>
          <w:sz w:val="15"/>
          <w:szCs w:val="15"/>
          <w:color w:val="auto"/>
        </w:rPr>
        <w:t>Mr. Stice will serve as Executive Chairman until the Company’s 2026 Annual Meeting.</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73"/>
        </w:numPr>
        <w:rPr>
          <w:rFonts w:ascii="Arial" w:cs="Arial" w:eastAsia="Arial" w:hAnsi="Arial"/>
          <w:sz w:val="15"/>
          <w:szCs w:val="15"/>
          <w:color w:val="A26F2A"/>
        </w:rPr>
      </w:pPr>
      <w:r>
        <w:rPr>
          <w:rFonts w:ascii="Arial" w:cs="Arial" w:eastAsia="Arial" w:hAnsi="Arial"/>
          <w:sz w:val="15"/>
          <w:szCs w:val="15"/>
          <w:color w:val="auto"/>
        </w:rPr>
        <w:t>Mr. Stice’s annual base salary was adjusted down to $900,000 and his target annual bonus opportunity for 2025 was set at 150%.</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For further information on the Letter Agreement with Mr. Stice, see page 64.</w:t>
      </w:r>
    </w:p>
    <w:p>
      <w:pPr>
        <w:spacing w:after="0" w:line="18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Pay for Performance Driven Compensation Structure</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describes each element of our executive compensation program, which we use to meet our compensation objectives discussed above.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Base Salary</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compensation committee evaluates our NEOs’ base salaries together with other components of their compensation to ensure equitable total compensation in line with our overall compensation philosophy and market practices in our compensation peer group, our industry in general, and considering other general industry benchmarks for executive roles which are not industry specific. In setting our NEOs’ base salaries and incentive targets for 2025, the compensation committee considered, among other factors:</w:t>
      </w:r>
    </w:p>
    <w:p>
      <w:pPr>
        <w:spacing w:after="0" w:line="142" w:lineRule="exact"/>
        <w:rPr>
          <w:sz w:val="20"/>
          <w:szCs w:val="20"/>
          <w:color w:val="auto"/>
        </w:rPr>
      </w:pPr>
    </w:p>
    <w:p>
      <w:pPr>
        <w:ind w:left="160" w:hanging="159"/>
        <w:spacing w:after="0" w:line="282" w:lineRule="auto"/>
        <w:tabs>
          <w:tab w:leader="none" w:pos="160" w:val="left"/>
        </w:tabs>
        <w:numPr>
          <w:ilvl w:val="0"/>
          <w:numId w:val="74"/>
        </w:numPr>
        <w:rPr>
          <w:rFonts w:ascii="Arial" w:cs="Arial" w:eastAsia="Arial" w:hAnsi="Arial"/>
          <w:sz w:val="15"/>
          <w:szCs w:val="15"/>
          <w:color w:val="A26F2A"/>
        </w:rPr>
      </w:pPr>
      <w:r>
        <w:rPr>
          <w:rFonts w:ascii="Arial" w:cs="Arial" w:eastAsia="Arial" w:hAnsi="Arial"/>
          <w:sz w:val="15"/>
          <w:szCs w:val="15"/>
          <w:color w:val="auto"/>
        </w:rPr>
        <w:t>the market and compensation peer group data included in the study conducted by Meridian, the compensation committee’s independent compensation consultant for 2025, discussed above;</w:t>
      </w:r>
    </w:p>
    <w:p>
      <w:pPr>
        <w:spacing w:after="0" w:line="23" w:lineRule="exact"/>
        <w:rPr>
          <w:rFonts w:ascii="Arial" w:cs="Arial" w:eastAsia="Arial" w:hAnsi="Arial"/>
          <w:sz w:val="15"/>
          <w:szCs w:val="15"/>
          <w:color w:val="A26F2A"/>
        </w:rPr>
      </w:pPr>
    </w:p>
    <w:p>
      <w:pPr>
        <w:ind w:left="160" w:hanging="159"/>
        <w:spacing w:after="0"/>
        <w:tabs>
          <w:tab w:leader="none" w:pos="160" w:val="left"/>
        </w:tabs>
        <w:numPr>
          <w:ilvl w:val="0"/>
          <w:numId w:val="74"/>
        </w:numPr>
        <w:rPr>
          <w:rFonts w:ascii="Arial" w:cs="Arial" w:eastAsia="Arial" w:hAnsi="Arial"/>
          <w:sz w:val="15"/>
          <w:szCs w:val="15"/>
          <w:color w:val="A26F2A"/>
        </w:rPr>
      </w:pPr>
      <w:r>
        <w:rPr>
          <w:rFonts w:ascii="Arial" w:cs="Arial" w:eastAsia="Arial" w:hAnsi="Arial"/>
          <w:sz w:val="15"/>
          <w:szCs w:val="15"/>
          <w:color w:val="auto"/>
        </w:rPr>
        <w:t>the recommendations of Messrs. Stice and Van’t Hof with respect to the base salaries for other NEOs;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74"/>
        </w:numPr>
        <w:rPr>
          <w:rFonts w:ascii="Arial" w:cs="Arial" w:eastAsia="Arial" w:hAnsi="Arial"/>
          <w:sz w:val="15"/>
          <w:szCs w:val="15"/>
          <w:color w:val="A26F2A"/>
        </w:rPr>
      </w:pPr>
      <w:r>
        <w:rPr>
          <w:rFonts w:ascii="Arial" w:cs="Arial" w:eastAsia="Arial" w:hAnsi="Arial"/>
          <w:sz w:val="15"/>
          <w:szCs w:val="15"/>
          <w:color w:val="auto"/>
        </w:rPr>
        <w:t>the complexity of the individual’s role within the Company;</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74"/>
        </w:numPr>
        <w:rPr>
          <w:rFonts w:ascii="Arial" w:cs="Arial" w:eastAsia="Arial" w:hAnsi="Arial"/>
          <w:sz w:val="15"/>
          <w:szCs w:val="15"/>
          <w:color w:val="A26F2A"/>
        </w:rPr>
      </w:pPr>
      <w:r>
        <w:rPr>
          <w:rFonts w:ascii="Arial" w:cs="Arial" w:eastAsia="Arial" w:hAnsi="Arial"/>
          <w:sz w:val="15"/>
          <w:szCs w:val="15"/>
          <w:color w:val="auto"/>
        </w:rPr>
        <w:t>the individuals’ expertise, experience, rarity of skill, and potential for advancement;</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74"/>
        </w:numPr>
        <w:rPr>
          <w:rFonts w:ascii="Arial" w:cs="Arial" w:eastAsia="Arial" w:hAnsi="Arial"/>
          <w:sz w:val="15"/>
          <w:szCs w:val="15"/>
          <w:color w:val="A26F2A"/>
        </w:rPr>
      </w:pPr>
      <w:r>
        <w:rPr>
          <w:rFonts w:ascii="Arial" w:cs="Arial" w:eastAsia="Arial" w:hAnsi="Arial"/>
          <w:sz w:val="15"/>
          <w:szCs w:val="15"/>
          <w:color w:val="auto"/>
        </w:rPr>
        <w:t>if the executive was promoted or identified in our succession planning; and</w:t>
      </w:r>
    </w:p>
    <w:p>
      <w:pPr>
        <w:spacing w:after="0" w:line="79"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74"/>
        </w:numPr>
        <w:rPr>
          <w:rFonts w:ascii="Arial" w:cs="Arial" w:eastAsia="Arial" w:hAnsi="Arial"/>
          <w:sz w:val="15"/>
          <w:szCs w:val="15"/>
          <w:color w:val="A26F2A"/>
        </w:rPr>
      </w:pPr>
      <w:r>
        <w:rPr>
          <w:rFonts w:ascii="Arial" w:cs="Arial" w:eastAsia="Arial" w:hAnsi="Arial"/>
          <w:sz w:val="15"/>
          <w:szCs w:val="15"/>
          <w:color w:val="auto"/>
        </w:rPr>
        <w:t>individual performance, leadership and contribution toward the Company’s achievement of certain financial, operational and environmental and safety metrics discussed in this compensation discussion and analysis.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compensation committee approved an increase to our other NEOs’ annual base salaries for 2025 as compared to 2024 based on Company and individual performance and competitive benchmarks for their respective roles and responsibilities. Based on the foregoing considerations, the compensation committee set the following annual base salaries for our NEOs effective as of February 23,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2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Name</w:t>
            </w:r>
          </w:p>
        </w:tc>
        <w:tc>
          <w:tcPr>
            <w:tcW w:w="4820" w:type="dxa"/>
            <w:vAlign w:val="bottom"/>
            <w:tcBorders>
              <w:bottom w:val="single" w:sz="8" w:color="A26F2A"/>
            </w:tcBorders>
            <w:gridSpan w:val="2"/>
          </w:tcPr>
          <w:p>
            <w:pPr>
              <w:jc w:val="right"/>
              <w:ind w:right="124"/>
              <w:spacing w:after="0"/>
              <w:rPr>
                <w:sz w:val="20"/>
                <w:szCs w:val="20"/>
                <w:color w:val="auto"/>
              </w:rPr>
            </w:pPr>
            <w:r>
              <w:rPr>
                <w:rFonts w:ascii="Arial" w:cs="Arial" w:eastAsia="Arial" w:hAnsi="Arial"/>
                <w:sz w:val="15"/>
                <w:szCs w:val="15"/>
                <w:b w:val="1"/>
                <w:bCs w:val="1"/>
                <w:color w:val="auto"/>
              </w:rPr>
              <w:t>2025 Base Salary</w:t>
            </w:r>
          </w:p>
        </w:tc>
        <w:tc>
          <w:tcPr>
            <w:tcW w:w="1500" w:type="dxa"/>
            <w:vAlign w:val="bottom"/>
            <w:tcBorders>
              <w:bottom w:val="single" w:sz="8" w:color="A26F2A"/>
            </w:tcBorders>
            <w:gridSpan w:val="2"/>
          </w:tcPr>
          <w:p>
            <w:pPr>
              <w:jc w:val="right"/>
              <w:spacing w:after="0"/>
              <w:rPr>
                <w:sz w:val="20"/>
                <w:szCs w:val="20"/>
                <w:color w:val="auto"/>
              </w:rPr>
            </w:pPr>
            <w:r>
              <w:rPr>
                <w:rFonts w:ascii="Arial" w:cs="Arial" w:eastAsia="Arial" w:hAnsi="Arial"/>
                <w:sz w:val="15"/>
                <w:szCs w:val="15"/>
                <w:b w:val="1"/>
                <w:bCs w:val="1"/>
                <w:color w:val="auto"/>
              </w:rPr>
              <w:t>2024 Base Salary</w:t>
            </w:r>
          </w:p>
        </w:tc>
      </w:tr>
      <w:tr>
        <w:trPr>
          <w:trHeight w:val="227"/>
        </w:trPr>
        <w:tc>
          <w:tcPr>
            <w:tcW w:w="4920" w:type="dxa"/>
            <w:vAlign w:val="bottom"/>
            <w:tcBorders>
              <w:bottom w:val="single" w:sz="8" w:color="A8A8AC"/>
            </w:tcBorders>
          </w:tcPr>
          <w:p>
            <w:pPr>
              <w:ind w:left="60"/>
              <w:spacing w:after="0" w:line="227" w:lineRule="exact"/>
              <w:rPr>
                <w:sz w:val="20"/>
                <w:szCs w:val="20"/>
                <w:color w:val="auto"/>
              </w:rPr>
            </w:pPr>
            <w:r>
              <w:rPr>
                <w:rFonts w:ascii="Arial" w:cs="Arial" w:eastAsia="Arial" w:hAnsi="Arial"/>
                <w:sz w:val="15"/>
                <w:szCs w:val="15"/>
                <w:b w:val="1"/>
                <w:bCs w:val="1"/>
                <w:color w:val="auto"/>
              </w:rPr>
              <w:t>Travis D. Stice</w:t>
            </w:r>
            <w:r>
              <w:rPr>
                <w:rFonts w:ascii="Arial" w:cs="Arial" w:eastAsia="Arial" w:hAnsi="Arial"/>
                <w:sz w:val="25"/>
                <w:szCs w:val="25"/>
                <w:b w:val="1"/>
                <w:bCs w:val="1"/>
                <w:color w:val="auto"/>
                <w:vertAlign w:val="superscript"/>
              </w:rPr>
              <w:t>(1)</w:t>
            </w:r>
          </w:p>
        </w:tc>
        <w:tc>
          <w:tcPr>
            <w:tcW w:w="3720" w:type="dxa"/>
            <w:vAlign w:val="bottom"/>
            <w:tcBorders>
              <w:bottom w:val="single" w:sz="8" w:color="A8A8AC"/>
            </w:tcBorders>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8AC"/>
            </w:tcBorders>
          </w:tcPr>
          <w:p>
            <w:pPr>
              <w:jc w:val="right"/>
              <w:ind w:right="124"/>
              <w:spacing w:after="0"/>
              <w:rPr>
                <w:sz w:val="20"/>
                <w:szCs w:val="20"/>
                <w:color w:val="auto"/>
              </w:rPr>
            </w:pPr>
            <w:r>
              <w:rPr>
                <w:rFonts w:ascii="Arial" w:cs="Arial" w:eastAsia="Arial" w:hAnsi="Arial"/>
                <w:sz w:val="15"/>
                <w:szCs w:val="15"/>
                <w:color w:val="auto"/>
              </w:rPr>
              <w:t>1,500,000</w:t>
            </w:r>
          </w:p>
        </w:tc>
        <w:tc>
          <w:tcPr>
            <w:tcW w:w="560" w:type="dxa"/>
            <w:vAlign w:val="bottom"/>
            <w:tcBorders>
              <w:bottom w:val="single" w:sz="8" w:color="A8A8AC"/>
            </w:tcBorders>
          </w:tcPr>
          <w:p>
            <w:pPr>
              <w:jc w:val="right"/>
              <w:ind w:right="14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1,400,000</w:t>
            </w:r>
          </w:p>
        </w:tc>
      </w:tr>
      <w:tr>
        <w:trPr>
          <w:trHeight w:val="220"/>
        </w:trPr>
        <w:tc>
          <w:tcPr>
            <w:tcW w:w="4920" w:type="dxa"/>
            <w:vAlign w:val="bottom"/>
            <w:tcBorders>
              <w:bottom w:val="single" w:sz="8" w:color="A8A8AC"/>
            </w:tcBorders>
          </w:tcPr>
          <w:p>
            <w:pPr>
              <w:ind w:left="60"/>
              <w:spacing w:after="0" w:line="220" w:lineRule="exact"/>
              <w:rPr>
                <w:sz w:val="20"/>
                <w:szCs w:val="20"/>
                <w:color w:val="auto"/>
              </w:rPr>
            </w:pPr>
            <w:r>
              <w:rPr>
                <w:rFonts w:ascii="Arial" w:cs="Arial" w:eastAsia="Arial" w:hAnsi="Arial"/>
                <w:sz w:val="15"/>
                <w:szCs w:val="15"/>
                <w:b w:val="1"/>
                <w:bCs w:val="1"/>
                <w:color w:val="auto"/>
              </w:rPr>
              <w:t>Kaes Van’t Hof</w:t>
            </w:r>
            <w:r>
              <w:rPr>
                <w:rFonts w:ascii="Arial" w:cs="Arial" w:eastAsia="Arial" w:hAnsi="Arial"/>
                <w:sz w:val="25"/>
                <w:szCs w:val="25"/>
                <w:b w:val="1"/>
                <w:bCs w:val="1"/>
                <w:color w:val="auto"/>
                <w:vertAlign w:val="superscript"/>
              </w:rPr>
              <w:t>(2)</w:t>
            </w:r>
          </w:p>
        </w:tc>
        <w:tc>
          <w:tcPr>
            <w:tcW w:w="3720" w:type="dxa"/>
            <w:vAlign w:val="bottom"/>
            <w:tcBorders>
              <w:bottom w:val="single" w:sz="8" w:color="A8A8AC"/>
            </w:tcBorders>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8AC"/>
            </w:tcBorders>
          </w:tcPr>
          <w:p>
            <w:pPr>
              <w:jc w:val="right"/>
              <w:ind w:right="124"/>
              <w:spacing w:after="0"/>
              <w:rPr>
                <w:sz w:val="20"/>
                <w:szCs w:val="20"/>
                <w:color w:val="auto"/>
              </w:rPr>
            </w:pPr>
            <w:r>
              <w:rPr>
                <w:rFonts w:ascii="Arial" w:cs="Arial" w:eastAsia="Arial" w:hAnsi="Arial"/>
                <w:sz w:val="15"/>
                <w:szCs w:val="15"/>
                <w:color w:val="auto"/>
              </w:rPr>
              <w:t>800,000</w:t>
            </w:r>
          </w:p>
        </w:tc>
        <w:tc>
          <w:tcPr>
            <w:tcW w:w="560" w:type="dxa"/>
            <w:vAlign w:val="bottom"/>
            <w:tcBorders>
              <w:bottom w:val="single" w:sz="8" w:color="A8A8AC"/>
            </w:tcBorders>
          </w:tcPr>
          <w:p>
            <w:pPr>
              <w:jc w:val="right"/>
              <w:ind w:right="14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700,000</w:t>
            </w:r>
          </w:p>
        </w:tc>
      </w:tr>
      <w:tr>
        <w:trPr>
          <w:trHeight w:val="182"/>
        </w:trPr>
        <w:tc>
          <w:tcPr>
            <w:tcW w:w="4920" w:type="dxa"/>
            <w:vAlign w:val="bottom"/>
            <w:tcBorders>
              <w:bottom w:val="single" w:sz="8" w:color="A8A8AC"/>
            </w:tcBorders>
          </w:tcPr>
          <w:p>
            <w:pPr>
              <w:ind w:left="60"/>
              <w:spacing w:after="0"/>
              <w:rPr>
                <w:sz w:val="20"/>
                <w:szCs w:val="20"/>
                <w:color w:val="auto"/>
              </w:rPr>
            </w:pPr>
            <w:r>
              <w:rPr>
                <w:rFonts w:ascii="Arial" w:cs="Arial" w:eastAsia="Arial" w:hAnsi="Arial"/>
                <w:sz w:val="15"/>
                <w:szCs w:val="15"/>
                <w:b w:val="1"/>
                <w:bCs w:val="1"/>
                <w:color w:val="auto"/>
              </w:rPr>
              <w:t>Jere W. Thompson III</w:t>
            </w:r>
          </w:p>
        </w:tc>
        <w:tc>
          <w:tcPr>
            <w:tcW w:w="3720" w:type="dxa"/>
            <w:vAlign w:val="bottom"/>
            <w:tcBorders>
              <w:bottom w:val="single" w:sz="8" w:color="A8A8AC"/>
            </w:tcBorders>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8AC"/>
            </w:tcBorders>
          </w:tcPr>
          <w:p>
            <w:pPr>
              <w:jc w:val="right"/>
              <w:ind w:right="124"/>
              <w:spacing w:after="0"/>
              <w:rPr>
                <w:sz w:val="20"/>
                <w:szCs w:val="20"/>
                <w:color w:val="auto"/>
              </w:rPr>
            </w:pPr>
            <w:r>
              <w:rPr>
                <w:rFonts w:ascii="Arial" w:cs="Arial" w:eastAsia="Arial" w:hAnsi="Arial"/>
                <w:sz w:val="15"/>
                <w:szCs w:val="15"/>
                <w:color w:val="auto"/>
              </w:rPr>
              <w:t>550,000</w:t>
            </w:r>
          </w:p>
        </w:tc>
        <w:tc>
          <w:tcPr>
            <w:tcW w:w="560" w:type="dxa"/>
            <w:vAlign w:val="bottom"/>
            <w:tcBorders>
              <w:bottom w:val="single" w:sz="8" w:color="A8A8AC"/>
            </w:tcBorders>
          </w:tcPr>
          <w:p>
            <w:pPr>
              <w:jc w:val="right"/>
              <w:ind w:right="14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500,000</w:t>
            </w:r>
          </w:p>
        </w:tc>
      </w:tr>
      <w:tr>
        <w:trPr>
          <w:trHeight w:val="182"/>
        </w:trPr>
        <w:tc>
          <w:tcPr>
            <w:tcW w:w="4920" w:type="dxa"/>
            <w:vAlign w:val="bottom"/>
            <w:tcBorders>
              <w:bottom w:val="single" w:sz="8" w:color="A8A8AC"/>
            </w:tcBorders>
          </w:tcPr>
          <w:p>
            <w:pPr>
              <w:ind w:left="60"/>
              <w:spacing w:after="0"/>
              <w:rPr>
                <w:sz w:val="20"/>
                <w:szCs w:val="20"/>
                <w:color w:val="auto"/>
              </w:rPr>
            </w:pPr>
            <w:r>
              <w:rPr>
                <w:rFonts w:ascii="Arial" w:cs="Arial" w:eastAsia="Arial" w:hAnsi="Arial"/>
                <w:sz w:val="15"/>
                <w:szCs w:val="15"/>
                <w:b w:val="1"/>
                <w:bCs w:val="1"/>
                <w:color w:val="auto"/>
              </w:rPr>
              <w:t>Teresa L. Dick</w:t>
            </w:r>
          </w:p>
        </w:tc>
        <w:tc>
          <w:tcPr>
            <w:tcW w:w="3720" w:type="dxa"/>
            <w:vAlign w:val="bottom"/>
            <w:tcBorders>
              <w:bottom w:val="single" w:sz="8" w:color="A8A8AC"/>
            </w:tcBorders>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8AC"/>
            </w:tcBorders>
          </w:tcPr>
          <w:p>
            <w:pPr>
              <w:jc w:val="right"/>
              <w:ind w:right="124"/>
              <w:spacing w:after="0"/>
              <w:rPr>
                <w:sz w:val="20"/>
                <w:szCs w:val="20"/>
                <w:color w:val="auto"/>
              </w:rPr>
            </w:pPr>
            <w:r>
              <w:rPr>
                <w:rFonts w:ascii="Arial" w:cs="Arial" w:eastAsia="Arial" w:hAnsi="Arial"/>
                <w:sz w:val="15"/>
                <w:szCs w:val="15"/>
                <w:color w:val="auto"/>
              </w:rPr>
              <w:t>550,000</w:t>
            </w:r>
          </w:p>
        </w:tc>
        <w:tc>
          <w:tcPr>
            <w:tcW w:w="560" w:type="dxa"/>
            <w:vAlign w:val="bottom"/>
            <w:tcBorders>
              <w:bottom w:val="single" w:sz="8" w:color="A8A8AC"/>
            </w:tcBorders>
          </w:tcPr>
          <w:p>
            <w:pPr>
              <w:jc w:val="right"/>
              <w:ind w:right="14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525,000</w:t>
            </w:r>
          </w:p>
        </w:tc>
      </w:tr>
      <w:tr>
        <w:trPr>
          <w:trHeight w:val="182"/>
        </w:trPr>
        <w:tc>
          <w:tcPr>
            <w:tcW w:w="4920" w:type="dxa"/>
            <w:vAlign w:val="bottom"/>
            <w:tcBorders>
              <w:bottom w:val="single" w:sz="8" w:color="A8A8AC"/>
            </w:tcBorders>
          </w:tcPr>
          <w:p>
            <w:pPr>
              <w:ind w:left="60"/>
              <w:spacing w:after="0"/>
              <w:rPr>
                <w:sz w:val="20"/>
                <w:szCs w:val="20"/>
                <w:color w:val="auto"/>
              </w:rPr>
            </w:pPr>
            <w:r>
              <w:rPr>
                <w:rFonts w:ascii="Arial" w:cs="Arial" w:eastAsia="Arial" w:hAnsi="Arial"/>
                <w:sz w:val="15"/>
                <w:szCs w:val="15"/>
                <w:b w:val="1"/>
                <w:bCs w:val="1"/>
                <w:color w:val="auto"/>
              </w:rPr>
              <w:t>Daniel N. Wesson</w:t>
            </w:r>
          </w:p>
        </w:tc>
        <w:tc>
          <w:tcPr>
            <w:tcW w:w="3720" w:type="dxa"/>
            <w:vAlign w:val="bottom"/>
            <w:tcBorders>
              <w:bottom w:val="single" w:sz="8" w:color="A8A8AC"/>
            </w:tcBorders>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8AC"/>
            </w:tcBorders>
          </w:tcPr>
          <w:p>
            <w:pPr>
              <w:jc w:val="right"/>
              <w:ind w:right="124"/>
              <w:spacing w:after="0"/>
              <w:rPr>
                <w:sz w:val="20"/>
                <w:szCs w:val="20"/>
                <w:color w:val="auto"/>
              </w:rPr>
            </w:pPr>
            <w:r>
              <w:rPr>
                <w:rFonts w:ascii="Arial" w:cs="Arial" w:eastAsia="Arial" w:hAnsi="Arial"/>
                <w:sz w:val="15"/>
                <w:szCs w:val="15"/>
                <w:color w:val="auto"/>
              </w:rPr>
              <w:t>700,000</w:t>
            </w:r>
          </w:p>
        </w:tc>
        <w:tc>
          <w:tcPr>
            <w:tcW w:w="560" w:type="dxa"/>
            <w:vAlign w:val="bottom"/>
            <w:tcBorders>
              <w:bottom w:val="single" w:sz="8" w:color="A8A8AC"/>
            </w:tcBorders>
          </w:tcPr>
          <w:p>
            <w:pPr>
              <w:jc w:val="right"/>
              <w:ind w:right="14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650,000</w:t>
            </w:r>
          </w:p>
        </w:tc>
      </w:tr>
      <w:tr>
        <w:trPr>
          <w:trHeight w:val="182"/>
        </w:trPr>
        <w:tc>
          <w:tcPr>
            <w:tcW w:w="492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Matt Zmigrosky</w:t>
            </w:r>
          </w:p>
        </w:tc>
        <w:tc>
          <w:tcPr>
            <w:tcW w:w="3720" w:type="dxa"/>
            <w:vAlign w:val="bottom"/>
            <w:tcBorders>
              <w:bottom w:val="single" w:sz="8" w:color="A26F2A"/>
            </w:tcBorders>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26F2A"/>
            </w:tcBorders>
          </w:tcPr>
          <w:p>
            <w:pPr>
              <w:jc w:val="right"/>
              <w:ind w:right="124"/>
              <w:spacing w:after="0"/>
              <w:rPr>
                <w:sz w:val="20"/>
                <w:szCs w:val="20"/>
                <w:color w:val="auto"/>
              </w:rPr>
            </w:pPr>
            <w:r>
              <w:rPr>
                <w:rFonts w:ascii="Arial" w:cs="Arial" w:eastAsia="Arial" w:hAnsi="Arial"/>
                <w:sz w:val="15"/>
                <w:szCs w:val="15"/>
                <w:color w:val="auto"/>
              </w:rPr>
              <w:t>700,000</w:t>
            </w:r>
          </w:p>
        </w:tc>
        <w:tc>
          <w:tcPr>
            <w:tcW w:w="560" w:type="dxa"/>
            <w:vAlign w:val="bottom"/>
            <w:tcBorders>
              <w:bottom w:val="single" w:sz="8" w:color="A26F2A"/>
            </w:tcBorders>
          </w:tcPr>
          <w:p>
            <w:pPr>
              <w:jc w:val="right"/>
              <w:ind w:right="14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630,000</w:t>
            </w:r>
          </w:p>
        </w:tc>
      </w:tr>
    </w:tbl>
    <w:p>
      <w:pPr>
        <w:spacing w:after="0" w:line="56" w:lineRule="exact"/>
        <w:rPr>
          <w:sz w:val="20"/>
          <w:szCs w:val="20"/>
          <w:color w:val="auto"/>
        </w:rPr>
      </w:pPr>
    </w:p>
    <w:p>
      <w:pPr>
        <w:ind w:left="300" w:hanging="299"/>
        <w:spacing w:after="0"/>
        <w:tabs>
          <w:tab w:leader="none" w:pos="300" w:val="left"/>
        </w:tabs>
        <w:numPr>
          <w:ilvl w:val="0"/>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In accordance with the letter agreement with Mr. Stice, effective as of the Company’s 2025 Annual Meeting in May 2025, Mr. Stice’s base salary was adjusted to be $900,000.</w:t>
      </w:r>
    </w:p>
    <w:p>
      <w:pPr>
        <w:spacing w:after="0" w:line="52" w:lineRule="exact"/>
        <w:rPr>
          <w:rFonts w:ascii="Arial" w:cs="Arial" w:eastAsia="Arial" w:hAnsi="Arial"/>
          <w:sz w:val="13"/>
          <w:szCs w:val="13"/>
          <w:i w:val="1"/>
          <w:iCs w:val="1"/>
          <w:color w:val="auto"/>
        </w:rPr>
      </w:pPr>
    </w:p>
    <w:p>
      <w:pPr>
        <w:ind w:left="300" w:hanging="299"/>
        <w:spacing w:after="0"/>
        <w:tabs>
          <w:tab w:leader="none" w:pos="300" w:val="left"/>
        </w:tabs>
        <w:numPr>
          <w:ilvl w:val="0"/>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Effective as of Mr. Van’t Hof’s promotion to Chief Executive Officer as of the Company’s 2025 Annual Meeting in May 2025, Mr. Van’t Hof’s base salary was adjusted to be $1,300,000.</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Performance-Based Annual Incentive Bonus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26F2A"/>
        </w:rPr>
        <w:t>2025 PERFORMANCE BONUS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Performance bonuses to our NEOs for 2025 were granted under our Executive Annual Incentive Compensation Plan (the Annual Incentive Plan). The Annual Incentive Plan is designed to provide an incentive to our executive officers to contribute to the growth, profitability and increased value of the Company. The Annual Incentive Plan is focused on achievement of annual objectives and goals, determined at the beginning of each calendar year. Participants may earn a pre-determined percentage of base salary for the achievement of specified goals (performance targets). The payout opportunity varies for performance above and below the pre-established target performance levels. For a more detailed description of the Annual Incentive Plan, see “Other Significant Compensation and Benefit Plans, Policies and Practices— Annual Incentive Plan” beginning on page 62 of this proxy statement.</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With respect to each annual performance period, the compensation committee specifies the performance factors and the performance target levels applicable to each award. Performance targets may include a level of performance below which no payment will be made and levels of performance at which specified percentages of the award will be paid as well as a maximum level of performance above which no additional award will be paid.</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Below is a simple illustration of the design of Diamondback’s 2025 Performance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1235075</wp:posOffset>
            </wp:positionH>
            <wp:positionV relativeFrom="paragraph">
              <wp:posOffset>122555</wp:posOffset>
            </wp:positionV>
            <wp:extent cx="4680585" cy="7531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680585" cy="75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For 2025, the compensation committee did not change the annual incentive target percentages for Ms. Dick or Messrs. Stice, Wesson or Zmigrosky. The compensation committee increased the annual incentive target percentage from 80% to 90% for Mr. Thompson in connection with his promotion to Executive Vice President and Chief Financial Officer in February 2025. In connection with Mr. Van’t Hof’s promotion to Chief Executive Officer as of the Company’s 2025 Annual Meeting, Mr. Van’t Hof’s annual incentive target percentage increased from 100% to 150%.</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Each year, the compensation committee, advised by its independent compensation consultant and informed by feedback received during the Company’s substantial stockholder engagement efforts, undertakes a thorough and rigorous process to review each element of the Company’s Annual Incentive Plan scorecard. The compensation committee’s desire to be proactive in implementing thoughtful changes to our compensation practices has allowed the compensation committee to continually construct a scorecard that is directly responsive to stockholder feedback and is intended to incentivize our management team in ways that translate to stockholder value creation and encourage responsible governance practices. This strategy is reflected in the evolution of the scorecard over the last decade during which the compensation committee proactively:</w:t>
      </w:r>
    </w:p>
    <w:p>
      <w:pPr>
        <w:spacing w:after="0" w:line="146" w:lineRule="exact"/>
        <w:rPr>
          <w:sz w:val="20"/>
          <w:szCs w:val="20"/>
          <w:color w:val="auto"/>
        </w:rPr>
      </w:pPr>
    </w:p>
    <w:p>
      <w:pPr>
        <w:ind w:left="300" w:hanging="299"/>
        <w:spacing w:after="0"/>
        <w:tabs>
          <w:tab w:leader="none" w:pos="300" w:val="left"/>
        </w:tabs>
        <w:numPr>
          <w:ilvl w:val="0"/>
          <w:numId w:val="76"/>
        </w:numPr>
        <w:rPr>
          <w:rFonts w:ascii="Arial" w:cs="Arial" w:eastAsia="Arial" w:hAnsi="Arial"/>
          <w:sz w:val="15"/>
          <w:szCs w:val="15"/>
          <w:b w:val="1"/>
          <w:bCs w:val="1"/>
          <w:color w:val="auto"/>
        </w:rPr>
      </w:pPr>
      <w:r>
        <w:rPr>
          <w:rFonts w:ascii="Arial" w:cs="Arial" w:eastAsia="Arial" w:hAnsi="Arial"/>
          <w:sz w:val="15"/>
          <w:szCs w:val="15"/>
          <w:color w:val="auto"/>
        </w:rPr>
        <w:t>eliminated production and reserves growth metrics;</w:t>
      </w:r>
    </w:p>
    <w:p>
      <w:pPr>
        <w:spacing w:after="0" w:line="79" w:lineRule="exact"/>
        <w:rPr>
          <w:rFonts w:ascii="Arial" w:cs="Arial" w:eastAsia="Arial" w:hAnsi="Arial"/>
          <w:sz w:val="15"/>
          <w:szCs w:val="15"/>
          <w:b w:val="1"/>
          <w:bCs w:val="1"/>
          <w:color w:val="auto"/>
        </w:rPr>
      </w:pPr>
    </w:p>
    <w:p>
      <w:pPr>
        <w:ind w:left="300" w:hanging="299"/>
        <w:spacing w:after="0"/>
        <w:tabs>
          <w:tab w:leader="none" w:pos="300" w:val="left"/>
        </w:tabs>
        <w:numPr>
          <w:ilvl w:val="0"/>
          <w:numId w:val="76"/>
        </w:numPr>
        <w:rPr>
          <w:rFonts w:ascii="Arial" w:cs="Arial" w:eastAsia="Arial" w:hAnsi="Arial"/>
          <w:sz w:val="15"/>
          <w:szCs w:val="15"/>
          <w:b w:val="1"/>
          <w:bCs w:val="1"/>
          <w:color w:val="auto"/>
        </w:rPr>
      </w:pPr>
      <w:r>
        <w:rPr>
          <w:rFonts w:ascii="Arial" w:cs="Arial" w:eastAsia="Arial" w:hAnsi="Arial"/>
          <w:sz w:val="15"/>
          <w:szCs w:val="15"/>
          <w:color w:val="auto"/>
        </w:rPr>
        <w:t>added a return on average capital employed metric to our performance factors;</w:t>
      </w:r>
    </w:p>
    <w:p>
      <w:pPr>
        <w:spacing w:after="0" w:line="79" w:lineRule="exact"/>
        <w:rPr>
          <w:rFonts w:ascii="Arial" w:cs="Arial" w:eastAsia="Arial" w:hAnsi="Arial"/>
          <w:sz w:val="15"/>
          <w:szCs w:val="15"/>
          <w:b w:val="1"/>
          <w:bCs w:val="1"/>
          <w:color w:val="auto"/>
        </w:rPr>
      </w:pPr>
    </w:p>
    <w:p>
      <w:pPr>
        <w:ind w:left="300" w:hanging="299"/>
        <w:spacing w:after="0"/>
        <w:tabs>
          <w:tab w:leader="none" w:pos="300" w:val="left"/>
        </w:tabs>
        <w:numPr>
          <w:ilvl w:val="0"/>
          <w:numId w:val="76"/>
        </w:numPr>
        <w:rPr>
          <w:rFonts w:ascii="Arial" w:cs="Arial" w:eastAsia="Arial" w:hAnsi="Arial"/>
          <w:sz w:val="15"/>
          <w:szCs w:val="15"/>
          <w:b w:val="1"/>
          <w:bCs w:val="1"/>
          <w:color w:val="auto"/>
        </w:rPr>
      </w:pPr>
      <w:r>
        <w:rPr>
          <w:rFonts w:ascii="Arial" w:cs="Arial" w:eastAsia="Arial" w:hAnsi="Arial"/>
          <w:sz w:val="15"/>
          <w:szCs w:val="15"/>
          <w:color w:val="auto"/>
        </w:rPr>
        <w:t>added specific, measurable environmental and safety performance targets; and</w:t>
      </w:r>
    </w:p>
    <w:p>
      <w:pPr>
        <w:spacing w:after="0" w:line="79" w:lineRule="exact"/>
        <w:rPr>
          <w:rFonts w:ascii="Arial" w:cs="Arial" w:eastAsia="Arial" w:hAnsi="Arial"/>
          <w:sz w:val="15"/>
          <w:szCs w:val="15"/>
          <w:b w:val="1"/>
          <w:bCs w:val="1"/>
          <w:color w:val="auto"/>
        </w:rPr>
      </w:pPr>
    </w:p>
    <w:p>
      <w:pPr>
        <w:ind w:left="300" w:hanging="299"/>
        <w:spacing w:after="0" w:line="282" w:lineRule="auto"/>
        <w:tabs>
          <w:tab w:leader="none" w:pos="300" w:val="left"/>
        </w:tabs>
        <w:numPr>
          <w:ilvl w:val="0"/>
          <w:numId w:val="76"/>
        </w:numPr>
        <w:rPr>
          <w:rFonts w:ascii="Arial" w:cs="Arial" w:eastAsia="Arial" w:hAnsi="Arial"/>
          <w:sz w:val="15"/>
          <w:szCs w:val="15"/>
          <w:b w:val="1"/>
          <w:bCs w:val="1"/>
          <w:color w:val="auto"/>
        </w:rPr>
      </w:pPr>
      <w:r>
        <w:rPr>
          <w:rFonts w:ascii="Arial" w:cs="Arial" w:eastAsia="Arial" w:hAnsi="Arial"/>
          <w:sz w:val="15"/>
          <w:szCs w:val="15"/>
          <w:color w:val="auto"/>
        </w:rPr>
        <w:t>included more performance factors focused on financial returns and increased the weighting of such performance factors while reducing the weighting of performance factors related to costs and capital efficiency.</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When constructing the Annual Incentive Plan scorecard for 2025, the compensation committee again reviewed significant data from its independent compensation consultant, incorporated stockholder feedback and reviewed the performance factors in light of the Company’s strategic objectives for 2025. The compensation committee also observed the positive trend of consistent stockholder support for the Company’s executive compensation programs, with stockholders voting to approve the Company’s say-on-pay proposal at a rate of at least 95% for each of the past 4 years. Accordingly, the framework for the 2025 Annual Incentive Plan scorecard was largely unchanged. The compensation committee elected to maintain the same categories of performance factors and the same weightings for each performance factor, with the few adjustments described below.</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First, the compensation committee removed the total gas flaring performance factor from the scorecard (previously weighted at 2.5%) and maintained the gas flaring related to Company operations performance factor and increased the weighting from 2.5% to 5%. Upon further evaluation by the compensation committee, total gas flaring comprises the majority of the Company’s Scope 1 GHG intensity outcome and is largely driven by the actions of third parties that are out of the Company’s control. As Scope 1 GHG intensity is separately measured in the current scorecard framework, the compensation committee elected to narrow the gas flaring performance factor to Company operations and set rigorous performance targets for 2025 that account for the integration of the Endeavor assets.</w:t>
      </w:r>
    </w:p>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Second, the compensation committee approved slight modifications to its water usage performance factor given the Company met and exceeded its prior water recycling target. For 2025, the performance factor was calculated by taking total barrels of non-fresh water used, divided by total barrels of water used in operations.</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When establishing the 2025 performance levels for each performance factor under the Annual Incentive Plan, the compensation committee reviewed, among other things:</w:t>
      </w:r>
    </w:p>
    <w:p>
      <w:pPr>
        <w:spacing w:after="0" w:line="125" w:lineRule="exact"/>
        <w:rPr>
          <w:sz w:val="20"/>
          <w:szCs w:val="20"/>
          <w:color w:val="auto"/>
        </w:rPr>
      </w:pPr>
    </w:p>
    <w:p>
      <w:pPr>
        <w:ind w:left="160" w:hanging="159"/>
        <w:spacing w:after="0"/>
        <w:tabs>
          <w:tab w:leader="none" w:pos="160" w:val="left"/>
        </w:tabs>
        <w:numPr>
          <w:ilvl w:val="0"/>
          <w:numId w:val="77"/>
        </w:numPr>
        <w:rPr>
          <w:rFonts w:ascii="Arial" w:cs="Arial" w:eastAsia="Arial" w:hAnsi="Arial"/>
          <w:sz w:val="15"/>
          <w:szCs w:val="15"/>
          <w:color w:val="A26F2A"/>
        </w:rPr>
      </w:pPr>
      <w:r>
        <w:rPr>
          <w:rFonts w:ascii="Arial" w:cs="Arial" w:eastAsia="Arial" w:hAnsi="Arial"/>
          <w:sz w:val="15"/>
          <w:szCs w:val="15"/>
          <w:color w:val="auto"/>
        </w:rPr>
        <w:t>our performance trends over a multi-year period;</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77"/>
        </w:numPr>
        <w:rPr>
          <w:rFonts w:ascii="Arial" w:cs="Arial" w:eastAsia="Arial" w:hAnsi="Arial"/>
          <w:sz w:val="15"/>
          <w:szCs w:val="15"/>
          <w:color w:val="A26F2A"/>
        </w:rPr>
      </w:pPr>
      <w:r>
        <w:rPr>
          <w:rFonts w:ascii="Arial" w:cs="Arial" w:eastAsia="Arial" w:hAnsi="Arial"/>
          <w:sz w:val="15"/>
          <w:szCs w:val="15"/>
          <w:color w:val="auto"/>
        </w:rPr>
        <w:t>our capital budget, business plan and annual guidance;</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77"/>
        </w:numPr>
        <w:rPr>
          <w:rFonts w:ascii="Arial" w:cs="Arial" w:eastAsia="Arial" w:hAnsi="Arial"/>
          <w:sz w:val="15"/>
          <w:szCs w:val="15"/>
          <w:color w:val="A26F2A"/>
        </w:rPr>
      </w:pPr>
      <w:r>
        <w:rPr>
          <w:rFonts w:ascii="Arial" w:cs="Arial" w:eastAsia="Arial" w:hAnsi="Arial"/>
          <w:sz w:val="15"/>
          <w:szCs w:val="15"/>
          <w:color w:val="auto"/>
        </w:rPr>
        <w:t>execution challenges expected due to perceived inflationary pressures;</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77"/>
        </w:numPr>
        <w:rPr>
          <w:rFonts w:ascii="Arial" w:cs="Arial" w:eastAsia="Arial" w:hAnsi="Arial"/>
          <w:sz w:val="15"/>
          <w:szCs w:val="15"/>
          <w:color w:val="A26F2A"/>
        </w:rPr>
      </w:pPr>
      <w:r>
        <w:rPr>
          <w:rFonts w:ascii="Arial" w:cs="Arial" w:eastAsia="Arial" w:hAnsi="Arial"/>
          <w:sz w:val="15"/>
          <w:szCs w:val="15"/>
          <w:color w:val="auto"/>
        </w:rPr>
        <w:t>the effects of the ongoing integration of the Endeavor assets following the closing of the Endeavor Merger in September 2024;</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77"/>
        </w:numPr>
        <w:rPr>
          <w:rFonts w:ascii="Arial" w:cs="Arial" w:eastAsia="Arial" w:hAnsi="Arial"/>
          <w:sz w:val="15"/>
          <w:szCs w:val="15"/>
          <w:color w:val="A26F2A"/>
        </w:rPr>
      </w:pPr>
      <w:r>
        <w:rPr>
          <w:rFonts w:ascii="Arial" w:cs="Arial" w:eastAsia="Arial" w:hAnsi="Arial"/>
          <w:sz w:val="15"/>
          <w:szCs w:val="15"/>
          <w:color w:val="auto"/>
        </w:rPr>
        <w:t>capital requirements; and</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77"/>
        </w:numPr>
        <w:rPr>
          <w:rFonts w:ascii="Arial" w:cs="Arial" w:eastAsia="Arial" w:hAnsi="Arial"/>
          <w:sz w:val="15"/>
          <w:szCs w:val="15"/>
          <w:color w:val="A26F2A"/>
        </w:rPr>
      </w:pPr>
      <w:r>
        <w:rPr>
          <w:rFonts w:ascii="Arial" w:cs="Arial" w:eastAsia="Arial" w:hAnsi="Arial"/>
          <w:sz w:val="15"/>
          <w:szCs w:val="15"/>
          <w:color w:val="auto"/>
        </w:rPr>
        <w:t>the appropriateness and rigorousness of the target, threshold and maximum performance levels for each performance factor.</w:t>
      </w:r>
    </w:p>
    <w:p>
      <w:pPr>
        <w:spacing w:after="0" w:line="18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Specifically with respect to the performance targets for each metric comprising the environmental and safety performance factor, such performance targets were set for each metric taking into account multiple considerations, including a review of our performance trends over a multi-year period, benchmarking considerations relative to peer performance over a multi-year period and the significant increase in the scope of consolidated assets and employees following the Endeavor Merger.</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Taking the foregoing into account, the performance factors and levels listed in the table below were established by the compensation committee in February 2025. Considering the Company’s capital budget, business plan and annual guidance for 2025, the compensation committee set target performance levels that the compensation committee believed were rigorous and appropriate based on the Company’s expected plans for 2025. Additionally, the compensation committee intended to set target performance levels that were competitive with the metrics of the best operators in our compensation peer group in each respective category and were responsive to feedback from our stockholders.</w:t>
      </w:r>
    </w:p>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performance goals shown below align with how management views our success and how stockholders evaluate our financial, operating and environmental and safety performance, both on a standalone basis and relative to our peers and the broader energy industry.</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In February 2026, the compensation committee reviewed and certified the Company’s performance in relation to the pre-established performance goals and targets for 2025, which are set forth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640" w:type="dxa"/>
            <w:vAlign w:val="bottom"/>
          </w:tcPr>
          <w:p>
            <w:pPr>
              <w:spacing w:after="0"/>
              <w:rPr>
                <w:sz w:val="24"/>
                <w:szCs w:val="24"/>
                <w:color w:val="auto"/>
              </w:rPr>
            </w:pPr>
          </w:p>
        </w:tc>
        <w:tc>
          <w:tcPr>
            <w:tcW w:w="1060" w:type="dxa"/>
            <w:vAlign w:val="bottom"/>
            <w:tcBorders>
              <w:bottom w:val="single" w:sz="8" w:color="A26F2A"/>
            </w:tcBorders>
          </w:tcPr>
          <w:p>
            <w:pPr>
              <w:spacing w:after="0"/>
              <w:rPr>
                <w:sz w:val="24"/>
                <w:szCs w:val="24"/>
                <w:color w:val="auto"/>
              </w:rPr>
            </w:pPr>
          </w:p>
        </w:tc>
        <w:tc>
          <w:tcPr>
            <w:tcW w:w="2100" w:type="dxa"/>
            <w:vAlign w:val="bottom"/>
            <w:tcBorders>
              <w:bottom w:val="single" w:sz="8" w:color="A26F2A"/>
            </w:tcBorders>
          </w:tcPr>
          <w:p>
            <w:pPr>
              <w:jc w:val="center"/>
              <w:spacing w:after="0"/>
              <w:rPr>
                <w:sz w:val="20"/>
                <w:szCs w:val="20"/>
                <w:color w:val="auto"/>
              </w:rPr>
            </w:pPr>
            <w:r>
              <w:rPr>
                <w:rFonts w:ascii="Arial" w:cs="Arial" w:eastAsia="Arial" w:hAnsi="Arial"/>
                <w:sz w:val="15"/>
                <w:szCs w:val="15"/>
                <w:b w:val="1"/>
                <w:bCs w:val="1"/>
                <w:color w:val="auto"/>
                <w:w w:val="96"/>
              </w:rPr>
              <w:t>Performance Levels</w:t>
            </w:r>
            <w:r>
              <w:rPr>
                <w:rFonts w:ascii="Arial" w:cs="Arial" w:eastAsia="Arial" w:hAnsi="Arial"/>
                <w:sz w:val="25"/>
                <w:szCs w:val="25"/>
                <w:b w:val="1"/>
                <w:bCs w:val="1"/>
                <w:color w:val="auto"/>
                <w:w w:val="96"/>
                <w:vertAlign w:val="superscript"/>
              </w:rPr>
              <w:t>(1)</w:t>
            </w:r>
          </w:p>
        </w:tc>
        <w:tc>
          <w:tcPr>
            <w:tcW w:w="1040" w:type="dxa"/>
            <w:vAlign w:val="bottom"/>
            <w:tcBorders>
              <w:bottom w:val="single" w:sz="8" w:color="A26F2A"/>
            </w:tcBorders>
          </w:tcPr>
          <w:p>
            <w:pPr>
              <w:spacing w:after="0"/>
              <w:rPr>
                <w:sz w:val="24"/>
                <w:szCs w:val="24"/>
                <w:color w:val="auto"/>
              </w:rPr>
            </w:pPr>
          </w:p>
        </w:tc>
        <w:tc>
          <w:tcPr>
            <w:tcW w:w="920" w:type="dxa"/>
            <w:vAlign w:val="bottom"/>
            <w:vMerge w:val="restart"/>
          </w:tcPr>
          <w:p>
            <w:pPr>
              <w:jc w:val="right"/>
              <w:ind w:right="204"/>
              <w:spacing w:after="0"/>
              <w:rPr>
                <w:sz w:val="20"/>
                <w:szCs w:val="20"/>
                <w:color w:val="auto"/>
              </w:rPr>
            </w:pPr>
            <w:r>
              <w:rPr>
                <w:rFonts w:ascii="Arial" w:cs="Arial" w:eastAsia="Arial" w:hAnsi="Arial"/>
                <w:sz w:val="15"/>
                <w:szCs w:val="15"/>
                <w:b w:val="1"/>
                <w:bCs w:val="1"/>
                <w:color w:val="auto"/>
              </w:rPr>
              <w:t>2025</w:t>
            </w:r>
          </w:p>
        </w:tc>
        <w:tc>
          <w:tcPr>
            <w:tcW w:w="62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 of</w:t>
            </w:r>
          </w:p>
        </w:tc>
        <w:tc>
          <w:tcPr>
            <w:tcW w:w="860" w:type="dxa"/>
            <w:vAlign w:val="bottom"/>
            <w:tcBorders>
              <w:bottom w:val="single" w:sz="8" w:color="F6F1EB"/>
            </w:tcBorders>
            <w:vMerge w:val="restart"/>
            <w:shd w:val="clear" w:color="auto" w:fill="F6F1EB"/>
          </w:tcPr>
          <w:p>
            <w:pPr>
              <w:jc w:val="center"/>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157"/>
        </w:trPr>
        <w:tc>
          <w:tcPr>
            <w:tcW w:w="4640" w:type="dxa"/>
            <w:vAlign w:val="bottom"/>
          </w:tcPr>
          <w:p>
            <w:pPr>
              <w:spacing w:after="0"/>
              <w:rPr>
                <w:sz w:val="13"/>
                <w:szCs w:val="13"/>
                <w:color w:val="auto"/>
              </w:rPr>
            </w:pPr>
          </w:p>
        </w:tc>
        <w:tc>
          <w:tcPr>
            <w:tcW w:w="1060" w:type="dxa"/>
            <w:vAlign w:val="bottom"/>
          </w:tcPr>
          <w:p>
            <w:pPr>
              <w:ind w:left="100"/>
              <w:spacing w:after="0" w:line="157" w:lineRule="exact"/>
              <w:rPr>
                <w:sz w:val="20"/>
                <w:szCs w:val="20"/>
                <w:color w:val="auto"/>
              </w:rPr>
            </w:pPr>
            <w:r>
              <w:rPr>
                <w:rFonts w:ascii="Arial" w:cs="Arial" w:eastAsia="Arial" w:hAnsi="Arial"/>
                <w:sz w:val="15"/>
                <w:szCs w:val="15"/>
                <w:b w:val="1"/>
                <w:bCs w:val="1"/>
                <w:color w:val="auto"/>
              </w:rPr>
              <w:t>Threshold</w:t>
            </w:r>
          </w:p>
        </w:tc>
        <w:tc>
          <w:tcPr>
            <w:tcW w:w="210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rPr>
              <w:t>Target</w:t>
            </w:r>
          </w:p>
        </w:tc>
        <w:tc>
          <w:tcPr>
            <w:tcW w:w="1040" w:type="dxa"/>
            <w:vAlign w:val="bottom"/>
          </w:tcPr>
          <w:p>
            <w:pPr>
              <w:jc w:val="center"/>
              <w:ind w:left="104"/>
              <w:spacing w:after="0" w:line="157" w:lineRule="exact"/>
              <w:rPr>
                <w:sz w:val="20"/>
                <w:szCs w:val="20"/>
                <w:color w:val="auto"/>
              </w:rPr>
            </w:pPr>
            <w:r>
              <w:rPr>
                <w:rFonts w:ascii="Arial" w:cs="Arial" w:eastAsia="Arial" w:hAnsi="Arial"/>
                <w:sz w:val="15"/>
                <w:szCs w:val="15"/>
                <w:b w:val="1"/>
                <w:bCs w:val="1"/>
                <w:color w:val="auto"/>
              </w:rPr>
              <w:t>Maximum</w:t>
            </w:r>
          </w:p>
        </w:tc>
        <w:tc>
          <w:tcPr>
            <w:tcW w:w="9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60" w:type="dxa"/>
            <w:vAlign w:val="bottom"/>
            <w:vMerge w:val="continue"/>
            <w:shd w:val="clear" w:color="auto" w:fill="F6F1EB"/>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64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Performance Factors</w:t>
            </w:r>
          </w:p>
        </w:tc>
        <w:tc>
          <w:tcPr>
            <w:tcW w:w="1060" w:type="dxa"/>
            <w:vAlign w:val="bottom"/>
            <w:tcBorders>
              <w:bottom w:val="single" w:sz="8" w:color="A26F2A"/>
            </w:tcBorders>
          </w:tcPr>
          <w:p>
            <w:pPr>
              <w:jc w:val="right"/>
              <w:ind w:right="324"/>
              <w:spacing w:after="0"/>
              <w:rPr>
                <w:sz w:val="20"/>
                <w:szCs w:val="20"/>
                <w:color w:val="auto"/>
              </w:rPr>
            </w:pPr>
            <w:r>
              <w:rPr>
                <w:rFonts w:ascii="Arial" w:cs="Arial" w:eastAsia="Arial" w:hAnsi="Arial"/>
                <w:sz w:val="15"/>
                <w:szCs w:val="15"/>
                <w:b w:val="1"/>
                <w:bCs w:val="1"/>
                <w:color w:val="auto"/>
              </w:rPr>
              <w:t>(50%)</w:t>
            </w:r>
          </w:p>
        </w:tc>
        <w:tc>
          <w:tcPr>
            <w:tcW w:w="2100" w:type="dxa"/>
            <w:vAlign w:val="bottom"/>
            <w:tcBorders>
              <w:bottom w:val="single" w:sz="8" w:color="A26F2A"/>
            </w:tcBorders>
          </w:tcPr>
          <w:p>
            <w:pPr>
              <w:jc w:val="center"/>
              <w:spacing w:after="0"/>
              <w:rPr>
                <w:sz w:val="20"/>
                <w:szCs w:val="20"/>
                <w:color w:val="auto"/>
              </w:rPr>
            </w:pPr>
            <w:r>
              <w:rPr>
                <w:rFonts w:ascii="Arial" w:cs="Arial" w:eastAsia="Arial" w:hAnsi="Arial"/>
                <w:sz w:val="15"/>
                <w:szCs w:val="15"/>
                <w:b w:val="1"/>
                <w:bCs w:val="1"/>
                <w:color w:val="auto"/>
              </w:rPr>
              <w:t>(100%)</w:t>
            </w:r>
          </w:p>
        </w:tc>
        <w:tc>
          <w:tcPr>
            <w:tcW w:w="1040" w:type="dxa"/>
            <w:vAlign w:val="bottom"/>
            <w:tcBorders>
              <w:bottom w:val="single" w:sz="8" w:color="A26F2A"/>
            </w:tcBorders>
          </w:tcPr>
          <w:p>
            <w:pPr>
              <w:jc w:val="right"/>
              <w:ind w:right="104"/>
              <w:spacing w:after="0"/>
              <w:rPr>
                <w:sz w:val="20"/>
                <w:szCs w:val="20"/>
                <w:color w:val="auto"/>
              </w:rPr>
            </w:pPr>
            <w:r>
              <w:rPr>
                <w:rFonts w:ascii="Arial" w:cs="Arial" w:eastAsia="Arial" w:hAnsi="Arial"/>
                <w:sz w:val="15"/>
                <w:szCs w:val="15"/>
                <w:b w:val="1"/>
                <w:bCs w:val="1"/>
                <w:color w:val="auto"/>
              </w:rPr>
              <w:t>(200%)</w:t>
            </w:r>
          </w:p>
        </w:tc>
        <w:tc>
          <w:tcPr>
            <w:tcW w:w="920" w:type="dxa"/>
            <w:vAlign w:val="bottom"/>
            <w:tcBorders>
              <w:bottom w:val="single" w:sz="8" w:color="A26F2A"/>
            </w:tcBorders>
          </w:tcPr>
          <w:p>
            <w:pPr>
              <w:ind w:left="100"/>
              <w:spacing w:after="0"/>
              <w:rPr>
                <w:sz w:val="20"/>
                <w:szCs w:val="20"/>
                <w:color w:val="auto"/>
              </w:rPr>
            </w:pPr>
            <w:r>
              <w:rPr>
                <w:rFonts w:ascii="Arial" w:cs="Arial" w:eastAsia="Arial" w:hAnsi="Arial"/>
                <w:sz w:val="15"/>
                <w:szCs w:val="15"/>
                <w:b w:val="1"/>
                <w:bCs w:val="1"/>
                <w:color w:val="auto"/>
              </w:rPr>
              <w:t>Weighting</w:t>
            </w:r>
          </w:p>
        </w:tc>
        <w:tc>
          <w:tcPr>
            <w:tcW w:w="620" w:type="dxa"/>
            <w:vAlign w:val="bottom"/>
            <w:tcBorders>
              <w:bottom w:val="single" w:sz="8" w:color="A26F2A"/>
            </w:tcBorders>
          </w:tcPr>
          <w:p>
            <w:pPr>
              <w:jc w:val="center"/>
              <w:spacing w:after="0"/>
              <w:rPr>
                <w:sz w:val="20"/>
                <w:szCs w:val="20"/>
                <w:color w:val="auto"/>
              </w:rPr>
            </w:pPr>
            <w:r>
              <w:rPr>
                <w:rFonts w:ascii="Arial" w:cs="Arial" w:eastAsia="Arial" w:hAnsi="Arial"/>
                <w:sz w:val="15"/>
                <w:szCs w:val="15"/>
                <w:b w:val="1"/>
                <w:bCs w:val="1"/>
                <w:color w:val="auto"/>
              </w:rPr>
              <w:t>Target</w:t>
            </w:r>
          </w:p>
        </w:tc>
        <w:tc>
          <w:tcPr>
            <w:tcW w:w="860" w:type="dxa"/>
            <w:vAlign w:val="bottom"/>
            <w:tcBorders>
              <w:bottom w:val="single" w:sz="8" w:color="A26F2A"/>
            </w:tcBorders>
            <w:shd w:val="clear" w:color="auto" w:fill="F6F1EB"/>
          </w:tcPr>
          <w:p>
            <w:pPr>
              <w:ind w:left="100"/>
              <w:spacing w:after="0"/>
              <w:rPr>
                <w:sz w:val="20"/>
                <w:szCs w:val="20"/>
                <w:color w:val="auto"/>
              </w:rPr>
            </w:pPr>
            <w:r>
              <w:rPr>
                <w:rFonts w:ascii="Arial" w:cs="Arial" w:eastAsia="Arial" w:hAnsi="Arial"/>
                <w:sz w:val="15"/>
                <w:szCs w:val="15"/>
                <w:b w:val="1"/>
                <w:bCs w:val="1"/>
                <w:color w:val="auto"/>
              </w:rPr>
              <w:t>% Earned</w:t>
            </w:r>
          </w:p>
        </w:tc>
        <w:tc>
          <w:tcPr>
            <w:tcW w:w="0" w:type="dxa"/>
            <w:vAlign w:val="bottom"/>
          </w:tcPr>
          <w:p>
            <w:pPr>
              <w:spacing w:after="0"/>
              <w:rPr>
                <w:sz w:val="1"/>
                <w:szCs w:val="1"/>
                <w:color w:val="auto"/>
              </w:rPr>
            </w:pPr>
          </w:p>
        </w:tc>
      </w:tr>
      <w:tr>
        <w:trPr>
          <w:trHeight w:val="190"/>
        </w:trPr>
        <w:tc>
          <w:tcPr>
            <w:tcW w:w="4640" w:type="dxa"/>
            <w:vAlign w:val="bottom"/>
          </w:tcPr>
          <w:p>
            <w:pPr>
              <w:ind w:left="60"/>
              <w:spacing w:after="0"/>
              <w:rPr>
                <w:sz w:val="20"/>
                <w:szCs w:val="20"/>
                <w:color w:val="auto"/>
              </w:rPr>
            </w:pPr>
            <w:r>
              <w:rPr>
                <w:rFonts w:ascii="Arial" w:cs="Arial" w:eastAsia="Arial" w:hAnsi="Arial"/>
                <w:sz w:val="15"/>
                <w:szCs w:val="15"/>
                <w:b w:val="1"/>
                <w:bCs w:val="1"/>
                <w:color w:val="auto"/>
              </w:rPr>
              <w:t>Capital Budget ($MM)</w:t>
            </w:r>
          </w:p>
        </w:tc>
        <w:tc>
          <w:tcPr>
            <w:tcW w:w="10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shd w:val="clear" w:color="auto" w:fill="F6F1EB"/>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640" w:type="dxa"/>
            <w:vAlign w:val="bottom"/>
          </w:tcPr>
          <w:p>
            <w:pPr>
              <w:ind w:left="60"/>
              <w:spacing w:after="0"/>
              <w:rPr>
                <w:sz w:val="20"/>
                <w:szCs w:val="20"/>
                <w:color w:val="auto"/>
              </w:rPr>
            </w:pPr>
            <w:r>
              <w:rPr>
                <w:rFonts w:ascii="Arial" w:cs="Arial" w:eastAsia="Arial" w:hAnsi="Arial"/>
                <w:sz w:val="15"/>
                <w:szCs w:val="15"/>
                <w:color w:val="auto"/>
              </w:rPr>
              <w:t>Sum of 2025 cash capital expenditures for operated drilling and</w:t>
            </w:r>
          </w:p>
        </w:tc>
        <w:tc>
          <w:tcPr>
            <w:tcW w:w="10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15"/>
                <w:szCs w:val="15"/>
                <w:color w:val="auto"/>
                <w:w w:val="98"/>
              </w:rPr>
              <w:t>200%</w:t>
            </w:r>
          </w:p>
        </w:tc>
        <w:tc>
          <w:tcPr>
            <w:tcW w:w="860" w:type="dxa"/>
            <w:vAlign w:val="bottom"/>
            <w:vMerge w:val="restart"/>
            <w:shd w:val="clear" w:color="auto" w:fill="F6F1EB"/>
          </w:tcPr>
          <w:p>
            <w:pPr>
              <w:jc w:val="center"/>
              <w:spacing w:after="0"/>
              <w:rPr>
                <w:sz w:val="20"/>
                <w:szCs w:val="20"/>
                <w:color w:val="auto"/>
              </w:rPr>
            </w:pPr>
            <w:r>
              <w:rPr>
                <w:rFonts w:ascii="Arial" w:cs="Arial" w:eastAsia="Arial" w:hAnsi="Arial"/>
                <w:sz w:val="15"/>
                <w:szCs w:val="15"/>
                <w:b w:val="1"/>
                <w:bCs w:val="1"/>
                <w:color w:val="auto"/>
                <w:w w:val="99"/>
              </w:rPr>
              <w:t>20%</w:t>
            </w:r>
          </w:p>
        </w:tc>
        <w:tc>
          <w:tcPr>
            <w:tcW w:w="0" w:type="dxa"/>
            <w:vAlign w:val="bottom"/>
          </w:tcPr>
          <w:p>
            <w:pPr>
              <w:spacing w:after="0"/>
              <w:rPr>
                <w:sz w:val="1"/>
                <w:szCs w:val="1"/>
                <w:color w:val="auto"/>
              </w:rPr>
            </w:pPr>
          </w:p>
        </w:tc>
      </w:tr>
      <w:tr>
        <w:trPr>
          <w:trHeight w:val="119"/>
        </w:trPr>
        <w:tc>
          <w:tcPr>
            <w:tcW w:w="4640" w:type="dxa"/>
            <w:vAlign w:val="bottom"/>
            <w:vMerge w:val="restart"/>
          </w:tcPr>
          <w:p>
            <w:pPr>
              <w:ind w:left="60"/>
              <w:spacing w:after="0"/>
              <w:rPr>
                <w:sz w:val="20"/>
                <w:szCs w:val="20"/>
                <w:color w:val="auto"/>
              </w:rPr>
            </w:pPr>
            <w:r>
              <w:rPr>
                <w:rFonts w:ascii="Arial" w:cs="Arial" w:eastAsia="Arial" w:hAnsi="Arial"/>
                <w:sz w:val="15"/>
                <w:szCs w:val="15"/>
                <w:color w:val="auto"/>
              </w:rPr>
              <w:t>completion (“D,C&amp;E”), non-operated properties and capital</w:t>
            </w:r>
          </w:p>
        </w:tc>
        <w:tc>
          <w:tcPr>
            <w:tcW w:w="10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shd w:val="clear" w:color="auto" w:fill="F6F1EB"/>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46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shd w:val="clear" w:color="auto" w:fill="F6F1EB"/>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640" w:type="dxa"/>
            <w:vAlign w:val="bottom"/>
            <w:tcBorders>
              <w:bottom w:val="single" w:sz="8" w:color="A8A8AC"/>
            </w:tcBorders>
          </w:tcPr>
          <w:p>
            <w:pPr>
              <w:ind w:left="60"/>
              <w:spacing w:after="0"/>
              <w:rPr>
                <w:sz w:val="20"/>
                <w:szCs w:val="20"/>
                <w:color w:val="auto"/>
              </w:rPr>
            </w:pPr>
            <w:r>
              <w:rPr>
                <w:rFonts w:ascii="Arial" w:cs="Arial" w:eastAsia="Arial" w:hAnsi="Arial"/>
                <w:sz w:val="15"/>
                <w:szCs w:val="15"/>
                <w:color w:val="auto"/>
              </w:rPr>
              <w:t>workovers, operated midstream, infrastructure and environmental</w:t>
            </w:r>
          </w:p>
        </w:tc>
        <w:tc>
          <w:tcPr>
            <w:tcW w:w="1060" w:type="dxa"/>
            <w:vAlign w:val="bottom"/>
            <w:tcBorders>
              <w:bottom w:val="single" w:sz="8" w:color="A8A8AC"/>
            </w:tcBorders>
          </w:tcPr>
          <w:p>
            <w:pPr>
              <w:spacing w:after="0"/>
              <w:rPr>
                <w:sz w:val="17"/>
                <w:szCs w:val="17"/>
                <w:color w:val="auto"/>
              </w:rPr>
            </w:pPr>
          </w:p>
        </w:tc>
        <w:tc>
          <w:tcPr>
            <w:tcW w:w="2100" w:type="dxa"/>
            <w:vAlign w:val="bottom"/>
            <w:tcBorders>
              <w:bottom w:val="single" w:sz="8" w:color="A8A8AC"/>
            </w:tcBorders>
          </w:tcPr>
          <w:p>
            <w:pPr>
              <w:spacing w:after="0"/>
              <w:rPr>
                <w:sz w:val="17"/>
                <w:szCs w:val="17"/>
                <w:color w:val="auto"/>
              </w:rPr>
            </w:pPr>
          </w:p>
        </w:tc>
        <w:tc>
          <w:tcPr>
            <w:tcW w:w="1040" w:type="dxa"/>
            <w:vAlign w:val="bottom"/>
            <w:tcBorders>
              <w:bottom w:val="single" w:sz="8" w:color="A8A8AC"/>
            </w:tcBorders>
          </w:tcPr>
          <w:p>
            <w:pPr>
              <w:spacing w:after="0"/>
              <w:rPr>
                <w:sz w:val="17"/>
                <w:szCs w:val="17"/>
                <w:color w:val="auto"/>
              </w:rPr>
            </w:pPr>
          </w:p>
        </w:tc>
        <w:tc>
          <w:tcPr>
            <w:tcW w:w="920" w:type="dxa"/>
            <w:vAlign w:val="bottom"/>
            <w:tcBorders>
              <w:bottom w:val="single" w:sz="8" w:color="A8A8AC"/>
            </w:tcBorders>
          </w:tcPr>
          <w:p>
            <w:pPr>
              <w:spacing w:after="0"/>
              <w:rPr>
                <w:sz w:val="17"/>
                <w:szCs w:val="17"/>
                <w:color w:val="auto"/>
              </w:rPr>
            </w:pPr>
          </w:p>
        </w:tc>
        <w:tc>
          <w:tcPr>
            <w:tcW w:w="620" w:type="dxa"/>
            <w:vAlign w:val="bottom"/>
            <w:tcBorders>
              <w:bottom w:val="single" w:sz="8" w:color="A8A8AC"/>
            </w:tcBorders>
          </w:tcPr>
          <w:p>
            <w:pPr>
              <w:spacing w:after="0"/>
              <w:rPr>
                <w:sz w:val="17"/>
                <w:szCs w:val="17"/>
                <w:color w:val="auto"/>
              </w:rPr>
            </w:pPr>
          </w:p>
        </w:tc>
        <w:tc>
          <w:tcPr>
            <w:tcW w:w="860" w:type="dxa"/>
            <w:vAlign w:val="bottom"/>
            <w:tcBorders>
              <w:bottom w:val="single" w:sz="8" w:color="A8A8AC"/>
            </w:tcBorders>
            <w:shd w:val="clear" w:color="auto" w:fill="F6F1EB"/>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60"/>
              <w:spacing w:after="0"/>
              <w:rPr>
                <w:sz w:val="20"/>
                <w:szCs w:val="20"/>
                <w:color w:val="auto"/>
              </w:rPr>
            </w:pPr>
            <w:r>
              <w:rPr>
                <w:rFonts w:ascii="Arial" w:cs="Arial" w:eastAsia="Arial" w:hAnsi="Arial"/>
                <w:sz w:val="15"/>
                <w:szCs w:val="15"/>
                <w:b w:val="1"/>
                <w:bCs w:val="1"/>
                <w:color w:val="auto"/>
              </w:rPr>
              <w:t>PDP F&amp;D Cost ($ / Boe)</w:t>
            </w:r>
          </w:p>
        </w:tc>
        <w:tc>
          <w:tcPr>
            <w:tcW w:w="10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shd w:val="clear" w:color="auto" w:fill="F6F1EB"/>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640" w:type="dxa"/>
            <w:vAlign w:val="bottom"/>
          </w:tcPr>
          <w:p>
            <w:pPr>
              <w:ind w:left="60"/>
              <w:spacing w:after="0"/>
              <w:rPr>
                <w:sz w:val="20"/>
                <w:szCs w:val="20"/>
                <w:color w:val="auto"/>
              </w:rPr>
            </w:pPr>
            <w:r>
              <w:rPr>
                <w:rFonts w:ascii="Arial" w:cs="Arial" w:eastAsia="Arial" w:hAnsi="Arial"/>
                <w:sz w:val="15"/>
                <w:szCs w:val="15"/>
                <w:color w:val="auto"/>
              </w:rPr>
              <w:t>Sum of D,C&amp;E well costs for wells brought to production in 2025</w:t>
            </w:r>
          </w:p>
        </w:tc>
        <w:tc>
          <w:tcPr>
            <w:tcW w:w="10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15"/>
                <w:szCs w:val="15"/>
                <w:color w:val="auto"/>
                <w:w w:val="98"/>
              </w:rPr>
              <w:t>200%</w:t>
            </w:r>
          </w:p>
        </w:tc>
        <w:tc>
          <w:tcPr>
            <w:tcW w:w="860" w:type="dxa"/>
            <w:vAlign w:val="bottom"/>
            <w:vMerge w:val="restart"/>
            <w:shd w:val="clear" w:color="auto" w:fill="F6F1EB"/>
          </w:tcPr>
          <w:p>
            <w:pPr>
              <w:jc w:val="center"/>
              <w:spacing w:after="0"/>
              <w:rPr>
                <w:sz w:val="20"/>
                <w:szCs w:val="20"/>
                <w:color w:val="auto"/>
              </w:rPr>
            </w:pPr>
            <w:r>
              <w:rPr>
                <w:rFonts w:ascii="Arial" w:cs="Arial" w:eastAsia="Arial" w:hAnsi="Arial"/>
                <w:sz w:val="15"/>
                <w:szCs w:val="15"/>
                <w:b w:val="1"/>
                <w:bCs w:val="1"/>
                <w:color w:val="auto"/>
                <w:w w:val="99"/>
              </w:rPr>
              <w:t>30%</w:t>
            </w:r>
          </w:p>
        </w:tc>
        <w:tc>
          <w:tcPr>
            <w:tcW w:w="0" w:type="dxa"/>
            <w:vAlign w:val="bottom"/>
          </w:tcPr>
          <w:p>
            <w:pPr>
              <w:spacing w:after="0"/>
              <w:rPr>
                <w:sz w:val="1"/>
                <w:szCs w:val="1"/>
                <w:color w:val="auto"/>
              </w:rPr>
            </w:pPr>
          </w:p>
        </w:tc>
      </w:tr>
      <w:tr>
        <w:trPr>
          <w:trHeight w:val="93"/>
        </w:trPr>
        <w:tc>
          <w:tcPr>
            <w:tcW w:w="4640" w:type="dxa"/>
            <w:vAlign w:val="bottom"/>
            <w:vMerge w:val="restart"/>
          </w:tcPr>
          <w:p>
            <w:pPr>
              <w:ind w:left="60"/>
              <w:spacing w:after="0"/>
              <w:rPr>
                <w:sz w:val="20"/>
                <w:szCs w:val="20"/>
                <w:color w:val="auto"/>
              </w:rPr>
            </w:pPr>
            <w:r>
              <w:rPr>
                <w:rFonts w:ascii="Arial" w:cs="Arial" w:eastAsia="Arial" w:hAnsi="Arial"/>
                <w:sz w:val="15"/>
                <w:szCs w:val="15"/>
                <w:color w:val="auto"/>
              </w:rPr>
              <w:t>divided by the net EUR’s of those wells</w:t>
            </w:r>
          </w:p>
        </w:tc>
        <w:tc>
          <w:tcPr>
            <w:tcW w:w="10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60" w:type="dxa"/>
            <w:vAlign w:val="bottom"/>
            <w:vMerge w:val="continue"/>
            <w:shd w:val="clear" w:color="auto" w:fill="F6F1EB"/>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6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shd w:val="clear" w:color="auto" w:fill="F6F1EB"/>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4640" w:type="dxa"/>
            <w:vAlign w:val="bottom"/>
            <w:tcBorders>
              <w:bottom w:val="single" w:sz="8" w:color="A8A8AC"/>
            </w:tcBorders>
          </w:tcPr>
          <w:p>
            <w:pPr>
              <w:spacing w:after="0"/>
              <w:rPr>
                <w:sz w:val="12"/>
                <w:szCs w:val="12"/>
                <w:color w:val="auto"/>
              </w:rPr>
            </w:pPr>
          </w:p>
        </w:tc>
        <w:tc>
          <w:tcPr>
            <w:tcW w:w="1060" w:type="dxa"/>
            <w:vAlign w:val="bottom"/>
            <w:tcBorders>
              <w:bottom w:val="single" w:sz="8" w:color="A8A8AC"/>
            </w:tcBorders>
          </w:tcPr>
          <w:p>
            <w:pPr>
              <w:spacing w:after="0"/>
              <w:rPr>
                <w:sz w:val="12"/>
                <w:szCs w:val="12"/>
                <w:color w:val="auto"/>
              </w:rPr>
            </w:pPr>
          </w:p>
        </w:tc>
        <w:tc>
          <w:tcPr>
            <w:tcW w:w="2100" w:type="dxa"/>
            <w:vAlign w:val="bottom"/>
            <w:tcBorders>
              <w:bottom w:val="single" w:sz="8" w:color="A8A8AC"/>
            </w:tcBorders>
          </w:tcPr>
          <w:p>
            <w:pPr>
              <w:spacing w:after="0"/>
              <w:rPr>
                <w:sz w:val="12"/>
                <w:szCs w:val="12"/>
                <w:color w:val="auto"/>
              </w:rPr>
            </w:pPr>
          </w:p>
        </w:tc>
        <w:tc>
          <w:tcPr>
            <w:tcW w:w="1040" w:type="dxa"/>
            <w:vAlign w:val="bottom"/>
            <w:tcBorders>
              <w:bottom w:val="single" w:sz="8" w:color="A8A8AC"/>
            </w:tcBorders>
          </w:tcPr>
          <w:p>
            <w:pPr>
              <w:spacing w:after="0"/>
              <w:rPr>
                <w:sz w:val="12"/>
                <w:szCs w:val="12"/>
                <w:color w:val="auto"/>
              </w:rPr>
            </w:pPr>
          </w:p>
        </w:tc>
        <w:tc>
          <w:tcPr>
            <w:tcW w:w="920" w:type="dxa"/>
            <w:vAlign w:val="bottom"/>
            <w:tcBorders>
              <w:bottom w:val="single" w:sz="8" w:color="A8A8AC"/>
            </w:tcBorders>
          </w:tcPr>
          <w:p>
            <w:pPr>
              <w:spacing w:after="0"/>
              <w:rPr>
                <w:sz w:val="12"/>
                <w:szCs w:val="12"/>
                <w:color w:val="auto"/>
              </w:rPr>
            </w:pPr>
          </w:p>
        </w:tc>
        <w:tc>
          <w:tcPr>
            <w:tcW w:w="620" w:type="dxa"/>
            <w:vAlign w:val="bottom"/>
            <w:tcBorders>
              <w:bottom w:val="single" w:sz="8" w:color="A8A8AC"/>
            </w:tcBorders>
          </w:tcPr>
          <w:p>
            <w:pPr>
              <w:spacing w:after="0"/>
              <w:rPr>
                <w:sz w:val="12"/>
                <w:szCs w:val="12"/>
                <w:color w:val="auto"/>
              </w:rPr>
            </w:pPr>
          </w:p>
        </w:tc>
        <w:tc>
          <w:tcPr>
            <w:tcW w:w="860" w:type="dxa"/>
            <w:vAlign w:val="bottom"/>
            <w:tcBorders>
              <w:bottom w:val="single" w:sz="8" w:color="A8A8AC"/>
            </w:tcBorders>
            <w:shd w:val="clear" w:color="auto" w:fill="F6F1EB"/>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40" w:type="dxa"/>
            <w:vAlign w:val="bottom"/>
          </w:tcPr>
          <w:p>
            <w:pPr>
              <w:ind w:left="60"/>
              <w:spacing w:after="0"/>
              <w:rPr>
                <w:sz w:val="20"/>
                <w:szCs w:val="20"/>
                <w:color w:val="auto"/>
              </w:rPr>
            </w:pPr>
            <w:r>
              <w:rPr>
                <w:rFonts w:ascii="Arial" w:cs="Arial" w:eastAsia="Arial" w:hAnsi="Arial"/>
                <w:sz w:val="15"/>
                <w:szCs w:val="15"/>
                <w:b w:val="1"/>
                <w:bCs w:val="1"/>
                <w:color w:val="auto"/>
              </w:rPr>
              <w:t>Controllable Cash Costs ($ / Boe)</w:t>
            </w:r>
          </w:p>
        </w:tc>
        <w:tc>
          <w:tcPr>
            <w:tcW w:w="10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shd w:val="clear" w:color="auto" w:fill="F6F1E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40" w:type="dxa"/>
            <w:vAlign w:val="bottom"/>
          </w:tcPr>
          <w:p>
            <w:pPr>
              <w:ind w:left="60"/>
              <w:spacing w:after="0"/>
              <w:rPr>
                <w:sz w:val="20"/>
                <w:szCs w:val="20"/>
                <w:color w:val="auto"/>
              </w:rPr>
            </w:pPr>
            <w:r>
              <w:rPr>
                <w:rFonts w:ascii="Arial" w:cs="Arial" w:eastAsia="Arial" w:hAnsi="Arial"/>
                <w:sz w:val="15"/>
                <w:szCs w:val="15"/>
                <w:color w:val="auto"/>
              </w:rPr>
              <w:t>Sum of reported cash general and administrative expenses and</w:t>
            </w:r>
          </w:p>
        </w:tc>
        <w:tc>
          <w:tcPr>
            <w:tcW w:w="10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shd w:val="clear" w:color="auto" w:fill="F6F1E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40" w:type="dxa"/>
            <w:vAlign w:val="bottom"/>
          </w:tcPr>
          <w:p>
            <w:pPr>
              <w:ind w:left="60"/>
              <w:spacing w:after="0"/>
              <w:rPr>
                <w:sz w:val="20"/>
                <w:szCs w:val="20"/>
                <w:color w:val="auto"/>
              </w:rPr>
            </w:pPr>
            <w:r>
              <w:rPr>
                <w:rFonts w:ascii="Arial" w:cs="Arial" w:eastAsia="Arial" w:hAnsi="Arial"/>
                <w:sz w:val="15"/>
                <w:szCs w:val="15"/>
                <w:color w:val="auto"/>
              </w:rPr>
              <w:t>reported lease operated expenses, divided by total barrels of oil</w:t>
            </w:r>
          </w:p>
        </w:tc>
        <w:tc>
          <w:tcPr>
            <w:tcW w:w="10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98"/>
              </w:rPr>
              <w:t>200%</w:t>
            </w:r>
          </w:p>
        </w:tc>
        <w:tc>
          <w:tcPr>
            <w:tcW w:w="860" w:type="dxa"/>
            <w:vAlign w:val="bottom"/>
            <w:shd w:val="clear" w:color="auto" w:fill="F6F1EB"/>
          </w:tcPr>
          <w:p>
            <w:pPr>
              <w:jc w:val="center"/>
              <w:spacing w:after="0"/>
              <w:rPr>
                <w:sz w:val="20"/>
                <w:szCs w:val="20"/>
                <w:color w:val="auto"/>
              </w:rPr>
            </w:pPr>
            <w:r>
              <w:rPr>
                <w:rFonts w:ascii="Arial" w:cs="Arial" w:eastAsia="Arial" w:hAnsi="Arial"/>
                <w:sz w:val="15"/>
                <w:szCs w:val="15"/>
                <w:b w:val="1"/>
                <w:bCs w:val="1"/>
                <w:color w:val="auto"/>
                <w:w w:val="99"/>
              </w:rPr>
              <w:t>20%</w:t>
            </w:r>
          </w:p>
        </w:tc>
        <w:tc>
          <w:tcPr>
            <w:tcW w:w="0" w:type="dxa"/>
            <w:vAlign w:val="bottom"/>
          </w:tcPr>
          <w:p>
            <w:pPr>
              <w:spacing w:after="0"/>
              <w:rPr>
                <w:sz w:val="1"/>
                <w:szCs w:val="1"/>
                <w:color w:val="auto"/>
              </w:rPr>
            </w:pPr>
          </w:p>
        </w:tc>
      </w:tr>
      <w:tr>
        <w:trPr>
          <w:trHeight w:val="177"/>
        </w:trPr>
        <w:tc>
          <w:tcPr>
            <w:tcW w:w="4640" w:type="dxa"/>
            <w:vAlign w:val="bottom"/>
          </w:tcPr>
          <w:p>
            <w:pPr>
              <w:ind w:left="60"/>
              <w:spacing w:after="0"/>
              <w:rPr>
                <w:sz w:val="20"/>
                <w:szCs w:val="20"/>
                <w:color w:val="auto"/>
              </w:rPr>
            </w:pPr>
            <w:r>
              <w:rPr>
                <w:rFonts w:ascii="Arial" w:cs="Arial" w:eastAsia="Arial" w:hAnsi="Arial"/>
                <w:sz w:val="15"/>
                <w:szCs w:val="15"/>
                <w:color w:val="auto"/>
              </w:rPr>
              <w:t>equivalent production. Excludes merger integration and severance</w:t>
            </w:r>
          </w:p>
        </w:tc>
        <w:tc>
          <w:tcPr>
            <w:tcW w:w="10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shd w:val="clear" w:color="auto" w:fill="F6F1EB"/>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640" w:type="dxa"/>
            <w:vAlign w:val="bottom"/>
            <w:tcBorders>
              <w:bottom w:val="single" w:sz="8" w:color="A8A8AC"/>
            </w:tcBorders>
          </w:tcPr>
          <w:p>
            <w:pPr>
              <w:ind w:left="60"/>
              <w:spacing w:after="0"/>
              <w:rPr>
                <w:sz w:val="20"/>
                <w:szCs w:val="20"/>
                <w:color w:val="auto"/>
              </w:rPr>
            </w:pPr>
            <w:r>
              <w:rPr>
                <w:rFonts w:ascii="Arial" w:cs="Arial" w:eastAsia="Arial" w:hAnsi="Arial"/>
                <w:sz w:val="15"/>
                <w:szCs w:val="15"/>
                <w:color w:val="auto"/>
              </w:rPr>
              <w:t>costs</w:t>
            </w:r>
          </w:p>
        </w:tc>
        <w:tc>
          <w:tcPr>
            <w:tcW w:w="1060" w:type="dxa"/>
            <w:vAlign w:val="bottom"/>
            <w:tcBorders>
              <w:bottom w:val="single" w:sz="8" w:color="A8A8AC"/>
            </w:tcBorders>
          </w:tcPr>
          <w:p>
            <w:pPr>
              <w:spacing w:after="0"/>
              <w:rPr>
                <w:sz w:val="17"/>
                <w:szCs w:val="17"/>
                <w:color w:val="auto"/>
              </w:rPr>
            </w:pPr>
          </w:p>
        </w:tc>
        <w:tc>
          <w:tcPr>
            <w:tcW w:w="2100" w:type="dxa"/>
            <w:vAlign w:val="bottom"/>
            <w:tcBorders>
              <w:bottom w:val="single" w:sz="8" w:color="A8A8AC"/>
            </w:tcBorders>
          </w:tcPr>
          <w:p>
            <w:pPr>
              <w:spacing w:after="0"/>
              <w:rPr>
                <w:sz w:val="17"/>
                <w:szCs w:val="17"/>
                <w:color w:val="auto"/>
              </w:rPr>
            </w:pPr>
          </w:p>
        </w:tc>
        <w:tc>
          <w:tcPr>
            <w:tcW w:w="1040" w:type="dxa"/>
            <w:vAlign w:val="bottom"/>
            <w:tcBorders>
              <w:bottom w:val="single" w:sz="8" w:color="A8A8AC"/>
            </w:tcBorders>
          </w:tcPr>
          <w:p>
            <w:pPr>
              <w:spacing w:after="0"/>
              <w:rPr>
                <w:sz w:val="17"/>
                <w:szCs w:val="17"/>
                <w:color w:val="auto"/>
              </w:rPr>
            </w:pPr>
          </w:p>
        </w:tc>
        <w:tc>
          <w:tcPr>
            <w:tcW w:w="920" w:type="dxa"/>
            <w:vAlign w:val="bottom"/>
            <w:tcBorders>
              <w:bottom w:val="single" w:sz="8" w:color="A8A8AC"/>
            </w:tcBorders>
          </w:tcPr>
          <w:p>
            <w:pPr>
              <w:spacing w:after="0"/>
              <w:rPr>
                <w:sz w:val="17"/>
                <w:szCs w:val="17"/>
                <w:color w:val="auto"/>
              </w:rPr>
            </w:pPr>
          </w:p>
        </w:tc>
        <w:tc>
          <w:tcPr>
            <w:tcW w:w="620" w:type="dxa"/>
            <w:vAlign w:val="bottom"/>
            <w:tcBorders>
              <w:bottom w:val="single" w:sz="8" w:color="A8A8AC"/>
            </w:tcBorders>
          </w:tcPr>
          <w:p>
            <w:pPr>
              <w:spacing w:after="0"/>
              <w:rPr>
                <w:sz w:val="17"/>
                <w:szCs w:val="17"/>
                <w:color w:val="auto"/>
              </w:rPr>
            </w:pPr>
          </w:p>
        </w:tc>
        <w:tc>
          <w:tcPr>
            <w:tcW w:w="860" w:type="dxa"/>
            <w:vAlign w:val="bottom"/>
            <w:tcBorders>
              <w:bottom w:val="single" w:sz="8" w:color="A8A8AC"/>
            </w:tcBorders>
            <w:shd w:val="clear" w:color="auto" w:fill="F6F1EB"/>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40" w:type="dxa"/>
            <w:vAlign w:val="bottom"/>
          </w:tcPr>
          <w:p>
            <w:pPr>
              <w:ind w:left="60"/>
              <w:spacing w:after="0" w:line="227" w:lineRule="exact"/>
              <w:rPr>
                <w:sz w:val="20"/>
                <w:szCs w:val="20"/>
                <w:color w:val="auto"/>
              </w:rPr>
            </w:pPr>
            <w:r>
              <w:rPr>
                <w:rFonts w:ascii="Arial" w:cs="Arial" w:eastAsia="Arial" w:hAnsi="Arial"/>
                <w:sz w:val="15"/>
                <w:szCs w:val="15"/>
                <w:b w:val="1"/>
                <w:bCs w:val="1"/>
                <w:color w:val="auto"/>
              </w:rPr>
              <w:t>Return on Average Capital Employed (%)</w:t>
            </w:r>
            <w:r>
              <w:rPr>
                <w:rFonts w:ascii="Arial" w:cs="Arial" w:eastAsia="Arial" w:hAnsi="Arial"/>
                <w:sz w:val="25"/>
                <w:szCs w:val="25"/>
                <w:b w:val="1"/>
                <w:bCs w:val="1"/>
                <w:color w:val="auto"/>
                <w:vertAlign w:val="superscript"/>
              </w:rPr>
              <w:t>(2)</w:t>
            </w:r>
          </w:p>
        </w:tc>
        <w:tc>
          <w:tcPr>
            <w:tcW w:w="10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shd w:val="clear" w:color="auto" w:fill="F6F1EB"/>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640" w:type="dxa"/>
            <w:vAlign w:val="bottom"/>
          </w:tcPr>
          <w:p>
            <w:pPr>
              <w:ind w:left="60"/>
              <w:spacing w:after="0"/>
              <w:rPr>
                <w:sz w:val="20"/>
                <w:szCs w:val="20"/>
                <w:color w:val="auto"/>
              </w:rPr>
            </w:pPr>
            <w:r>
              <w:rPr>
                <w:rFonts w:ascii="Arial" w:cs="Arial" w:eastAsia="Arial" w:hAnsi="Arial"/>
                <w:sz w:val="15"/>
                <w:szCs w:val="15"/>
                <w:color w:val="auto"/>
              </w:rPr>
              <w:t>Consolidated 2025 adjusted earnings before interest and taxes,</w:t>
            </w:r>
          </w:p>
        </w:tc>
        <w:tc>
          <w:tcPr>
            <w:tcW w:w="10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15"/>
                <w:szCs w:val="15"/>
                <w:color w:val="auto"/>
                <w:w w:val="99"/>
              </w:rPr>
              <w:t>83%</w:t>
            </w:r>
          </w:p>
        </w:tc>
        <w:tc>
          <w:tcPr>
            <w:tcW w:w="860" w:type="dxa"/>
            <w:vAlign w:val="bottom"/>
            <w:vMerge w:val="restart"/>
            <w:shd w:val="clear" w:color="auto" w:fill="F6F1EB"/>
          </w:tcPr>
          <w:p>
            <w:pPr>
              <w:jc w:val="center"/>
              <w:spacing w:after="0"/>
              <w:rPr>
                <w:sz w:val="20"/>
                <w:szCs w:val="20"/>
                <w:color w:val="auto"/>
              </w:rPr>
            </w:pPr>
            <w:r>
              <w:rPr>
                <w:rFonts w:ascii="Arial" w:cs="Arial" w:eastAsia="Arial" w:hAnsi="Arial"/>
                <w:sz w:val="15"/>
                <w:szCs w:val="15"/>
                <w:b w:val="1"/>
                <w:bCs w:val="1"/>
                <w:color w:val="auto"/>
                <w:w w:val="99"/>
              </w:rPr>
              <w:t>17%</w:t>
            </w:r>
          </w:p>
        </w:tc>
        <w:tc>
          <w:tcPr>
            <w:tcW w:w="0" w:type="dxa"/>
            <w:vAlign w:val="bottom"/>
          </w:tcPr>
          <w:p>
            <w:pPr>
              <w:spacing w:after="0"/>
              <w:rPr>
                <w:sz w:val="1"/>
                <w:szCs w:val="1"/>
                <w:color w:val="auto"/>
              </w:rPr>
            </w:pPr>
          </w:p>
        </w:tc>
      </w:tr>
      <w:tr>
        <w:trPr>
          <w:trHeight w:val="93"/>
        </w:trPr>
        <w:tc>
          <w:tcPr>
            <w:tcW w:w="4640" w:type="dxa"/>
            <w:vAlign w:val="bottom"/>
            <w:vMerge w:val="restart"/>
          </w:tcPr>
          <w:p>
            <w:pPr>
              <w:ind w:left="60"/>
              <w:spacing w:after="0"/>
              <w:rPr>
                <w:sz w:val="20"/>
                <w:szCs w:val="20"/>
                <w:color w:val="auto"/>
              </w:rPr>
            </w:pPr>
            <w:r>
              <w:rPr>
                <w:rFonts w:ascii="Arial" w:cs="Arial" w:eastAsia="Arial" w:hAnsi="Arial"/>
                <w:sz w:val="15"/>
                <w:szCs w:val="15"/>
                <w:color w:val="auto"/>
              </w:rPr>
              <w:t>divided by average total assets less average current liabilities for</w:t>
            </w:r>
          </w:p>
        </w:tc>
        <w:tc>
          <w:tcPr>
            <w:tcW w:w="10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60" w:type="dxa"/>
            <w:vAlign w:val="bottom"/>
            <w:vMerge w:val="continue"/>
            <w:shd w:val="clear" w:color="auto" w:fill="F6F1EB"/>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464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shd w:val="clear" w:color="auto" w:fill="F6F1EB"/>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4640" w:type="dxa"/>
            <w:vAlign w:val="bottom"/>
            <w:tcBorders>
              <w:bottom w:val="single" w:sz="8" w:color="A8A8AC"/>
            </w:tcBorders>
          </w:tcPr>
          <w:p>
            <w:pPr>
              <w:ind w:left="60"/>
              <w:spacing w:after="0"/>
              <w:rPr>
                <w:sz w:val="20"/>
                <w:szCs w:val="20"/>
                <w:color w:val="auto"/>
              </w:rPr>
            </w:pPr>
            <w:r>
              <w:rPr>
                <w:rFonts w:ascii="Arial" w:cs="Arial" w:eastAsia="Arial" w:hAnsi="Arial"/>
                <w:sz w:val="15"/>
                <w:szCs w:val="15"/>
                <w:color w:val="auto"/>
              </w:rPr>
              <w:t>year end 2025 and year end 2024.</w:t>
            </w:r>
          </w:p>
        </w:tc>
        <w:tc>
          <w:tcPr>
            <w:tcW w:w="1060" w:type="dxa"/>
            <w:vAlign w:val="bottom"/>
            <w:tcBorders>
              <w:bottom w:val="single" w:sz="8" w:color="A8A8AC"/>
            </w:tcBorders>
          </w:tcPr>
          <w:p>
            <w:pPr>
              <w:spacing w:after="0"/>
              <w:rPr>
                <w:sz w:val="17"/>
                <w:szCs w:val="17"/>
                <w:color w:val="auto"/>
              </w:rPr>
            </w:pPr>
          </w:p>
        </w:tc>
        <w:tc>
          <w:tcPr>
            <w:tcW w:w="2100" w:type="dxa"/>
            <w:vAlign w:val="bottom"/>
            <w:tcBorders>
              <w:bottom w:val="single" w:sz="8" w:color="A8A8AC"/>
            </w:tcBorders>
          </w:tcPr>
          <w:p>
            <w:pPr>
              <w:spacing w:after="0"/>
              <w:rPr>
                <w:sz w:val="17"/>
                <w:szCs w:val="17"/>
                <w:color w:val="auto"/>
              </w:rPr>
            </w:pPr>
          </w:p>
        </w:tc>
        <w:tc>
          <w:tcPr>
            <w:tcW w:w="1040" w:type="dxa"/>
            <w:vAlign w:val="bottom"/>
            <w:tcBorders>
              <w:bottom w:val="single" w:sz="8" w:color="A8A8AC"/>
            </w:tcBorders>
          </w:tcPr>
          <w:p>
            <w:pPr>
              <w:spacing w:after="0"/>
              <w:rPr>
                <w:sz w:val="17"/>
                <w:szCs w:val="17"/>
                <w:color w:val="auto"/>
              </w:rPr>
            </w:pPr>
          </w:p>
        </w:tc>
        <w:tc>
          <w:tcPr>
            <w:tcW w:w="920" w:type="dxa"/>
            <w:vAlign w:val="bottom"/>
            <w:tcBorders>
              <w:bottom w:val="single" w:sz="8" w:color="A8A8AC"/>
            </w:tcBorders>
          </w:tcPr>
          <w:p>
            <w:pPr>
              <w:spacing w:after="0"/>
              <w:rPr>
                <w:sz w:val="17"/>
                <w:szCs w:val="17"/>
                <w:color w:val="auto"/>
              </w:rPr>
            </w:pPr>
          </w:p>
        </w:tc>
        <w:tc>
          <w:tcPr>
            <w:tcW w:w="620" w:type="dxa"/>
            <w:vAlign w:val="bottom"/>
            <w:tcBorders>
              <w:bottom w:val="single" w:sz="8" w:color="A8A8AC"/>
            </w:tcBorders>
          </w:tcPr>
          <w:p>
            <w:pPr>
              <w:spacing w:after="0"/>
              <w:rPr>
                <w:sz w:val="17"/>
                <w:szCs w:val="17"/>
                <w:color w:val="auto"/>
              </w:rPr>
            </w:pPr>
          </w:p>
        </w:tc>
        <w:tc>
          <w:tcPr>
            <w:tcW w:w="860" w:type="dxa"/>
            <w:vAlign w:val="bottom"/>
            <w:tcBorders>
              <w:bottom w:val="single" w:sz="8" w:color="A8A8AC"/>
            </w:tcBorders>
            <w:shd w:val="clear" w:color="auto" w:fill="F6F1EB"/>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40" w:type="dxa"/>
            <w:vAlign w:val="bottom"/>
          </w:tcPr>
          <w:p>
            <w:pPr>
              <w:ind w:left="60"/>
              <w:spacing w:after="0" w:line="227" w:lineRule="exact"/>
              <w:rPr>
                <w:sz w:val="20"/>
                <w:szCs w:val="20"/>
                <w:color w:val="auto"/>
              </w:rPr>
            </w:pPr>
            <w:r>
              <w:rPr>
                <w:rFonts w:ascii="Arial" w:cs="Arial" w:eastAsia="Arial" w:hAnsi="Arial"/>
                <w:sz w:val="15"/>
                <w:szCs w:val="15"/>
                <w:b w:val="1"/>
                <w:bCs w:val="1"/>
                <w:color w:val="auto"/>
              </w:rPr>
              <w:t>Adjusted Free Cash Flow ($ / Share)</w:t>
            </w:r>
            <w:r>
              <w:rPr>
                <w:rFonts w:ascii="Arial" w:cs="Arial" w:eastAsia="Arial" w:hAnsi="Arial"/>
                <w:sz w:val="25"/>
                <w:szCs w:val="25"/>
                <w:b w:val="1"/>
                <w:bCs w:val="1"/>
                <w:color w:val="auto"/>
                <w:vertAlign w:val="superscript"/>
              </w:rPr>
              <w:t>(2)(3)</w:t>
            </w:r>
          </w:p>
        </w:tc>
        <w:tc>
          <w:tcPr>
            <w:tcW w:w="10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shd w:val="clear" w:color="auto" w:fill="F6F1EB"/>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640" w:type="dxa"/>
            <w:vAlign w:val="bottom"/>
          </w:tcPr>
          <w:p>
            <w:pPr>
              <w:ind w:left="60"/>
              <w:spacing w:after="0"/>
              <w:rPr>
                <w:sz w:val="20"/>
                <w:szCs w:val="20"/>
                <w:color w:val="auto"/>
              </w:rPr>
            </w:pPr>
            <w:r>
              <w:rPr>
                <w:rFonts w:ascii="Arial" w:cs="Arial" w:eastAsia="Arial" w:hAnsi="Arial"/>
                <w:sz w:val="15"/>
                <w:szCs w:val="15"/>
                <w:color w:val="auto"/>
              </w:rPr>
              <w:t>adjusted Cash flow from operations prior to dividends and excluding</w:t>
            </w:r>
          </w:p>
        </w:tc>
        <w:tc>
          <w:tcPr>
            <w:tcW w:w="10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shd w:val="clear" w:color="auto" w:fill="F6F1E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40" w:type="dxa"/>
            <w:vAlign w:val="bottom"/>
          </w:tcPr>
          <w:p>
            <w:pPr>
              <w:ind w:left="60"/>
              <w:spacing w:after="0"/>
              <w:rPr>
                <w:sz w:val="20"/>
                <w:szCs w:val="20"/>
                <w:color w:val="auto"/>
              </w:rPr>
            </w:pPr>
            <w:r>
              <w:rPr>
                <w:rFonts w:ascii="Arial" w:cs="Arial" w:eastAsia="Arial" w:hAnsi="Arial"/>
                <w:sz w:val="15"/>
                <w:szCs w:val="15"/>
                <w:color w:val="auto"/>
              </w:rPr>
              <w:t>working capital changes, less cash capital expenditures for operated</w:t>
            </w:r>
          </w:p>
        </w:tc>
        <w:tc>
          <w:tcPr>
            <w:tcW w:w="10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15"/>
                <w:szCs w:val="15"/>
                <w:color w:val="auto"/>
                <w:w w:val="98"/>
              </w:rPr>
              <w:t>200%</w:t>
            </w:r>
          </w:p>
        </w:tc>
        <w:tc>
          <w:tcPr>
            <w:tcW w:w="860" w:type="dxa"/>
            <w:vAlign w:val="bottom"/>
            <w:vMerge w:val="restart"/>
            <w:shd w:val="clear" w:color="auto" w:fill="F6F1EB"/>
          </w:tcPr>
          <w:p>
            <w:pPr>
              <w:jc w:val="center"/>
              <w:spacing w:after="0"/>
              <w:rPr>
                <w:sz w:val="20"/>
                <w:szCs w:val="20"/>
                <w:color w:val="auto"/>
              </w:rPr>
            </w:pPr>
            <w:r>
              <w:rPr>
                <w:rFonts w:ascii="Arial" w:cs="Arial" w:eastAsia="Arial" w:hAnsi="Arial"/>
                <w:sz w:val="15"/>
                <w:szCs w:val="15"/>
                <w:b w:val="1"/>
                <w:bCs w:val="1"/>
                <w:color w:val="auto"/>
                <w:w w:val="99"/>
              </w:rPr>
              <w:t>40%</w:t>
            </w:r>
          </w:p>
        </w:tc>
        <w:tc>
          <w:tcPr>
            <w:tcW w:w="0" w:type="dxa"/>
            <w:vAlign w:val="bottom"/>
          </w:tcPr>
          <w:p>
            <w:pPr>
              <w:spacing w:after="0"/>
              <w:rPr>
                <w:sz w:val="1"/>
                <w:szCs w:val="1"/>
                <w:color w:val="auto"/>
              </w:rPr>
            </w:pPr>
          </w:p>
        </w:tc>
      </w:tr>
      <w:tr>
        <w:trPr>
          <w:trHeight w:val="93"/>
        </w:trPr>
        <w:tc>
          <w:tcPr>
            <w:tcW w:w="4640" w:type="dxa"/>
            <w:vAlign w:val="bottom"/>
            <w:vMerge w:val="restart"/>
          </w:tcPr>
          <w:p>
            <w:pPr>
              <w:ind w:left="60"/>
              <w:spacing w:after="0"/>
              <w:rPr>
                <w:sz w:val="20"/>
                <w:szCs w:val="20"/>
                <w:color w:val="auto"/>
              </w:rPr>
            </w:pPr>
            <w:r>
              <w:rPr>
                <w:rFonts w:ascii="Arial" w:cs="Arial" w:eastAsia="Arial" w:hAnsi="Arial"/>
                <w:sz w:val="15"/>
                <w:szCs w:val="15"/>
                <w:color w:val="auto"/>
              </w:rPr>
              <w:t>D,C&amp;E, non-operated properties and capital workovers, midstream</w:t>
            </w:r>
          </w:p>
        </w:tc>
        <w:tc>
          <w:tcPr>
            <w:tcW w:w="10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60" w:type="dxa"/>
            <w:vAlign w:val="bottom"/>
            <w:vMerge w:val="continue"/>
            <w:shd w:val="clear" w:color="auto" w:fill="F6F1EB"/>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464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shd w:val="clear" w:color="auto" w:fill="F6F1EB"/>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640" w:type="dxa"/>
            <w:vAlign w:val="bottom"/>
          </w:tcPr>
          <w:p>
            <w:pPr>
              <w:ind w:left="60"/>
              <w:spacing w:after="0"/>
              <w:rPr>
                <w:sz w:val="20"/>
                <w:szCs w:val="20"/>
                <w:color w:val="auto"/>
              </w:rPr>
            </w:pPr>
            <w:r>
              <w:rPr>
                <w:rFonts w:ascii="Arial" w:cs="Arial" w:eastAsia="Arial" w:hAnsi="Arial"/>
                <w:sz w:val="15"/>
                <w:szCs w:val="15"/>
                <w:color w:val="auto"/>
              </w:rPr>
              <w:t>and infrastructure and environmental. Excludes acquisitions and</w:t>
            </w:r>
          </w:p>
        </w:tc>
        <w:tc>
          <w:tcPr>
            <w:tcW w:w="10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shd w:val="clear" w:color="auto" w:fill="F6F1EB"/>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640" w:type="dxa"/>
            <w:vAlign w:val="bottom"/>
            <w:tcBorders>
              <w:bottom w:val="single" w:sz="8" w:color="A8A8AC"/>
            </w:tcBorders>
          </w:tcPr>
          <w:p>
            <w:pPr>
              <w:ind w:left="60"/>
              <w:spacing w:after="0"/>
              <w:rPr>
                <w:sz w:val="20"/>
                <w:szCs w:val="20"/>
                <w:color w:val="auto"/>
              </w:rPr>
            </w:pPr>
            <w:r>
              <w:rPr>
                <w:rFonts w:ascii="Arial" w:cs="Arial" w:eastAsia="Arial" w:hAnsi="Arial"/>
                <w:sz w:val="15"/>
                <w:szCs w:val="15"/>
                <w:color w:val="auto"/>
              </w:rPr>
              <w:t>equity method investments.</w:t>
            </w:r>
          </w:p>
        </w:tc>
        <w:tc>
          <w:tcPr>
            <w:tcW w:w="1060" w:type="dxa"/>
            <w:vAlign w:val="bottom"/>
            <w:tcBorders>
              <w:bottom w:val="single" w:sz="8" w:color="A8A8AC"/>
            </w:tcBorders>
          </w:tcPr>
          <w:p>
            <w:pPr>
              <w:spacing w:after="0"/>
              <w:rPr>
                <w:sz w:val="17"/>
                <w:szCs w:val="17"/>
                <w:color w:val="auto"/>
              </w:rPr>
            </w:pPr>
          </w:p>
        </w:tc>
        <w:tc>
          <w:tcPr>
            <w:tcW w:w="2100" w:type="dxa"/>
            <w:vAlign w:val="bottom"/>
            <w:tcBorders>
              <w:bottom w:val="single" w:sz="8" w:color="A8A8AC"/>
            </w:tcBorders>
          </w:tcPr>
          <w:p>
            <w:pPr>
              <w:spacing w:after="0"/>
              <w:rPr>
                <w:sz w:val="17"/>
                <w:szCs w:val="17"/>
                <w:color w:val="auto"/>
              </w:rPr>
            </w:pPr>
          </w:p>
        </w:tc>
        <w:tc>
          <w:tcPr>
            <w:tcW w:w="1040" w:type="dxa"/>
            <w:vAlign w:val="bottom"/>
            <w:tcBorders>
              <w:bottom w:val="single" w:sz="8" w:color="A8A8AC"/>
            </w:tcBorders>
          </w:tcPr>
          <w:p>
            <w:pPr>
              <w:spacing w:after="0"/>
              <w:rPr>
                <w:sz w:val="17"/>
                <w:szCs w:val="17"/>
                <w:color w:val="auto"/>
              </w:rPr>
            </w:pPr>
          </w:p>
        </w:tc>
        <w:tc>
          <w:tcPr>
            <w:tcW w:w="920" w:type="dxa"/>
            <w:vAlign w:val="bottom"/>
            <w:tcBorders>
              <w:bottom w:val="single" w:sz="8" w:color="A8A8AC"/>
            </w:tcBorders>
          </w:tcPr>
          <w:p>
            <w:pPr>
              <w:spacing w:after="0"/>
              <w:rPr>
                <w:sz w:val="17"/>
                <w:szCs w:val="17"/>
                <w:color w:val="auto"/>
              </w:rPr>
            </w:pPr>
          </w:p>
        </w:tc>
        <w:tc>
          <w:tcPr>
            <w:tcW w:w="620" w:type="dxa"/>
            <w:vAlign w:val="bottom"/>
            <w:tcBorders>
              <w:bottom w:val="single" w:sz="8" w:color="A8A8AC"/>
            </w:tcBorders>
          </w:tcPr>
          <w:p>
            <w:pPr>
              <w:spacing w:after="0"/>
              <w:rPr>
                <w:sz w:val="17"/>
                <w:szCs w:val="17"/>
                <w:color w:val="auto"/>
              </w:rPr>
            </w:pPr>
          </w:p>
        </w:tc>
        <w:tc>
          <w:tcPr>
            <w:tcW w:w="860" w:type="dxa"/>
            <w:vAlign w:val="bottom"/>
            <w:tcBorders>
              <w:bottom w:val="single" w:sz="8" w:color="A8A8AC"/>
            </w:tcBorders>
            <w:shd w:val="clear" w:color="auto" w:fill="F6F1EB"/>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60"/>
              <w:spacing w:after="0"/>
              <w:rPr>
                <w:sz w:val="20"/>
                <w:szCs w:val="20"/>
                <w:color w:val="auto"/>
              </w:rPr>
            </w:pPr>
            <w:r>
              <w:rPr>
                <w:rFonts w:ascii="Arial" w:cs="Arial" w:eastAsia="Arial" w:hAnsi="Arial"/>
                <w:sz w:val="15"/>
                <w:szCs w:val="15"/>
                <w:b w:val="1"/>
                <w:bCs w:val="1"/>
                <w:color w:val="auto"/>
              </w:rPr>
              <w:t>Environmental and Safety</w:t>
            </w:r>
          </w:p>
        </w:tc>
        <w:tc>
          <w:tcPr>
            <w:tcW w:w="4200" w:type="dxa"/>
            <w:vAlign w:val="bottom"/>
            <w:gridSpan w:val="3"/>
          </w:tcPr>
          <w:p>
            <w:pPr>
              <w:ind w:left="80"/>
              <w:spacing w:after="0"/>
              <w:rPr>
                <w:sz w:val="20"/>
                <w:szCs w:val="20"/>
                <w:color w:val="auto"/>
              </w:rPr>
            </w:pPr>
            <w:r>
              <w:rPr>
                <w:rFonts w:ascii="Arial" w:cs="Arial" w:eastAsia="Arial" w:hAnsi="Arial"/>
                <w:sz w:val="15"/>
                <w:szCs w:val="15"/>
                <w:color w:val="auto"/>
              </w:rPr>
              <w:t>See table below for details regarding Environmental and</w:t>
            </w: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shd w:val="clear" w:color="auto" w:fill="F6F1EB"/>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40" w:type="dxa"/>
            <w:vAlign w:val="bottom"/>
          </w:tcPr>
          <w:p>
            <w:pPr>
              <w:spacing w:after="0"/>
              <w:rPr>
                <w:sz w:val="17"/>
                <w:szCs w:val="17"/>
                <w:color w:val="auto"/>
              </w:rPr>
            </w:pPr>
          </w:p>
        </w:tc>
        <w:tc>
          <w:tcPr>
            <w:tcW w:w="4200" w:type="dxa"/>
            <w:vAlign w:val="bottom"/>
            <w:gridSpan w:val="3"/>
          </w:tcPr>
          <w:p>
            <w:pPr>
              <w:ind w:left="80"/>
              <w:spacing w:after="0"/>
              <w:rPr>
                <w:sz w:val="20"/>
                <w:szCs w:val="20"/>
                <w:color w:val="auto"/>
              </w:rPr>
            </w:pPr>
            <w:r>
              <w:rPr>
                <w:rFonts w:ascii="Arial" w:cs="Arial" w:eastAsia="Arial" w:hAnsi="Arial"/>
                <w:sz w:val="15"/>
                <w:szCs w:val="15"/>
                <w:color w:val="auto"/>
              </w:rPr>
              <w:t>Safety Performance Metrics and Company results for 2025.</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vMerge w:val="restart"/>
            <w:shd w:val="clear" w:color="auto" w:fill="F6F1EB"/>
          </w:tcPr>
          <w:p>
            <w:pPr>
              <w:jc w:val="center"/>
              <w:spacing w:after="0"/>
              <w:rPr>
                <w:sz w:val="20"/>
                <w:szCs w:val="20"/>
                <w:color w:val="auto"/>
              </w:rPr>
            </w:pPr>
            <w:r>
              <w:rPr>
                <w:rFonts w:ascii="Arial" w:cs="Arial" w:eastAsia="Arial" w:hAnsi="Arial"/>
                <w:sz w:val="15"/>
                <w:szCs w:val="15"/>
                <w:b w:val="1"/>
                <w:bCs w:val="1"/>
                <w:color w:val="auto"/>
                <w:w w:val="99"/>
              </w:rPr>
              <w:t>34%</w:t>
            </w:r>
          </w:p>
        </w:tc>
        <w:tc>
          <w:tcPr>
            <w:tcW w:w="0" w:type="dxa"/>
            <w:vAlign w:val="bottom"/>
          </w:tcPr>
          <w:p>
            <w:pPr>
              <w:spacing w:after="0"/>
              <w:rPr>
                <w:sz w:val="1"/>
                <w:szCs w:val="1"/>
                <w:color w:val="auto"/>
              </w:rPr>
            </w:pPr>
          </w:p>
        </w:tc>
      </w:tr>
      <w:tr>
        <w:trPr>
          <w:trHeight w:val="58"/>
        </w:trPr>
        <w:tc>
          <w:tcPr>
            <w:tcW w:w="4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vMerge w:val="continue"/>
            <w:shd w:val="clear" w:color="auto" w:fill="F6F1EB"/>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4640" w:type="dxa"/>
            <w:vAlign w:val="bottom"/>
            <w:tcBorders>
              <w:bottom w:val="single" w:sz="8" w:color="A8A8AC"/>
            </w:tcBorders>
          </w:tcPr>
          <w:p>
            <w:pPr>
              <w:spacing w:after="0"/>
              <w:rPr>
                <w:sz w:val="21"/>
                <w:szCs w:val="21"/>
                <w:color w:val="auto"/>
              </w:rPr>
            </w:pPr>
          </w:p>
        </w:tc>
        <w:tc>
          <w:tcPr>
            <w:tcW w:w="1060" w:type="dxa"/>
            <w:vAlign w:val="bottom"/>
            <w:tcBorders>
              <w:bottom w:val="single" w:sz="8" w:color="A8A8AC"/>
            </w:tcBorders>
          </w:tcPr>
          <w:p>
            <w:pPr>
              <w:spacing w:after="0"/>
              <w:rPr>
                <w:sz w:val="21"/>
                <w:szCs w:val="21"/>
                <w:color w:val="auto"/>
              </w:rPr>
            </w:pPr>
          </w:p>
        </w:tc>
        <w:tc>
          <w:tcPr>
            <w:tcW w:w="2100" w:type="dxa"/>
            <w:vAlign w:val="bottom"/>
            <w:tcBorders>
              <w:bottom w:val="single" w:sz="8" w:color="A8A8AC"/>
            </w:tcBorders>
          </w:tcPr>
          <w:p>
            <w:pPr>
              <w:spacing w:after="0"/>
              <w:rPr>
                <w:sz w:val="21"/>
                <w:szCs w:val="21"/>
                <w:color w:val="auto"/>
              </w:rPr>
            </w:pPr>
          </w:p>
        </w:tc>
        <w:tc>
          <w:tcPr>
            <w:tcW w:w="1040" w:type="dxa"/>
            <w:vAlign w:val="bottom"/>
            <w:tcBorders>
              <w:bottom w:val="single" w:sz="8" w:color="A8A8AC"/>
            </w:tcBorders>
          </w:tcPr>
          <w:p>
            <w:pPr>
              <w:spacing w:after="0"/>
              <w:rPr>
                <w:sz w:val="21"/>
                <w:szCs w:val="21"/>
                <w:color w:val="auto"/>
              </w:rPr>
            </w:pPr>
          </w:p>
        </w:tc>
        <w:tc>
          <w:tcPr>
            <w:tcW w:w="920" w:type="dxa"/>
            <w:vAlign w:val="bottom"/>
            <w:tcBorders>
              <w:bottom w:val="single" w:sz="8" w:color="A8A8AC"/>
            </w:tcBorders>
          </w:tcPr>
          <w:p>
            <w:pPr>
              <w:spacing w:after="0"/>
              <w:rPr>
                <w:sz w:val="21"/>
                <w:szCs w:val="21"/>
                <w:color w:val="auto"/>
              </w:rPr>
            </w:pPr>
          </w:p>
        </w:tc>
        <w:tc>
          <w:tcPr>
            <w:tcW w:w="620" w:type="dxa"/>
            <w:vAlign w:val="bottom"/>
            <w:tcBorders>
              <w:bottom w:val="single" w:sz="8" w:color="A8A8AC"/>
            </w:tcBorders>
          </w:tcPr>
          <w:p>
            <w:pPr>
              <w:spacing w:after="0"/>
              <w:rPr>
                <w:sz w:val="21"/>
                <w:szCs w:val="21"/>
                <w:color w:val="auto"/>
              </w:rPr>
            </w:pPr>
          </w:p>
        </w:tc>
        <w:tc>
          <w:tcPr>
            <w:tcW w:w="860" w:type="dxa"/>
            <w:vAlign w:val="bottom"/>
            <w:tcBorders>
              <w:bottom w:val="single" w:sz="8" w:color="A8A8AC"/>
            </w:tcBorders>
            <w:shd w:val="clear" w:color="auto" w:fill="F6F1EB"/>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A26F2A"/>
            </w:tcBorders>
          </w:tcPr>
          <w:p>
            <w:pPr>
              <w:spacing w:after="0"/>
              <w:rPr>
                <w:sz w:val="18"/>
                <w:szCs w:val="18"/>
                <w:color w:val="auto"/>
              </w:rPr>
            </w:pPr>
          </w:p>
        </w:tc>
        <w:tc>
          <w:tcPr>
            <w:tcW w:w="1060" w:type="dxa"/>
            <w:vAlign w:val="bottom"/>
            <w:tcBorders>
              <w:bottom w:val="single" w:sz="8" w:color="A26F2A"/>
            </w:tcBorders>
          </w:tcPr>
          <w:p>
            <w:pPr>
              <w:spacing w:after="0"/>
              <w:rPr>
                <w:sz w:val="18"/>
                <w:szCs w:val="18"/>
                <w:color w:val="auto"/>
              </w:rPr>
            </w:pPr>
          </w:p>
        </w:tc>
        <w:tc>
          <w:tcPr>
            <w:tcW w:w="2100" w:type="dxa"/>
            <w:vAlign w:val="bottom"/>
            <w:tcBorders>
              <w:bottom w:val="single" w:sz="8" w:color="A26F2A"/>
            </w:tcBorders>
          </w:tcPr>
          <w:p>
            <w:pPr>
              <w:spacing w:after="0"/>
              <w:rPr>
                <w:sz w:val="18"/>
                <w:szCs w:val="18"/>
                <w:color w:val="auto"/>
              </w:rPr>
            </w:pPr>
          </w:p>
        </w:tc>
        <w:tc>
          <w:tcPr>
            <w:tcW w:w="1040" w:type="dxa"/>
            <w:vAlign w:val="bottom"/>
            <w:tcBorders>
              <w:bottom w:val="single" w:sz="8" w:color="A26F2A"/>
            </w:tcBorders>
          </w:tcPr>
          <w:p>
            <w:pPr>
              <w:spacing w:after="0"/>
              <w:rPr>
                <w:sz w:val="18"/>
                <w:szCs w:val="18"/>
                <w:color w:val="auto"/>
              </w:rPr>
            </w:pPr>
          </w:p>
        </w:tc>
        <w:tc>
          <w:tcPr>
            <w:tcW w:w="920" w:type="dxa"/>
            <w:vAlign w:val="bottom"/>
            <w:tcBorders>
              <w:bottom w:val="single" w:sz="8" w:color="A26F2A"/>
            </w:tcBorders>
          </w:tcPr>
          <w:p>
            <w:pPr>
              <w:jc w:val="right"/>
              <w:ind w:right="184"/>
              <w:spacing w:after="0"/>
              <w:rPr>
                <w:sz w:val="20"/>
                <w:szCs w:val="20"/>
                <w:color w:val="auto"/>
              </w:rPr>
            </w:pPr>
            <w:r>
              <w:rPr>
                <w:rFonts w:ascii="Arial" w:cs="Arial" w:eastAsia="Arial" w:hAnsi="Arial"/>
                <w:sz w:val="15"/>
                <w:szCs w:val="15"/>
                <w:b w:val="1"/>
                <w:bCs w:val="1"/>
                <w:color w:val="auto"/>
              </w:rPr>
              <w:t>100%</w:t>
            </w:r>
          </w:p>
        </w:tc>
        <w:tc>
          <w:tcPr>
            <w:tcW w:w="620" w:type="dxa"/>
            <w:vAlign w:val="bottom"/>
            <w:tcBorders>
              <w:bottom w:val="single" w:sz="8" w:color="A26F2A"/>
            </w:tcBorders>
          </w:tcPr>
          <w:p>
            <w:pPr>
              <w:spacing w:after="0"/>
              <w:rPr>
                <w:sz w:val="18"/>
                <w:szCs w:val="18"/>
                <w:color w:val="auto"/>
              </w:rPr>
            </w:pPr>
          </w:p>
        </w:tc>
        <w:tc>
          <w:tcPr>
            <w:tcW w:w="860" w:type="dxa"/>
            <w:vAlign w:val="bottom"/>
            <w:tcBorders>
              <w:bottom w:val="single" w:sz="8" w:color="A26F2A"/>
            </w:tcBorders>
            <w:shd w:val="clear" w:color="auto" w:fill="F6F1EB"/>
          </w:tcPr>
          <w:p>
            <w:pPr>
              <w:jc w:val="center"/>
              <w:spacing w:after="0"/>
              <w:rPr>
                <w:sz w:val="20"/>
                <w:szCs w:val="20"/>
                <w:color w:val="auto"/>
              </w:rPr>
            </w:pPr>
            <w:r>
              <w:rPr>
                <w:rFonts w:ascii="Arial" w:cs="Arial" w:eastAsia="Arial" w:hAnsi="Arial"/>
                <w:sz w:val="15"/>
                <w:szCs w:val="15"/>
                <w:b w:val="1"/>
                <w:bCs w:val="1"/>
                <w:color w:val="auto"/>
              </w:rPr>
              <w:t>161%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-3365500</wp:posOffset>
            </wp:positionV>
            <wp:extent cx="2965450" cy="31896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965450" cy="3189605"/>
                    </a:xfrm>
                    <a:prstGeom prst="rect">
                      <a:avLst/>
                    </a:prstGeom>
                    <a:noFill/>
                  </pic:spPr>
                </pic:pic>
              </a:graphicData>
            </a:graphic>
          </wp:anchor>
        </w:drawing>
      </w:r>
    </w:p>
    <w:p>
      <w:pPr>
        <w:spacing w:after="0" w:line="36" w:lineRule="exact"/>
        <w:rPr>
          <w:sz w:val="20"/>
          <w:szCs w:val="20"/>
          <w:color w:val="auto"/>
        </w:rPr>
      </w:pPr>
    </w:p>
    <w:p>
      <w:pPr>
        <w:ind w:left="300" w:hanging="299"/>
        <w:spacing w:after="0"/>
        <w:tabs>
          <w:tab w:leader="none" w:pos="300" w:val="left"/>
        </w:tabs>
        <w:numPr>
          <w:ilvl w:val="0"/>
          <w:numId w:val="78"/>
        </w:numPr>
        <w:rPr>
          <w:rFonts w:ascii="Arial" w:cs="Arial" w:eastAsia="Arial" w:hAnsi="Arial"/>
          <w:sz w:val="13"/>
          <w:szCs w:val="13"/>
          <w:i w:val="1"/>
          <w:iCs w:val="1"/>
          <w:color w:val="auto"/>
        </w:rPr>
      </w:pPr>
      <w:r>
        <w:rPr>
          <w:rFonts w:ascii="Arial" w:cs="Arial" w:eastAsia="Arial" w:hAnsi="Arial"/>
          <w:sz w:val="13"/>
          <w:szCs w:val="13"/>
          <w:i w:val="1"/>
          <w:iCs w:val="1"/>
          <w:color w:val="auto"/>
        </w:rPr>
        <w:t>No payouts are made in respect of a performance goal under the Annual Incentive Plan unless applicable threshold performance level for such performance goal is achieved.</w:t>
      </w:r>
    </w:p>
    <w:p>
      <w:pPr>
        <w:spacing w:after="0" w:line="52" w:lineRule="exact"/>
        <w:rPr>
          <w:rFonts w:ascii="Arial" w:cs="Arial" w:eastAsia="Arial" w:hAnsi="Arial"/>
          <w:sz w:val="13"/>
          <w:szCs w:val="13"/>
          <w:i w:val="1"/>
          <w:iCs w:val="1"/>
          <w:color w:val="auto"/>
        </w:rPr>
      </w:pPr>
    </w:p>
    <w:p>
      <w:pPr>
        <w:ind w:left="300" w:hanging="299"/>
        <w:spacing w:after="0"/>
        <w:tabs>
          <w:tab w:leader="none" w:pos="300" w:val="left"/>
        </w:tabs>
        <w:numPr>
          <w:ilvl w:val="0"/>
          <w:numId w:val="78"/>
        </w:numPr>
        <w:rPr>
          <w:rFonts w:ascii="Arial" w:cs="Arial" w:eastAsia="Arial" w:hAnsi="Arial"/>
          <w:sz w:val="13"/>
          <w:szCs w:val="13"/>
          <w:i w:val="1"/>
          <w:iCs w:val="1"/>
          <w:color w:val="auto"/>
        </w:rPr>
      </w:pPr>
      <w:r>
        <w:rPr>
          <w:rFonts w:ascii="Arial" w:cs="Arial" w:eastAsia="Arial" w:hAnsi="Arial"/>
          <w:sz w:val="13"/>
          <w:szCs w:val="13"/>
          <w:i w:val="1"/>
          <w:iCs w:val="1"/>
          <w:color w:val="auto"/>
        </w:rPr>
        <w:t>Calculated from the Company’s historical audited financial statements as shown in “Schedule A—Non-GAAP Reconciliations” beginning on page 102 of this proxy statement.</w:t>
      </w:r>
    </w:p>
    <w:p>
      <w:pPr>
        <w:spacing w:after="0" w:line="52" w:lineRule="exact"/>
        <w:rPr>
          <w:rFonts w:ascii="Arial" w:cs="Arial" w:eastAsia="Arial" w:hAnsi="Arial"/>
          <w:sz w:val="13"/>
          <w:szCs w:val="13"/>
          <w:i w:val="1"/>
          <w:iCs w:val="1"/>
          <w:color w:val="auto"/>
        </w:rPr>
      </w:pPr>
    </w:p>
    <w:p>
      <w:pPr>
        <w:ind w:left="300" w:hanging="299"/>
        <w:spacing w:after="0" w:line="285" w:lineRule="auto"/>
        <w:tabs>
          <w:tab w:leader="none" w:pos="300" w:val="left"/>
        </w:tabs>
        <w:numPr>
          <w:ilvl w:val="0"/>
          <w:numId w:val="78"/>
        </w:numPr>
        <w:rPr>
          <w:rFonts w:ascii="Arial" w:cs="Arial" w:eastAsia="Arial" w:hAnsi="Arial"/>
          <w:sz w:val="13"/>
          <w:szCs w:val="13"/>
          <w:i w:val="1"/>
          <w:iCs w:val="1"/>
          <w:color w:val="auto"/>
        </w:rPr>
      </w:pPr>
      <w:r>
        <w:rPr>
          <w:rFonts w:ascii="Arial" w:cs="Arial" w:eastAsia="Arial" w:hAnsi="Arial"/>
          <w:sz w:val="13"/>
          <w:szCs w:val="13"/>
          <w:i w:val="1"/>
          <w:iCs w:val="1"/>
          <w:color w:val="auto"/>
        </w:rPr>
        <w:t>The per share amount is calculated by dividing Adjusted Free Cash Flow for the fiscal year ended December 31, 2025 by the weighted average shares outstanding for fiscal year 2025 of approximately 289 million shares.</w:t>
      </w:r>
    </w:p>
    <w:p>
      <w:pPr>
        <w:spacing w:after="0" w:line="120"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26F2A"/>
        </w:rPr>
        <w:t>ENVIRONMENTAL AND SAFETY METRICS AND PERFORMANCE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1140" w:type="dxa"/>
            <w:vAlign w:val="bottom"/>
            <w:tcBorders>
              <w:bottom w:val="single" w:sz="8" w:color="A26F2A"/>
            </w:tcBorders>
          </w:tcPr>
          <w:p>
            <w:pPr>
              <w:spacing w:after="0"/>
              <w:rPr>
                <w:sz w:val="16"/>
                <w:szCs w:val="16"/>
                <w:color w:val="auto"/>
              </w:rPr>
            </w:pPr>
          </w:p>
        </w:tc>
        <w:tc>
          <w:tcPr>
            <w:tcW w:w="2120" w:type="dxa"/>
            <w:vAlign w:val="bottom"/>
            <w:tcBorders>
              <w:bottom w:val="single" w:sz="8" w:color="A26F2A"/>
            </w:tcBorders>
          </w:tcPr>
          <w:p>
            <w:pPr>
              <w:jc w:val="center"/>
              <w:spacing w:after="0"/>
              <w:rPr>
                <w:sz w:val="20"/>
                <w:szCs w:val="20"/>
                <w:color w:val="auto"/>
              </w:rPr>
            </w:pPr>
            <w:r>
              <w:rPr>
                <w:rFonts w:ascii="Arial" w:cs="Arial" w:eastAsia="Arial" w:hAnsi="Arial"/>
                <w:sz w:val="15"/>
                <w:szCs w:val="15"/>
                <w:b w:val="1"/>
                <w:bCs w:val="1"/>
                <w:color w:val="auto"/>
              </w:rPr>
              <w:t>Performance Levels</w:t>
            </w:r>
          </w:p>
        </w:tc>
        <w:tc>
          <w:tcPr>
            <w:tcW w:w="1120" w:type="dxa"/>
            <w:vAlign w:val="bottom"/>
            <w:tcBorders>
              <w:bottom w:val="single" w:sz="8" w:color="A26F2A"/>
            </w:tcBorders>
          </w:tcPr>
          <w:p>
            <w:pPr>
              <w:spacing w:after="0"/>
              <w:rPr>
                <w:sz w:val="16"/>
                <w:szCs w:val="16"/>
                <w:color w:val="auto"/>
              </w:rPr>
            </w:pPr>
          </w:p>
        </w:tc>
        <w:tc>
          <w:tcPr>
            <w:tcW w:w="920" w:type="dxa"/>
            <w:vAlign w:val="bottom"/>
            <w:vMerge w:val="restart"/>
          </w:tcPr>
          <w:p>
            <w:pPr>
              <w:jc w:val="right"/>
              <w:ind w:right="204"/>
              <w:spacing w:after="0"/>
              <w:rPr>
                <w:sz w:val="20"/>
                <w:szCs w:val="20"/>
                <w:color w:val="auto"/>
              </w:rPr>
            </w:pPr>
            <w:r>
              <w:rPr>
                <w:rFonts w:ascii="Arial" w:cs="Arial" w:eastAsia="Arial" w:hAnsi="Arial"/>
                <w:sz w:val="15"/>
                <w:szCs w:val="15"/>
                <w:b w:val="1"/>
                <w:bCs w:val="1"/>
                <w:color w:val="auto"/>
              </w:rPr>
              <w:t>2025</w:t>
            </w:r>
          </w:p>
        </w:tc>
        <w:tc>
          <w:tcPr>
            <w:tcW w:w="62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 of</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460" w:type="dxa"/>
            <w:vAlign w:val="bottom"/>
          </w:tcPr>
          <w:p>
            <w:pPr>
              <w:spacing w:after="0"/>
              <w:rPr>
                <w:sz w:val="13"/>
                <w:szCs w:val="13"/>
                <w:color w:val="auto"/>
              </w:rPr>
            </w:pPr>
          </w:p>
        </w:tc>
        <w:tc>
          <w:tcPr>
            <w:tcW w:w="1140" w:type="dxa"/>
            <w:vAlign w:val="bottom"/>
          </w:tcPr>
          <w:p>
            <w:pPr>
              <w:jc w:val="center"/>
              <w:ind w:right="164"/>
              <w:spacing w:after="0" w:line="157" w:lineRule="exact"/>
              <w:rPr>
                <w:sz w:val="20"/>
                <w:szCs w:val="20"/>
                <w:color w:val="auto"/>
              </w:rPr>
            </w:pPr>
            <w:r>
              <w:rPr>
                <w:rFonts w:ascii="Arial" w:cs="Arial" w:eastAsia="Arial" w:hAnsi="Arial"/>
                <w:sz w:val="15"/>
                <w:szCs w:val="15"/>
                <w:b w:val="1"/>
                <w:bCs w:val="1"/>
                <w:color w:val="auto"/>
              </w:rPr>
              <w:t>Threshold</w:t>
            </w:r>
          </w:p>
        </w:tc>
        <w:tc>
          <w:tcPr>
            <w:tcW w:w="212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rPr>
              <w:t>Target</w:t>
            </w:r>
          </w:p>
        </w:tc>
        <w:tc>
          <w:tcPr>
            <w:tcW w:w="1120" w:type="dxa"/>
            <w:vAlign w:val="bottom"/>
          </w:tcPr>
          <w:p>
            <w:pPr>
              <w:jc w:val="center"/>
              <w:ind w:left="184"/>
              <w:spacing w:after="0" w:line="157" w:lineRule="exact"/>
              <w:rPr>
                <w:sz w:val="20"/>
                <w:szCs w:val="20"/>
                <w:color w:val="auto"/>
              </w:rPr>
            </w:pPr>
            <w:r>
              <w:rPr>
                <w:rFonts w:ascii="Arial" w:cs="Arial" w:eastAsia="Arial" w:hAnsi="Arial"/>
                <w:sz w:val="15"/>
                <w:szCs w:val="15"/>
                <w:b w:val="1"/>
                <w:bCs w:val="1"/>
                <w:color w:val="auto"/>
              </w:rPr>
              <w:t>Maximum</w:t>
            </w:r>
          </w:p>
        </w:tc>
        <w:tc>
          <w:tcPr>
            <w:tcW w:w="9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60" w:type="dxa"/>
            <w:vAlign w:val="bottom"/>
            <w:shd w:val="clear" w:color="auto" w:fill="F6F1EB"/>
          </w:tcPr>
          <w:p>
            <w:pPr>
              <w:jc w:val="center"/>
              <w:spacing w:after="0" w:line="157" w:lineRule="exact"/>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194"/>
        </w:trPr>
        <w:tc>
          <w:tcPr>
            <w:tcW w:w="446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Performance Factors</w:t>
            </w:r>
          </w:p>
        </w:tc>
        <w:tc>
          <w:tcPr>
            <w:tcW w:w="1140" w:type="dxa"/>
            <w:vAlign w:val="bottom"/>
            <w:tcBorders>
              <w:bottom w:val="single" w:sz="8" w:color="A26F2A"/>
            </w:tcBorders>
          </w:tcPr>
          <w:p>
            <w:pPr>
              <w:jc w:val="right"/>
              <w:ind w:right="404"/>
              <w:spacing w:after="0"/>
              <w:rPr>
                <w:sz w:val="20"/>
                <w:szCs w:val="20"/>
                <w:color w:val="auto"/>
              </w:rPr>
            </w:pPr>
            <w:r>
              <w:rPr>
                <w:rFonts w:ascii="Arial" w:cs="Arial" w:eastAsia="Arial" w:hAnsi="Arial"/>
                <w:sz w:val="15"/>
                <w:szCs w:val="15"/>
                <w:b w:val="1"/>
                <w:bCs w:val="1"/>
                <w:color w:val="auto"/>
              </w:rPr>
              <w:t>(50%)</w:t>
            </w:r>
          </w:p>
        </w:tc>
        <w:tc>
          <w:tcPr>
            <w:tcW w:w="2120" w:type="dxa"/>
            <w:vAlign w:val="bottom"/>
            <w:tcBorders>
              <w:bottom w:val="single" w:sz="8" w:color="A26F2A"/>
            </w:tcBorders>
          </w:tcPr>
          <w:p>
            <w:pPr>
              <w:jc w:val="center"/>
              <w:spacing w:after="0"/>
              <w:rPr>
                <w:sz w:val="20"/>
                <w:szCs w:val="20"/>
                <w:color w:val="auto"/>
              </w:rPr>
            </w:pPr>
            <w:r>
              <w:rPr>
                <w:rFonts w:ascii="Arial" w:cs="Arial" w:eastAsia="Arial" w:hAnsi="Arial"/>
                <w:sz w:val="15"/>
                <w:szCs w:val="15"/>
                <w:b w:val="1"/>
                <w:bCs w:val="1"/>
                <w:color w:val="auto"/>
              </w:rPr>
              <w:t>(100%)</w:t>
            </w:r>
          </w:p>
        </w:tc>
        <w:tc>
          <w:tcPr>
            <w:tcW w:w="1120" w:type="dxa"/>
            <w:vAlign w:val="bottom"/>
            <w:tcBorders>
              <w:bottom w:val="single" w:sz="8" w:color="A26F2A"/>
            </w:tcBorders>
          </w:tcPr>
          <w:p>
            <w:pPr>
              <w:jc w:val="right"/>
              <w:ind w:right="104"/>
              <w:spacing w:after="0"/>
              <w:rPr>
                <w:sz w:val="20"/>
                <w:szCs w:val="20"/>
                <w:color w:val="auto"/>
              </w:rPr>
            </w:pPr>
            <w:r>
              <w:rPr>
                <w:rFonts w:ascii="Arial" w:cs="Arial" w:eastAsia="Arial" w:hAnsi="Arial"/>
                <w:sz w:val="15"/>
                <w:szCs w:val="15"/>
                <w:b w:val="1"/>
                <w:bCs w:val="1"/>
                <w:color w:val="auto"/>
              </w:rPr>
              <w:t>(200%)</w:t>
            </w:r>
          </w:p>
        </w:tc>
        <w:tc>
          <w:tcPr>
            <w:tcW w:w="920" w:type="dxa"/>
            <w:vAlign w:val="bottom"/>
            <w:tcBorders>
              <w:bottom w:val="single" w:sz="8" w:color="A26F2A"/>
            </w:tcBorders>
          </w:tcPr>
          <w:p>
            <w:pPr>
              <w:ind w:left="100"/>
              <w:spacing w:after="0"/>
              <w:rPr>
                <w:sz w:val="20"/>
                <w:szCs w:val="20"/>
                <w:color w:val="auto"/>
              </w:rPr>
            </w:pPr>
            <w:r>
              <w:rPr>
                <w:rFonts w:ascii="Arial" w:cs="Arial" w:eastAsia="Arial" w:hAnsi="Arial"/>
                <w:sz w:val="15"/>
                <w:szCs w:val="15"/>
                <w:b w:val="1"/>
                <w:bCs w:val="1"/>
                <w:color w:val="auto"/>
              </w:rPr>
              <w:t>Weighting</w:t>
            </w:r>
          </w:p>
        </w:tc>
        <w:tc>
          <w:tcPr>
            <w:tcW w:w="620" w:type="dxa"/>
            <w:vAlign w:val="bottom"/>
            <w:tcBorders>
              <w:bottom w:val="single" w:sz="8" w:color="A26F2A"/>
            </w:tcBorders>
          </w:tcPr>
          <w:p>
            <w:pPr>
              <w:jc w:val="center"/>
              <w:spacing w:after="0"/>
              <w:rPr>
                <w:sz w:val="20"/>
                <w:szCs w:val="20"/>
                <w:color w:val="auto"/>
              </w:rPr>
            </w:pPr>
            <w:r>
              <w:rPr>
                <w:rFonts w:ascii="Arial" w:cs="Arial" w:eastAsia="Arial" w:hAnsi="Arial"/>
                <w:sz w:val="15"/>
                <w:szCs w:val="15"/>
                <w:b w:val="1"/>
                <w:bCs w:val="1"/>
                <w:color w:val="auto"/>
              </w:rPr>
              <w:t>Target</w:t>
            </w:r>
          </w:p>
        </w:tc>
        <w:tc>
          <w:tcPr>
            <w:tcW w:w="860" w:type="dxa"/>
            <w:vAlign w:val="bottom"/>
            <w:tcBorders>
              <w:bottom w:val="single" w:sz="8" w:color="A26F2A"/>
            </w:tcBorders>
            <w:shd w:val="clear" w:color="auto" w:fill="F6F1EB"/>
          </w:tcPr>
          <w:p>
            <w:pPr>
              <w:ind w:left="100"/>
              <w:spacing w:after="0"/>
              <w:rPr>
                <w:sz w:val="20"/>
                <w:szCs w:val="20"/>
                <w:color w:val="auto"/>
              </w:rPr>
            </w:pPr>
            <w:r>
              <w:rPr>
                <w:rFonts w:ascii="Arial" w:cs="Arial" w:eastAsia="Arial" w:hAnsi="Arial"/>
                <w:sz w:val="15"/>
                <w:szCs w:val="15"/>
                <w:b w:val="1"/>
                <w:bCs w:val="1"/>
                <w:color w:val="auto"/>
              </w:rPr>
              <w:t>% Earned</w:t>
            </w:r>
          </w:p>
        </w:tc>
        <w:tc>
          <w:tcPr>
            <w:tcW w:w="0" w:type="dxa"/>
            <w:vAlign w:val="bottom"/>
          </w:tcPr>
          <w:p>
            <w:pPr>
              <w:spacing w:after="0"/>
              <w:rPr>
                <w:sz w:val="1"/>
                <w:szCs w:val="1"/>
                <w:color w:val="auto"/>
              </w:rPr>
            </w:pPr>
          </w:p>
        </w:tc>
      </w:tr>
      <w:tr>
        <w:trPr>
          <w:trHeight w:val="228"/>
        </w:trPr>
        <w:tc>
          <w:tcPr>
            <w:tcW w:w="4460" w:type="dxa"/>
            <w:vAlign w:val="bottom"/>
          </w:tcPr>
          <w:p>
            <w:pPr>
              <w:ind w:left="60"/>
              <w:spacing w:after="0" w:line="227" w:lineRule="exact"/>
              <w:rPr>
                <w:sz w:val="20"/>
                <w:szCs w:val="20"/>
                <w:color w:val="auto"/>
              </w:rPr>
            </w:pPr>
            <w:r>
              <w:rPr>
                <w:rFonts w:ascii="Arial" w:cs="Arial" w:eastAsia="Arial" w:hAnsi="Arial"/>
                <w:sz w:val="15"/>
                <w:szCs w:val="15"/>
                <w:b w:val="1"/>
                <w:bCs w:val="1"/>
                <w:color w:val="auto"/>
              </w:rPr>
              <w:t>Flaring Intensity – Company Operated</w:t>
            </w:r>
            <w:r>
              <w:rPr>
                <w:rFonts w:ascii="Arial" w:cs="Arial" w:eastAsia="Arial" w:hAnsi="Arial"/>
                <w:sz w:val="25"/>
                <w:szCs w:val="25"/>
                <w:b w:val="1"/>
                <w:bCs w:val="1"/>
                <w:color w:val="auto"/>
                <w:vertAlign w:val="superscript"/>
              </w:rPr>
              <w:t>(1)</w:t>
            </w:r>
          </w:p>
        </w:tc>
        <w:tc>
          <w:tcPr>
            <w:tcW w:w="1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shd w:val="clear" w:color="auto" w:fill="F6F1EB"/>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460" w:type="dxa"/>
            <w:vAlign w:val="bottom"/>
          </w:tcPr>
          <w:p>
            <w:pPr>
              <w:ind w:left="60"/>
              <w:spacing w:after="0"/>
              <w:rPr>
                <w:sz w:val="20"/>
                <w:szCs w:val="20"/>
                <w:color w:val="auto"/>
              </w:rPr>
            </w:pPr>
            <w:r>
              <w:rPr>
                <w:rFonts w:ascii="Arial" w:cs="Arial" w:eastAsia="Arial" w:hAnsi="Arial"/>
                <w:sz w:val="15"/>
                <w:szCs w:val="15"/>
                <w:color w:val="auto"/>
              </w:rPr>
              <w:t>Total gross mcf of flared natural gas production attributed to</w:t>
            </w:r>
          </w:p>
        </w:tc>
        <w:tc>
          <w:tcPr>
            <w:tcW w:w="1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15"/>
                <w:szCs w:val="15"/>
                <w:color w:val="auto"/>
                <w:w w:val="98"/>
              </w:rPr>
              <w:t>120%</w:t>
            </w:r>
          </w:p>
        </w:tc>
        <w:tc>
          <w:tcPr>
            <w:tcW w:w="860" w:type="dxa"/>
            <w:vAlign w:val="bottom"/>
            <w:vMerge w:val="restart"/>
            <w:shd w:val="clear" w:color="auto" w:fill="F6F1EB"/>
          </w:tcPr>
          <w:p>
            <w:pPr>
              <w:jc w:val="center"/>
              <w:spacing w:after="0"/>
              <w:rPr>
                <w:sz w:val="20"/>
                <w:szCs w:val="20"/>
                <w:color w:val="auto"/>
              </w:rPr>
            </w:pPr>
            <w:r>
              <w:rPr>
                <w:rFonts w:ascii="Arial" w:cs="Arial" w:eastAsia="Arial" w:hAnsi="Arial"/>
                <w:sz w:val="15"/>
                <w:szCs w:val="15"/>
                <w:b w:val="1"/>
                <w:bCs w:val="1"/>
                <w:color w:val="auto"/>
              </w:rPr>
              <w:t>6%</w:t>
            </w:r>
          </w:p>
        </w:tc>
        <w:tc>
          <w:tcPr>
            <w:tcW w:w="0" w:type="dxa"/>
            <w:vAlign w:val="bottom"/>
          </w:tcPr>
          <w:p>
            <w:pPr>
              <w:spacing w:after="0"/>
              <w:rPr>
                <w:sz w:val="1"/>
                <w:szCs w:val="1"/>
                <w:color w:val="auto"/>
              </w:rPr>
            </w:pPr>
          </w:p>
        </w:tc>
      </w:tr>
      <w:tr>
        <w:trPr>
          <w:trHeight w:val="93"/>
        </w:trPr>
        <w:tc>
          <w:tcPr>
            <w:tcW w:w="4460" w:type="dxa"/>
            <w:vAlign w:val="bottom"/>
            <w:vMerge w:val="restart"/>
          </w:tcPr>
          <w:p>
            <w:pPr>
              <w:ind w:left="60"/>
              <w:spacing w:after="0"/>
              <w:rPr>
                <w:sz w:val="20"/>
                <w:szCs w:val="20"/>
                <w:color w:val="auto"/>
              </w:rPr>
            </w:pPr>
            <w:r>
              <w:rPr>
                <w:rFonts w:ascii="Arial" w:cs="Arial" w:eastAsia="Arial" w:hAnsi="Arial"/>
                <w:sz w:val="15"/>
                <w:szCs w:val="15"/>
                <w:color w:val="auto"/>
              </w:rPr>
              <w:t>Company operations divided by total gross mcf of natural gas</w:t>
            </w:r>
          </w:p>
        </w:tc>
        <w:tc>
          <w:tcPr>
            <w:tcW w:w="11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60" w:type="dxa"/>
            <w:vAlign w:val="bottom"/>
            <w:vMerge w:val="continue"/>
            <w:shd w:val="clear" w:color="auto" w:fill="F6F1EB"/>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446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shd w:val="clear" w:color="auto" w:fill="F6F1EB"/>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4460" w:type="dxa"/>
            <w:vAlign w:val="bottom"/>
            <w:tcBorders>
              <w:bottom w:val="single" w:sz="8" w:color="A8A8AC"/>
            </w:tcBorders>
          </w:tcPr>
          <w:p>
            <w:pPr>
              <w:ind w:left="60"/>
              <w:spacing w:after="0"/>
              <w:rPr>
                <w:sz w:val="20"/>
                <w:szCs w:val="20"/>
                <w:color w:val="auto"/>
              </w:rPr>
            </w:pPr>
            <w:r>
              <w:rPr>
                <w:rFonts w:ascii="Arial" w:cs="Arial" w:eastAsia="Arial" w:hAnsi="Arial"/>
                <w:sz w:val="15"/>
                <w:szCs w:val="15"/>
                <w:color w:val="auto"/>
              </w:rPr>
              <w:t>production</w:t>
            </w:r>
          </w:p>
        </w:tc>
        <w:tc>
          <w:tcPr>
            <w:tcW w:w="1140" w:type="dxa"/>
            <w:vAlign w:val="bottom"/>
            <w:tcBorders>
              <w:bottom w:val="single" w:sz="8" w:color="A8A8AC"/>
            </w:tcBorders>
          </w:tcPr>
          <w:p>
            <w:pPr>
              <w:spacing w:after="0"/>
              <w:rPr>
                <w:sz w:val="17"/>
                <w:szCs w:val="17"/>
                <w:color w:val="auto"/>
              </w:rPr>
            </w:pPr>
          </w:p>
        </w:tc>
        <w:tc>
          <w:tcPr>
            <w:tcW w:w="2120" w:type="dxa"/>
            <w:vAlign w:val="bottom"/>
            <w:tcBorders>
              <w:bottom w:val="single" w:sz="8" w:color="A8A8AC"/>
            </w:tcBorders>
          </w:tcPr>
          <w:p>
            <w:pPr>
              <w:spacing w:after="0"/>
              <w:rPr>
                <w:sz w:val="17"/>
                <w:szCs w:val="17"/>
                <w:color w:val="auto"/>
              </w:rPr>
            </w:pPr>
          </w:p>
        </w:tc>
        <w:tc>
          <w:tcPr>
            <w:tcW w:w="1120" w:type="dxa"/>
            <w:vAlign w:val="bottom"/>
            <w:tcBorders>
              <w:bottom w:val="single" w:sz="8" w:color="A8A8AC"/>
            </w:tcBorders>
          </w:tcPr>
          <w:p>
            <w:pPr>
              <w:spacing w:after="0"/>
              <w:rPr>
                <w:sz w:val="17"/>
                <w:szCs w:val="17"/>
                <w:color w:val="auto"/>
              </w:rPr>
            </w:pPr>
          </w:p>
        </w:tc>
        <w:tc>
          <w:tcPr>
            <w:tcW w:w="920" w:type="dxa"/>
            <w:vAlign w:val="bottom"/>
            <w:tcBorders>
              <w:bottom w:val="single" w:sz="8" w:color="A8A8AC"/>
            </w:tcBorders>
          </w:tcPr>
          <w:p>
            <w:pPr>
              <w:spacing w:after="0"/>
              <w:rPr>
                <w:sz w:val="17"/>
                <w:szCs w:val="17"/>
                <w:color w:val="auto"/>
              </w:rPr>
            </w:pPr>
          </w:p>
        </w:tc>
        <w:tc>
          <w:tcPr>
            <w:tcW w:w="620" w:type="dxa"/>
            <w:vAlign w:val="bottom"/>
            <w:tcBorders>
              <w:bottom w:val="single" w:sz="8" w:color="A8A8AC"/>
            </w:tcBorders>
          </w:tcPr>
          <w:p>
            <w:pPr>
              <w:spacing w:after="0"/>
              <w:rPr>
                <w:sz w:val="17"/>
                <w:szCs w:val="17"/>
                <w:color w:val="auto"/>
              </w:rPr>
            </w:pPr>
          </w:p>
        </w:tc>
        <w:tc>
          <w:tcPr>
            <w:tcW w:w="860" w:type="dxa"/>
            <w:vAlign w:val="bottom"/>
            <w:tcBorders>
              <w:bottom w:val="single" w:sz="8" w:color="A8A8AC"/>
            </w:tcBorders>
            <w:shd w:val="clear" w:color="auto" w:fill="F6F1EB"/>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60" w:type="dxa"/>
            <w:vAlign w:val="bottom"/>
          </w:tcPr>
          <w:p>
            <w:pPr>
              <w:ind w:left="60"/>
              <w:spacing w:after="0" w:line="227" w:lineRule="exact"/>
              <w:rPr>
                <w:sz w:val="20"/>
                <w:szCs w:val="20"/>
                <w:color w:val="auto"/>
              </w:rPr>
            </w:pPr>
            <w:r>
              <w:rPr>
                <w:rFonts w:ascii="Arial" w:cs="Arial" w:eastAsia="Arial" w:hAnsi="Arial"/>
                <w:sz w:val="15"/>
                <w:szCs w:val="15"/>
                <w:b w:val="1"/>
                <w:bCs w:val="1"/>
                <w:color w:val="auto"/>
              </w:rPr>
              <w:t>Scope 1 GHG Intensity</w:t>
            </w:r>
            <w:r>
              <w:rPr>
                <w:rFonts w:ascii="Arial" w:cs="Arial" w:eastAsia="Arial" w:hAnsi="Arial"/>
                <w:sz w:val="25"/>
                <w:szCs w:val="25"/>
                <w:b w:val="1"/>
                <w:bCs w:val="1"/>
                <w:color w:val="auto"/>
                <w:vertAlign w:val="superscript"/>
              </w:rPr>
              <w:t>(2)</w:t>
            </w:r>
          </w:p>
        </w:tc>
        <w:tc>
          <w:tcPr>
            <w:tcW w:w="1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shd w:val="clear" w:color="auto" w:fill="F6F1EB"/>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460" w:type="dxa"/>
            <w:vAlign w:val="bottom"/>
          </w:tcPr>
          <w:p>
            <w:pPr>
              <w:ind w:left="60"/>
              <w:spacing w:after="0" w:line="202" w:lineRule="exact"/>
              <w:rPr>
                <w:sz w:val="20"/>
                <w:szCs w:val="20"/>
                <w:color w:val="auto"/>
              </w:rPr>
            </w:pPr>
            <w:r>
              <w:rPr>
                <w:rFonts w:ascii="Arial" w:cs="Arial" w:eastAsia="Arial" w:hAnsi="Arial"/>
                <w:sz w:val="14"/>
                <w:szCs w:val="14"/>
                <w:color w:val="auto"/>
              </w:rPr>
              <w:t>Scope 1 GHG emissions in metric tons of CO</w:t>
            </w:r>
            <w:r>
              <w:rPr>
                <w:rFonts w:ascii="Arial" w:cs="Arial" w:eastAsia="Arial" w:hAnsi="Arial"/>
                <w:sz w:val="23"/>
                <w:szCs w:val="23"/>
                <w:color w:val="auto"/>
                <w:vertAlign w:val="subscript"/>
              </w:rPr>
              <w:t>2</w:t>
            </w:r>
            <w:r>
              <w:rPr>
                <w:rFonts w:ascii="Arial" w:cs="Arial" w:eastAsia="Arial" w:hAnsi="Arial"/>
                <w:sz w:val="14"/>
                <w:szCs w:val="14"/>
                <w:color w:val="auto"/>
              </w:rPr>
              <w:t>e divided by gross</w:t>
            </w:r>
          </w:p>
        </w:tc>
        <w:tc>
          <w:tcPr>
            <w:tcW w:w="11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98"/>
              </w:rPr>
              <w:t>200%</w:t>
            </w:r>
          </w:p>
        </w:tc>
        <w:tc>
          <w:tcPr>
            <w:tcW w:w="860" w:type="dxa"/>
            <w:vAlign w:val="bottom"/>
            <w:shd w:val="clear" w:color="auto" w:fill="F6F1EB"/>
          </w:tcPr>
          <w:p>
            <w:pPr>
              <w:jc w:val="center"/>
              <w:spacing w:after="0"/>
              <w:rPr>
                <w:sz w:val="20"/>
                <w:szCs w:val="20"/>
                <w:color w:val="auto"/>
              </w:rPr>
            </w:pPr>
            <w:r>
              <w:rPr>
                <w:rFonts w:ascii="Arial" w:cs="Arial" w:eastAsia="Arial" w:hAnsi="Arial"/>
                <w:sz w:val="15"/>
                <w:szCs w:val="15"/>
                <w:b w:val="1"/>
                <w:bCs w:val="1"/>
                <w:color w:val="auto"/>
                <w:w w:val="99"/>
              </w:rPr>
              <w:t>10%</w:t>
            </w:r>
          </w:p>
        </w:tc>
        <w:tc>
          <w:tcPr>
            <w:tcW w:w="0" w:type="dxa"/>
            <w:vAlign w:val="bottom"/>
          </w:tcPr>
          <w:p>
            <w:pPr>
              <w:spacing w:after="0"/>
              <w:rPr>
                <w:sz w:val="1"/>
                <w:szCs w:val="1"/>
                <w:color w:val="auto"/>
              </w:rPr>
            </w:pPr>
          </w:p>
        </w:tc>
      </w:tr>
      <w:tr>
        <w:trPr>
          <w:trHeight w:val="252"/>
        </w:trPr>
        <w:tc>
          <w:tcPr>
            <w:tcW w:w="4460" w:type="dxa"/>
            <w:vAlign w:val="bottom"/>
          </w:tcPr>
          <w:p>
            <w:pPr>
              <w:ind w:left="60"/>
              <w:spacing w:after="0"/>
              <w:rPr>
                <w:sz w:val="20"/>
                <w:szCs w:val="20"/>
                <w:color w:val="auto"/>
              </w:rPr>
            </w:pPr>
            <w:r>
              <w:rPr>
                <w:rFonts w:ascii="Arial" w:cs="Arial" w:eastAsia="Arial" w:hAnsi="Arial"/>
                <w:sz w:val="15"/>
                <w:szCs w:val="15"/>
                <w:color w:val="auto"/>
              </w:rPr>
              <w:t>MBOE produced</w:t>
            </w:r>
          </w:p>
        </w:tc>
        <w:tc>
          <w:tcPr>
            <w:tcW w:w="11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Borders>
              <w:bottom w:val="single" w:sz="8" w:color="F6F1EB"/>
            </w:tcBorders>
            <w:shd w:val="clear" w:color="auto" w:fill="F6F1EB"/>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460" w:type="dxa"/>
            <w:vAlign w:val="bottom"/>
            <w:tcBorders>
              <w:top w:val="single" w:sz="8" w:color="A8A8AC"/>
            </w:tcBorders>
          </w:tcPr>
          <w:p>
            <w:pPr>
              <w:ind w:left="60"/>
              <w:spacing w:after="0" w:line="220" w:lineRule="exact"/>
              <w:rPr>
                <w:sz w:val="20"/>
                <w:szCs w:val="20"/>
                <w:color w:val="auto"/>
              </w:rPr>
            </w:pPr>
            <w:r>
              <w:rPr>
                <w:rFonts w:ascii="Arial" w:cs="Arial" w:eastAsia="Arial" w:hAnsi="Arial"/>
                <w:sz w:val="15"/>
                <w:szCs w:val="15"/>
                <w:b w:val="1"/>
                <w:bCs w:val="1"/>
                <w:color w:val="auto"/>
              </w:rPr>
              <w:t>Net Liquid Spill Rate</w:t>
            </w:r>
            <w:r>
              <w:rPr>
                <w:rFonts w:ascii="Arial" w:cs="Arial" w:eastAsia="Arial" w:hAnsi="Arial"/>
                <w:sz w:val="25"/>
                <w:szCs w:val="25"/>
                <w:b w:val="1"/>
                <w:bCs w:val="1"/>
                <w:color w:val="auto"/>
                <w:vertAlign w:val="superscript"/>
              </w:rPr>
              <w:t>(3)</w:t>
            </w:r>
          </w:p>
        </w:tc>
        <w:tc>
          <w:tcPr>
            <w:tcW w:w="1140" w:type="dxa"/>
            <w:vAlign w:val="bottom"/>
            <w:tcBorders>
              <w:top w:val="single" w:sz="8" w:color="A8A8AC"/>
            </w:tcBorders>
          </w:tcPr>
          <w:p>
            <w:pPr>
              <w:spacing w:after="0"/>
              <w:rPr>
                <w:sz w:val="19"/>
                <w:szCs w:val="19"/>
                <w:color w:val="auto"/>
              </w:rPr>
            </w:pPr>
          </w:p>
        </w:tc>
        <w:tc>
          <w:tcPr>
            <w:tcW w:w="2120" w:type="dxa"/>
            <w:vAlign w:val="bottom"/>
            <w:tcBorders>
              <w:top w:val="single" w:sz="8" w:color="A8A8AC"/>
            </w:tcBorders>
          </w:tcPr>
          <w:p>
            <w:pPr>
              <w:spacing w:after="0"/>
              <w:rPr>
                <w:sz w:val="19"/>
                <w:szCs w:val="19"/>
                <w:color w:val="auto"/>
              </w:rPr>
            </w:pPr>
          </w:p>
        </w:tc>
        <w:tc>
          <w:tcPr>
            <w:tcW w:w="1120" w:type="dxa"/>
            <w:vAlign w:val="bottom"/>
            <w:tcBorders>
              <w:top w:val="single" w:sz="8" w:color="A8A8AC"/>
            </w:tcBorders>
          </w:tcPr>
          <w:p>
            <w:pPr>
              <w:spacing w:after="0"/>
              <w:rPr>
                <w:sz w:val="19"/>
                <w:szCs w:val="19"/>
                <w:color w:val="auto"/>
              </w:rPr>
            </w:pPr>
          </w:p>
        </w:tc>
        <w:tc>
          <w:tcPr>
            <w:tcW w:w="920" w:type="dxa"/>
            <w:vAlign w:val="bottom"/>
            <w:tcBorders>
              <w:top w:val="single" w:sz="8" w:color="A8A8AC"/>
            </w:tcBorders>
          </w:tcPr>
          <w:p>
            <w:pPr>
              <w:spacing w:after="0"/>
              <w:rPr>
                <w:sz w:val="19"/>
                <w:szCs w:val="19"/>
                <w:color w:val="auto"/>
              </w:rPr>
            </w:pPr>
          </w:p>
        </w:tc>
        <w:tc>
          <w:tcPr>
            <w:tcW w:w="620" w:type="dxa"/>
            <w:vAlign w:val="bottom"/>
            <w:tcBorders>
              <w:top w:val="single" w:sz="8" w:color="A8A8AC"/>
            </w:tcBorders>
          </w:tcPr>
          <w:p>
            <w:pPr>
              <w:spacing w:after="0"/>
              <w:rPr>
                <w:sz w:val="19"/>
                <w:szCs w:val="19"/>
                <w:color w:val="auto"/>
              </w:rPr>
            </w:pPr>
          </w:p>
        </w:tc>
        <w:tc>
          <w:tcPr>
            <w:tcW w:w="860" w:type="dxa"/>
            <w:vAlign w:val="bottom"/>
            <w:tcBorders>
              <w:top w:val="single" w:sz="8" w:color="A8A8AC"/>
            </w:tcBorders>
            <w:shd w:val="clear" w:color="auto" w:fill="F6F1EB"/>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460" w:type="dxa"/>
            <w:vAlign w:val="bottom"/>
          </w:tcPr>
          <w:p>
            <w:pPr>
              <w:ind w:left="60"/>
              <w:spacing w:after="0"/>
              <w:rPr>
                <w:sz w:val="20"/>
                <w:szCs w:val="20"/>
                <w:color w:val="auto"/>
              </w:rPr>
            </w:pPr>
            <w:r>
              <w:rPr>
                <w:rFonts w:ascii="Arial" w:cs="Arial" w:eastAsia="Arial" w:hAnsi="Arial"/>
                <w:sz w:val="15"/>
                <w:szCs w:val="15"/>
                <w:color w:val="auto"/>
              </w:rPr>
              <w:t>Barrels of produced liquid spills not recovered divided by</w:t>
            </w:r>
          </w:p>
        </w:tc>
        <w:tc>
          <w:tcPr>
            <w:tcW w:w="1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98"/>
              </w:rPr>
              <w:t>160%</w:t>
            </w:r>
          </w:p>
        </w:tc>
        <w:tc>
          <w:tcPr>
            <w:tcW w:w="860" w:type="dxa"/>
            <w:vAlign w:val="bottom"/>
            <w:shd w:val="clear" w:color="auto" w:fill="F6F1EB"/>
          </w:tcPr>
          <w:p>
            <w:pPr>
              <w:jc w:val="center"/>
              <w:spacing w:after="0"/>
              <w:rPr>
                <w:sz w:val="20"/>
                <w:szCs w:val="20"/>
                <w:color w:val="auto"/>
              </w:rPr>
            </w:pPr>
            <w:r>
              <w:rPr>
                <w:rFonts w:ascii="Arial" w:cs="Arial" w:eastAsia="Arial" w:hAnsi="Arial"/>
                <w:sz w:val="15"/>
                <w:szCs w:val="15"/>
                <w:b w:val="1"/>
                <w:bCs w:val="1"/>
                <w:color w:val="auto"/>
              </w:rPr>
              <w:t>8%</w:t>
            </w:r>
          </w:p>
        </w:tc>
        <w:tc>
          <w:tcPr>
            <w:tcW w:w="0" w:type="dxa"/>
            <w:vAlign w:val="bottom"/>
          </w:tcPr>
          <w:p>
            <w:pPr>
              <w:spacing w:after="0"/>
              <w:rPr>
                <w:sz w:val="1"/>
                <w:szCs w:val="1"/>
                <w:color w:val="auto"/>
              </w:rPr>
            </w:pPr>
          </w:p>
        </w:tc>
      </w:tr>
      <w:tr>
        <w:trPr>
          <w:trHeight w:val="199"/>
        </w:trPr>
        <w:tc>
          <w:tcPr>
            <w:tcW w:w="4460" w:type="dxa"/>
            <w:vAlign w:val="bottom"/>
          </w:tcPr>
          <w:p>
            <w:pPr>
              <w:ind w:left="60"/>
              <w:spacing w:after="0"/>
              <w:rPr>
                <w:sz w:val="20"/>
                <w:szCs w:val="20"/>
                <w:color w:val="auto"/>
              </w:rPr>
            </w:pPr>
            <w:r>
              <w:rPr>
                <w:rFonts w:ascii="Arial" w:cs="Arial" w:eastAsia="Arial" w:hAnsi="Arial"/>
                <w:sz w:val="15"/>
                <w:szCs w:val="15"/>
                <w:color w:val="auto"/>
              </w:rPr>
              <w:t>thousands of barrels of total produced liquids</w:t>
            </w:r>
          </w:p>
        </w:tc>
        <w:tc>
          <w:tcPr>
            <w:tcW w:w="11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shd w:val="clear" w:color="auto" w:fill="F6F1EB"/>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460" w:type="dxa"/>
            <w:vAlign w:val="bottom"/>
            <w:tcBorders>
              <w:bottom w:val="single" w:sz="8" w:color="A8A8AC"/>
            </w:tcBorders>
          </w:tcPr>
          <w:p>
            <w:pPr>
              <w:spacing w:after="0"/>
              <w:rPr>
                <w:sz w:val="6"/>
                <w:szCs w:val="6"/>
                <w:color w:val="auto"/>
              </w:rPr>
            </w:pPr>
          </w:p>
        </w:tc>
        <w:tc>
          <w:tcPr>
            <w:tcW w:w="1140" w:type="dxa"/>
            <w:vAlign w:val="bottom"/>
            <w:tcBorders>
              <w:bottom w:val="single" w:sz="8" w:color="A8A8AC"/>
            </w:tcBorders>
          </w:tcPr>
          <w:p>
            <w:pPr>
              <w:spacing w:after="0"/>
              <w:rPr>
                <w:sz w:val="6"/>
                <w:szCs w:val="6"/>
                <w:color w:val="auto"/>
              </w:rPr>
            </w:pPr>
          </w:p>
        </w:tc>
        <w:tc>
          <w:tcPr>
            <w:tcW w:w="2120" w:type="dxa"/>
            <w:vAlign w:val="bottom"/>
            <w:tcBorders>
              <w:bottom w:val="single" w:sz="8" w:color="A8A8AC"/>
            </w:tcBorders>
          </w:tcPr>
          <w:p>
            <w:pPr>
              <w:spacing w:after="0"/>
              <w:rPr>
                <w:sz w:val="6"/>
                <w:szCs w:val="6"/>
                <w:color w:val="auto"/>
              </w:rPr>
            </w:pPr>
          </w:p>
        </w:tc>
        <w:tc>
          <w:tcPr>
            <w:tcW w:w="1120" w:type="dxa"/>
            <w:vAlign w:val="bottom"/>
            <w:tcBorders>
              <w:bottom w:val="single" w:sz="8" w:color="A8A8AC"/>
            </w:tcBorders>
          </w:tcPr>
          <w:p>
            <w:pPr>
              <w:spacing w:after="0"/>
              <w:rPr>
                <w:sz w:val="6"/>
                <w:szCs w:val="6"/>
                <w:color w:val="auto"/>
              </w:rPr>
            </w:pPr>
          </w:p>
        </w:tc>
        <w:tc>
          <w:tcPr>
            <w:tcW w:w="920" w:type="dxa"/>
            <w:vAlign w:val="bottom"/>
            <w:tcBorders>
              <w:bottom w:val="single" w:sz="8" w:color="A8A8AC"/>
            </w:tcBorders>
          </w:tcPr>
          <w:p>
            <w:pPr>
              <w:spacing w:after="0"/>
              <w:rPr>
                <w:sz w:val="6"/>
                <w:szCs w:val="6"/>
                <w:color w:val="auto"/>
              </w:rPr>
            </w:pPr>
          </w:p>
        </w:tc>
        <w:tc>
          <w:tcPr>
            <w:tcW w:w="620" w:type="dxa"/>
            <w:vAlign w:val="bottom"/>
            <w:tcBorders>
              <w:bottom w:val="single" w:sz="8" w:color="A8A8AC"/>
            </w:tcBorders>
          </w:tcPr>
          <w:p>
            <w:pPr>
              <w:spacing w:after="0"/>
              <w:rPr>
                <w:sz w:val="6"/>
                <w:szCs w:val="6"/>
                <w:color w:val="auto"/>
              </w:rPr>
            </w:pPr>
          </w:p>
        </w:tc>
        <w:tc>
          <w:tcPr>
            <w:tcW w:w="860" w:type="dxa"/>
            <w:vAlign w:val="bottom"/>
            <w:tcBorders>
              <w:bottom w:val="single" w:sz="8" w:color="A8A8AC"/>
            </w:tcBorders>
            <w:shd w:val="clear" w:color="auto" w:fill="F6F1EB"/>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4460" w:type="dxa"/>
            <w:vAlign w:val="bottom"/>
          </w:tcPr>
          <w:p>
            <w:pPr>
              <w:ind w:left="60"/>
              <w:spacing w:after="0"/>
              <w:rPr>
                <w:sz w:val="20"/>
                <w:szCs w:val="20"/>
                <w:color w:val="auto"/>
              </w:rPr>
            </w:pPr>
            <w:r>
              <w:rPr>
                <w:rFonts w:ascii="Arial" w:cs="Arial" w:eastAsia="Arial" w:hAnsi="Arial"/>
                <w:sz w:val="15"/>
                <w:szCs w:val="15"/>
                <w:b w:val="1"/>
                <w:bCs w:val="1"/>
                <w:color w:val="auto"/>
              </w:rPr>
              <w:t>Non-Freshwater Use Percentage</w:t>
            </w:r>
          </w:p>
        </w:tc>
        <w:tc>
          <w:tcPr>
            <w:tcW w:w="1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shd w:val="clear" w:color="auto" w:fill="F6F1E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460" w:type="dxa"/>
            <w:vAlign w:val="bottom"/>
          </w:tcPr>
          <w:p>
            <w:pPr>
              <w:ind w:left="60"/>
              <w:spacing w:after="0"/>
              <w:rPr>
                <w:sz w:val="20"/>
                <w:szCs w:val="20"/>
                <w:color w:val="auto"/>
              </w:rPr>
            </w:pPr>
            <w:r>
              <w:rPr>
                <w:rFonts w:ascii="Arial" w:cs="Arial" w:eastAsia="Arial" w:hAnsi="Arial"/>
                <w:sz w:val="15"/>
                <w:szCs w:val="15"/>
                <w:color w:val="auto"/>
              </w:rPr>
              <w:t>Total barrels of non-fresh water used divided by total barrels of</w:t>
            </w:r>
          </w:p>
        </w:tc>
        <w:tc>
          <w:tcPr>
            <w:tcW w:w="1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15"/>
                <w:szCs w:val="15"/>
                <w:color w:val="auto"/>
                <w:w w:val="98"/>
              </w:rPr>
              <w:t>200%</w:t>
            </w:r>
          </w:p>
        </w:tc>
        <w:tc>
          <w:tcPr>
            <w:tcW w:w="860" w:type="dxa"/>
            <w:vAlign w:val="bottom"/>
            <w:vMerge w:val="restart"/>
            <w:shd w:val="clear" w:color="auto" w:fill="F6F1EB"/>
          </w:tcPr>
          <w:p>
            <w:pPr>
              <w:jc w:val="center"/>
              <w:spacing w:after="0"/>
              <w:rPr>
                <w:sz w:val="20"/>
                <w:szCs w:val="20"/>
                <w:color w:val="auto"/>
              </w:rPr>
            </w:pPr>
            <w:r>
              <w:rPr>
                <w:rFonts w:ascii="Arial" w:cs="Arial" w:eastAsia="Arial" w:hAnsi="Arial"/>
                <w:sz w:val="15"/>
                <w:szCs w:val="15"/>
                <w:b w:val="1"/>
                <w:bCs w:val="1"/>
                <w:color w:val="auto"/>
                <w:w w:val="99"/>
              </w:rPr>
              <w:t>10%</w:t>
            </w:r>
          </w:p>
        </w:tc>
        <w:tc>
          <w:tcPr>
            <w:tcW w:w="0" w:type="dxa"/>
            <w:vAlign w:val="bottom"/>
          </w:tcPr>
          <w:p>
            <w:pPr>
              <w:spacing w:after="0"/>
              <w:rPr>
                <w:sz w:val="1"/>
                <w:szCs w:val="1"/>
                <w:color w:val="auto"/>
              </w:rPr>
            </w:pPr>
          </w:p>
        </w:tc>
      </w:tr>
      <w:tr>
        <w:trPr>
          <w:trHeight w:val="81"/>
        </w:trPr>
        <w:tc>
          <w:tcPr>
            <w:tcW w:w="4460" w:type="dxa"/>
            <w:vAlign w:val="bottom"/>
            <w:vMerge w:val="restart"/>
          </w:tcPr>
          <w:p>
            <w:pPr>
              <w:ind w:left="60"/>
              <w:spacing w:after="0"/>
              <w:rPr>
                <w:sz w:val="20"/>
                <w:szCs w:val="20"/>
                <w:color w:val="auto"/>
              </w:rPr>
            </w:pPr>
            <w:r>
              <w:rPr>
                <w:rFonts w:ascii="Arial" w:cs="Arial" w:eastAsia="Arial" w:hAnsi="Arial"/>
                <w:sz w:val="15"/>
                <w:szCs w:val="15"/>
                <w:color w:val="auto"/>
              </w:rPr>
              <w:t>water used in operations</w:t>
            </w:r>
          </w:p>
        </w:tc>
        <w:tc>
          <w:tcPr>
            <w:tcW w:w="11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vMerge w:val="continue"/>
            <w:shd w:val="clear" w:color="auto" w:fill="F6F1EB"/>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4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shd w:val="clear" w:color="auto" w:fill="F6F1EB"/>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460" w:type="dxa"/>
            <w:vAlign w:val="bottom"/>
            <w:tcBorders>
              <w:bottom w:val="single" w:sz="8" w:color="A8A8AC"/>
            </w:tcBorders>
          </w:tcPr>
          <w:p>
            <w:pPr>
              <w:spacing w:after="0"/>
              <w:rPr>
                <w:sz w:val="10"/>
                <w:szCs w:val="10"/>
                <w:color w:val="auto"/>
              </w:rPr>
            </w:pPr>
          </w:p>
        </w:tc>
        <w:tc>
          <w:tcPr>
            <w:tcW w:w="1140" w:type="dxa"/>
            <w:vAlign w:val="bottom"/>
            <w:tcBorders>
              <w:bottom w:val="single" w:sz="8" w:color="A8A8AC"/>
            </w:tcBorders>
          </w:tcPr>
          <w:p>
            <w:pPr>
              <w:spacing w:after="0"/>
              <w:rPr>
                <w:sz w:val="10"/>
                <w:szCs w:val="10"/>
                <w:color w:val="auto"/>
              </w:rPr>
            </w:pPr>
          </w:p>
        </w:tc>
        <w:tc>
          <w:tcPr>
            <w:tcW w:w="2120" w:type="dxa"/>
            <w:vAlign w:val="bottom"/>
            <w:tcBorders>
              <w:bottom w:val="single" w:sz="8" w:color="A8A8AC"/>
            </w:tcBorders>
          </w:tcPr>
          <w:p>
            <w:pPr>
              <w:spacing w:after="0"/>
              <w:rPr>
                <w:sz w:val="10"/>
                <w:szCs w:val="10"/>
                <w:color w:val="auto"/>
              </w:rPr>
            </w:pPr>
          </w:p>
        </w:tc>
        <w:tc>
          <w:tcPr>
            <w:tcW w:w="1120" w:type="dxa"/>
            <w:vAlign w:val="bottom"/>
            <w:tcBorders>
              <w:bottom w:val="single" w:sz="8" w:color="A8A8AC"/>
            </w:tcBorders>
          </w:tcPr>
          <w:p>
            <w:pPr>
              <w:spacing w:after="0"/>
              <w:rPr>
                <w:sz w:val="10"/>
                <w:szCs w:val="10"/>
                <w:color w:val="auto"/>
              </w:rPr>
            </w:pPr>
          </w:p>
        </w:tc>
        <w:tc>
          <w:tcPr>
            <w:tcW w:w="920" w:type="dxa"/>
            <w:vAlign w:val="bottom"/>
            <w:tcBorders>
              <w:bottom w:val="single" w:sz="8" w:color="A8A8AC"/>
            </w:tcBorders>
          </w:tcPr>
          <w:p>
            <w:pPr>
              <w:spacing w:after="0"/>
              <w:rPr>
                <w:sz w:val="10"/>
                <w:szCs w:val="10"/>
                <w:color w:val="auto"/>
              </w:rPr>
            </w:pPr>
          </w:p>
        </w:tc>
        <w:tc>
          <w:tcPr>
            <w:tcW w:w="620" w:type="dxa"/>
            <w:vAlign w:val="bottom"/>
            <w:tcBorders>
              <w:bottom w:val="single" w:sz="8" w:color="A8A8AC"/>
            </w:tcBorders>
          </w:tcPr>
          <w:p>
            <w:pPr>
              <w:spacing w:after="0"/>
              <w:rPr>
                <w:sz w:val="10"/>
                <w:szCs w:val="10"/>
                <w:color w:val="auto"/>
              </w:rPr>
            </w:pPr>
          </w:p>
        </w:tc>
        <w:tc>
          <w:tcPr>
            <w:tcW w:w="860" w:type="dxa"/>
            <w:vAlign w:val="bottom"/>
            <w:tcBorders>
              <w:bottom w:val="single" w:sz="8" w:color="A8A8AC"/>
            </w:tcBorders>
            <w:shd w:val="clear" w:color="auto" w:fill="F6F1EB"/>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460" w:type="dxa"/>
            <w:vAlign w:val="bottom"/>
          </w:tcPr>
          <w:p>
            <w:pPr>
              <w:ind w:left="60"/>
              <w:spacing w:after="0"/>
              <w:rPr>
                <w:sz w:val="20"/>
                <w:szCs w:val="20"/>
                <w:color w:val="auto"/>
              </w:rPr>
            </w:pPr>
            <w:r>
              <w:rPr>
                <w:rFonts w:ascii="Arial" w:cs="Arial" w:eastAsia="Arial" w:hAnsi="Arial"/>
                <w:sz w:val="15"/>
                <w:szCs w:val="15"/>
                <w:b w:val="1"/>
                <w:bCs w:val="1"/>
                <w:color w:val="auto"/>
              </w:rPr>
              <w:t>Total Recordable Incident Rate (Company Employees</w:t>
            </w:r>
          </w:p>
        </w:tc>
        <w:tc>
          <w:tcPr>
            <w:tcW w:w="1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shd w:val="clear" w:color="auto" w:fill="F6F1EB"/>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60"/>
              <w:spacing w:after="0" w:line="214" w:lineRule="exact"/>
              <w:rPr>
                <w:sz w:val="20"/>
                <w:szCs w:val="20"/>
                <w:color w:val="auto"/>
              </w:rPr>
            </w:pPr>
            <w:r>
              <w:rPr>
                <w:rFonts w:ascii="Arial" w:cs="Arial" w:eastAsia="Arial" w:hAnsi="Arial"/>
                <w:sz w:val="15"/>
                <w:szCs w:val="15"/>
                <w:b w:val="1"/>
                <w:bCs w:val="1"/>
                <w:color w:val="auto"/>
              </w:rPr>
              <w:t>Only)</w:t>
            </w:r>
            <w:r>
              <w:rPr>
                <w:rFonts w:ascii="Arial" w:cs="Arial" w:eastAsia="Arial" w:hAnsi="Arial"/>
                <w:sz w:val="24"/>
                <w:szCs w:val="24"/>
                <w:b w:val="1"/>
                <w:bCs w:val="1"/>
                <w:color w:val="auto"/>
                <w:vertAlign w:val="superscript"/>
              </w:rPr>
              <w:t>(4)</w:t>
            </w:r>
          </w:p>
        </w:tc>
        <w:tc>
          <w:tcPr>
            <w:tcW w:w="1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860" w:type="dxa"/>
            <w:vAlign w:val="bottom"/>
            <w:shd w:val="clear" w:color="auto" w:fill="F6F1EB"/>
          </w:tcPr>
          <w:p>
            <w:pPr>
              <w:jc w:val="cente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4460" w:type="dxa"/>
            <w:vAlign w:val="bottom"/>
          </w:tcPr>
          <w:p>
            <w:pPr>
              <w:ind w:left="60"/>
              <w:spacing w:after="0"/>
              <w:rPr>
                <w:sz w:val="20"/>
                <w:szCs w:val="20"/>
                <w:color w:val="auto"/>
              </w:rPr>
            </w:pPr>
            <w:r>
              <w:rPr>
                <w:rFonts w:ascii="Arial" w:cs="Arial" w:eastAsia="Arial" w:hAnsi="Arial"/>
                <w:sz w:val="15"/>
                <w:szCs w:val="15"/>
                <w:color w:val="auto"/>
              </w:rPr>
              <w:t>Number of recordable incidents per 200,000 man hours recorded</w:t>
            </w:r>
          </w:p>
        </w:tc>
        <w:tc>
          <w:tcPr>
            <w:tcW w:w="11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shd w:val="clear" w:color="auto" w:fill="F6F1EB"/>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460" w:type="dxa"/>
            <w:vAlign w:val="bottom"/>
            <w:tcBorders>
              <w:bottom w:val="single" w:sz="8" w:color="A8A8AC"/>
            </w:tcBorders>
          </w:tcPr>
          <w:p>
            <w:pPr>
              <w:spacing w:after="0"/>
              <w:rPr>
                <w:sz w:val="6"/>
                <w:szCs w:val="6"/>
                <w:color w:val="auto"/>
              </w:rPr>
            </w:pPr>
          </w:p>
        </w:tc>
        <w:tc>
          <w:tcPr>
            <w:tcW w:w="1140" w:type="dxa"/>
            <w:vAlign w:val="bottom"/>
            <w:tcBorders>
              <w:bottom w:val="single" w:sz="8" w:color="A8A8AC"/>
            </w:tcBorders>
          </w:tcPr>
          <w:p>
            <w:pPr>
              <w:spacing w:after="0"/>
              <w:rPr>
                <w:sz w:val="6"/>
                <w:szCs w:val="6"/>
                <w:color w:val="auto"/>
              </w:rPr>
            </w:pPr>
          </w:p>
        </w:tc>
        <w:tc>
          <w:tcPr>
            <w:tcW w:w="2120" w:type="dxa"/>
            <w:vAlign w:val="bottom"/>
            <w:tcBorders>
              <w:bottom w:val="single" w:sz="8" w:color="A8A8AC"/>
            </w:tcBorders>
          </w:tcPr>
          <w:p>
            <w:pPr>
              <w:spacing w:after="0"/>
              <w:rPr>
                <w:sz w:val="6"/>
                <w:szCs w:val="6"/>
                <w:color w:val="auto"/>
              </w:rPr>
            </w:pPr>
          </w:p>
        </w:tc>
        <w:tc>
          <w:tcPr>
            <w:tcW w:w="1120" w:type="dxa"/>
            <w:vAlign w:val="bottom"/>
            <w:tcBorders>
              <w:bottom w:val="single" w:sz="8" w:color="A8A8AC"/>
            </w:tcBorders>
          </w:tcPr>
          <w:p>
            <w:pPr>
              <w:spacing w:after="0"/>
              <w:rPr>
                <w:sz w:val="6"/>
                <w:szCs w:val="6"/>
                <w:color w:val="auto"/>
              </w:rPr>
            </w:pPr>
          </w:p>
        </w:tc>
        <w:tc>
          <w:tcPr>
            <w:tcW w:w="920" w:type="dxa"/>
            <w:vAlign w:val="bottom"/>
            <w:tcBorders>
              <w:bottom w:val="single" w:sz="8" w:color="A8A8AC"/>
            </w:tcBorders>
          </w:tcPr>
          <w:p>
            <w:pPr>
              <w:spacing w:after="0"/>
              <w:rPr>
                <w:sz w:val="6"/>
                <w:szCs w:val="6"/>
                <w:color w:val="auto"/>
              </w:rPr>
            </w:pPr>
          </w:p>
        </w:tc>
        <w:tc>
          <w:tcPr>
            <w:tcW w:w="620" w:type="dxa"/>
            <w:vAlign w:val="bottom"/>
            <w:tcBorders>
              <w:bottom w:val="single" w:sz="8" w:color="A8A8AC"/>
            </w:tcBorders>
          </w:tcPr>
          <w:p>
            <w:pPr>
              <w:spacing w:after="0"/>
              <w:rPr>
                <w:sz w:val="6"/>
                <w:szCs w:val="6"/>
                <w:color w:val="auto"/>
              </w:rPr>
            </w:pPr>
          </w:p>
        </w:tc>
        <w:tc>
          <w:tcPr>
            <w:tcW w:w="860" w:type="dxa"/>
            <w:vAlign w:val="bottom"/>
            <w:tcBorders>
              <w:bottom w:val="single" w:sz="8" w:color="A8A8AC"/>
            </w:tcBorders>
            <w:shd w:val="clear" w:color="auto" w:fill="F6F1EB"/>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A26F2A"/>
            </w:tcBorders>
          </w:tcPr>
          <w:p>
            <w:pPr>
              <w:spacing w:after="0"/>
              <w:rPr>
                <w:sz w:val="18"/>
                <w:szCs w:val="18"/>
                <w:color w:val="auto"/>
              </w:rPr>
            </w:pPr>
          </w:p>
        </w:tc>
        <w:tc>
          <w:tcPr>
            <w:tcW w:w="1140" w:type="dxa"/>
            <w:vAlign w:val="bottom"/>
            <w:tcBorders>
              <w:bottom w:val="single" w:sz="8" w:color="A26F2A"/>
            </w:tcBorders>
          </w:tcPr>
          <w:p>
            <w:pPr>
              <w:spacing w:after="0"/>
              <w:rPr>
                <w:sz w:val="18"/>
                <w:szCs w:val="18"/>
                <w:color w:val="auto"/>
              </w:rPr>
            </w:pPr>
          </w:p>
        </w:tc>
        <w:tc>
          <w:tcPr>
            <w:tcW w:w="2120" w:type="dxa"/>
            <w:vAlign w:val="bottom"/>
            <w:tcBorders>
              <w:bottom w:val="single" w:sz="8" w:color="A26F2A"/>
            </w:tcBorders>
          </w:tcPr>
          <w:p>
            <w:pPr>
              <w:spacing w:after="0"/>
              <w:rPr>
                <w:sz w:val="18"/>
                <w:szCs w:val="18"/>
                <w:color w:val="auto"/>
              </w:rPr>
            </w:pPr>
          </w:p>
        </w:tc>
        <w:tc>
          <w:tcPr>
            <w:tcW w:w="1120" w:type="dxa"/>
            <w:vAlign w:val="bottom"/>
            <w:tcBorders>
              <w:bottom w:val="single" w:sz="8" w:color="A26F2A"/>
            </w:tcBorders>
          </w:tcPr>
          <w:p>
            <w:pPr>
              <w:spacing w:after="0"/>
              <w:rPr>
                <w:sz w:val="18"/>
                <w:szCs w:val="18"/>
                <w:color w:val="auto"/>
              </w:rPr>
            </w:pPr>
          </w:p>
        </w:tc>
        <w:tc>
          <w:tcPr>
            <w:tcW w:w="920" w:type="dxa"/>
            <w:vAlign w:val="bottom"/>
            <w:tcBorders>
              <w:bottom w:val="single" w:sz="8" w:color="A26F2A"/>
            </w:tcBorders>
          </w:tcPr>
          <w:p>
            <w:pPr>
              <w:jc w:val="right"/>
              <w:ind w:right="224"/>
              <w:spacing w:after="0"/>
              <w:rPr>
                <w:sz w:val="20"/>
                <w:szCs w:val="20"/>
                <w:color w:val="auto"/>
              </w:rPr>
            </w:pPr>
            <w:r>
              <w:rPr>
                <w:rFonts w:ascii="Arial" w:cs="Arial" w:eastAsia="Arial" w:hAnsi="Arial"/>
                <w:sz w:val="15"/>
                <w:szCs w:val="15"/>
                <w:b w:val="1"/>
                <w:bCs w:val="1"/>
                <w:color w:val="auto"/>
              </w:rPr>
              <w:t>25%</w:t>
            </w:r>
          </w:p>
        </w:tc>
        <w:tc>
          <w:tcPr>
            <w:tcW w:w="620" w:type="dxa"/>
            <w:vAlign w:val="bottom"/>
            <w:tcBorders>
              <w:bottom w:val="single" w:sz="8" w:color="A26F2A"/>
            </w:tcBorders>
          </w:tcPr>
          <w:p>
            <w:pPr>
              <w:spacing w:after="0"/>
              <w:rPr>
                <w:sz w:val="18"/>
                <w:szCs w:val="18"/>
                <w:color w:val="auto"/>
              </w:rPr>
            </w:pPr>
          </w:p>
        </w:tc>
        <w:tc>
          <w:tcPr>
            <w:tcW w:w="860" w:type="dxa"/>
            <w:vAlign w:val="bottom"/>
            <w:tcBorders>
              <w:bottom w:val="single" w:sz="8" w:color="A26F2A"/>
            </w:tcBorders>
            <w:shd w:val="clear" w:color="auto" w:fill="F6F1EB"/>
          </w:tcPr>
          <w:p>
            <w:pPr>
              <w:jc w:val="center"/>
              <w:spacing w:after="0"/>
              <w:rPr>
                <w:sz w:val="20"/>
                <w:szCs w:val="20"/>
                <w:color w:val="auto"/>
              </w:rPr>
            </w:pPr>
            <w:r>
              <w:rPr>
                <w:rFonts w:ascii="Arial" w:cs="Arial" w:eastAsia="Arial" w:hAnsi="Arial"/>
                <w:sz w:val="15"/>
                <w:szCs w:val="15"/>
                <w:b w:val="1"/>
                <w:bCs w:val="1"/>
                <w:color w:val="auto"/>
                <w:w w:val="99"/>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-2379980</wp:posOffset>
            </wp:positionV>
            <wp:extent cx="3093720" cy="4006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093720" cy="40068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-1898650</wp:posOffset>
            </wp:positionV>
            <wp:extent cx="3093720" cy="17233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093720" cy="1723390"/>
                    </a:xfrm>
                    <a:prstGeom prst="rect">
                      <a:avLst/>
                    </a:prstGeom>
                    <a:noFill/>
                  </pic:spPr>
                </pic:pic>
              </a:graphicData>
            </a:graphic>
          </wp:anchor>
        </w:drawing>
      </w:r>
    </w:p>
    <w:p>
      <w:pPr>
        <w:spacing w:after="0" w:line="36" w:lineRule="exact"/>
        <w:rPr>
          <w:sz w:val="20"/>
          <w:szCs w:val="20"/>
          <w:color w:val="auto"/>
        </w:rPr>
      </w:pPr>
    </w:p>
    <w:p>
      <w:pPr>
        <w:ind w:left="300" w:hanging="299"/>
        <w:spacing w:after="0"/>
        <w:tabs>
          <w:tab w:leader="none" w:pos="300" w:val="left"/>
        </w:tabs>
        <w:numPr>
          <w:ilvl w:val="0"/>
          <w:numId w:val="79"/>
        </w:numPr>
        <w:rPr>
          <w:rFonts w:ascii="Arial" w:cs="Arial" w:eastAsia="Arial" w:hAnsi="Arial"/>
          <w:sz w:val="13"/>
          <w:szCs w:val="13"/>
          <w:i w:val="1"/>
          <w:iCs w:val="1"/>
          <w:color w:val="auto"/>
        </w:rPr>
      </w:pPr>
      <w:r>
        <w:rPr>
          <w:rFonts w:ascii="Arial" w:cs="Arial" w:eastAsia="Arial" w:hAnsi="Arial"/>
          <w:sz w:val="13"/>
          <w:szCs w:val="13"/>
          <w:i w:val="1"/>
          <w:iCs w:val="1"/>
          <w:color w:val="auto"/>
        </w:rPr>
        <w:t>The Company utilized the American Exploration and Production Council (“AXPC”) definition to calculate flaring intensity.</w:t>
      </w:r>
    </w:p>
    <w:p>
      <w:pPr>
        <w:spacing w:after="0" w:line="52" w:lineRule="exact"/>
        <w:rPr>
          <w:rFonts w:ascii="Arial" w:cs="Arial" w:eastAsia="Arial" w:hAnsi="Arial"/>
          <w:sz w:val="13"/>
          <w:szCs w:val="13"/>
          <w:i w:val="1"/>
          <w:iCs w:val="1"/>
          <w:color w:val="auto"/>
        </w:rPr>
      </w:pPr>
    </w:p>
    <w:p>
      <w:pPr>
        <w:ind w:left="300" w:hanging="299"/>
        <w:spacing w:after="0" w:line="262" w:lineRule="auto"/>
        <w:tabs>
          <w:tab w:leader="none" w:pos="300" w:val="left"/>
        </w:tabs>
        <w:numPr>
          <w:ilvl w:val="0"/>
          <w:numId w:val="79"/>
        </w:numPr>
        <w:rPr>
          <w:rFonts w:ascii="Arial" w:cs="Arial" w:eastAsia="Arial" w:hAnsi="Arial"/>
          <w:sz w:val="13"/>
          <w:szCs w:val="13"/>
          <w:i w:val="1"/>
          <w:iCs w:val="1"/>
          <w:color w:val="auto"/>
        </w:rPr>
      </w:pPr>
      <w:r>
        <w:rPr>
          <w:rFonts w:ascii="Arial" w:cs="Arial" w:eastAsia="Arial" w:hAnsi="Arial"/>
          <w:sz w:val="13"/>
          <w:szCs w:val="13"/>
          <w:i w:val="1"/>
          <w:iCs w:val="1"/>
          <w:color w:val="auto"/>
        </w:rPr>
        <w:t>The Company utilized the AXPC definition to calculate GHG Emission Intensity. The Scope 1 GHG intensity result presented in the table was certified in 2025 and relates to 2024 operations.</w:t>
      </w:r>
    </w:p>
    <w:p>
      <w:pPr>
        <w:spacing w:after="0" w:line="190" w:lineRule="exact"/>
        <w:rPr>
          <w:rFonts w:ascii="Arial" w:cs="Arial" w:eastAsia="Arial" w:hAnsi="Arial"/>
          <w:sz w:val="13"/>
          <w:szCs w:val="13"/>
          <w:i w:val="1"/>
          <w:iCs w:val="1"/>
          <w:color w:val="auto"/>
        </w:rPr>
      </w:pPr>
    </w:p>
    <w:p>
      <w:pPr>
        <w:ind w:left="300" w:hanging="299"/>
        <w:spacing w:after="0" w:line="283" w:lineRule="auto"/>
        <w:tabs>
          <w:tab w:leader="none" w:pos="300" w:val="left"/>
        </w:tabs>
        <w:numPr>
          <w:ilvl w:val="0"/>
          <w:numId w:val="79"/>
        </w:numPr>
        <w:rPr>
          <w:rFonts w:ascii="Arial" w:cs="Arial" w:eastAsia="Arial" w:hAnsi="Arial"/>
          <w:sz w:val="13"/>
          <w:szCs w:val="13"/>
          <w:i w:val="1"/>
          <w:iCs w:val="1"/>
          <w:color w:val="auto"/>
        </w:rPr>
      </w:pPr>
      <w:r>
        <w:rPr>
          <w:rFonts w:ascii="Arial" w:cs="Arial" w:eastAsia="Arial" w:hAnsi="Arial"/>
          <w:sz w:val="13"/>
          <w:szCs w:val="13"/>
          <w:i w:val="1"/>
          <w:iCs w:val="1"/>
          <w:color w:val="auto"/>
        </w:rPr>
        <w:t>The Company utilized a modified AXPC definition to account for barrels recovered as the basis for calculating spills. The Company recognizes spills as defined by AXPC, net of volume recovered from secondary containment.</w:t>
      </w:r>
    </w:p>
    <w:p>
      <w:pPr>
        <w:ind w:left="300" w:hanging="299"/>
        <w:spacing w:after="0"/>
        <w:tabs>
          <w:tab w:leader="none" w:pos="300" w:val="left"/>
        </w:tabs>
        <w:numPr>
          <w:ilvl w:val="0"/>
          <w:numId w:val="79"/>
        </w:numPr>
        <w:rPr>
          <w:rFonts w:ascii="Arial" w:cs="Arial" w:eastAsia="Arial" w:hAnsi="Arial"/>
          <w:sz w:val="13"/>
          <w:szCs w:val="13"/>
          <w:i w:val="1"/>
          <w:iCs w:val="1"/>
          <w:color w:val="auto"/>
        </w:rPr>
      </w:pPr>
      <w:r>
        <w:rPr>
          <w:rFonts w:ascii="Arial" w:cs="Arial" w:eastAsia="Arial" w:hAnsi="Arial"/>
          <w:sz w:val="13"/>
          <w:szCs w:val="13"/>
          <w:i w:val="1"/>
          <w:iCs w:val="1"/>
          <w:color w:val="auto"/>
        </w:rPr>
        <w:t>The Company utilizes the same definition adopted by AXPC and the Occupational Safety and Health Administration to calculate TRIR.</w:t>
      </w:r>
    </w:p>
    <w:p>
      <w:pPr>
        <w:spacing w:after="0" w:line="174"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After applying the weighting established by the compensation committee to each performance factor, Diamondback achieved the short-term annual incentive plan performance goals at 161% of target.</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As a result, the compensation committee authorized the following NEO payouts under the Annual Incentive Plan for 2025:</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26F2A"/>
        </w:rPr>
        <w:t>2025 SHORT-TERM INCENTIVE AWARD PAYOUTS TO NAMED EXECUTIVE OFFICERS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64"/>
              <w:spacing w:after="0"/>
              <w:rPr>
                <w:sz w:val="20"/>
                <w:szCs w:val="20"/>
                <w:color w:val="auto"/>
              </w:rPr>
            </w:pPr>
            <w:r>
              <w:rPr>
                <w:rFonts w:ascii="Arial" w:cs="Arial" w:eastAsia="Arial" w:hAnsi="Arial"/>
                <w:sz w:val="15"/>
                <w:szCs w:val="15"/>
                <w:b w:val="1"/>
                <w:bCs w:val="1"/>
                <w:color w:val="auto"/>
              </w:rPr>
              <w:t>Actual</w:t>
            </w: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Actual</w:t>
            </w:r>
          </w:p>
        </w:tc>
        <w:tc>
          <w:tcPr>
            <w:tcW w:w="0" w:type="dxa"/>
            <w:vAlign w:val="bottom"/>
          </w:tcPr>
          <w:p>
            <w:pPr>
              <w:spacing w:after="0"/>
              <w:rPr>
                <w:sz w:val="1"/>
                <w:szCs w:val="1"/>
                <w:color w:val="auto"/>
              </w:rPr>
            </w:pPr>
          </w:p>
        </w:tc>
      </w:tr>
      <w:tr>
        <w:trPr>
          <w:trHeight w:val="177"/>
        </w:trPr>
        <w:tc>
          <w:tcPr>
            <w:tcW w:w="3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jc w:val="right"/>
              <w:ind w:right="84"/>
              <w:spacing w:after="0"/>
              <w:rPr>
                <w:sz w:val="20"/>
                <w:szCs w:val="20"/>
                <w:color w:val="auto"/>
              </w:rPr>
            </w:pPr>
            <w:r>
              <w:rPr>
                <w:rFonts w:ascii="Arial" w:cs="Arial" w:eastAsia="Arial" w:hAnsi="Arial"/>
                <w:sz w:val="15"/>
                <w:szCs w:val="15"/>
                <w:b w:val="1"/>
                <w:bCs w:val="1"/>
                <w:color w:val="auto"/>
              </w:rPr>
              <w:t>Target Bonus</w:t>
            </w:r>
          </w:p>
        </w:tc>
        <w:tc>
          <w:tcPr>
            <w:tcW w:w="240" w:type="dxa"/>
            <w:vAlign w:val="bottom"/>
          </w:tcPr>
          <w:p>
            <w:pPr>
              <w:spacing w:after="0"/>
              <w:rPr>
                <w:sz w:val="15"/>
                <w:szCs w:val="15"/>
                <w:color w:val="auto"/>
              </w:rPr>
            </w:pPr>
          </w:p>
        </w:tc>
        <w:tc>
          <w:tcPr>
            <w:tcW w:w="960" w:type="dxa"/>
            <w:vAlign w:val="bottom"/>
          </w:tcPr>
          <w:p>
            <w:pPr>
              <w:jc w:val="right"/>
              <w:ind w:right="205"/>
              <w:spacing w:after="0"/>
              <w:rPr>
                <w:sz w:val="20"/>
                <w:szCs w:val="20"/>
                <w:color w:val="auto"/>
              </w:rPr>
            </w:pPr>
            <w:r>
              <w:rPr>
                <w:rFonts w:ascii="Arial" w:cs="Arial" w:eastAsia="Arial" w:hAnsi="Arial"/>
                <w:sz w:val="15"/>
                <w:szCs w:val="15"/>
                <w:b w:val="1"/>
                <w:bCs w:val="1"/>
                <w:color w:val="auto"/>
              </w:rPr>
              <w:t>Target</w:t>
            </w:r>
          </w:p>
        </w:tc>
        <w:tc>
          <w:tcPr>
            <w:tcW w:w="220" w:type="dxa"/>
            <w:vAlign w:val="bottom"/>
          </w:tcPr>
          <w:p>
            <w:pPr>
              <w:spacing w:after="0"/>
              <w:rPr>
                <w:sz w:val="15"/>
                <w:szCs w:val="15"/>
                <w:color w:val="auto"/>
              </w:rPr>
            </w:pPr>
          </w:p>
        </w:tc>
        <w:tc>
          <w:tcPr>
            <w:tcW w:w="840" w:type="dxa"/>
            <w:vAlign w:val="bottom"/>
          </w:tcPr>
          <w:p>
            <w:pPr>
              <w:jc w:val="right"/>
              <w:ind w:right="64"/>
              <w:spacing w:after="0"/>
              <w:rPr>
                <w:sz w:val="20"/>
                <w:szCs w:val="20"/>
                <w:color w:val="auto"/>
              </w:rPr>
            </w:pPr>
            <w:r>
              <w:rPr>
                <w:rFonts w:ascii="Arial" w:cs="Arial" w:eastAsia="Arial" w:hAnsi="Arial"/>
                <w:sz w:val="15"/>
                <w:szCs w:val="15"/>
                <w:b w:val="1"/>
                <w:bCs w:val="1"/>
                <w:color w:val="auto"/>
              </w:rPr>
              <w:t>Incentive</w:t>
            </w: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Incentive</w:t>
            </w:r>
          </w:p>
        </w:tc>
        <w:tc>
          <w:tcPr>
            <w:tcW w:w="0" w:type="dxa"/>
            <w:vAlign w:val="bottom"/>
          </w:tcPr>
          <w:p>
            <w:pPr>
              <w:spacing w:after="0"/>
              <w:rPr>
                <w:sz w:val="1"/>
                <w:szCs w:val="1"/>
                <w:color w:val="auto"/>
              </w:rPr>
            </w:pPr>
          </w:p>
        </w:tc>
      </w:tr>
      <w:tr>
        <w:trPr>
          <w:trHeight w:val="177"/>
        </w:trPr>
        <w:tc>
          <w:tcPr>
            <w:tcW w:w="3320" w:type="dxa"/>
            <w:vAlign w:val="bottom"/>
          </w:tcPr>
          <w:p>
            <w:pPr>
              <w:spacing w:after="0"/>
              <w:rPr>
                <w:sz w:val="15"/>
                <w:szCs w:val="15"/>
                <w:color w:val="auto"/>
              </w:rPr>
            </w:pPr>
          </w:p>
        </w:tc>
        <w:tc>
          <w:tcPr>
            <w:tcW w:w="2660" w:type="dxa"/>
            <w:vAlign w:val="bottom"/>
            <w:gridSpan w:val="2"/>
            <w:vMerge w:val="restart"/>
          </w:tcPr>
          <w:p>
            <w:pPr>
              <w:jc w:val="right"/>
              <w:ind w:right="64"/>
              <w:spacing w:after="0"/>
              <w:rPr>
                <w:sz w:val="20"/>
                <w:szCs w:val="20"/>
                <w:color w:val="auto"/>
              </w:rPr>
            </w:pPr>
            <w:r>
              <w:rPr>
                <w:rFonts w:ascii="Arial" w:cs="Arial" w:eastAsia="Arial" w:hAnsi="Arial"/>
                <w:sz w:val="15"/>
                <w:szCs w:val="15"/>
                <w:b w:val="1"/>
                <w:bCs w:val="1"/>
                <w:color w:val="auto"/>
              </w:rPr>
              <w:t>Base Salary</w:t>
            </w:r>
            <w:r>
              <w:rPr>
                <w:rFonts w:ascii="Arial" w:cs="Arial" w:eastAsia="Arial" w:hAnsi="Arial"/>
                <w:sz w:val="25"/>
                <w:szCs w:val="25"/>
                <w:b w:val="1"/>
                <w:bCs w:val="1"/>
                <w:color w:val="auto"/>
                <w:vertAlign w:val="superscript"/>
              </w:rPr>
              <w:t>(1)</w:t>
            </w:r>
          </w:p>
        </w:tc>
        <w:tc>
          <w:tcPr>
            <w:tcW w:w="1640" w:type="dxa"/>
            <w:vAlign w:val="bottom"/>
          </w:tcPr>
          <w:p>
            <w:pPr>
              <w:jc w:val="right"/>
              <w:ind w:right="84"/>
              <w:spacing w:after="0"/>
              <w:rPr>
                <w:sz w:val="20"/>
                <w:szCs w:val="20"/>
                <w:color w:val="auto"/>
              </w:rPr>
            </w:pPr>
            <w:r>
              <w:rPr>
                <w:rFonts w:ascii="Arial" w:cs="Arial" w:eastAsia="Arial" w:hAnsi="Arial"/>
                <w:sz w:val="15"/>
                <w:szCs w:val="15"/>
                <w:b w:val="1"/>
                <w:bCs w:val="1"/>
                <w:color w:val="auto"/>
              </w:rPr>
              <w:t>Percentage as a %</w:t>
            </w:r>
          </w:p>
        </w:tc>
        <w:tc>
          <w:tcPr>
            <w:tcW w:w="240" w:type="dxa"/>
            <w:vAlign w:val="bottom"/>
          </w:tcPr>
          <w:p>
            <w:pPr>
              <w:spacing w:after="0"/>
              <w:rPr>
                <w:sz w:val="15"/>
                <w:szCs w:val="15"/>
                <w:color w:val="auto"/>
              </w:rPr>
            </w:pPr>
          </w:p>
        </w:tc>
        <w:tc>
          <w:tcPr>
            <w:tcW w:w="960" w:type="dxa"/>
            <w:vAlign w:val="bottom"/>
          </w:tcPr>
          <w:p>
            <w:pPr>
              <w:jc w:val="right"/>
              <w:ind w:right="205"/>
              <w:spacing w:after="0"/>
              <w:rPr>
                <w:sz w:val="20"/>
                <w:szCs w:val="20"/>
                <w:color w:val="auto"/>
              </w:rPr>
            </w:pPr>
            <w:r>
              <w:rPr>
                <w:rFonts w:ascii="Arial" w:cs="Arial" w:eastAsia="Arial" w:hAnsi="Arial"/>
                <w:sz w:val="15"/>
                <w:szCs w:val="15"/>
                <w:b w:val="1"/>
                <w:bCs w:val="1"/>
                <w:color w:val="auto"/>
              </w:rPr>
              <w:t>Bonus</w:t>
            </w:r>
          </w:p>
        </w:tc>
        <w:tc>
          <w:tcPr>
            <w:tcW w:w="220" w:type="dxa"/>
            <w:vAlign w:val="bottom"/>
          </w:tcPr>
          <w:p>
            <w:pPr>
              <w:spacing w:after="0"/>
              <w:rPr>
                <w:sz w:val="15"/>
                <w:szCs w:val="15"/>
                <w:color w:val="auto"/>
              </w:rPr>
            </w:pPr>
          </w:p>
        </w:tc>
        <w:tc>
          <w:tcPr>
            <w:tcW w:w="840" w:type="dxa"/>
            <w:vAlign w:val="bottom"/>
          </w:tcPr>
          <w:p>
            <w:pPr>
              <w:jc w:val="right"/>
              <w:ind w:right="64"/>
              <w:spacing w:after="0"/>
              <w:rPr>
                <w:sz w:val="20"/>
                <w:szCs w:val="20"/>
                <w:color w:val="auto"/>
              </w:rPr>
            </w:pPr>
            <w:r>
              <w:rPr>
                <w:rFonts w:ascii="Arial" w:cs="Arial" w:eastAsia="Arial" w:hAnsi="Arial"/>
                <w:sz w:val="15"/>
                <w:szCs w:val="15"/>
                <w:b w:val="1"/>
                <w:bCs w:val="1"/>
                <w:color w:val="auto"/>
              </w:rPr>
              <w:t>Bonus</w:t>
            </w: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Bonus as a %</w:t>
            </w:r>
          </w:p>
        </w:tc>
        <w:tc>
          <w:tcPr>
            <w:tcW w:w="0" w:type="dxa"/>
            <w:vAlign w:val="bottom"/>
          </w:tcPr>
          <w:p>
            <w:pPr>
              <w:spacing w:after="0"/>
              <w:rPr>
                <w:sz w:val="1"/>
                <w:szCs w:val="1"/>
                <w:color w:val="auto"/>
              </w:rPr>
            </w:pPr>
          </w:p>
        </w:tc>
      </w:tr>
      <w:tr>
        <w:trPr>
          <w:trHeight w:val="194"/>
        </w:trPr>
        <w:tc>
          <w:tcPr>
            <w:tcW w:w="332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Named Executive Officer</w:t>
            </w:r>
          </w:p>
        </w:tc>
        <w:tc>
          <w:tcPr>
            <w:tcW w:w="2660" w:type="dxa"/>
            <w:vAlign w:val="bottom"/>
            <w:tcBorders>
              <w:bottom w:val="single" w:sz="8" w:color="A26F2A"/>
            </w:tcBorders>
            <w:gridSpan w:val="2"/>
            <w:vMerge w:val="continue"/>
          </w:tcPr>
          <w:p>
            <w:pPr>
              <w:spacing w:after="0"/>
              <w:rPr>
                <w:sz w:val="16"/>
                <w:szCs w:val="16"/>
                <w:color w:val="auto"/>
              </w:rPr>
            </w:pPr>
          </w:p>
        </w:tc>
        <w:tc>
          <w:tcPr>
            <w:tcW w:w="1640" w:type="dxa"/>
            <w:vAlign w:val="bottom"/>
            <w:tcBorders>
              <w:bottom w:val="single" w:sz="8" w:color="A26F2A"/>
            </w:tcBorders>
          </w:tcPr>
          <w:p>
            <w:pPr>
              <w:jc w:val="right"/>
              <w:ind w:right="84"/>
              <w:spacing w:after="0"/>
              <w:rPr>
                <w:sz w:val="20"/>
                <w:szCs w:val="20"/>
                <w:color w:val="auto"/>
              </w:rPr>
            </w:pPr>
            <w:r>
              <w:rPr>
                <w:rFonts w:ascii="Arial" w:cs="Arial" w:eastAsia="Arial" w:hAnsi="Arial"/>
                <w:sz w:val="15"/>
                <w:szCs w:val="15"/>
                <w:b w:val="1"/>
                <w:bCs w:val="1"/>
                <w:color w:val="auto"/>
              </w:rPr>
              <w:t>of Base Salary</w:t>
            </w:r>
          </w:p>
        </w:tc>
        <w:tc>
          <w:tcPr>
            <w:tcW w:w="240" w:type="dxa"/>
            <w:vAlign w:val="bottom"/>
            <w:tcBorders>
              <w:bottom w:val="single" w:sz="8" w:color="A26F2A"/>
            </w:tcBorders>
          </w:tcPr>
          <w:p>
            <w:pPr>
              <w:spacing w:after="0"/>
              <w:rPr>
                <w:sz w:val="16"/>
                <w:szCs w:val="16"/>
                <w:color w:val="auto"/>
              </w:rPr>
            </w:pPr>
          </w:p>
        </w:tc>
        <w:tc>
          <w:tcPr>
            <w:tcW w:w="960" w:type="dxa"/>
            <w:vAlign w:val="bottom"/>
            <w:tcBorders>
              <w:bottom w:val="single" w:sz="8" w:color="A26F2A"/>
            </w:tcBorders>
          </w:tcPr>
          <w:p>
            <w:pPr>
              <w:jc w:val="right"/>
              <w:ind w:right="205"/>
              <w:spacing w:after="0"/>
              <w:rPr>
                <w:sz w:val="20"/>
                <w:szCs w:val="20"/>
                <w:color w:val="auto"/>
              </w:rPr>
            </w:pPr>
            <w:r>
              <w:rPr>
                <w:rFonts w:ascii="Arial" w:cs="Arial" w:eastAsia="Arial" w:hAnsi="Arial"/>
                <w:sz w:val="15"/>
                <w:szCs w:val="15"/>
                <w:b w:val="1"/>
                <w:bCs w:val="1"/>
                <w:color w:val="auto"/>
              </w:rPr>
              <w:t>Amount</w:t>
            </w:r>
          </w:p>
        </w:tc>
        <w:tc>
          <w:tcPr>
            <w:tcW w:w="220" w:type="dxa"/>
            <w:vAlign w:val="bottom"/>
            <w:tcBorders>
              <w:bottom w:val="single" w:sz="8" w:color="A26F2A"/>
            </w:tcBorders>
          </w:tcPr>
          <w:p>
            <w:pPr>
              <w:spacing w:after="0"/>
              <w:rPr>
                <w:sz w:val="16"/>
                <w:szCs w:val="16"/>
                <w:color w:val="auto"/>
              </w:rPr>
            </w:pPr>
          </w:p>
        </w:tc>
        <w:tc>
          <w:tcPr>
            <w:tcW w:w="840" w:type="dxa"/>
            <w:vAlign w:val="bottom"/>
            <w:tcBorders>
              <w:bottom w:val="single" w:sz="8" w:color="A26F2A"/>
            </w:tcBorders>
          </w:tcPr>
          <w:p>
            <w:pPr>
              <w:jc w:val="right"/>
              <w:ind w:right="64"/>
              <w:spacing w:after="0"/>
              <w:rPr>
                <w:sz w:val="20"/>
                <w:szCs w:val="20"/>
                <w:color w:val="auto"/>
              </w:rPr>
            </w:pPr>
            <w:r>
              <w:rPr>
                <w:rFonts w:ascii="Arial" w:cs="Arial" w:eastAsia="Arial" w:hAnsi="Arial"/>
                <w:sz w:val="15"/>
                <w:szCs w:val="15"/>
                <w:b w:val="1"/>
                <w:bCs w:val="1"/>
                <w:color w:val="auto"/>
              </w:rPr>
              <w:t>Award</w:t>
            </w:r>
          </w:p>
        </w:tc>
        <w:tc>
          <w:tcPr>
            <w:tcW w:w="1360" w:type="dxa"/>
            <w:vAlign w:val="bottom"/>
            <w:tcBorders>
              <w:bottom w:val="single" w:sz="8" w:color="A26F2A"/>
            </w:tcBorders>
          </w:tcPr>
          <w:p>
            <w:pPr>
              <w:jc w:val="right"/>
              <w:spacing w:after="0"/>
              <w:rPr>
                <w:sz w:val="20"/>
                <w:szCs w:val="20"/>
                <w:color w:val="auto"/>
              </w:rPr>
            </w:pPr>
            <w:r>
              <w:rPr>
                <w:rFonts w:ascii="Arial" w:cs="Arial" w:eastAsia="Arial" w:hAnsi="Arial"/>
                <w:sz w:val="15"/>
                <w:szCs w:val="15"/>
                <w:b w:val="1"/>
                <w:bCs w:val="1"/>
                <w:color w:val="auto"/>
              </w:rPr>
              <w:t>of Target Bonus</w:t>
            </w:r>
          </w:p>
        </w:tc>
        <w:tc>
          <w:tcPr>
            <w:tcW w:w="0" w:type="dxa"/>
            <w:vAlign w:val="bottom"/>
          </w:tcPr>
          <w:p>
            <w:pPr>
              <w:spacing w:after="0"/>
              <w:rPr>
                <w:sz w:val="1"/>
                <w:szCs w:val="1"/>
                <w:color w:val="auto"/>
              </w:rPr>
            </w:pPr>
          </w:p>
        </w:tc>
      </w:tr>
      <w:tr>
        <w:trPr>
          <w:trHeight w:val="215"/>
        </w:trPr>
        <w:tc>
          <w:tcPr>
            <w:tcW w:w="3320" w:type="dxa"/>
            <w:vAlign w:val="bottom"/>
            <w:tcBorders>
              <w:bottom w:val="single" w:sz="8" w:color="A8A8AC"/>
            </w:tcBorders>
          </w:tcPr>
          <w:p>
            <w:pPr>
              <w:ind w:left="60"/>
              <w:spacing w:after="0" w:line="214" w:lineRule="exact"/>
              <w:rPr>
                <w:sz w:val="20"/>
                <w:szCs w:val="20"/>
                <w:color w:val="auto"/>
              </w:rPr>
            </w:pPr>
            <w:r>
              <w:rPr>
                <w:rFonts w:ascii="Arial" w:cs="Arial" w:eastAsia="Arial" w:hAnsi="Arial"/>
                <w:sz w:val="15"/>
                <w:szCs w:val="15"/>
                <w:b w:val="1"/>
                <w:bCs w:val="1"/>
                <w:color w:val="auto"/>
              </w:rPr>
              <w:t>Travis D. Stice</w:t>
            </w:r>
            <w:r>
              <w:rPr>
                <w:rFonts w:ascii="Arial" w:cs="Arial" w:eastAsia="Arial" w:hAnsi="Arial"/>
                <w:sz w:val="24"/>
                <w:szCs w:val="24"/>
                <w:b w:val="1"/>
                <w:bCs w:val="1"/>
                <w:color w:val="auto"/>
                <w:vertAlign w:val="superscript"/>
              </w:rPr>
              <w:t>(2)</w:t>
            </w:r>
          </w:p>
        </w:tc>
        <w:tc>
          <w:tcPr>
            <w:tcW w:w="18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8A8AC"/>
            </w:tcBorders>
          </w:tcPr>
          <w:p>
            <w:pPr>
              <w:jc w:val="right"/>
              <w:ind w:right="64"/>
              <w:spacing w:after="0"/>
              <w:rPr>
                <w:sz w:val="20"/>
                <w:szCs w:val="20"/>
                <w:color w:val="auto"/>
              </w:rPr>
            </w:pPr>
            <w:r>
              <w:rPr>
                <w:rFonts w:ascii="Arial" w:cs="Arial" w:eastAsia="Arial" w:hAnsi="Arial"/>
                <w:sz w:val="15"/>
                <w:szCs w:val="15"/>
                <w:color w:val="auto"/>
                <w:w w:val="98"/>
              </w:rPr>
              <w:t>1,128,600</w:t>
            </w:r>
          </w:p>
        </w:tc>
        <w:tc>
          <w:tcPr>
            <w:tcW w:w="1640" w:type="dxa"/>
            <w:vAlign w:val="bottom"/>
            <w:tcBorders>
              <w:bottom w:val="single" w:sz="8" w:color="A8A8AC"/>
            </w:tcBorders>
          </w:tcPr>
          <w:p>
            <w:pPr>
              <w:jc w:val="right"/>
              <w:ind w:right="84"/>
              <w:spacing w:after="0"/>
              <w:rPr>
                <w:sz w:val="20"/>
                <w:szCs w:val="20"/>
                <w:color w:val="auto"/>
              </w:rPr>
            </w:pPr>
            <w:r>
              <w:rPr>
                <w:rFonts w:ascii="Arial" w:cs="Arial" w:eastAsia="Arial" w:hAnsi="Arial"/>
                <w:sz w:val="15"/>
                <w:szCs w:val="15"/>
                <w:color w:val="auto"/>
              </w:rPr>
              <w:t>150%</w:t>
            </w:r>
          </w:p>
        </w:tc>
        <w:tc>
          <w:tcPr>
            <w:tcW w:w="2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8A8AC"/>
            </w:tcBorders>
          </w:tcPr>
          <w:p>
            <w:pPr>
              <w:jc w:val="right"/>
              <w:ind w:right="45"/>
              <w:spacing w:after="0" w:line="214" w:lineRule="exact"/>
              <w:rPr>
                <w:sz w:val="20"/>
                <w:szCs w:val="20"/>
                <w:color w:val="auto"/>
              </w:rPr>
            </w:pPr>
            <w:r>
              <w:rPr>
                <w:rFonts w:ascii="Arial" w:cs="Arial" w:eastAsia="Arial" w:hAnsi="Arial"/>
                <w:sz w:val="15"/>
                <w:szCs w:val="15"/>
                <w:color w:val="auto"/>
                <w:w w:val="94"/>
              </w:rPr>
              <w:t>1,692,900</w:t>
            </w:r>
            <w:r>
              <w:rPr>
                <w:rFonts w:ascii="Arial" w:cs="Arial" w:eastAsia="Arial" w:hAnsi="Arial"/>
                <w:sz w:val="24"/>
                <w:szCs w:val="24"/>
                <w:color w:val="auto"/>
                <w:w w:val="94"/>
                <w:vertAlign w:val="superscript"/>
              </w:rPr>
              <w:t>(2)</w:t>
            </w:r>
          </w:p>
        </w:tc>
        <w:tc>
          <w:tcPr>
            <w:tcW w:w="22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8A8AC"/>
            </w:tcBorders>
          </w:tcPr>
          <w:p>
            <w:pPr>
              <w:jc w:val="right"/>
              <w:ind w:right="64"/>
              <w:spacing w:after="0"/>
              <w:rPr>
                <w:sz w:val="20"/>
                <w:szCs w:val="20"/>
                <w:color w:val="auto"/>
              </w:rPr>
            </w:pPr>
            <w:r>
              <w:rPr>
                <w:rFonts w:ascii="Arial" w:cs="Arial" w:eastAsia="Arial" w:hAnsi="Arial"/>
                <w:sz w:val="15"/>
                <w:szCs w:val="15"/>
                <w:color w:val="auto"/>
              </w:rPr>
              <w:t>2,729,281</w:t>
            </w:r>
          </w:p>
        </w:tc>
        <w:tc>
          <w:tcPr>
            <w:tcW w:w="136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207"/>
        </w:trPr>
        <w:tc>
          <w:tcPr>
            <w:tcW w:w="3320" w:type="dxa"/>
            <w:vAlign w:val="bottom"/>
            <w:tcBorders>
              <w:bottom w:val="single" w:sz="8" w:color="A8A8AC"/>
            </w:tcBorders>
          </w:tcPr>
          <w:p>
            <w:pPr>
              <w:ind w:left="60"/>
              <w:spacing w:after="0" w:line="207" w:lineRule="exact"/>
              <w:rPr>
                <w:sz w:val="20"/>
                <w:szCs w:val="20"/>
                <w:color w:val="auto"/>
              </w:rPr>
            </w:pPr>
            <w:r>
              <w:rPr>
                <w:rFonts w:ascii="Arial" w:cs="Arial" w:eastAsia="Arial" w:hAnsi="Arial"/>
                <w:sz w:val="15"/>
                <w:szCs w:val="15"/>
                <w:b w:val="1"/>
                <w:bCs w:val="1"/>
                <w:color w:val="auto"/>
              </w:rPr>
              <w:t>Kaes Van’t Hof</w:t>
            </w:r>
            <w:r>
              <w:rPr>
                <w:rFonts w:ascii="Arial" w:cs="Arial" w:eastAsia="Arial" w:hAnsi="Arial"/>
                <w:sz w:val="24"/>
                <w:szCs w:val="24"/>
                <w:b w:val="1"/>
                <w:bCs w:val="1"/>
                <w:color w:val="auto"/>
                <w:vertAlign w:val="superscript"/>
              </w:rPr>
              <w:t>(3)</w:t>
            </w:r>
          </w:p>
        </w:tc>
        <w:tc>
          <w:tcPr>
            <w:tcW w:w="18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8A8AC"/>
            </w:tcBorders>
          </w:tcPr>
          <w:p>
            <w:pPr>
              <w:jc w:val="right"/>
              <w:ind w:right="64"/>
              <w:spacing w:after="0"/>
              <w:rPr>
                <w:sz w:val="20"/>
                <w:szCs w:val="20"/>
                <w:color w:val="auto"/>
              </w:rPr>
            </w:pPr>
            <w:r>
              <w:rPr>
                <w:rFonts w:ascii="Arial" w:cs="Arial" w:eastAsia="Arial" w:hAnsi="Arial"/>
                <w:sz w:val="15"/>
                <w:szCs w:val="15"/>
                <w:color w:val="auto"/>
                <w:w w:val="98"/>
              </w:rPr>
              <w:t>1,109,500</w:t>
            </w:r>
          </w:p>
        </w:tc>
        <w:tc>
          <w:tcPr>
            <w:tcW w:w="1640" w:type="dxa"/>
            <w:vAlign w:val="bottom"/>
            <w:tcBorders>
              <w:bottom w:val="single" w:sz="8" w:color="A8A8AC"/>
            </w:tcBorders>
          </w:tcPr>
          <w:p>
            <w:pPr>
              <w:jc w:val="right"/>
              <w:ind w:right="84"/>
              <w:spacing w:after="0"/>
              <w:rPr>
                <w:sz w:val="20"/>
                <w:szCs w:val="20"/>
                <w:color w:val="auto"/>
              </w:rPr>
            </w:pPr>
            <w:r>
              <w:rPr>
                <w:rFonts w:ascii="Arial" w:cs="Arial" w:eastAsia="Arial" w:hAnsi="Arial"/>
                <w:sz w:val="15"/>
                <w:szCs w:val="15"/>
                <w:color w:val="auto"/>
              </w:rPr>
              <w:t>150%</w:t>
            </w:r>
          </w:p>
        </w:tc>
        <w:tc>
          <w:tcPr>
            <w:tcW w:w="2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8A8AC"/>
            </w:tcBorders>
          </w:tcPr>
          <w:p>
            <w:pPr>
              <w:jc w:val="right"/>
              <w:ind w:right="45"/>
              <w:spacing w:after="0" w:line="207" w:lineRule="exact"/>
              <w:rPr>
                <w:sz w:val="20"/>
                <w:szCs w:val="20"/>
                <w:color w:val="auto"/>
              </w:rPr>
            </w:pPr>
            <w:r>
              <w:rPr>
                <w:rFonts w:ascii="Arial" w:cs="Arial" w:eastAsia="Arial" w:hAnsi="Arial"/>
                <w:sz w:val="15"/>
                <w:szCs w:val="15"/>
                <w:color w:val="auto"/>
                <w:w w:val="94"/>
              </w:rPr>
              <w:t>1,664,250</w:t>
            </w:r>
            <w:r>
              <w:rPr>
                <w:rFonts w:ascii="Arial" w:cs="Arial" w:eastAsia="Arial" w:hAnsi="Arial"/>
                <w:sz w:val="24"/>
                <w:szCs w:val="24"/>
                <w:color w:val="auto"/>
                <w:w w:val="94"/>
                <w:vertAlign w:val="superscript"/>
              </w:rPr>
              <w:t>(3)</w:t>
            </w:r>
          </w:p>
        </w:tc>
        <w:tc>
          <w:tcPr>
            <w:tcW w:w="22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8A8AC"/>
            </w:tcBorders>
          </w:tcPr>
          <w:p>
            <w:pPr>
              <w:jc w:val="right"/>
              <w:ind w:right="64"/>
              <w:spacing w:after="0"/>
              <w:rPr>
                <w:sz w:val="20"/>
                <w:szCs w:val="20"/>
                <w:color w:val="auto"/>
              </w:rPr>
            </w:pPr>
            <w:r>
              <w:rPr>
                <w:rFonts w:ascii="Arial" w:cs="Arial" w:eastAsia="Arial" w:hAnsi="Arial"/>
                <w:sz w:val="15"/>
                <w:szCs w:val="15"/>
                <w:color w:val="auto"/>
              </w:rPr>
              <w:t>2,676,350</w:t>
            </w:r>
          </w:p>
        </w:tc>
        <w:tc>
          <w:tcPr>
            <w:tcW w:w="136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169"/>
        </w:trPr>
        <w:tc>
          <w:tcPr>
            <w:tcW w:w="332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Jere W. Thompson III</w:t>
            </w:r>
          </w:p>
        </w:tc>
        <w:tc>
          <w:tcPr>
            <w:tcW w:w="18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8AC"/>
            </w:tcBorders>
          </w:tcPr>
          <w:p>
            <w:pPr>
              <w:jc w:val="right"/>
              <w:ind w:right="64"/>
              <w:spacing w:after="0" w:line="169" w:lineRule="exact"/>
              <w:rPr>
                <w:sz w:val="20"/>
                <w:szCs w:val="20"/>
                <w:color w:val="auto"/>
              </w:rPr>
            </w:pPr>
            <w:r>
              <w:rPr>
                <w:rFonts w:ascii="Arial" w:cs="Arial" w:eastAsia="Arial" w:hAnsi="Arial"/>
                <w:sz w:val="15"/>
                <w:szCs w:val="15"/>
                <w:color w:val="auto"/>
              </w:rPr>
              <w:t>550,000</w:t>
            </w:r>
          </w:p>
        </w:tc>
        <w:tc>
          <w:tcPr>
            <w:tcW w:w="164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90%</w:t>
            </w:r>
          </w:p>
        </w:tc>
        <w:tc>
          <w:tcPr>
            <w:tcW w:w="2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8A8AC"/>
            </w:tcBorders>
          </w:tcPr>
          <w:p>
            <w:pPr>
              <w:jc w:val="right"/>
              <w:ind w:right="205"/>
              <w:spacing w:after="0" w:line="169" w:lineRule="exact"/>
              <w:rPr>
                <w:sz w:val="20"/>
                <w:szCs w:val="20"/>
                <w:color w:val="auto"/>
              </w:rPr>
            </w:pPr>
            <w:r>
              <w:rPr>
                <w:rFonts w:ascii="Arial" w:cs="Arial" w:eastAsia="Arial" w:hAnsi="Arial"/>
                <w:sz w:val="15"/>
                <w:szCs w:val="15"/>
                <w:color w:val="auto"/>
              </w:rPr>
              <w:t>495,000</w:t>
            </w:r>
          </w:p>
        </w:tc>
        <w:tc>
          <w:tcPr>
            <w:tcW w:w="22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8A8AC"/>
            </w:tcBorders>
          </w:tcPr>
          <w:p>
            <w:pPr>
              <w:jc w:val="right"/>
              <w:ind w:right="64"/>
              <w:spacing w:after="0" w:line="169" w:lineRule="exact"/>
              <w:rPr>
                <w:sz w:val="20"/>
                <w:szCs w:val="20"/>
                <w:color w:val="auto"/>
              </w:rPr>
            </w:pPr>
            <w:r>
              <w:rPr>
                <w:rFonts w:ascii="Arial" w:cs="Arial" w:eastAsia="Arial" w:hAnsi="Arial"/>
                <w:sz w:val="15"/>
                <w:szCs w:val="15"/>
                <w:color w:val="auto"/>
              </w:rPr>
              <w:t>796,950</w:t>
            </w:r>
          </w:p>
        </w:tc>
        <w:tc>
          <w:tcPr>
            <w:tcW w:w="136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169"/>
        </w:trPr>
        <w:tc>
          <w:tcPr>
            <w:tcW w:w="332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Teresa L. Dick</w:t>
            </w:r>
          </w:p>
        </w:tc>
        <w:tc>
          <w:tcPr>
            <w:tcW w:w="18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8AC"/>
            </w:tcBorders>
          </w:tcPr>
          <w:p>
            <w:pPr>
              <w:jc w:val="right"/>
              <w:ind w:right="64"/>
              <w:spacing w:after="0" w:line="169" w:lineRule="exact"/>
              <w:rPr>
                <w:sz w:val="20"/>
                <w:szCs w:val="20"/>
                <w:color w:val="auto"/>
              </w:rPr>
            </w:pPr>
            <w:r>
              <w:rPr>
                <w:rFonts w:ascii="Arial" w:cs="Arial" w:eastAsia="Arial" w:hAnsi="Arial"/>
                <w:sz w:val="15"/>
                <w:szCs w:val="15"/>
                <w:color w:val="auto"/>
              </w:rPr>
              <w:t>550,000</w:t>
            </w:r>
          </w:p>
        </w:tc>
        <w:tc>
          <w:tcPr>
            <w:tcW w:w="164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90%</w:t>
            </w:r>
          </w:p>
        </w:tc>
        <w:tc>
          <w:tcPr>
            <w:tcW w:w="2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8A8AC"/>
            </w:tcBorders>
          </w:tcPr>
          <w:p>
            <w:pPr>
              <w:jc w:val="right"/>
              <w:ind w:right="205"/>
              <w:spacing w:after="0" w:line="169" w:lineRule="exact"/>
              <w:rPr>
                <w:sz w:val="20"/>
                <w:szCs w:val="20"/>
                <w:color w:val="auto"/>
              </w:rPr>
            </w:pPr>
            <w:r>
              <w:rPr>
                <w:rFonts w:ascii="Arial" w:cs="Arial" w:eastAsia="Arial" w:hAnsi="Arial"/>
                <w:sz w:val="15"/>
                <w:szCs w:val="15"/>
                <w:color w:val="auto"/>
              </w:rPr>
              <w:t>495,000</w:t>
            </w:r>
          </w:p>
        </w:tc>
        <w:tc>
          <w:tcPr>
            <w:tcW w:w="22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8A8AC"/>
            </w:tcBorders>
          </w:tcPr>
          <w:p>
            <w:pPr>
              <w:jc w:val="right"/>
              <w:ind w:right="64"/>
              <w:spacing w:after="0" w:line="169" w:lineRule="exact"/>
              <w:rPr>
                <w:sz w:val="20"/>
                <w:szCs w:val="20"/>
                <w:color w:val="auto"/>
              </w:rPr>
            </w:pPr>
            <w:r>
              <w:rPr>
                <w:rFonts w:ascii="Arial" w:cs="Arial" w:eastAsia="Arial" w:hAnsi="Arial"/>
                <w:sz w:val="15"/>
                <w:szCs w:val="15"/>
                <w:color w:val="auto"/>
              </w:rPr>
              <w:t>796,950</w:t>
            </w:r>
          </w:p>
        </w:tc>
        <w:tc>
          <w:tcPr>
            <w:tcW w:w="136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169"/>
        </w:trPr>
        <w:tc>
          <w:tcPr>
            <w:tcW w:w="332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Daniel N. Wesson</w:t>
            </w:r>
          </w:p>
        </w:tc>
        <w:tc>
          <w:tcPr>
            <w:tcW w:w="18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8AC"/>
            </w:tcBorders>
          </w:tcPr>
          <w:p>
            <w:pPr>
              <w:jc w:val="right"/>
              <w:ind w:right="64"/>
              <w:spacing w:after="0" w:line="169" w:lineRule="exact"/>
              <w:rPr>
                <w:sz w:val="20"/>
                <w:szCs w:val="20"/>
                <w:color w:val="auto"/>
              </w:rPr>
            </w:pPr>
            <w:r>
              <w:rPr>
                <w:rFonts w:ascii="Arial" w:cs="Arial" w:eastAsia="Arial" w:hAnsi="Arial"/>
                <w:sz w:val="15"/>
                <w:szCs w:val="15"/>
                <w:color w:val="auto"/>
              </w:rPr>
              <w:t>700,000</w:t>
            </w:r>
          </w:p>
        </w:tc>
        <w:tc>
          <w:tcPr>
            <w:tcW w:w="164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100%</w:t>
            </w:r>
          </w:p>
        </w:tc>
        <w:tc>
          <w:tcPr>
            <w:tcW w:w="2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8A8AC"/>
            </w:tcBorders>
          </w:tcPr>
          <w:p>
            <w:pPr>
              <w:jc w:val="right"/>
              <w:ind w:right="205"/>
              <w:spacing w:after="0" w:line="169" w:lineRule="exact"/>
              <w:rPr>
                <w:sz w:val="20"/>
                <w:szCs w:val="20"/>
                <w:color w:val="auto"/>
              </w:rPr>
            </w:pPr>
            <w:r>
              <w:rPr>
                <w:rFonts w:ascii="Arial" w:cs="Arial" w:eastAsia="Arial" w:hAnsi="Arial"/>
                <w:sz w:val="15"/>
                <w:szCs w:val="15"/>
                <w:color w:val="auto"/>
              </w:rPr>
              <w:t>700,000</w:t>
            </w:r>
          </w:p>
        </w:tc>
        <w:tc>
          <w:tcPr>
            <w:tcW w:w="22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8A8AC"/>
            </w:tcBorders>
          </w:tcPr>
          <w:p>
            <w:pPr>
              <w:jc w:val="right"/>
              <w:ind w:right="64"/>
              <w:spacing w:after="0" w:line="169" w:lineRule="exact"/>
              <w:rPr>
                <w:sz w:val="20"/>
                <w:szCs w:val="20"/>
                <w:color w:val="auto"/>
              </w:rPr>
            </w:pPr>
            <w:r>
              <w:rPr>
                <w:rFonts w:ascii="Arial" w:cs="Arial" w:eastAsia="Arial" w:hAnsi="Arial"/>
                <w:sz w:val="15"/>
                <w:szCs w:val="15"/>
                <w:color w:val="auto"/>
              </w:rPr>
              <w:t>1,127,000</w:t>
            </w:r>
          </w:p>
        </w:tc>
        <w:tc>
          <w:tcPr>
            <w:tcW w:w="136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169"/>
        </w:trPr>
        <w:tc>
          <w:tcPr>
            <w:tcW w:w="3320" w:type="dxa"/>
            <w:vAlign w:val="bottom"/>
            <w:tcBorders>
              <w:bottom w:val="single" w:sz="8" w:color="A26F2A"/>
            </w:tcBorders>
          </w:tcPr>
          <w:p>
            <w:pPr>
              <w:ind w:left="60"/>
              <w:spacing w:after="0" w:line="169" w:lineRule="exact"/>
              <w:rPr>
                <w:sz w:val="20"/>
                <w:szCs w:val="20"/>
                <w:color w:val="auto"/>
              </w:rPr>
            </w:pPr>
            <w:r>
              <w:rPr>
                <w:rFonts w:ascii="Arial" w:cs="Arial" w:eastAsia="Arial" w:hAnsi="Arial"/>
                <w:sz w:val="15"/>
                <w:szCs w:val="15"/>
                <w:b w:val="1"/>
                <w:bCs w:val="1"/>
                <w:color w:val="auto"/>
              </w:rPr>
              <w:t>Matt Zmigrosky</w:t>
            </w:r>
          </w:p>
        </w:tc>
        <w:tc>
          <w:tcPr>
            <w:tcW w:w="184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26F2A"/>
            </w:tcBorders>
          </w:tcPr>
          <w:p>
            <w:pPr>
              <w:jc w:val="right"/>
              <w:ind w:right="64"/>
              <w:spacing w:after="0" w:line="169" w:lineRule="exact"/>
              <w:rPr>
                <w:sz w:val="20"/>
                <w:szCs w:val="20"/>
                <w:color w:val="auto"/>
              </w:rPr>
            </w:pPr>
            <w:r>
              <w:rPr>
                <w:rFonts w:ascii="Arial" w:cs="Arial" w:eastAsia="Arial" w:hAnsi="Arial"/>
                <w:sz w:val="15"/>
                <w:szCs w:val="15"/>
                <w:color w:val="auto"/>
              </w:rPr>
              <w:t>700,000</w:t>
            </w:r>
          </w:p>
        </w:tc>
        <w:tc>
          <w:tcPr>
            <w:tcW w:w="1640" w:type="dxa"/>
            <w:vAlign w:val="bottom"/>
            <w:tcBorders>
              <w:bottom w:val="single" w:sz="8" w:color="A26F2A"/>
            </w:tcBorders>
          </w:tcPr>
          <w:p>
            <w:pPr>
              <w:jc w:val="right"/>
              <w:ind w:right="84"/>
              <w:spacing w:after="0" w:line="169" w:lineRule="exact"/>
              <w:rPr>
                <w:sz w:val="20"/>
                <w:szCs w:val="20"/>
                <w:color w:val="auto"/>
              </w:rPr>
            </w:pPr>
            <w:r>
              <w:rPr>
                <w:rFonts w:ascii="Arial" w:cs="Arial" w:eastAsia="Arial" w:hAnsi="Arial"/>
                <w:sz w:val="15"/>
                <w:szCs w:val="15"/>
                <w:color w:val="auto"/>
              </w:rPr>
              <w:t>90%</w:t>
            </w:r>
          </w:p>
        </w:tc>
        <w:tc>
          <w:tcPr>
            <w:tcW w:w="24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26F2A"/>
            </w:tcBorders>
          </w:tcPr>
          <w:p>
            <w:pPr>
              <w:jc w:val="right"/>
              <w:ind w:right="205"/>
              <w:spacing w:after="0" w:line="169" w:lineRule="exact"/>
              <w:rPr>
                <w:sz w:val="20"/>
                <w:szCs w:val="20"/>
                <w:color w:val="auto"/>
              </w:rPr>
            </w:pPr>
            <w:r>
              <w:rPr>
                <w:rFonts w:ascii="Arial" w:cs="Arial" w:eastAsia="Arial" w:hAnsi="Arial"/>
                <w:sz w:val="15"/>
                <w:szCs w:val="15"/>
                <w:color w:val="auto"/>
              </w:rPr>
              <w:t>630,000</w:t>
            </w:r>
          </w:p>
        </w:tc>
        <w:tc>
          <w:tcPr>
            <w:tcW w:w="22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26F2A"/>
            </w:tcBorders>
          </w:tcPr>
          <w:p>
            <w:pPr>
              <w:jc w:val="right"/>
              <w:ind w:right="64"/>
              <w:spacing w:after="0" w:line="169" w:lineRule="exact"/>
              <w:rPr>
                <w:sz w:val="20"/>
                <w:szCs w:val="20"/>
                <w:color w:val="auto"/>
              </w:rPr>
            </w:pPr>
            <w:r>
              <w:rPr>
                <w:rFonts w:ascii="Arial" w:cs="Arial" w:eastAsia="Arial" w:hAnsi="Arial"/>
                <w:sz w:val="15"/>
                <w:szCs w:val="15"/>
                <w:color w:val="auto"/>
              </w:rPr>
              <w:t>1,014,300</w:t>
            </w:r>
          </w:p>
        </w:tc>
        <w:tc>
          <w:tcPr>
            <w:tcW w:w="136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00" w:hanging="299"/>
        <w:spacing w:after="0"/>
        <w:tabs>
          <w:tab w:leader="none" w:pos="300" w:val="left"/>
        </w:tabs>
        <w:numPr>
          <w:ilvl w:val="0"/>
          <w:numId w:val="80"/>
        </w:numPr>
        <w:rPr>
          <w:rFonts w:ascii="Arial" w:cs="Arial" w:eastAsia="Arial" w:hAnsi="Arial"/>
          <w:sz w:val="13"/>
          <w:szCs w:val="13"/>
          <w:i w:val="1"/>
          <w:iCs w:val="1"/>
          <w:color w:val="auto"/>
        </w:rPr>
      </w:pPr>
      <w:r>
        <w:rPr>
          <w:rFonts w:ascii="Arial" w:cs="Arial" w:eastAsia="Arial" w:hAnsi="Arial"/>
          <w:sz w:val="13"/>
          <w:szCs w:val="13"/>
          <w:i w:val="1"/>
          <w:iCs w:val="1"/>
          <w:color w:val="auto"/>
        </w:rPr>
        <w:t>Base salary is as of December 31, 2025 for each NEO, other than Mr. Stice and Mr. Van’t Hof. For Mr. Stice and Mr. Van’t Hof a blended base salary is presented.</w:t>
      </w:r>
    </w:p>
    <w:p>
      <w:pPr>
        <w:spacing w:after="0" w:line="52" w:lineRule="exact"/>
        <w:rPr>
          <w:rFonts w:ascii="Arial" w:cs="Arial" w:eastAsia="Arial" w:hAnsi="Arial"/>
          <w:sz w:val="13"/>
          <w:szCs w:val="13"/>
          <w:i w:val="1"/>
          <w:iCs w:val="1"/>
          <w:color w:val="auto"/>
        </w:rPr>
      </w:pPr>
    </w:p>
    <w:p>
      <w:pPr>
        <w:jc w:val="both"/>
        <w:ind w:left="300" w:hanging="299"/>
        <w:spacing w:after="0" w:line="264" w:lineRule="auto"/>
        <w:tabs>
          <w:tab w:leader="none" w:pos="300" w:val="left"/>
        </w:tabs>
        <w:numPr>
          <w:ilvl w:val="0"/>
          <w:numId w:val="80"/>
        </w:numPr>
        <w:rPr>
          <w:rFonts w:ascii="Arial" w:cs="Arial" w:eastAsia="Arial" w:hAnsi="Arial"/>
          <w:sz w:val="13"/>
          <w:szCs w:val="13"/>
          <w:i w:val="1"/>
          <w:iCs w:val="1"/>
          <w:color w:val="auto"/>
        </w:rPr>
      </w:pPr>
      <w:r>
        <w:rPr>
          <w:rFonts w:ascii="Arial" w:cs="Arial" w:eastAsia="Arial" w:hAnsi="Arial"/>
          <w:sz w:val="13"/>
          <w:szCs w:val="13"/>
          <w:i w:val="1"/>
          <w:iCs w:val="1"/>
          <w:color w:val="auto"/>
        </w:rPr>
        <w:t>In accordance with the letter agreement with Mr. Stice regarding his transition to Executive Chairman, effective as of the Company’s 2025 annual stockholders meeting in May 2025, Mr. Stice’s short-term incentive award payout for 2025 is based on the blended base salary earned by Mr. Stice before and after the effective date of the letter agreement. Accordingly, Mr. Stice’s target bonus amount for 2025 was $1,692,900.</w:t>
      </w:r>
    </w:p>
    <w:p>
      <w:pPr>
        <w:spacing w:after="0" w:line="11" w:lineRule="exact"/>
        <w:rPr>
          <w:rFonts w:ascii="Arial" w:cs="Arial" w:eastAsia="Arial" w:hAnsi="Arial"/>
          <w:sz w:val="13"/>
          <w:szCs w:val="13"/>
          <w:i w:val="1"/>
          <w:iCs w:val="1"/>
          <w:color w:val="auto"/>
        </w:rPr>
      </w:pPr>
    </w:p>
    <w:p>
      <w:pPr>
        <w:ind w:left="300" w:hanging="299"/>
        <w:spacing w:after="0" w:line="285" w:lineRule="auto"/>
        <w:tabs>
          <w:tab w:leader="none" w:pos="300" w:val="left"/>
        </w:tabs>
        <w:numPr>
          <w:ilvl w:val="0"/>
          <w:numId w:val="80"/>
        </w:numPr>
        <w:rPr>
          <w:rFonts w:ascii="Arial" w:cs="Arial" w:eastAsia="Arial" w:hAnsi="Arial"/>
          <w:sz w:val="13"/>
          <w:szCs w:val="13"/>
          <w:i w:val="1"/>
          <w:iCs w:val="1"/>
          <w:color w:val="auto"/>
        </w:rPr>
      </w:pPr>
      <w:r>
        <w:rPr>
          <w:rFonts w:ascii="Arial" w:cs="Arial" w:eastAsia="Arial" w:hAnsi="Arial"/>
          <w:sz w:val="13"/>
          <w:szCs w:val="13"/>
          <w:i w:val="1"/>
          <w:iCs w:val="1"/>
          <w:color w:val="auto"/>
        </w:rPr>
        <w:t>As approved by the compensation committee in February 2025, Mr. Van’t Hof’s short-term incentive award payout for 2025 is based on the blended base salary earned by Mr. Van’t Hof before and after the effective date of his promotion to Chief Executive Officer in May 2025. Accordingly, Mr. Van’t Hof’s target bonus amount for 2025 was $1,664,250.</w:t>
      </w:r>
    </w:p>
    <w:p>
      <w:pPr>
        <w:spacing w:after="0" w:line="120"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Long-Term Equity Incentive Compensation</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believe providing our NEOs the opportunity to be awarded stock and stock-based awards offers the best approach to achieving our compensation goals and aligns the interests of our executive officers with those of our stockholders. To achieve this purpose, our board of directors adopted, and our stockholders approved, the 2021 Amended and Restated Equity Incentive Plan (Equity Incentive Plan). The purpose of the Equity Incentive Plan is to enable us, and our affiliates, to attract and retain the services of the types of executives, employees, consultants and directors who will contribute to our long-term success and to provide incentives that will be linked directly to increases in share value that will benefit our stockholders. The Equity Incentive Plan provides a means by which eligible recipients of awards may be given an opportunity to benefit from increases in value of our common stock through the granting of equity awards. The terms of awards granted in 2025 to our NEOs under the Equity Incentive Plan are described in more detail below.</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26F2A"/>
        </w:rPr>
        <w:t>MARCH 2025 AND MAY 2025 DIAMONDBACK PERFORMANCE-BASED AND TIME-BASED AWARDS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In March 2025, the compensation committee granted our NEOs three-year performance-based restricted stock units and time-based restricted stock units, in each case under the Equity Incentive Plan, in the amounts shown below. In 2025, the compensation committee established 2025 Target LTI awards based on a review of market data from its independent compensation consultant, Company and individual performance, and the prevailing industry environment. Consistent with the compensation committee’s focus on giving more weight to the performance component of our executive compensation, the 2025 performance-based equity award granted to each NEO represented 60% of the total 2025 LTI award, with the time-based component of such award representing 40% of the total 2025 LTI award. In May 2025, the compensation committee granted a supplemental award to Mr. Van’t Hof in connection with his promotion to Chief Executive Officer as detailed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2920" w:type="dxa"/>
            <w:vAlign w:val="bottom"/>
          </w:tcPr>
          <w:p>
            <w:pPr>
              <w:jc w:val="right"/>
              <w:ind w:right="265"/>
              <w:spacing w:after="0"/>
              <w:rPr>
                <w:sz w:val="20"/>
                <w:szCs w:val="20"/>
                <w:color w:val="auto"/>
              </w:rPr>
            </w:pPr>
            <w:r>
              <w:rPr>
                <w:rFonts w:ascii="Arial" w:cs="Arial" w:eastAsia="Arial" w:hAnsi="Arial"/>
                <w:sz w:val="15"/>
                <w:szCs w:val="15"/>
                <w:b w:val="1"/>
                <w:bCs w:val="1"/>
                <w:color w:val="auto"/>
              </w:rPr>
              <w:t>Performance-Based</w:t>
            </w:r>
          </w:p>
        </w:tc>
        <w:tc>
          <w:tcPr>
            <w:tcW w:w="1260" w:type="dxa"/>
            <w:vAlign w:val="bottom"/>
          </w:tcPr>
          <w:p>
            <w:pPr>
              <w:jc w:val="right"/>
              <w:ind w:right="144"/>
              <w:spacing w:after="0"/>
              <w:rPr>
                <w:sz w:val="20"/>
                <w:szCs w:val="20"/>
                <w:color w:val="auto"/>
              </w:rPr>
            </w:pPr>
            <w:r>
              <w:rPr>
                <w:rFonts w:ascii="Arial" w:cs="Arial" w:eastAsia="Arial" w:hAnsi="Arial"/>
                <w:sz w:val="15"/>
                <w:szCs w:val="15"/>
                <w:b w:val="1"/>
                <w:bCs w:val="1"/>
                <w:color w:val="auto"/>
              </w:rPr>
              <w:t>PSU</w:t>
            </w:r>
          </w:p>
        </w:tc>
        <w:tc>
          <w:tcPr>
            <w:tcW w:w="1540" w:type="dxa"/>
            <w:vAlign w:val="bottom"/>
          </w:tcPr>
          <w:p>
            <w:pPr>
              <w:jc w:val="right"/>
              <w:ind w:right="265"/>
              <w:spacing w:after="0"/>
              <w:rPr>
                <w:sz w:val="20"/>
                <w:szCs w:val="20"/>
                <w:color w:val="auto"/>
              </w:rPr>
            </w:pPr>
            <w:r>
              <w:rPr>
                <w:rFonts w:ascii="Arial" w:cs="Arial" w:eastAsia="Arial" w:hAnsi="Arial"/>
                <w:sz w:val="15"/>
                <w:szCs w:val="15"/>
                <w:b w:val="1"/>
                <w:bCs w:val="1"/>
                <w:color w:val="auto"/>
              </w:rPr>
              <w:t>Time-Based</w:t>
            </w:r>
          </w:p>
        </w:tc>
        <w:tc>
          <w:tcPr>
            <w:tcW w:w="1260" w:type="dxa"/>
            <w:vAlign w:val="bottom"/>
          </w:tcPr>
          <w:p>
            <w:pPr>
              <w:jc w:val="right"/>
              <w:ind w:right="144"/>
              <w:spacing w:after="0"/>
              <w:rPr>
                <w:sz w:val="20"/>
                <w:szCs w:val="20"/>
                <w:color w:val="auto"/>
              </w:rPr>
            </w:pPr>
            <w:r>
              <w:rPr>
                <w:rFonts w:ascii="Arial" w:cs="Arial" w:eastAsia="Arial" w:hAnsi="Arial"/>
                <w:sz w:val="15"/>
                <w:szCs w:val="15"/>
                <w:b w:val="1"/>
                <w:bCs w:val="1"/>
                <w:color w:val="auto"/>
              </w:rPr>
              <w:t>RSU</w:t>
            </w:r>
          </w:p>
        </w:tc>
        <w:tc>
          <w:tcPr>
            <w:tcW w:w="700" w:type="dxa"/>
            <w:vAlign w:val="bottom"/>
          </w:tcPr>
          <w:p>
            <w:pPr>
              <w:spacing w:after="0"/>
              <w:rPr>
                <w:sz w:val="16"/>
                <w:szCs w:val="16"/>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b w:val="1"/>
                <w:bCs w:val="1"/>
                <w:color w:val="auto"/>
              </w:rPr>
              <w:t>Targeted</w:t>
            </w:r>
          </w:p>
        </w:tc>
      </w:tr>
      <w:tr>
        <w:trPr>
          <w:trHeight w:val="176"/>
        </w:trPr>
        <w:tc>
          <w:tcPr>
            <w:tcW w:w="2700" w:type="dxa"/>
            <w:vAlign w:val="bottom"/>
          </w:tcPr>
          <w:p>
            <w:pPr>
              <w:spacing w:after="0"/>
              <w:rPr>
                <w:sz w:val="15"/>
                <w:szCs w:val="15"/>
                <w:color w:val="auto"/>
              </w:rPr>
            </w:pPr>
          </w:p>
        </w:tc>
        <w:tc>
          <w:tcPr>
            <w:tcW w:w="2920" w:type="dxa"/>
            <w:vAlign w:val="bottom"/>
          </w:tcPr>
          <w:p>
            <w:pPr>
              <w:jc w:val="right"/>
              <w:ind w:right="265"/>
              <w:spacing w:after="0"/>
              <w:rPr>
                <w:sz w:val="20"/>
                <w:szCs w:val="20"/>
                <w:color w:val="auto"/>
              </w:rPr>
            </w:pPr>
            <w:r>
              <w:rPr>
                <w:rFonts w:ascii="Arial" w:cs="Arial" w:eastAsia="Arial" w:hAnsi="Arial"/>
                <w:sz w:val="15"/>
                <w:szCs w:val="15"/>
                <w:b w:val="1"/>
                <w:bCs w:val="1"/>
                <w:color w:val="auto"/>
              </w:rPr>
              <w:t>Restricted</w:t>
            </w:r>
          </w:p>
        </w:tc>
        <w:tc>
          <w:tcPr>
            <w:tcW w:w="1260" w:type="dxa"/>
            <w:vAlign w:val="bottom"/>
          </w:tcPr>
          <w:p>
            <w:pPr>
              <w:jc w:val="right"/>
              <w:ind w:right="144"/>
              <w:spacing w:after="0"/>
              <w:rPr>
                <w:sz w:val="20"/>
                <w:szCs w:val="20"/>
                <w:color w:val="auto"/>
              </w:rPr>
            </w:pPr>
            <w:r>
              <w:rPr>
                <w:rFonts w:ascii="Arial" w:cs="Arial" w:eastAsia="Arial" w:hAnsi="Arial"/>
                <w:sz w:val="15"/>
                <w:szCs w:val="15"/>
                <w:b w:val="1"/>
                <w:bCs w:val="1"/>
                <w:color w:val="auto"/>
              </w:rPr>
              <w:t>% of Total</w:t>
            </w:r>
          </w:p>
        </w:tc>
        <w:tc>
          <w:tcPr>
            <w:tcW w:w="1540" w:type="dxa"/>
            <w:vAlign w:val="bottom"/>
          </w:tcPr>
          <w:p>
            <w:pPr>
              <w:jc w:val="right"/>
              <w:ind w:right="265"/>
              <w:spacing w:after="0"/>
              <w:rPr>
                <w:sz w:val="20"/>
                <w:szCs w:val="20"/>
                <w:color w:val="auto"/>
              </w:rPr>
            </w:pPr>
            <w:r>
              <w:rPr>
                <w:rFonts w:ascii="Arial" w:cs="Arial" w:eastAsia="Arial" w:hAnsi="Arial"/>
                <w:sz w:val="15"/>
                <w:szCs w:val="15"/>
                <w:b w:val="1"/>
                <w:bCs w:val="1"/>
                <w:color w:val="auto"/>
              </w:rPr>
              <w:t>Restricted</w:t>
            </w:r>
          </w:p>
        </w:tc>
        <w:tc>
          <w:tcPr>
            <w:tcW w:w="1260" w:type="dxa"/>
            <w:vAlign w:val="bottom"/>
          </w:tcPr>
          <w:p>
            <w:pPr>
              <w:jc w:val="right"/>
              <w:ind w:right="144"/>
              <w:spacing w:after="0"/>
              <w:rPr>
                <w:sz w:val="20"/>
                <w:szCs w:val="20"/>
                <w:color w:val="auto"/>
              </w:rPr>
            </w:pPr>
            <w:r>
              <w:rPr>
                <w:rFonts w:ascii="Arial" w:cs="Arial" w:eastAsia="Arial" w:hAnsi="Arial"/>
                <w:sz w:val="15"/>
                <w:szCs w:val="15"/>
                <w:b w:val="1"/>
                <w:bCs w:val="1"/>
                <w:color w:val="auto"/>
              </w:rPr>
              <w:t>% of Total</w:t>
            </w:r>
          </w:p>
        </w:tc>
        <w:tc>
          <w:tcPr>
            <w:tcW w:w="7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b w:val="1"/>
                <w:bCs w:val="1"/>
                <w:color w:val="auto"/>
              </w:rPr>
              <w:t>Value of</w:t>
            </w:r>
          </w:p>
        </w:tc>
      </w:tr>
      <w:tr>
        <w:trPr>
          <w:trHeight w:val="220"/>
        </w:trPr>
        <w:tc>
          <w:tcPr>
            <w:tcW w:w="2700" w:type="dxa"/>
            <w:vAlign w:val="bottom"/>
            <w:tcBorders>
              <w:bottom w:val="single" w:sz="8" w:color="A26F2A"/>
            </w:tcBorders>
          </w:tcPr>
          <w:p>
            <w:pPr>
              <w:spacing w:after="0"/>
              <w:rPr>
                <w:sz w:val="19"/>
                <w:szCs w:val="19"/>
                <w:color w:val="auto"/>
              </w:rPr>
            </w:pPr>
          </w:p>
        </w:tc>
        <w:tc>
          <w:tcPr>
            <w:tcW w:w="2920" w:type="dxa"/>
            <w:vAlign w:val="bottom"/>
            <w:tcBorders>
              <w:bottom w:val="single" w:sz="8" w:color="A26F2A"/>
            </w:tcBorders>
          </w:tcPr>
          <w:p>
            <w:pPr>
              <w:jc w:val="right"/>
              <w:ind w:right="265"/>
              <w:spacing w:after="0" w:line="216" w:lineRule="exact"/>
              <w:rPr>
                <w:sz w:val="20"/>
                <w:szCs w:val="20"/>
                <w:color w:val="auto"/>
              </w:rPr>
            </w:pPr>
            <w:r>
              <w:rPr>
                <w:rFonts w:ascii="Arial" w:cs="Arial" w:eastAsia="Arial" w:hAnsi="Arial"/>
                <w:sz w:val="15"/>
                <w:szCs w:val="15"/>
                <w:b w:val="1"/>
                <w:bCs w:val="1"/>
                <w:color w:val="auto"/>
              </w:rPr>
              <w:t>Stock Units</w:t>
            </w:r>
            <w:r>
              <w:rPr>
                <w:rFonts w:ascii="Arial" w:cs="Arial" w:eastAsia="Arial" w:hAnsi="Arial"/>
                <w:sz w:val="24"/>
                <w:szCs w:val="24"/>
                <w:b w:val="1"/>
                <w:bCs w:val="1"/>
                <w:color w:val="auto"/>
                <w:vertAlign w:val="superscript"/>
              </w:rPr>
              <w:t>(1)</w:t>
            </w:r>
          </w:p>
        </w:tc>
        <w:tc>
          <w:tcPr>
            <w:tcW w:w="1260" w:type="dxa"/>
            <w:vAlign w:val="bottom"/>
            <w:tcBorders>
              <w:bottom w:val="single" w:sz="8" w:color="A26F2A"/>
            </w:tcBorders>
          </w:tcPr>
          <w:p>
            <w:pPr>
              <w:jc w:val="right"/>
              <w:ind w:right="144"/>
              <w:spacing w:after="0"/>
              <w:rPr>
                <w:sz w:val="20"/>
                <w:szCs w:val="20"/>
                <w:color w:val="auto"/>
              </w:rPr>
            </w:pPr>
            <w:r>
              <w:rPr>
                <w:rFonts w:ascii="Arial" w:cs="Arial" w:eastAsia="Arial" w:hAnsi="Arial"/>
                <w:sz w:val="15"/>
                <w:szCs w:val="15"/>
                <w:b w:val="1"/>
                <w:bCs w:val="1"/>
                <w:color w:val="auto"/>
              </w:rPr>
              <w:t>LTI Award</w:t>
            </w:r>
          </w:p>
        </w:tc>
        <w:tc>
          <w:tcPr>
            <w:tcW w:w="1540" w:type="dxa"/>
            <w:vAlign w:val="bottom"/>
            <w:tcBorders>
              <w:bottom w:val="single" w:sz="8" w:color="A26F2A"/>
            </w:tcBorders>
          </w:tcPr>
          <w:p>
            <w:pPr>
              <w:jc w:val="right"/>
              <w:ind w:right="265"/>
              <w:spacing w:after="0" w:line="216" w:lineRule="exact"/>
              <w:rPr>
                <w:sz w:val="20"/>
                <w:szCs w:val="20"/>
                <w:color w:val="auto"/>
              </w:rPr>
            </w:pPr>
            <w:r>
              <w:rPr>
                <w:rFonts w:ascii="Arial" w:cs="Arial" w:eastAsia="Arial" w:hAnsi="Arial"/>
                <w:sz w:val="15"/>
                <w:szCs w:val="15"/>
                <w:b w:val="1"/>
                <w:bCs w:val="1"/>
                <w:color w:val="auto"/>
              </w:rPr>
              <w:t>Stock Units</w:t>
            </w:r>
            <w:r>
              <w:rPr>
                <w:rFonts w:ascii="Arial" w:cs="Arial" w:eastAsia="Arial" w:hAnsi="Arial"/>
                <w:sz w:val="24"/>
                <w:szCs w:val="24"/>
                <w:b w:val="1"/>
                <w:bCs w:val="1"/>
                <w:color w:val="auto"/>
                <w:vertAlign w:val="superscript"/>
              </w:rPr>
              <w:t>(2)</w:t>
            </w:r>
          </w:p>
        </w:tc>
        <w:tc>
          <w:tcPr>
            <w:tcW w:w="1260" w:type="dxa"/>
            <w:vAlign w:val="bottom"/>
            <w:tcBorders>
              <w:bottom w:val="single" w:sz="8" w:color="A26F2A"/>
            </w:tcBorders>
          </w:tcPr>
          <w:p>
            <w:pPr>
              <w:jc w:val="right"/>
              <w:ind w:right="144"/>
              <w:spacing w:after="0"/>
              <w:rPr>
                <w:sz w:val="20"/>
                <w:szCs w:val="20"/>
                <w:color w:val="auto"/>
              </w:rPr>
            </w:pPr>
            <w:r>
              <w:rPr>
                <w:rFonts w:ascii="Arial" w:cs="Arial" w:eastAsia="Arial" w:hAnsi="Arial"/>
                <w:sz w:val="15"/>
                <w:szCs w:val="15"/>
                <w:b w:val="1"/>
                <w:bCs w:val="1"/>
                <w:color w:val="auto"/>
              </w:rPr>
              <w:t>LTI Award</w:t>
            </w:r>
          </w:p>
        </w:tc>
        <w:tc>
          <w:tcPr>
            <w:tcW w:w="1560" w:type="dxa"/>
            <w:vAlign w:val="bottom"/>
            <w:tcBorders>
              <w:bottom w:val="single" w:sz="8" w:color="A26F2A"/>
            </w:tcBorders>
            <w:gridSpan w:val="2"/>
          </w:tcPr>
          <w:p>
            <w:pPr>
              <w:jc w:val="right"/>
              <w:ind w:right="24"/>
              <w:spacing w:after="0" w:line="216" w:lineRule="exact"/>
              <w:rPr>
                <w:sz w:val="20"/>
                <w:szCs w:val="20"/>
                <w:color w:val="auto"/>
              </w:rPr>
            </w:pPr>
            <w:r>
              <w:rPr>
                <w:rFonts w:ascii="Arial" w:cs="Arial" w:eastAsia="Arial" w:hAnsi="Arial"/>
                <w:sz w:val="15"/>
                <w:szCs w:val="15"/>
                <w:b w:val="1"/>
                <w:bCs w:val="1"/>
                <w:color w:val="auto"/>
              </w:rPr>
              <w:t>Total LTI Award</w:t>
            </w:r>
            <w:r>
              <w:rPr>
                <w:rFonts w:ascii="Arial" w:cs="Arial" w:eastAsia="Arial" w:hAnsi="Arial"/>
                <w:sz w:val="24"/>
                <w:szCs w:val="24"/>
                <w:b w:val="1"/>
                <w:bCs w:val="1"/>
                <w:color w:val="auto"/>
                <w:vertAlign w:val="superscript"/>
              </w:rPr>
              <w:t>(3)</w:t>
            </w:r>
          </w:p>
        </w:tc>
      </w:tr>
      <w:tr>
        <w:trPr>
          <w:trHeight w:val="177"/>
        </w:trPr>
        <w:tc>
          <w:tcPr>
            <w:tcW w:w="2700" w:type="dxa"/>
            <w:vAlign w:val="bottom"/>
            <w:tcBorders>
              <w:bottom w:val="single" w:sz="8" w:color="A8A8AC"/>
            </w:tcBorders>
          </w:tcPr>
          <w:p>
            <w:pPr>
              <w:ind w:left="60"/>
              <w:spacing w:after="0"/>
              <w:rPr>
                <w:sz w:val="20"/>
                <w:szCs w:val="20"/>
                <w:color w:val="auto"/>
              </w:rPr>
            </w:pPr>
            <w:r>
              <w:rPr>
                <w:rFonts w:ascii="Arial" w:cs="Arial" w:eastAsia="Arial" w:hAnsi="Arial"/>
                <w:sz w:val="15"/>
                <w:szCs w:val="15"/>
                <w:b w:val="1"/>
                <w:bCs w:val="1"/>
                <w:color w:val="auto"/>
              </w:rPr>
              <w:t>Travis D. Stice</w:t>
            </w:r>
          </w:p>
        </w:tc>
        <w:tc>
          <w:tcPr>
            <w:tcW w:w="2920" w:type="dxa"/>
            <w:vAlign w:val="bottom"/>
            <w:tcBorders>
              <w:bottom w:val="single" w:sz="8" w:color="A8A8AC"/>
            </w:tcBorders>
          </w:tcPr>
          <w:p>
            <w:pPr>
              <w:jc w:val="right"/>
              <w:ind w:right="265"/>
              <w:spacing w:after="0"/>
              <w:rPr>
                <w:sz w:val="20"/>
                <w:szCs w:val="20"/>
                <w:color w:val="auto"/>
              </w:rPr>
            </w:pPr>
            <w:r>
              <w:rPr>
                <w:rFonts w:ascii="Arial" w:cs="Arial" w:eastAsia="Arial" w:hAnsi="Arial"/>
                <w:sz w:val="15"/>
                <w:szCs w:val="15"/>
                <w:color w:val="auto"/>
              </w:rPr>
              <w:t>50,564</w:t>
            </w:r>
          </w:p>
        </w:tc>
        <w:tc>
          <w:tcPr>
            <w:tcW w:w="1260" w:type="dxa"/>
            <w:vAlign w:val="bottom"/>
            <w:tcBorders>
              <w:bottom w:val="single" w:sz="8" w:color="A8A8AC"/>
            </w:tcBorders>
          </w:tcPr>
          <w:p>
            <w:pPr>
              <w:jc w:val="right"/>
              <w:ind w:right="144"/>
              <w:spacing w:after="0"/>
              <w:rPr>
                <w:sz w:val="20"/>
                <w:szCs w:val="20"/>
                <w:color w:val="auto"/>
              </w:rPr>
            </w:pPr>
            <w:r>
              <w:rPr>
                <w:rFonts w:ascii="Arial" w:cs="Arial" w:eastAsia="Arial" w:hAnsi="Arial"/>
                <w:sz w:val="15"/>
                <w:szCs w:val="15"/>
                <w:color w:val="auto"/>
              </w:rPr>
              <w:t>60%</w:t>
            </w:r>
          </w:p>
        </w:tc>
        <w:tc>
          <w:tcPr>
            <w:tcW w:w="1540" w:type="dxa"/>
            <w:vAlign w:val="bottom"/>
            <w:tcBorders>
              <w:bottom w:val="single" w:sz="8" w:color="A8A8AC"/>
            </w:tcBorders>
          </w:tcPr>
          <w:p>
            <w:pPr>
              <w:jc w:val="right"/>
              <w:ind w:right="265"/>
              <w:spacing w:after="0"/>
              <w:rPr>
                <w:sz w:val="20"/>
                <w:szCs w:val="20"/>
                <w:color w:val="auto"/>
              </w:rPr>
            </w:pPr>
            <w:r>
              <w:rPr>
                <w:rFonts w:ascii="Arial" w:cs="Arial" w:eastAsia="Arial" w:hAnsi="Arial"/>
                <w:sz w:val="15"/>
                <w:szCs w:val="15"/>
                <w:color w:val="auto"/>
              </w:rPr>
              <w:t>33,709</w:t>
            </w:r>
          </w:p>
        </w:tc>
        <w:tc>
          <w:tcPr>
            <w:tcW w:w="1260" w:type="dxa"/>
            <w:vAlign w:val="bottom"/>
            <w:tcBorders>
              <w:bottom w:val="single" w:sz="8" w:color="A8A8AC"/>
            </w:tcBorders>
          </w:tcPr>
          <w:p>
            <w:pPr>
              <w:jc w:val="right"/>
              <w:ind w:right="144"/>
              <w:spacing w:after="0"/>
              <w:rPr>
                <w:sz w:val="20"/>
                <w:szCs w:val="20"/>
                <w:color w:val="auto"/>
              </w:rPr>
            </w:pPr>
            <w:r>
              <w:rPr>
                <w:rFonts w:ascii="Arial" w:cs="Arial" w:eastAsia="Arial" w:hAnsi="Arial"/>
                <w:sz w:val="15"/>
                <w:szCs w:val="15"/>
                <w:color w:val="auto"/>
              </w:rPr>
              <w:t>40%</w:t>
            </w:r>
          </w:p>
        </w:tc>
        <w:tc>
          <w:tcPr>
            <w:tcW w:w="70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8A8AC"/>
            </w:tcBorders>
          </w:tcPr>
          <w:p>
            <w:pPr>
              <w:jc w:val="right"/>
              <w:ind w:right="24"/>
              <w:spacing w:after="0"/>
              <w:rPr>
                <w:sz w:val="20"/>
                <w:szCs w:val="20"/>
                <w:color w:val="auto"/>
              </w:rPr>
            </w:pPr>
            <w:r>
              <w:rPr>
                <w:rFonts w:ascii="Arial" w:cs="Arial" w:eastAsia="Arial" w:hAnsi="Arial"/>
                <w:sz w:val="15"/>
                <w:szCs w:val="15"/>
                <w:color w:val="auto"/>
                <w:w w:val="98"/>
              </w:rPr>
              <w:t>13,000,000</w:t>
            </w:r>
          </w:p>
        </w:tc>
      </w:tr>
      <w:tr>
        <w:trPr>
          <w:trHeight w:val="207"/>
        </w:trPr>
        <w:tc>
          <w:tcPr>
            <w:tcW w:w="2700" w:type="dxa"/>
            <w:vAlign w:val="bottom"/>
            <w:tcBorders>
              <w:bottom w:val="single" w:sz="8" w:color="A8A8AC"/>
            </w:tcBorders>
          </w:tcPr>
          <w:p>
            <w:pPr>
              <w:ind w:left="60"/>
              <w:spacing w:after="0" w:line="207" w:lineRule="exact"/>
              <w:rPr>
                <w:sz w:val="20"/>
                <w:szCs w:val="20"/>
                <w:color w:val="auto"/>
              </w:rPr>
            </w:pPr>
            <w:r>
              <w:rPr>
                <w:rFonts w:ascii="Arial" w:cs="Arial" w:eastAsia="Arial" w:hAnsi="Arial"/>
                <w:sz w:val="15"/>
                <w:szCs w:val="15"/>
                <w:b w:val="1"/>
                <w:bCs w:val="1"/>
                <w:color w:val="auto"/>
              </w:rPr>
              <w:t>Kaes Van’t Hof</w:t>
            </w:r>
            <w:r>
              <w:rPr>
                <w:rFonts w:ascii="Arial" w:cs="Arial" w:eastAsia="Arial" w:hAnsi="Arial"/>
                <w:sz w:val="24"/>
                <w:szCs w:val="24"/>
                <w:b w:val="1"/>
                <w:bCs w:val="1"/>
                <w:color w:val="auto"/>
                <w:vertAlign w:val="superscript"/>
              </w:rPr>
              <w:t>(4)</w:t>
            </w:r>
          </w:p>
        </w:tc>
        <w:tc>
          <w:tcPr>
            <w:tcW w:w="2920" w:type="dxa"/>
            <w:vAlign w:val="bottom"/>
            <w:tcBorders>
              <w:bottom w:val="single" w:sz="8" w:color="A8A8AC"/>
            </w:tcBorders>
          </w:tcPr>
          <w:p>
            <w:pPr>
              <w:jc w:val="right"/>
              <w:ind w:right="265"/>
              <w:spacing w:after="0"/>
              <w:rPr>
                <w:sz w:val="20"/>
                <w:szCs w:val="20"/>
                <w:color w:val="auto"/>
              </w:rPr>
            </w:pPr>
            <w:r>
              <w:rPr>
                <w:rFonts w:ascii="Arial" w:cs="Arial" w:eastAsia="Arial" w:hAnsi="Arial"/>
                <w:sz w:val="15"/>
                <w:szCs w:val="15"/>
                <w:color w:val="auto"/>
              </w:rPr>
              <w:t>31,412</w:t>
            </w:r>
          </w:p>
        </w:tc>
        <w:tc>
          <w:tcPr>
            <w:tcW w:w="1260" w:type="dxa"/>
            <w:vAlign w:val="bottom"/>
            <w:tcBorders>
              <w:bottom w:val="single" w:sz="8" w:color="A8A8AC"/>
            </w:tcBorders>
          </w:tcPr>
          <w:p>
            <w:pPr>
              <w:jc w:val="right"/>
              <w:ind w:right="144"/>
              <w:spacing w:after="0"/>
              <w:rPr>
                <w:sz w:val="20"/>
                <w:szCs w:val="20"/>
                <w:color w:val="auto"/>
              </w:rPr>
            </w:pPr>
            <w:r>
              <w:rPr>
                <w:rFonts w:ascii="Arial" w:cs="Arial" w:eastAsia="Arial" w:hAnsi="Arial"/>
                <w:sz w:val="15"/>
                <w:szCs w:val="15"/>
                <w:color w:val="auto"/>
              </w:rPr>
              <w:t>60%</w:t>
            </w:r>
          </w:p>
        </w:tc>
        <w:tc>
          <w:tcPr>
            <w:tcW w:w="1540" w:type="dxa"/>
            <w:vAlign w:val="bottom"/>
            <w:tcBorders>
              <w:bottom w:val="single" w:sz="8" w:color="A8A8AC"/>
            </w:tcBorders>
          </w:tcPr>
          <w:p>
            <w:pPr>
              <w:jc w:val="right"/>
              <w:ind w:right="265"/>
              <w:spacing w:after="0"/>
              <w:rPr>
                <w:sz w:val="20"/>
                <w:szCs w:val="20"/>
                <w:color w:val="auto"/>
              </w:rPr>
            </w:pPr>
            <w:r>
              <w:rPr>
                <w:rFonts w:ascii="Arial" w:cs="Arial" w:eastAsia="Arial" w:hAnsi="Arial"/>
                <w:sz w:val="15"/>
                <w:szCs w:val="15"/>
                <w:color w:val="auto"/>
              </w:rPr>
              <w:t>20,941</w:t>
            </w:r>
          </w:p>
        </w:tc>
        <w:tc>
          <w:tcPr>
            <w:tcW w:w="1260" w:type="dxa"/>
            <w:vAlign w:val="bottom"/>
            <w:tcBorders>
              <w:bottom w:val="single" w:sz="8" w:color="A8A8AC"/>
            </w:tcBorders>
          </w:tcPr>
          <w:p>
            <w:pPr>
              <w:jc w:val="right"/>
              <w:ind w:right="144"/>
              <w:spacing w:after="0"/>
              <w:rPr>
                <w:sz w:val="20"/>
                <w:szCs w:val="20"/>
                <w:color w:val="auto"/>
              </w:rPr>
            </w:pPr>
            <w:r>
              <w:rPr>
                <w:rFonts w:ascii="Arial" w:cs="Arial" w:eastAsia="Arial" w:hAnsi="Arial"/>
                <w:sz w:val="15"/>
                <w:szCs w:val="15"/>
                <w:color w:val="auto"/>
              </w:rPr>
              <w:t>40%</w:t>
            </w:r>
          </w:p>
        </w:tc>
        <w:tc>
          <w:tcPr>
            <w:tcW w:w="70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8A8AC"/>
            </w:tcBorders>
          </w:tcPr>
          <w:p>
            <w:pPr>
              <w:jc w:val="right"/>
              <w:ind w:right="24"/>
              <w:spacing w:after="0"/>
              <w:rPr>
                <w:sz w:val="20"/>
                <w:szCs w:val="20"/>
                <w:color w:val="auto"/>
              </w:rPr>
            </w:pPr>
            <w:r>
              <w:rPr>
                <w:rFonts w:ascii="Arial" w:cs="Arial" w:eastAsia="Arial" w:hAnsi="Arial"/>
                <w:sz w:val="15"/>
                <w:szCs w:val="15"/>
                <w:color w:val="auto"/>
              </w:rPr>
              <w:t>7,750,000</w:t>
            </w:r>
          </w:p>
        </w:tc>
      </w:tr>
      <w:tr>
        <w:trPr>
          <w:trHeight w:val="169"/>
        </w:trPr>
        <w:tc>
          <w:tcPr>
            <w:tcW w:w="270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Jere W. Thompson III</w:t>
            </w:r>
          </w:p>
        </w:tc>
        <w:tc>
          <w:tcPr>
            <w:tcW w:w="2920" w:type="dxa"/>
            <w:vAlign w:val="bottom"/>
            <w:tcBorders>
              <w:bottom w:val="single" w:sz="8" w:color="A8A8AC"/>
            </w:tcBorders>
          </w:tcPr>
          <w:p>
            <w:pPr>
              <w:jc w:val="right"/>
              <w:ind w:right="265"/>
              <w:spacing w:after="0" w:line="169" w:lineRule="exact"/>
              <w:rPr>
                <w:sz w:val="20"/>
                <w:szCs w:val="20"/>
                <w:color w:val="auto"/>
              </w:rPr>
            </w:pPr>
            <w:r>
              <w:rPr>
                <w:rFonts w:ascii="Arial" w:cs="Arial" w:eastAsia="Arial" w:hAnsi="Arial"/>
                <w:sz w:val="15"/>
                <w:szCs w:val="15"/>
                <w:color w:val="auto"/>
              </w:rPr>
              <w:t>8,168</w:t>
            </w:r>
          </w:p>
        </w:tc>
        <w:tc>
          <w:tcPr>
            <w:tcW w:w="1260" w:type="dxa"/>
            <w:vAlign w:val="bottom"/>
            <w:tcBorders>
              <w:bottom w:val="single" w:sz="8" w:color="A8A8AC"/>
            </w:tcBorders>
          </w:tcPr>
          <w:p>
            <w:pPr>
              <w:jc w:val="right"/>
              <w:ind w:right="144"/>
              <w:spacing w:after="0" w:line="169" w:lineRule="exact"/>
              <w:rPr>
                <w:sz w:val="20"/>
                <w:szCs w:val="20"/>
                <w:color w:val="auto"/>
              </w:rPr>
            </w:pPr>
            <w:r>
              <w:rPr>
                <w:rFonts w:ascii="Arial" w:cs="Arial" w:eastAsia="Arial" w:hAnsi="Arial"/>
                <w:sz w:val="15"/>
                <w:szCs w:val="15"/>
                <w:color w:val="auto"/>
              </w:rPr>
              <w:t>60%</w:t>
            </w:r>
          </w:p>
        </w:tc>
        <w:tc>
          <w:tcPr>
            <w:tcW w:w="1540" w:type="dxa"/>
            <w:vAlign w:val="bottom"/>
            <w:tcBorders>
              <w:bottom w:val="single" w:sz="8" w:color="A8A8AC"/>
            </w:tcBorders>
          </w:tcPr>
          <w:p>
            <w:pPr>
              <w:jc w:val="right"/>
              <w:ind w:right="265"/>
              <w:spacing w:after="0" w:line="169" w:lineRule="exact"/>
              <w:rPr>
                <w:sz w:val="20"/>
                <w:szCs w:val="20"/>
                <w:color w:val="auto"/>
              </w:rPr>
            </w:pPr>
            <w:r>
              <w:rPr>
                <w:rFonts w:ascii="Arial" w:cs="Arial" w:eastAsia="Arial" w:hAnsi="Arial"/>
                <w:sz w:val="15"/>
                <w:szCs w:val="15"/>
                <w:color w:val="auto"/>
              </w:rPr>
              <w:t>5,445</w:t>
            </w:r>
          </w:p>
        </w:tc>
        <w:tc>
          <w:tcPr>
            <w:tcW w:w="1260" w:type="dxa"/>
            <w:vAlign w:val="bottom"/>
            <w:tcBorders>
              <w:bottom w:val="single" w:sz="8" w:color="A8A8AC"/>
            </w:tcBorders>
          </w:tcPr>
          <w:p>
            <w:pPr>
              <w:jc w:val="right"/>
              <w:ind w:right="144"/>
              <w:spacing w:after="0" w:line="169" w:lineRule="exact"/>
              <w:rPr>
                <w:sz w:val="20"/>
                <w:szCs w:val="20"/>
                <w:color w:val="auto"/>
              </w:rPr>
            </w:pPr>
            <w:r>
              <w:rPr>
                <w:rFonts w:ascii="Arial" w:cs="Arial" w:eastAsia="Arial" w:hAnsi="Arial"/>
                <w:sz w:val="15"/>
                <w:szCs w:val="15"/>
                <w:color w:val="auto"/>
              </w:rPr>
              <w:t>40%</w:t>
            </w:r>
          </w:p>
        </w:tc>
        <w:tc>
          <w:tcPr>
            <w:tcW w:w="70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8A8AC"/>
            </w:tcBorders>
          </w:tcPr>
          <w:p>
            <w:pPr>
              <w:jc w:val="right"/>
              <w:ind w:right="24"/>
              <w:spacing w:after="0" w:line="169" w:lineRule="exact"/>
              <w:rPr>
                <w:sz w:val="20"/>
                <w:szCs w:val="20"/>
                <w:color w:val="auto"/>
              </w:rPr>
            </w:pPr>
            <w:r>
              <w:rPr>
                <w:rFonts w:ascii="Arial" w:cs="Arial" w:eastAsia="Arial" w:hAnsi="Arial"/>
                <w:sz w:val="15"/>
                <w:szCs w:val="15"/>
                <w:color w:val="auto"/>
              </w:rPr>
              <w:t>2,100,000</w:t>
            </w:r>
          </w:p>
        </w:tc>
      </w:tr>
      <w:tr>
        <w:trPr>
          <w:trHeight w:val="169"/>
        </w:trPr>
        <w:tc>
          <w:tcPr>
            <w:tcW w:w="270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Teresa L. Dick</w:t>
            </w:r>
          </w:p>
        </w:tc>
        <w:tc>
          <w:tcPr>
            <w:tcW w:w="2920" w:type="dxa"/>
            <w:vAlign w:val="bottom"/>
            <w:tcBorders>
              <w:bottom w:val="single" w:sz="8" w:color="A8A8AC"/>
            </w:tcBorders>
          </w:tcPr>
          <w:p>
            <w:pPr>
              <w:jc w:val="right"/>
              <w:ind w:right="265"/>
              <w:spacing w:after="0" w:line="169" w:lineRule="exact"/>
              <w:rPr>
                <w:sz w:val="20"/>
                <w:szCs w:val="20"/>
                <w:color w:val="auto"/>
              </w:rPr>
            </w:pPr>
            <w:r>
              <w:rPr>
                <w:rFonts w:ascii="Arial" w:cs="Arial" w:eastAsia="Arial" w:hAnsi="Arial"/>
                <w:sz w:val="15"/>
                <w:szCs w:val="15"/>
                <w:color w:val="auto"/>
              </w:rPr>
              <w:t>8,363</w:t>
            </w:r>
          </w:p>
        </w:tc>
        <w:tc>
          <w:tcPr>
            <w:tcW w:w="1260" w:type="dxa"/>
            <w:vAlign w:val="bottom"/>
            <w:tcBorders>
              <w:bottom w:val="single" w:sz="8" w:color="A8A8AC"/>
            </w:tcBorders>
          </w:tcPr>
          <w:p>
            <w:pPr>
              <w:jc w:val="right"/>
              <w:ind w:right="144"/>
              <w:spacing w:after="0" w:line="169" w:lineRule="exact"/>
              <w:rPr>
                <w:sz w:val="20"/>
                <w:szCs w:val="20"/>
                <w:color w:val="auto"/>
              </w:rPr>
            </w:pPr>
            <w:r>
              <w:rPr>
                <w:rFonts w:ascii="Arial" w:cs="Arial" w:eastAsia="Arial" w:hAnsi="Arial"/>
                <w:sz w:val="15"/>
                <w:szCs w:val="15"/>
                <w:color w:val="auto"/>
              </w:rPr>
              <w:t>60%</w:t>
            </w:r>
          </w:p>
        </w:tc>
        <w:tc>
          <w:tcPr>
            <w:tcW w:w="1540" w:type="dxa"/>
            <w:vAlign w:val="bottom"/>
            <w:tcBorders>
              <w:bottom w:val="single" w:sz="8" w:color="A8A8AC"/>
            </w:tcBorders>
          </w:tcPr>
          <w:p>
            <w:pPr>
              <w:jc w:val="right"/>
              <w:ind w:right="265"/>
              <w:spacing w:after="0" w:line="169" w:lineRule="exact"/>
              <w:rPr>
                <w:sz w:val="20"/>
                <w:szCs w:val="20"/>
                <w:color w:val="auto"/>
              </w:rPr>
            </w:pPr>
            <w:r>
              <w:rPr>
                <w:rFonts w:ascii="Arial" w:cs="Arial" w:eastAsia="Arial" w:hAnsi="Arial"/>
                <w:sz w:val="15"/>
                <w:szCs w:val="15"/>
                <w:color w:val="auto"/>
              </w:rPr>
              <w:t>5,575</w:t>
            </w:r>
          </w:p>
        </w:tc>
        <w:tc>
          <w:tcPr>
            <w:tcW w:w="1260" w:type="dxa"/>
            <w:vAlign w:val="bottom"/>
            <w:tcBorders>
              <w:bottom w:val="single" w:sz="8" w:color="A8A8AC"/>
            </w:tcBorders>
          </w:tcPr>
          <w:p>
            <w:pPr>
              <w:jc w:val="right"/>
              <w:ind w:right="144"/>
              <w:spacing w:after="0" w:line="169" w:lineRule="exact"/>
              <w:rPr>
                <w:sz w:val="20"/>
                <w:szCs w:val="20"/>
                <w:color w:val="auto"/>
              </w:rPr>
            </w:pPr>
            <w:r>
              <w:rPr>
                <w:rFonts w:ascii="Arial" w:cs="Arial" w:eastAsia="Arial" w:hAnsi="Arial"/>
                <w:sz w:val="15"/>
                <w:szCs w:val="15"/>
                <w:color w:val="auto"/>
              </w:rPr>
              <w:t>40%</w:t>
            </w:r>
          </w:p>
        </w:tc>
        <w:tc>
          <w:tcPr>
            <w:tcW w:w="70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8A8AC"/>
            </w:tcBorders>
          </w:tcPr>
          <w:p>
            <w:pPr>
              <w:jc w:val="right"/>
              <w:ind w:right="24"/>
              <w:spacing w:after="0" w:line="169" w:lineRule="exact"/>
              <w:rPr>
                <w:sz w:val="20"/>
                <w:szCs w:val="20"/>
                <w:color w:val="auto"/>
              </w:rPr>
            </w:pPr>
            <w:r>
              <w:rPr>
                <w:rFonts w:ascii="Arial" w:cs="Arial" w:eastAsia="Arial" w:hAnsi="Arial"/>
                <w:sz w:val="15"/>
                <w:szCs w:val="15"/>
                <w:color w:val="auto"/>
              </w:rPr>
              <w:t>2,150,000</w:t>
            </w:r>
          </w:p>
        </w:tc>
      </w:tr>
      <w:tr>
        <w:trPr>
          <w:trHeight w:val="169"/>
        </w:trPr>
        <w:tc>
          <w:tcPr>
            <w:tcW w:w="270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Daniel N. Wesson</w:t>
            </w:r>
          </w:p>
        </w:tc>
        <w:tc>
          <w:tcPr>
            <w:tcW w:w="2920" w:type="dxa"/>
            <w:vAlign w:val="bottom"/>
            <w:tcBorders>
              <w:bottom w:val="single" w:sz="8" w:color="A8A8AC"/>
            </w:tcBorders>
          </w:tcPr>
          <w:p>
            <w:pPr>
              <w:jc w:val="right"/>
              <w:ind w:right="265"/>
              <w:spacing w:after="0" w:line="169" w:lineRule="exact"/>
              <w:rPr>
                <w:sz w:val="20"/>
                <w:szCs w:val="20"/>
                <w:color w:val="auto"/>
              </w:rPr>
            </w:pPr>
            <w:r>
              <w:rPr>
                <w:rFonts w:ascii="Arial" w:cs="Arial" w:eastAsia="Arial" w:hAnsi="Arial"/>
                <w:sz w:val="15"/>
                <w:szCs w:val="15"/>
                <w:color w:val="auto"/>
              </w:rPr>
              <w:t>15,948</w:t>
            </w:r>
          </w:p>
        </w:tc>
        <w:tc>
          <w:tcPr>
            <w:tcW w:w="1260" w:type="dxa"/>
            <w:vAlign w:val="bottom"/>
            <w:tcBorders>
              <w:bottom w:val="single" w:sz="8" w:color="A8A8AC"/>
            </w:tcBorders>
          </w:tcPr>
          <w:p>
            <w:pPr>
              <w:jc w:val="right"/>
              <w:ind w:right="144"/>
              <w:spacing w:after="0" w:line="169" w:lineRule="exact"/>
              <w:rPr>
                <w:sz w:val="20"/>
                <w:szCs w:val="20"/>
                <w:color w:val="auto"/>
              </w:rPr>
            </w:pPr>
            <w:r>
              <w:rPr>
                <w:rFonts w:ascii="Arial" w:cs="Arial" w:eastAsia="Arial" w:hAnsi="Arial"/>
                <w:sz w:val="15"/>
                <w:szCs w:val="15"/>
                <w:color w:val="auto"/>
              </w:rPr>
              <w:t>60%</w:t>
            </w:r>
          </w:p>
        </w:tc>
        <w:tc>
          <w:tcPr>
            <w:tcW w:w="1540" w:type="dxa"/>
            <w:vAlign w:val="bottom"/>
            <w:tcBorders>
              <w:bottom w:val="single" w:sz="8" w:color="A8A8AC"/>
            </w:tcBorders>
          </w:tcPr>
          <w:p>
            <w:pPr>
              <w:jc w:val="right"/>
              <w:ind w:right="265"/>
              <w:spacing w:after="0" w:line="169" w:lineRule="exact"/>
              <w:rPr>
                <w:sz w:val="20"/>
                <w:szCs w:val="20"/>
                <w:color w:val="auto"/>
              </w:rPr>
            </w:pPr>
            <w:r>
              <w:rPr>
                <w:rFonts w:ascii="Arial" w:cs="Arial" w:eastAsia="Arial" w:hAnsi="Arial"/>
                <w:sz w:val="15"/>
                <w:szCs w:val="15"/>
                <w:color w:val="auto"/>
              </w:rPr>
              <w:t>10,631</w:t>
            </w:r>
          </w:p>
        </w:tc>
        <w:tc>
          <w:tcPr>
            <w:tcW w:w="1260" w:type="dxa"/>
            <w:vAlign w:val="bottom"/>
            <w:tcBorders>
              <w:bottom w:val="single" w:sz="8" w:color="A8A8AC"/>
            </w:tcBorders>
          </w:tcPr>
          <w:p>
            <w:pPr>
              <w:jc w:val="right"/>
              <w:ind w:right="144"/>
              <w:spacing w:after="0" w:line="169" w:lineRule="exact"/>
              <w:rPr>
                <w:sz w:val="20"/>
                <w:szCs w:val="20"/>
                <w:color w:val="auto"/>
              </w:rPr>
            </w:pPr>
            <w:r>
              <w:rPr>
                <w:rFonts w:ascii="Arial" w:cs="Arial" w:eastAsia="Arial" w:hAnsi="Arial"/>
                <w:sz w:val="15"/>
                <w:szCs w:val="15"/>
                <w:color w:val="auto"/>
              </w:rPr>
              <w:t>40%</w:t>
            </w:r>
          </w:p>
        </w:tc>
        <w:tc>
          <w:tcPr>
            <w:tcW w:w="70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8A8AC"/>
            </w:tcBorders>
          </w:tcPr>
          <w:p>
            <w:pPr>
              <w:jc w:val="right"/>
              <w:ind w:right="24"/>
              <w:spacing w:after="0" w:line="169" w:lineRule="exact"/>
              <w:rPr>
                <w:sz w:val="20"/>
                <w:szCs w:val="20"/>
                <w:color w:val="auto"/>
              </w:rPr>
            </w:pPr>
            <w:r>
              <w:rPr>
                <w:rFonts w:ascii="Arial" w:cs="Arial" w:eastAsia="Arial" w:hAnsi="Arial"/>
                <w:sz w:val="15"/>
                <w:szCs w:val="15"/>
                <w:color w:val="auto"/>
              </w:rPr>
              <w:t>4,100,000</w:t>
            </w:r>
          </w:p>
        </w:tc>
      </w:tr>
      <w:tr>
        <w:trPr>
          <w:trHeight w:val="169"/>
        </w:trPr>
        <w:tc>
          <w:tcPr>
            <w:tcW w:w="2700" w:type="dxa"/>
            <w:vAlign w:val="bottom"/>
            <w:tcBorders>
              <w:bottom w:val="single" w:sz="8" w:color="A26F2A"/>
            </w:tcBorders>
          </w:tcPr>
          <w:p>
            <w:pPr>
              <w:ind w:left="60"/>
              <w:spacing w:after="0" w:line="169" w:lineRule="exact"/>
              <w:rPr>
                <w:sz w:val="20"/>
                <w:szCs w:val="20"/>
                <w:color w:val="auto"/>
              </w:rPr>
            </w:pPr>
            <w:r>
              <w:rPr>
                <w:rFonts w:ascii="Arial" w:cs="Arial" w:eastAsia="Arial" w:hAnsi="Arial"/>
                <w:sz w:val="15"/>
                <w:szCs w:val="15"/>
                <w:b w:val="1"/>
                <w:bCs w:val="1"/>
                <w:color w:val="auto"/>
              </w:rPr>
              <w:t>Matt Zmigrosky</w:t>
            </w:r>
          </w:p>
        </w:tc>
        <w:tc>
          <w:tcPr>
            <w:tcW w:w="2920" w:type="dxa"/>
            <w:vAlign w:val="bottom"/>
            <w:tcBorders>
              <w:bottom w:val="single" w:sz="8" w:color="A26F2A"/>
            </w:tcBorders>
          </w:tcPr>
          <w:p>
            <w:pPr>
              <w:jc w:val="right"/>
              <w:ind w:right="265"/>
              <w:spacing w:after="0" w:line="169" w:lineRule="exact"/>
              <w:rPr>
                <w:sz w:val="20"/>
                <w:szCs w:val="20"/>
                <w:color w:val="auto"/>
              </w:rPr>
            </w:pPr>
            <w:r>
              <w:rPr>
                <w:rFonts w:ascii="Arial" w:cs="Arial" w:eastAsia="Arial" w:hAnsi="Arial"/>
                <w:sz w:val="15"/>
                <w:szCs w:val="15"/>
                <w:color w:val="auto"/>
              </w:rPr>
              <w:t>11,085</w:t>
            </w:r>
          </w:p>
        </w:tc>
        <w:tc>
          <w:tcPr>
            <w:tcW w:w="1260" w:type="dxa"/>
            <w:vAlign w:val="bottom"/>
            <w:tcBorders>
              <w:bottom w:val="single" w:sz="8" w:color="A26F2A"/>
            </w:tcBorders>
          </w:tcPr>
          <w:p>
            <w:pPr>
              <w:jc w:val="right"/>
              <w:ind w:right="144"/>
              <w:spacing w:after="0" w:line="169" w:lineRule="exact"/>
              <w:rPr>
                <w:sz w:val="20"/>
                <w:szCs w:val="20"/>
                <w:color w:val="auto"/>
              </w:rPr>
            </w:pPr>
            <w:r>
              <w:rPr>
                <w:rFonts w:ascii="Arial" w:cs="Arial" w:eastAsia="Arial" w:hAnsi="Arial"/>
                <w:sz w:val="15"/>
                <w:szCs w:val="15"/>
                <w:color w:val="auto"/>
              </w:rPr>
              <w:t>60%</w:t>
            </w:r>
          </w:p>
        </w:tc>
        <w:tc>
          <w:tcPr>
            <w:tcW w:w="1540" w:type="dxa"/>
            <w:vAlign w:val="bottom"/>
            <w:tcBorders>
              <w:bottom w:val="single" w:sz="8" w:color="A26F2A"/>
            </w:tcBorders>
          </w:tcPr>
          <w:p>
            <w:pPr>
              <w:jc w:val="right"/>
              <w:ind w:right="265"/>
              <w:spacing w:after="0" w:line="169" w:lineRule="exact"/>
              <w:rPr>
                <w:sz w:val="20"/>
                <w:szCs w:val="20"/>
                <w:color w:val="auto"/>
              </w:rPr>
            </w:pPr>
            <w:r>
              <w:rPr>
                <w:rFonts w:ascii="Arial" w:cs="Arial" w:eastAsia="Arial" w:hAnsi="Arial"/>
                <w:sz w:val="15"/>
                <w:szCs w:val="15"/>
                <w:color w:val="auto"/>
              </w:rPr>
              <w:t>7,390</w:t>
            </w:r>
          </w:p>
        </w:tc>
        <w:tc>
          <w:tcPr>
            <w:tcW w:w="1260" w:type="dxa"/>
            <w:vAlign w:val="bottom"/>
            <w:tcBorders>
              <w:bottom w:val="single" w:sz="8" w:color="A26F2A"/>
            </w:tcBorders>
          </w:tcPr>
          <w:p>
            <w:pPr>
              <w:jc w:val="right"/>
              <w:ind w:right="144"/>
              <w:spacing w:after="0" w:line="169" w:lineRule="exact"/>
              <w:rPr>
                <w:sz w:val="20"/>
                <w:szCs w:val="20"/>
                <w:color w:val="auto"/>
              </w:rPr>
            </w:pPr>
            <w:r>
              <w:rPr>
                <w:rFonts w:ascii="Arial" w:cs="Arial" w:eastAsia="Arial" w:hAnsi="Arial"/>
                <w:sz w:val="15"/>
                <w:szCs w:val="15"/>
                <w:color w:val="auto"/>
              </w:rPr>
              <w:t>40%</w:t>
            </w:r>
          </w:p>
        </w:tc>
        <w:tc>
          <w:tcPr>
            <w:tcW w:w="70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26F2A"/>
            </w:tcBorders>
          </w:tcPr>
          <w:p>
            <w:pPr>
              <w:jc w:val="right"/>
              <w:ind w:right="24"/>
              <w:spacing w:after="0" w:line="169" w:lineRule="exact"/>
              <w:rPr>
                <w:sz w:val="20"/>
                <w:szCs w:val="20"/>
                <w:color w:val="auto"/>
              </w:rPr>
            </w:pPr>
            <w:r>
              <w:rPr>
                <w:rFonts w:ascii="Arial" w:cs="Arial" w:eastAsia="Arial" w:hAnsi="Arial"/>
                <w:sz w:val="15"/>
                <w:szCs w:val="15"/>
                <w:color w:val="auto"/>
              </w:rPr>
              <w:t>2,850,000</w:t>
            </w:r>
          </w:p>
        </w:tc>
      </w:tr>
    </w:tbl>
    <w:p>
      <w:pPr>
        <w:spacing w:after="0" w:line="56" w:lineRule="exact"/>
        <w:rPr>
          <w:sz w:val="20"/>
          <w:szCs w:val="20"/>
          <w:color w:val="auto"/>
        </w:rPr>
      </w:pPr>
    </w:p>
    <w:p>
      <w:pPr>
        <w:ind w:left="300" w:hanging="299"/>
        <w:spacing w:after="0" w:line="283" w:lineRule="auto"/>
        <w:tabs>
          <w:tab w:leader="none" w:pos="300" w:val="left"/>
        </w:tabs>
        <w:numPr>
          <w:ilvl w:val="0"/>
          <w:numId w:val="81"/>
        </w:numPr>
        <w:rPr>
          <w:rFonts w:ascii="Arial" w:cs="Arial" w:eastAsia="Arial" w:hAnsi="Arial"/>
          <w:sz w:val="13"/>
          <w:szCs w:val="13"/>
          <w:i w:val="1"/>
          <w:iCs w:val="1"/>
          <w:color w:val="auto"/>
        </w:rPr>
      </w:pPr>
      <w:r>
        <w:rPr>
          <w:rFonts w:ascii="Arial" w:cs="Arial" w:eastAsia="Arial" w:hAnsi="Arial"/>
          <w:sz w:val="13"/>
          <w:szCs w:val="13"/>
          <w:i w:val="1"/>
          <w:iCs w:val="1"/>
          <w:color w:val="auto"/>
        </w:rPr>
        <w:t>The three-year performance-based restricted stock units are for the performance period from January 1, 2025 through December 31, 2027. Each NEO is also entitled to dividend equivalent rights on such NEO’s unvested performance-based restricted stock units at target.</w:t>
      </w:r>
    </w:p>
    <w:p>
      <w:pPr>
        <w:jc w:val="both"/>
        <w:ind w:left="300" w:hanging="299"/>
        <w:spacing w:after="0" w:line="272" w:lineRule="auto"/>
        <w:tabs>
          <w:tab w:leader="none" w:pos="300" w:val="left"/>
        </w:tabs>
        <w:numPr>
          <w:ilvl w:val="0"/>
          <w:numId w:val="81"/>
        </w:numPr>
        <w:rPr>
          <w:rFonts w:ascii="Arial" w:cs="Arial" w:eastAsia="Arial" w:hAnsi="Arial"/>
          <w:sz w:val="13"/>
          <w:szCs w:val="13"/>
          <w:i w:val="1"/>
          <w:iCs w:val="1"/>
          <w:color w:val="auto"/>
        </w:rPr>
      </w:pPr>
      <w:r>
        <w:rPr>
          <w:rFonts w:ascii="Arial" w:cs="Arial" w:eastAsia="Arial" w:hAnsi="Arial"/>
          <w:sz w:val="13"/>
          <w:szCs w:val="13"/>
          <w:i w:val="1"/>
          <w:iCs w:val="1"/>
          <w:color w:val="auto"/>
        </w:rPr>
        <w:t>Subject to footnote 4 below, time-based restricted stock units of which one-third of the award vested on March 1, 2025, with the remaining time-based restricted stock units vesting in two substantially equal annual installments beginning on March 1, 2026. Each NEO is also entitled to dividend equivalent rights on such NEO’s unvested time-based restricted stock units.</w:t>
      </w:r>
    </w:p>
    <w:p>
      <w:pPr>
        <w:spacing w:after="0" w:line="166" w:lineRule="exact"/>
        <w:rPr>
          <w:rFonts w:ascii="Arial" w:cs="Arial" w:eastAsia="Arial" w:hAnsi="Arial"/>
          <w:sz w:val="13"/>
          <w:szCs w:val="13"/>
          <w:i w:val="1"/>
          <w:iCs w:val="1"/>
          <w:color w:val="auto"/>
        </w:rPr>
      </w:pPr>
    </w:p>
    <w:p>
      <w:pPr>
        <w:jc w:val="both"/>
        <w:ind w:left="300" w:hanging="299"/>
        <w:spacing w:after="0" w:line="257" w:lineRule="auto"/>
        <w:tabs>
          <w:tab w:leader="none" w:pos="300" w:val="left"/>
        </w:tabs>
        <w:numPr>
          <w:ilvl w:val="0"/>
          <w:numId w:val="81"/>
        </w:numPr>
        <w:rPr>
          <w:rFonts w:ascii="Arial" w:cs="Arial" w:eastAsia="Arial" w:hAnsi="Arial"/>
          <w:sz w:val="13"/>
          <w:szCs w:val="13"/>
          <w:i w:val="1"/>
          <w:iCs w:val="1"/>
          <w:color w:val="auto"/>
        </w:rPr>
      </w:pPr>
      <w:r>
        <w:rPr>
          <w:rFonts w:ascii="Arial" w:cs="Arial" w:eastAsia="Arial" w:hAnsi="Arial"/>
          <w:sz w:val="13"/>
          <w:szCs w:val="13"/>
          <w:i w:val="1"/>
          <w:iCs w:val="1"/>
          <w:color w:val="auto"/>
        </w:rPr>
        <w:t>Subject to footnote 4 below, the aggregate number of performance-based and time-based restricted stock units for each NEO for 2025 was calculated by dividing the targeted value of the total LTI award for each NEO indicated in the table by $154.26 per share, representing the average closing price per share of our common stock on The Nasdaq Global Select Market for the five trading days immediately preceding the last trading day in February 2025, and allocated 60% to the performance-based restricted stock units and 40% to the time-based restricted stock units.</w:t>
      </w:r>
    </w:p>
    <w:p>
      <w:pPr>
        <w:spacing w:after="0" w:line="16" w:lineRule="exact"/>
        <w:rPr>
          <w:rFonts w:ascii="Arial" w:cs="Arial" w:eastAsia="Arial" w:hAnsi="Arial"/>
          <w:sz w:val="13"/>
          <w:szCs w:val="13"/>
          <w:i w:val="1"/>
          <w:iCs w:val="1"/>
          <w:color w:val="auto"/>
        </w:rPr>
      </w:pPr>
    </w:p>
    <w:p>
      <w:pPr>
        <w:jc w:val="both"/>
        <w:ind w:left="300" w:hanging="299"/>
        <w:spacing w:after="0" w:line="249" w:lineRule="auto"/>
        <w:tabs>
          <w:tab w:leader="none" w:pos="300" w:val="left"/>
        </w:tabs>
        <w:numPr>
          <w:ilvl w:val="0"/>
          <w:numId w:val="81"/>
        </w:numPr>
        <w:rPr>
          <w:rFonts w:ascii="Arial" w:cs="Arial" w:eastAsia="Arial" w:hAnsi="Arial"/>
          <w:sz w:val="13"/>
          <w:szCs w:val="13"/>
          <w:i w:val="1"/>
          <w:iCs w:val="1"/>
          <w:color w:val="auto"/>
        </w:rPr>
      </w:pPr>
      <w:r>
        <w:rPr>
          <w:rFonts w:ascii="Arial" w:cs="Arial" w:eastAsia="Arial" w:hAnsi="Arial"/>
          <w:sz w:val="13"/>
          <w:szCs w:val="13"/>
          <w:i w:val="1"/>
          <w:iCs w:val="1"/>
          <w:color w:val="auto"/>
        </w:rPr>
        <w:t>On March 1, 2025, Mr. Van’t Hof was granted 11,020 time-based restricted stock units and 16,531 performance-based stock units with an aggregate targeted value of $4,250,000. One-third of the time-based restricted stock units vested on March 1, 2025, with the remaining time-based restricted stock units vesting in two substantially equal installments beginning on March 1, 2026. On May 21, 2025, in connection with his promotion to Chief Executive Officer, Mr. Van’t Hof was granted an additional equity award consisting of 9,921 time-based restricted stock units and 14,881 performance-based stock units with an aggregate targeted value of $3,500,000. The aggregate number of performance-based and time-based restricted stock units for this grant was calculated by dividing the targeted value of the total LTI award by the average closing price per share of our common stock on The Nasdaq Global Select Market for the five trading days immediately preceding the effective date of Mr. Van’t Hof’s promotion to Chief Executive Officer. One-third of the time-based restricted stock units vested on May 21, 2025, with the remaining time-based restricted stock units vesting in two substantially equal installments on each of March 1, 2026 and March 1, 2027. The three-year performance-based restricted stock units are for the performance period from January 1, 2025 through December 31, 2027.</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performance-based restricted stock units are subject to the performance of our total stockholder return relative to our TSR performance peer group set forth in the table below for the applicable performance period. Additionally, the number of performance-based restricted stock units that would otherwise vest is further adjusted by the absolute TSR modifier illustrated below that reduces payouts upon negative absolute TSR, and increases payouts when the absolute TSR is greater than 15%. No</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5"/>
          <w:szCs w:val="15"/>
          <w:color w:val="auto"/>
        </w:rPr>
        <w:t>awards vest if the relative total stockholder return (prior to any adjustment required by application of the absolute TSR modifier) falls below the 25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The performance-based restricted stock units are also subject to satisfaction of continuous service requirements.</w:t>
      </w:r>
    </w:p>
    <w:p>
      <w:pPr>
        <w:spacing w:after="0" w:line="15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49"/>
        </w:trPr>
        <w:tc>
          <w:tcPr>
            <w:tcW w:w="5100" w:type="dxa"/>
            <w:vAlign w:val="bottom"/>
            <w:gridSpan w:val="2"/>
          </w:tcPr>
          <w:p>
            <w:pPr>
              <w:spacing w:after="0"/>
              <w:rPr>
                <w:sz w:val="20"/>
                <w:szCs w:val="20"/>
                <w:color w:val="auto"/>
              </w:rPr>
            </w:pPr>
            <w:r>
              <w:rPr>
                <w:rFonts w:ascii="Arial" w:cs="Arial" w:eastAsia="Arial" w:hAnsi="Arial"/>
                <w:sz w:val="13"/>
                <w:szCs w:val="13"/>
                <w:b w:val="1"/>
                <w:bCs w:val="1"/>
                <w:color w:val="0000EE"/>
              </w:rPr>
              <w:t>Back to Contents</w:t>
            </w:r>
          </w:p>
        </w:tc>
        <w:tc>
          <w:tcPr>
            <w:tcW w:w="6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5100" w:type="dxa"/>
            <w:vAlign w:val="bottom"/>
            <w:tcBorders>
              <w:bottom w:val="single" w:sz="8" w:color="A26F2A"/>
            </w:tcBorders>
            <w:gridSpan w:val="2"/>
          </w:tcPr>
          <w:p>
            <w:pPr>
              <w:ind w:left="80"/>
              <w:spacing w:after="0"/>
              <w:rPr>
                <w:sz w:val="20"/>
                <w:szCs w:val="20"/>
                <w:color w:val="auto"/>
              </w:rPr>
            </w:pPr>
            <w:r>
              <w:rPr>
                <w:rFonts w:ascii="Arial" w:cs="Arial" w:eastAsia="Arial" w:hAnsi="Arial"/>
                <w:sz w:val="15"/>
                <w:szCs w:val="15"/>
                <w:b w:val="1"/>
                <w:bCs w:val="1"/>
                <w:color w:val="auto"/>
              </w:rPr>
              <w:t>Relative Total Stockholder Return Percentile</w:t>
            </w:r>
          </w:p>
        </w:tc>
        <w:tc>
          <w:tcPr>
            <w:tcW w:w="6140" w:type="dxa"/>
            <w:vAlign w:val="bottom"/>
            <w:tcBorders>
              <w:bottom w:val="single" w:sz="8" w:color="A26F2A"/>
            </w:tcBorders>
          </w:tcPr>
          <w:p>
            <w:pPr>
              <w:ind w:left="540"/>
              <w:spacing w:after="0"/>
              <w:rPr>
                <w:sz w:val="20"/>
                <w:szCs w:val="20"/>
                <w:color w:val="auto"/>
              </w:rPr>
            </w:pPr>
            <w:r>
              <w:rPr>
                <w:rFonts w:ascii="Arial" w:cs="Arial" w:eastAsia="Arial" w:hAnsi="Arial"/>
                <w:sz w:val="15"/>
                <w:szCs w:val="15"/>
                <w:b w:val="1"/>
                <w:bCs w:val="1"/>
                <w:color w:val="auto"/>
              </w:rPr>
              <w:t>Target Grant Vesting Percentage</w:t>
            </w:r>
          </w:p>
        </w:tc>
        <w:tc>
          <w:tcPr>
            <w:tcW w:w="0" w:type="dxa"/>
            <w:vAlign w:val="bottom"/>
          </w:tcPr>
          <w:p>
            <w:pPr>
              <w:spacing w:after="0"/>
              <w:rPr>
                <w:sz w:val="1"/>
                <w:szCs w:val="1"/>
                <w:color w:val="auto"/>
              </w:rPr>
            </w:pPr>
          </w:p>
        </w:tc>
      </w:tr>
      <w:tr>
        <w:trPr>
          <w:trHeight w:val="240"/>
        </w:trPr>
        <w:tc>
          <w:tcPr>
            <w:tcW w:w="5100" w:type="dxa"/>
            <w:vAlign w:val="bottom"/>
            <w:tcBorders>
              <w:bottom w:val="single" w:sz="8" w:color="A8A8AC"/>
            </w:tcBorders>
            <w:gridSpan w:val="2"/>
          </w:tcPr>
          <w:p>
            <w:pPr>
              <w:ind w:left="80"/>
              <w:spacing w:after="0" w:line="240" w:lineRule="exact"/>
              <w:rPr>
                <w:sz w:val="20"/>
                <w:szCs w:val="20"/>
                <w:color w:val="auto"/>
              </w:rPr>
            </w:pPr>
            <w:r>
              <w:rPr>
                <w:rFonts w:ascii="Arial" w:cs="Arial" w:eastAsia="Arial" w:hAnsi="Arial"/>
                <w:sz w:val="15"/>
                <w:szCs w:val="15"/>
                <w:color w:val="auto"/>
              </w:rPr>
              <w:t>&lt;25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of Peer Group</w:t>
            </w:r>
          </w:p>
        </w:tc>
        <w:tc>
          <w:tcPr>
            <w:tcW w:w="6140" w:type="dxa"/>
            <w:vAlign w:val="bottom"/>
            <w:tcBorders>
              <w:bottom w:val="single" w:sz="8" w:color="A8A8AC"/>
            </w:tcBorders>
          </w:tcPr>
          <w:p>
            <w:pPr>
              <w:ind w:left="540"/>
              <w:spacing w:after="0"/>
              <w:rPr>
                <w:sz w:val="20"/>
                <w:szCs w:val="20"/>
                <w:color w:val="auto"/>
              </w:rPr>
            </w:pPr>
            <w:r>
              <w:rPr>
                <w:rFonts w:ascii="Arial" w:cs="Arial" w:eastAsia="Arial" w:hAnsi="Arial"/>
                <w:sz w:val="15"/>
                <w:szCs w:val="15"/>
                <w:color w:val="auto"/>
              </w:rPr>
              <w:t>0% of Target</w:t>
            </w:r>
          </w:p>
        </w:tc>
        <w:tc>
          <w:tcPr>
            <w:tcW w:w="0" w:type="dxa"/>
            <w:vAlign w:val="bottom"/>
          </w:tcPr>
          <w:p>
            <w:pPr>
              <w:spacing w:after="0"/>
              <w:rPr>
                <w:sz w:val="1"/>
                <w:szCs w:val="1"/>
                <w:color w:val="auto"/>
              </w:rPr>
            </w:pPr>
          </w:p>
        </w:tc>
      </w:tr>
      <w:tr>
        <w:trPr>
          <w:trHeight w:val="208"/>
        </w:trPr>
        <w:tc>
          <w:tcPr>
            <w:tcW w:w="5100" w:type="dxa"/>
            <w:vAlign w:val="bottom"/>
            <w:gridSpan w:val="2"/>
          </w:tcPr>
          <w:p>
            <w:pPr>
              <w:ind w:left="80"/>
              <w:spacing w:after="0" w:line="207" w:lineRule="exact"/>
              <w:rPr>
                <w:sz w:val="20"/>
                <w:szCs w:val="20"/>
                <w:color w:val="auto"/>
              </w:rPr>
            </w:pPr>
            <w:r>
              <w:rPr>
                <w:rFonts w:ascii="Arial" w:cs="Arial" w:eastAsia="Arial" w:hAnsi="Arial"/>
                <w:sz w:val="15"/>
                <w:szCs w:val="15"/>
                <w:color w:val="auto"/>
              </w:rPr>
              <w:t>Between 25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of Peer Group and up to but less than 75</w:t>
            </w:r>
            <w:r>
              <w:rPr>
                <w:rFonts w:ascii="Arial" w:cs="Arial" w:eastAsia="Arial" w:hAnsi="Arial"/>
                <w:sz w:val="24"/>
                <w:szCs w:val="24"/>
                <w:color w:val="auto"/>
                <w:vertAlign w:val="superscript"/>
              </w:rPr>
              <w:t>th</w:t>
            </w:r>
          </w:p>
        </w:tc>
        <w:tc>
          <w:tcPr>
            <w:tcW w:w="6140" w:type="dxa"/>
            <w:vAlign w:val="bottom"/>
            <w:vMerge w:val="restart"/>
          </w:tcPr>
          <w:p>
            <w:pPr>
              <w:ind w:left="540"/>
              <w:spacing w:after="0"/>
              <w:rPr>
                <w:sz w:val="20"/>
                <w:szCs w:val="20"/>
                <w:color w:val="auto"/>
              </w:rPr>
            </w:pPr>
            <w:r>
              <w:rPr>
                <w:rFonts w:ascii="Arial" w:cs="Arial" w:eastAsia="Arial" w:hAnsi="Arial"/>
                <w:sz w:val="15"/>
                <w:szCs w:val="15"/>
                <w:color w:val="auto"/>
              </w:rPr>
              <w:t>Straight line interpolation between 50% and 150% of Target</w:t>
            </w:r>
          </w:p>
        </w:tc>
        <w:tc>
          <w:tcPr>
            <w:tcW w:w="0" w:type="dxa"/>
            <w:vAlign w:val="bottom"/>
          </w:tcPr>
          <w:p>
            <w:pPr>
              <w:spacing w:after="0"/>
              <w:rPr>
                <w:sz w:val="1"/>
                <w:szCs w:val="1"/>
                <w:color w:val="auto"/>
              </w:rPr>
            </w:pPr>
          </w:p>
        </w:tc>
      </w:tr>
      <w:tr>
        <w:trPr>
          <w:trHeight w:val="85"/>
        </w:trPr>
        <w:tc>
          <w:tcPr>
            <w:tcW w:w="5100" w:type="dxa"/>
            <w:vAlign w:val="bottom"/>
            <w:gridSpan w:val="2"/>
            <w:vMerge w:val="restart"/>
          </w:tcPr>
          <w:p>
            <w:pPr>
              <w:ind w:left="80"/>
              <w:spacing w:after="0"/>
              <w:rPr>
                <w:sz w:val="20"/>
                <w:szCs w:val="20"/>
                <w:color w:val="auto"/>
              </w:rPr>
            </w:pPr>
            <w:r>
              <w:rPr>
                <w:rFonts w:ascii="Arial" w:cs="Arial" w:eastAsia="Arial" w:hAnsi="Arial"/>
                <w:sz w:val="15"/>
                <w:szCs w:val="15"/>
                <w:color w:val="auto"/>
              </w:rPr>
              <w:t>Percentile of Peer Group</w:t>
            </w:r>
          </w:p>
        </w:tc>
        <w:tc>
          <w:tcPr>
            <w:tcW w:w="6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A8A8AC"/>
            </w:tcBorders>
            <w:gridSpan w:val="2"/>
            <w:vMerge w:val="continue"/>
          </w:tcPr>
          <w:p>
            <w:pPr>
              <w:spacing w:after="0"/>
              <w:rPr>
                <w:sz w:val="9"/>
                <w:szCs w:val="9"/>
                <w:color w:val="auto"/>
              </w:rPr>
            </w:pPr>
          </w:p>
        </w:tc>
        <w:tc>
          <w:tcPr>
            <w:tcW w:w="6140" w:type="dxa"/>
            <w:vAlign w:val="bottom"/>
            <w:tcBorders>
              <w:bottom w:val="single" w:sz="8" w:color="A8A8AC"/>
            </w:tcBorders>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5100" w:type="dxa"/>
            <w:vAlign w:val="bottom"/>
            <w:tcBorders>
              <w:bottom w:val="single" w:sz="8" w:color="A26F2A"/>
            </w:tcBorders>
            <w:gridSpan w:val="2"/>
          </w:tcPr>
          <w:p>
            <w:pPr>
              <w:ind w:left="80"/>
              <w:spacing w:after="0" w:line="234" w:lineRule="exact"/>
              <w:rPr>
                <w:sz w:val="20"/>
                <w:szCs w:val="20"/>
                <w:color w:val="auto"/>
              </w:rPr>
            </w:pPr>
            <w:r>
              <w:rPr>
                <w:rFonts w:ascii="Arial" w:cs="Arial" w:eastAsia="Arial" w:hAnsi="Arial"/>
                <w:sz w:val="15"/>
                <w:szCs w:val="15"/>
                <w:color w:val="auto"/>
              </w:rPr>
              <w:t>At or above 75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of Peer Group</w:t>
            </w:r>
          </w:p>
        </w:tc>
        <w:tc>
          <w:tcPr>
            <w:tcW w:w="6140" w:type="dxa"/>
            <w:vAlign w:val="bottom"/>
            <w:tcBorders>
              <w:bottom w:val="single" w:sz="8" w:color="A26F2A"/>
            </w:tcBorders>
          </w:tcPr>
          <w:p>
            <w:pPr>
              <w:ind w:left="540"/>
              <w:spacing w:after="0"/>
              <w:rPr>
                <w:sz w:val="20"/>
                <w:szCs w:val="20"/>
                <w:color w:val="auto"/>
              </w:rPr>
            </w:pPr>
            <w:r>
              <w:rPr>
                <w:rFonts w:ascii="Arial" w:cs="Arial" w:eastAsia="Arial" w:hAnsi="Arial"/>
                <w:sz w:val="15"/>
                <w:szCs w:val="15"/>
                <w:color w:val="auto"/>
              </w:rPr>
              <w:t>200% of Target</w:t>
            </w:r>
          </w:p>
        </w:tc>
        <w:tc>
          <w:tcPr>
            <w:tcW w:w="0" w:type="dxa"/>
            <w:vAlign w:val="bottom"/>
          </w:tcPr>
          <w:p>
            <w:pPr>
              <w:spacing w:after="0"/>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20" w:type="dxa"/>
            <w:vAlign w:val="bottom"/>
          </w:tcPr>
          <w:p>
            <w:pPr>
              <w:ind w:left="80"/>
              <w:spacing w:after="0"/>
              <w:rPr>
                <w:sz w:val="20"/>
                <w:szCs w:val="20"/>
                <w:color w:val="auto"/>
              </w:rPr>
            </w:pPr>
            <w:r>
              <w:rPr>
                <w:rFonts w:ascii="Arial" w:cs="Arial" w:eastAsia="Arial" w:hAnsi="Arial"/>
                <w:sz w:val="15"/>
                <w:szCs w:val="15"/>
                <w:b w:val="1"/>
                <w:bCs w:val="1"/>
                <w:color w:val="auto"/>
              </w:rPr>
              <w:t>Company Absolute Annualized Total Stockholder</w:t>
            </w:r>
          </w:p>
        </w:tc>
        <w:tc>
          <w:tcPr>
            <w:tcW w:w="6620" w:type="dxa"/>
            <w:vAlign w:val="bottom"/>
          </w:tcPr>
          <w:p>
            <w:pPr>
              <w:ind w:left="1020"/>
              <w:spacing w:after="0"/>
              <w:rPr>
                <w:sz w:val="20"/>
                <w:szCs w:val="20"/>
                <w:color w:val="auto"/>
              </w:rPr>
            </w:pPr>
            <w:r>
              <w:rPr>
                <w:rFonts w:ascii="Arial" w:cs="Arial" w:eastAsia="Arial" w:hAnsi="Arial"/>
                <w:sz w:val="15"/>
                <w:szCs w:val="15"/>
                <w:b w:val="1"/>
                <w:bCs w:val="1"/>
                <w:color w:val="auto"/>
              </w:rPr>
              <w:t>Absolute TSR Modifier to be Multiplied by the Target</w:t>
            </w:r>
          </w:p>
        </w:tc>
      </w:tr>
      <w:tr>
        <w:trPr>
          <w:trHeight w:val="194"/>
        </w:trPr>
        <w:tc>
          <w:tcPr>
            <w:tcW w:w="4620" w:type="dxa"/>
            <w:vAlign w:val="bottom"/>
            <w:tcBorders>
              <w:bottom w:val="single" w:sz="8" w:color="A26F2A"/>
            </w:tcBorders>
          </w:tcPr>
          <w:p>
            <w:pPr>
              <w:ind w:left="80"/>
              <w:spacing w:after="0"/>
              <w:rPr>
                <w:sz w:val="20"/>
                <w:szCs w:val="20"/>
                <w:color w:val="auto"/>
              </w:rPr>
            </w:pPr>
            <w:r>
              <w:rPr>
                <w:rFonts w:ascii="Arial" w:cs="Arial" w:eastAsia="Arial" w:hAnsi="Arial"/>
                <w:sz w:val="15"/>
                <w:szCs w:val="15"/>
                <w:b w:val="1"/>
                <w:bCs w:val="1"/>
                <w:color w:val="auto"/>
              </w:rPr>
              <w:t>Return Percentage During Performance Period</w:t>
            </w:r>
          </w:p>
        </w:tc>
        <w:tc>
          <w:tcPr>
            <w:tcW w:w="6620" w:type="dxa"/>
            <w:vAlign w:val="bottom"/>
            <w:tcBorders>
              <w:bottom w:val="single" w:sz="8" w:color="A26F2A"/>
            </w:tcBorders>
          </w:tcPr>
          <w:p>
            <w:pPr>
              <w:ind w:left="1020"/>
              <w:spacing w:after="0"/>
              <w:rPr>
                <w:sz w:val="20"/>
                <w:szCs w:val="20"/>
                <w:color w:val="auto"/>
              </w:rPr>
            </w:pPr>
            <w:r>
              <w:rPr>
                <w:rFonts w:ascii="Arial" w:cs="Arial" w:eastAsia="Arial" w:hAnsi="Arial"/>
                <w:sz w:val="15"/>
                <w:szCs w:val="15"/>
                <w:b w:val="1"/>
                <w:bCs w:val="1"/>
                <w:color w:val="auto"/>
              </w:rPr>
              <w:t>Grant Vesting Percentage</w:t>
            </w:r>
          </w:p>
        </w:tc>
      </w:tr>
      <w:tr>
        <w:trPr>
          <w:trHeight w:val="177"/>
        </w:trPr>
        <w:tc>
          <w:tcPr>
            <w:tcW w:w="4620" w:type="dxa"/>
            <w:vAlign w:val="bottom"/>
            <w:tcBorders>
              <w:bottom w:val="single" w:sz="8" w:color="A8A8AC"/>
            </w:tcBorders>
          </w:tcPr>
          <w:p>
            <w:pPr>
              <w:ind w:left="80"/>
              <w:spacing w:after="0"/>
              <w:rPr>
                <w:sz w:val="20"/>
                <w:szCs w:val="20"/>
                <w:color w:val="auto"/>
              </w:rPr>
            </w:pPr>
            <w:r>
              <w:rPr>
                <w:rFonts w:ascii="Arial" w:cs="Arial" w:eastAsia="Arial" w:hAnsi="Arial"/>
                <w:sz w:val="15"/>
                <w:szCs w:val="15"/>
                <w:color w:val="auto"/>
              </w:rPr>
              <w:t>Below 0%</w:t>
            </w:r>
          </w:p>
        </w:tc>
        <w:tc>
          <w:tcPr>
            <w:tcW w:w="6620" w:type="dxa"/>
            <w:vAlign w:val="bottom"/>
            <w:tcBorders>
              <w:bottom w:val="single" w:sz="8" w:color="A8A8AC"/>
            </w:tcBorders>
          </w:tcPr>
          <w:p>
            <w:pPr>
              <w:ind w:left="1020"/>
              <w:spacing w:after="0"/>
              <w:rPr>
                <w:sz w:val="20"/>
                <w:szCs w:val="20"/>
                <w:color w:val="auto"/>
              </w:rPr>
            </w:pPr>
            <w:r>
              <w:rPr>
                <w:rFonts w:ascii="Arial" w:cs="Arial" w:eastAsia="Arial" w:hAnsi="Arial"/>
                <w:sz w:val="15"/>
                <w:szCs w:val="15"/>
                <w:color w:val="auto"/>
              </w:rPr>
              <w:t>75%</w:t>
            </w:r>
          </w:p>
        </w:tc>
      </w:tr>
      <w:tr>
        <w:trPr>
          <w:trHeight w:val="169"/>
        </w:trPr>
        <w:tc>
          <w:tcPr>
            <w:tcW w:w="4620" w:type="dxa"/>
            <w:vAlign w:val="bottom"/>
            <w:tcBorders>
              <w:bottom w:val="single" w:sz="8" w:color="A8A8AC"/>
            </w:tcBorders>
          </w:tcPr>
          <w:p>
            <w:pPr>
              <w:ind w:left="80"/>
              <w:spacing w:after="0" w:line="169" w:lineRule="exact"/>
              <w:rPr>
                <w:sz w:val="20"/>
                <w:szCs w:val="20"/>
                <w:color w:val="auto"/>
              </w:rPr>
            </w:pPr>
            <w:r>
              <w:rPr>
                <w:rFonts w:ascii="Arial" w:cs="Arial" w:eastAsia="Arial" w:hAnsi="Arial"/>
                <w:sz w:val="15"/>
                <w:szCs w:val="15"/>
                <w:color w:val="auto"/>
              </w:rPr>
              <w:t>Between 0% and 15%</w:t>
            </w:r>
          </w:p>
        </w:tc>
        <w:tc>
          <w:tcPr>
            <w:tcW w:w="6620" w:type="dxa"/>
            <w:vAlign w:val="bottom"/>
            <w:tcBorders>
              <w:bottom w:val="single" w:sz="8" w:color="A8A8AC"/>
            </w:tcBorders>
          </w:tcPr>
          <w:p>
            <w:pPr>
              <w:ind w:left="1020"/>
              <w:spacing w:after="0" w:line="169" w:lineRule="exact"/>
              <w:rPr>
                <w:sz w:val="20"/>
                <w:szCs w:val="20"/>
                <w:color w:val="auto"/>
              </w:rPr>
            </w:pPr>
            <w:r>
              <w:rPr>
                <w:rFonts w:ascii="Arial" w:cs="Arial" w:eastAsia="Arial" w:hAnsi="Arial"/>
                <w:sz w:val="15"/>
                <w:szCs w:val="15"/>
                <w:color w:val="auto"/>
              </w:rPr>
              <w:t>100%</w:t>
            </w:r>
          </w:p>
        </w:tc>
      </w:tr>
      <w:tr>
        <w:trPr>
          <w:trHeight w:val="169"/>
        </w:trPr>
        <w:tc>
          <w:tcPr>
            <w:tcW w:w="4620" w:type="dxa"/>
            <w:vAlign w:val="bottom"/>
            <w:tcBorders>
              <w:bottom w:val="single" w:sz="8" w:color="A26F2A"/>
            </w:tcBorders>
          </w:tcPr>
          <w:p>
            <w:pPr>
              <w:ind w:left="80"/>
              <w:spacing w:after="0" w:line="169" w:lineRule="exact"/>
              <w:rPr>
                <w:sz w:val="20"/>
                <w:szCs w:val="20"/>
                <w:color w:val="auto"/>
              </w:rPr>
            </w:pPr>
            <w:r>
              <w:rPr>
                <w:rFonts w:ascii="Arial" w:cs="Arial" w:eastAsia="Arial" w:hAnsi="Arial"/>
                <w:sz w:val="15"/>
                <w:szCs w:val="15"/>
                <w:color w:val="auto"/>
              </w:rPr>
              <w:t>Above 15%</w:t>
            </w:r>
          </w:p>
        </w:tc>
        <w:tc>
          <w:tcPr>
            <w:tcW w:w="6620" w:type="dxa"/>
            <w:vAlign w:val="bottom"/>
            <w:tcBorders>
              <w:bottom w:val="single" w:sz="8" w:color="A26F2A"/>
            </w:tcBorders>
          </w:tcPr>
          <w:p>
            <w:pPr>
              <w:ind w:left="1020"/>
              <w:spacing w:after="0" w:line="169" w:lineRule="exact"/>
              <w:rPr>
                <w:sz w:val="20"/>
                <w:szCs w:val="20"/>
                <w:color w:val="auto"/>
              </w:rPr>
            </w:pPr>
            <w:r>
              <w:rPr>
                <w:rFonts w:ascii="Arial" w:cs="Arial" w:eastAsia="Arial" w:hAnsi="Arial"/>
                <w:sz w:val="15"/>
                <w:szCs w:val="15"/>
                <w:color w:val="auto"/>
              </w:rPr>
              <w:t>125%</w:t>
            </w:r>
          </w:p>
        </w:tc>
      </w:tr>
    </w:tbl>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Target grant vesting percentage is expressed as a percentage of the target number of performance-based restricted stock units granted and, after being adjusted by the applicable absolute TSR modifier, may result in a settlement up to a maximum grant equal to 250% of the target number of performance-based restricted stock units granted.</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These awards were designed to incentivize our NEOs to continue to contribute to the Company’s performance at the top of its TSR performance peer group, similar to the Company’s performance in prior periods. In addition, the time-based restricted stock unit awards were designed to promote retention of our NEOs who are frequently pursued by industry competitors and private equity groups.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26F2A"/>
        </w:rPr>
        <w:t>2025 TSR PERFORMANCE PEER GROUP</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2025 TSR performance peer group, which was approved by the compensation committee and will be used to determine the total stockholder return percentile in the 2025 performance-based restricted stock unit awards granted in March 2025 to the NEOs, consisted of the following nine members in addition to the Company.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40" w:type="dxa"/>
            <w:vAlign w:val="bottom"/>
            <w:tcBorders>
              <w:top w:val="single" w:sz="8" w:color="A26F2A"/>
              <w:bottom w:val="single" w:sz="8" w:color="A8A8AC"/>
            </w:tcBorders>
          </w:tcPr>
          <w:p>
            <w:pPr>
              <w:ind w:left="60"/>
              <w:spacing w:after="0"/>
              <w:rPr>
                <w:sz w:val="20"/>
                <w:szCs w:val="20"/>
                <w:color w:val="auto"/>
              </w:rPr>
            </w:pPr>
            <w:r>
              <w:rPr>
                <w:rFonts w:ascii="Arial" w:cs="Arial" w:eastAsia="Arial" w:hAnsi="Arial"/>
                <w:sz w:val="15"/>
                <w:szCs w:val="15"/>
                <w:color w:val="auto"/>
              </w:rPr>
              <w:t>APA Corporation</w:t>
            </w:r>
          </w:p>
        </w:tc>
        <w:tc>
          <w:tcPr>
            <w:tcW w:w="7500" w:type="dxa"/>
            <w:vAlign w:val="bottom"/>
            <w:tcBorders>
              <w:top w:val="single" w:sz="8" w:color="A26F2A"/>
              <w:bottom w:val="single" w:sz="8" w:color="A8A8AC"/>
            </w:tcBorders>
          </w:tcPr>
          <w:p>
            <w:pPr>
              <w:ind w:left="1900"/>
              <w:spacing w:after="0"/>
              <w:rPr>
                <w:sz w:val="20"/>
                <w:szCs w:val="20"/>
                <w:color w:val="auto"/>
              </w:rPr>
            </w:pPr>
            <w:r>
              <w:rPr>
                <w:rFonts w:ascii="Arial" w:cs="Arial" w:eastAsia="Arial" w:hAnsi="Arial"/>
                <w:sz w:val="15"/>
                <w:szCs w:val="15"/>
                <w:color w:val="auto"/>
              </w:rPr>
              <w:t>Ovintiv Inc.</w:t>
            </w:r>
          </w:p>
        </w:tc>
      </w:tr>
      <w:tr>
        <w:trPr>
          <w:trHeight w:val="169"/>
        </w:trPr>
        <w:tc>
          <w:tcPr>
            <w:tcW w:w="374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color w:val="auto"/>
              </w:rPr>
              <w:t>ConocoPhillips Company</w:t>
            </w:r>
          </w:p>
        </w:tc>
        <w:tc>
          <w:tcPr>
            <w:tcW w:w="7500" w:type="dxa"/>
            <w:vAlign w:val="bottom"/>
            <w:tcBorders>
              <w:bottom w:val="single" w:sz="8" w:color="A8A8AC"/>
            </w:tcBorders>
          </w:tcPr>
          <w:p>
            <w:pPr>
              <w:ind w:left="1900"/>
              <w:spacing w:after="0" w:line="169" w:lineRule="exact"/>
              <w:rPr>
                <w:sz w:val="20"/>
                <w:szCs w:val="20"/>
                <w:color w:val="auto"/>
              </w:rPr>
            </w:pPr>
            <w:r>
              <w:rPr>
                <w:rFonts w:ascii="Arial" w:cs="Arial" w:eastAsia="Arial" w:hAnsi="Arial"/>
                <w:sz w:val="15"/>
                <w:szCs w:val="15"/>
                <w:color w:val="auto"/>
              </w:rPr>
              <w:t>Occidental Petroleum</w:t>
            </w:r>
          </w:p>
        </w:tc>
      </w:tr>
      <w:tr>
        <w:trPr>
          <w:trHeight w:val="169"/>
        </w:trPr>
        <w:tc>
          <w:tcPr>
            <w:tcW w:w="374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color w:val="auto"/>
              </w:rPr>
              <w:t>Coterra Energy Inc.</w:t>
            </w:r>
          </w:p>
        </w:tc>
        <w:tc>
          <w:tcPr>
            <w:tcW w:w="7500" w:type="dxa"/>
            <w:vAlign w:val="bottom"/>
            <w:tcBorders>
              <w:bottom w:val="single" w:sz="8" w:color="A8A8AC"/>
            </w:tcBorders>
          </w:tcPr>
          <w:p>
            <w:pPr>
              <w:ind w:left="1900"/>
              <w:spacing w:after="0" w:line="169" w:lineRule="exact"/>
              <w:rPr>
                <w:sz w:val="20"/>
                <w:szCs w:val="20"/>
                <w:color w:val="auto"/>
              </w:rPr>
            </w:pPr>
            <w:r>
              <w:rPr>
                <w:rFonts w:ascii="Arial" w:cs="Arial" w:eastAsia="Arial" w:hAnsi="Arial"/>
                <w:sz w:val="15"/>
                <w:szCs w:val="15"/>
                <w:color w:val="auto"/>
              </w:rPr>
              <w:t>Permian Resources Corporation</w:t>
            </w:r>
          </w:p>
        </w:tc>
      </w:tr>
      <w:tr>
        <w:trPr>
          <w:trHeight w:val="169"/>
        </w:trPr>
        <w:tc>
          <w:tcPr>
            <w:tcW w:w="374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color w:val="auto"/>
              </w:rPr>
              <w:t>Devon Energy Corporation</w:t>
            </w:r>
          </w:p>
        </w:tc>
        <w:tc>
          <w:tcPr>
            <w:tcW w:w="7500" w:type="dxa"/>
            <w:vAlign w:val="bottom"/>
            <w:tcBorders>
              <w:bottom w:val="single" w:sz="8" w:color="A8A8AC"/>
            </w:tcBorders>
          </w:tcPr>
          <w:p>
            <w:pPr>
              <w:ind w:left="1900"/>
              <w:spacing w:after="0" w:line="169" w:lineRule="exact"/>
              <w:rPr>
                <w:sz w:val="20"/>
                <w:szCs w:val="20"/>
                <w:color w:val="auto"/>
              </w:rPr>
            </w:pPr>
            <w:r>
              <w:rPr>
                <w:rFonts w:ascii="Arial" w:cs="Arial" w:eastAsia="Arial" w:hAnsi="Arial"/>
                <w:sz w:val="15"/>
                <w:szCs w:val="15"/>
                <w:color w:val="auto"/>
              </w:rPr>
              <w:t>S&amp;P 500 Index (weighted once)</w:t>
            </w:r>
          </w:p>
        </w:tc>
      </w:tr>
      <w:tr>
        <w:trPr>
          <w:trHeight w:val="169"/>
        </w:trPr>
        <w:tc>
          <w:tcPr>
            <w:tcW w:w="3740" w:type="dxa"/>
            <w:vAlign w:val="bottom"/>
            <w:tcBorders>
              <w:bottom w:val="single" w:sz="8" w:color="A26F2A"/>
            </w:tcBorders>
          </w:tcPr>
          <w:p>
            <w:pPr>
              <w:ind w:left="60"/>
              <w:spacing w:after="0" w:line="169" w:lineRule="exact"/>
              <w:rPr>
                <w:sz w:val="20"/>
                <w:szCs w:val="20"/>
                <w:color w:val="auto"/>
              </w:rPr>
            </w:pPr>
            <w:r>
              <w:rPr>
                <w:rFonts w:ascii="Arial" w:cs="Arial" w:eastAsia="Arial" w:hAnsi="Arial"/>
                <w:sz w:val="15"/>
                <w:szCs w:val="15"/>
                <w:color w:val="auto"/>
              </w:rPr>
              <w:t>EOG Resources, Inc.</w:t>
            </w:r>
          </w:p>
        </w:tc>
        <w:tc>
          <w:tcPr>
            <w:tcW w:w="7500" w:type="dxa"/>
            <w:vAlign w:val="bottom"/>
            <w:tcBorders>
              <w:bottom w:val="single" w:sz="8" w:color="A26F2A"/>
            </w:tcBorders>
          </w:tcPr>
          <w:p>
            <w:pPr>
              <w:ind w:left="1900"/>
              <w:spacing w:after="0" w:line="169" w:lineRule="exact"/>
              <w:rPr>
                <w:sz w:val="20"/>
                <w:szCs w:val="20"/>
                <w:color w:val="auto"/>
              </w:rPr>
            </w:pPr>
            <w:r>
              <w:rPr>
                <w:rFonts w:ascii="Arial" w:cs="Arial" w:eastAsia="Arial" w:hAnsi="Arial"/>
                <w:sz w:val="15"/>
                <w:szCs w:val="15"/>
                <w:color w:val="auto"/>
              </w:rPr>
              <w:t>SPDR S&amp;P Oil and Gas E&amp;P ETF Index (XOP Index) (weighted twice)</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26F2A"/>
        </w:rPr>
        <w:t>MARCH 2025 VIPER PERFORMANCE-BASED AWARDS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Under the terms and conditions of Viper’s 2024 Long-Term Incentive Plan (the “Viper LTIP”), Viper’s board of directors or its compensation committee, established in March 2024, may, from time to time, grant equity awards under the Viper LTIP to our executive officers and other employees who perform services for Viper. In order to motivate and incentivize our executive officers who perform such services for Viper under the Services and Secondment Agreement and further align their interests with those of Viper’s stockholders, in March 2025, Viper’s board of directors and compensation committee granted performance-based restricted stock unit awards to our NEOs other than Mr. Stice under the Viper LTIP in the amounts shown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840" w:type="dxa"/>
            <w:vAlign w:val="bottom"/>
          </w:tcPr>
          <w:p>
            <w:pPr>
              <w:spacing w:after="0"/>
              <w:rPr>
                <w:sz w:val="15"/>
                <w:szCs w:val="15"/>
                <w:color w:val="auto"/>
              </w:rPr>
            </w:pPr>
          </w:p>
        </w:tc>
        <w:tc>
          <w:tcPr>
            <w:tcW w:w="5040" w:type="dxa"/>
            <w:vAlign w:val="bottom"/>
          </w:tcPr>
          <w:p>
            <w:pPr>
              <w:jc w:val="right"/>
              <w:ind w:right="264"/>
              <w:spacing w:after="0"/>
              <w:rPr>
                <w:sz w:val="20"/>
                <w:szCs w:val="20"/>
                <w:color w:val="auto"/>
              </w:rPr>
            </w:pPr>
            <w:r>
              <w:rPr>
                <w:rFonts w:ascii="Arial" w:cs="Arial" w:eastAsia="Arial" w:hAnsi="Arial"/>
                <w:sz w:val="15"/>
                <w:szCs w:val="15"/>
                <w:b w:val="1"/>
                <w:bCs w:val="1"/>
                <w:color w:val="auto"/>
              </w:rPr>
              <w:t>Performance-Based</w:t>
            </w:r>
          </w:p>
        </w:tc>
        <w:tc>
          <w:tcPr>
            <w:tcW w:w="6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Targeted</w:t>
            </w:r>
          </w:p>
        </w:tc>
      </w:tr>
      <w:tr>
        <w:trPr>
          <w:trHeight w:val="176"/>
        </w:trPr>
        <w:tc>
          <w:tcPr>
            <w:tcW w:w="4840" w:type="dxa"/>
            <w:vAlign w:val="bottom"/>
          </w:tcPr>
          <w:p>
            <w:pPr>
              <w:spacing w:after="0"/>
              <w:rPr>
                <w:sz w:val="15"/>
                <w:szCs w:val="15"/>
                <w:color w:val="auto"/>
              </w:rPr>
            </w:pPr>
          </w:p>
        </w:tc>
        <w:tc>
          <w:tcPr>
            <w:tcW w:w="5040" w:type="dxa"/>
            <w:vAlign w:val="bottom"/>
          </w:tcPr>
          <w:p>
            <w:pPr>
              <w:jc w:val="right"/>
              <w:ind w:right="264"/>
              <w:spacing w:after="0"/>
              <w:rPr>
                <w:sz w:val="20"/>
                <w:szCs w:val="20"/>
                <w:color w:val="auto"/>
              </w:rPr>
            </w:pPr>
            <w:r>
              <w:rPr>
                <w:rFonts w:ascii="Arial" w:cs="Arial" w:eastAsia="Arial" w:hAnsi="Arial"/>
                <w:sz w:val="15"/>
                <w:szCs w:val="15"/>
                <w:b w:val="1"/>
                <w:bCs w:val="1"/>
                <w:color w:val="auto"/>
              </w:rPr>
              <w:t>Restricted</w:t>
            </w:r>
          </w:p>
        </w:tc>
        <w:tc>
          <w:tcPr>
            <w:tcW w:w="1360" w:type="dxa"/>
            <w:vAlign w:val="bottom"/>
            <w:gridSpan w:val="2"/>
          </w:tcPr>
          <w:p>
            <w:pPr>
              <w:jc w:val="right"/>
              <w:spacing w:after="0"/>
              <w:rPr>
                <w:sz w:val="20"/>
                <w:szCs w:val="20"/>
                <w:color w:val="auto"/>
              </w:rPr>
            </w:pPr>
            <w:r>
              <w:rPr>
                <w:rFonts w:ascii="Arial" w:cs="Arial" w:eastAsia="Arial" w:hAnsi="Arial"/>
                <w:sz w:val="15"/>
                <w:szCs w:val="15"/>
                <w:b w:val="1"/>
                <w:bCs w:val="1"/>
                <w:color w:val="auto"/>
              </w:rPr>
              <w:t>Value of Total</w:t>
            </w:r>
          </w:p>
        </w:tc>
      </w:tr>
      <w:tr>
        <w:trPr>
          <w:trHeight w:val="232"/>
        </w:trPr>
        <w:tc>
          <w:tcPr>
            <w:tcW w:w="4840" w:type="dxa"/>
            <w:vAlign w:val="bottom"/>
            <w:tcBorders>
              <w:bottom w:val="single" w:sz="8" w:color="A26F2A"/>
            </w:tcBorders>
          </w:tcPr>
          <w:p>
            <w:pPr>
              <w:spacing w:after="0"/>
              <w:rPr>
                <w:sz w:val="20"/>
                <w:szCs w:val="20"/>
                <w:color w:val="auto"/>
              </w:rPr>
            </w:pPr>
          </w:p>
        </w:tc>
        <w:tc>
          <w:tcPr>
            <w:tcW w:w="5040" w:type="dxa"/>
            <w:vAlign w:val="bottom"/>
            <w:tcBorders>
              <w:bottom w:val="single" w:sz="8" w:color="A26F2A"/>
            </w:tcBorders>
          </w:tcPr>
          <w:p>
            <w:pPr>
              <w:jc w:val="right"/>
              <w:ind w:right="264"/>
              <w:spacing w:after="0" w:line="227" w:lineRule="exact"/>
              <w:rPr>
                <w:sz w:val="20"/>
                <w:szCs w:val="20"/>
                <w:color w:val="auto"/>
              </w:rPr>
            </w:pPr>
            <w:r>
              <w:rPr>
                <w:rFonts w:ascii="Arial" w:cs="Arial" w:eastAsia="Arial" w:hAnsi="Arial"/>
                <w:sz w:val="15"/>
                <w:szCs w:val="15"/>
                <w:b w:val="1"/>
                <w:bCs w:val="1"/>
                <w:color w:val="auto"/>
              </w:rPr>
              <w:t>Stock Units</w:t>
            </w:r>
            <w:r>
              <w:rPr>
                <w:rFonts w:ascii="Arial" w:cs="Arial" w:eastAsia="Arial" w:hAnsi="Arial"/>
                <w:sz w:val="25"/>
                <w:szCs w:val="25"/>
                <w:b w:val="1"/>
                <w:bCs w:val="1"/>
                <w:color w:val="auto"/>
                <w:vertAlign w:val="superscript"/>
              </w:rPr>
              <w:t>(1)</w:t>
            </w:r>
          </w:p>
        </w:tc>
        <w:tc>
          <w:tcPr>
            <w:tcW w:w="1360" w:type="dxa"/>
            <w:vAlign w:val="bottom"/>
            <w:tcBorders>
              <w:bottom w:val="single" w:sz="8" w:color="A26F2A"/>
            </w:tcBorders>
            <w:gridSpan w:val="2"/>
          </w:tcPr>
          <w:p>
            <w:pPr>
              <w:jc w:val="right"/>
              <w:spacing w:after="0" w:line="227" w:lineRule="exact"/>
              <w:rPr>
                <w:sz w:val="20"/>
                <w:szCs w:val="20"/>
                <w:color w:val="auto"/>
              </w:rPr>
            </w:pPr>
            <w:r>
              <w:rPr>
                <w:rFonts w:ascii="Arial" w:cs="Arial" w:eastAsia="Arial" w:hAnsi="Arial"/>
                <w:sz w:val="15"/>
                <w:szCs w:val="15"/>
                <w:b w:val="1"/>
                <w:bCs w:val="1"/>
                <w:color w:val="auto"/>
              </w:rPr>
              <w:t>LTI Award</w:t>
            </w:r>
            <w:r>
              <w:rPr>
                <w:rFonts w:ascii="Arial" w:cs="Arial" w:eastAsia="Arial" w:hAnsi="Arial"/>
                <w:sz w:val="25"/>
                <w:szCs w:val="25"/>
                <w:b w:val="1"/>
                <w:bCs w:val="1"/>
                <w:color w:val="auto"/>
                <w:vertAlign w:val="superscript"/>
              </w:rPr>
              <w:t>(2)</w:t>
            </w:r>
          </w:p>
        </w:tc>
      </w:tr>
      <w:tr>
        <w:trPr>
          <w:trHeight w:val="177"/>
        </w:trPr>
        <w:tc>
          <w:tcPr>
            <w:tcW w:w="4840" w:type="dxa"/>
            <w:vAlign w:val="bottom"/>
            <w:tcBorders>
              <w:bottom w:val="single" w:sz="8" w:color="A8A8AC"/>
            </w:tcBorders>
          </w:tcPr>
          <w:p>
            <w:pPr>
              <w:ind w:left="60"/>
              <w:spacing w:after="0"/>
              <w:rPr>
                <w:sz w:val="20"/>
                <w:szCs w:val="20"/>
                <w:color w:val="auto"/>
              </w:rPr>
            </w:pPr>
            <w:r>
              <w:rPr>
                <w:rFonts w:ascii="Arial" w:cs="Arial" w:eastAsia="Arial" w:hAnsi="Arial"/>
                <w:sz w:val="15"/>
                <w:szCs w:val="15"/>
                <w:b w:val="1"/>
                <w:bCs w:val="1"/>
                <w:color w:val="auto"/>
              </w:rPr>
              <w:t>Kaes Van’t Hof</w:t>
            </w:r>
          </w:p>
        </w:tc>
        <w:tc>
          <w:tcPr>
            <w:tcW w:w="5040" w:type="dxa"/>
            <w:vAlign w:val="bottom"/>
            <w:tcBorders>
              <w:bottom w:val="single" w:sz="8" w:color="A8A8AC"/>
            </w:tcBorders>
          </w:tcPr>
          <w:p>
            <w:pPr>
              <w:jc w:val="right"/>
              <w:ind w:right="264"/>
              <w:spacing w:after="0"/>
              <w:rPr>
                <w:sz w:val="20"/>
                <w:szCs w:val="20"/>
                <w:color w:val="auto"/>
              </w:rPr>
            </w:pPr>
            <w:r>
              <w:rPr>
                <w:rFonts w:ascii="Arial" w:cs="Arial" w:eastAsia="Arial" w:hAnsi="Arial"/>
                <w:sz w:val="15"/>
                <w:szCs w:val="15"/>
                <w:color w:val="auto"/>
              </w:rPr>
              <w:t>27,074</w:t>
            </w:r>
          </w:p>
        </w:tc>
        <w:tc>
          <w:tcPr>
            <w:tcW w:w="6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w w:val="98"/>
              </w:rPr>
              <w:t>1,250,000</w:t>
            </w:r>
          </w:p>
        </w:tc>
      </w:tr>
      <w:tr>
        <w:trPr>
          <w:trHeight w:val="169"/>
        </w:trPr>
        <w:tc>
          <w:tcPr>
            <w:tcW w:w="484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Jere W. Thompson III</w:t>
            </w:r>
          </w:p>
        </w:tc>
        <w:tc>
          <w:tcPr>
            <w:tcW w:w="5040" w:type="dxa"/>
            <w:vAlign w:val="bottom"/>
            <w:tcBorders>
              <w:bottom w:val="single" w:sz="8" w:color="A8A8AC"/>
            </w:tcBorders>
          </w:tcPr>
          <w:p>
            <w:pPr>
              <w:jc w:val="right"/>
              <w:ind w:right="264"/>
              <w:spacing w:after="0" w:line="169" w:lineRule="exact"/>
              <w:rPr>
                <w:sz w:val="20"/>
                <w:szCs w:val="20"/>
                <w:color w:val="auto"/>
              </w:rPr>
            </w:pPr>
            <w:r>
              <w:rPr>
                <w:rFonts w:ascii="Arial" w:cs="Arial" w:eastAsia="Arial" w:hAnsi="Arial"/>
                <w:sz w:val="15"/>
                <w:szCs w:val="15"/>
                <w:color w:val="auto"/>
              </w:rPr>
              <w:t>8,664</w:t>
            </w:r>
          </w:p>
        </w:tc>
        <w:tc>
          <w:tcPr>
            <w:tcW w:w="6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400,000</w:t>
            </w:r>
          </w:p>
        </w:tc>
      </w:tr>
      <w:tr>
        <w:trPr>
          <w:trHeight w:val="169"/>
        </w:trPr>
        <w:tc>
          <w:tcPr>
            <w:tcW w:w="484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Teresa L. Dick</w:t>
            </w:r>
          </w:p>
        </w:tc>
        <w:tc>
          <w:tcPr>
            <w:tcW w:w="5040" w:type="dxa"/>
            <w:vAlign w:val="bottom"/>
            <w:tcBorders>
              <w:bottom w:val="single" w:sz="8" w:color="A8A8AC"/>
            </w:tcBorders>
          </w:tcPr>
          <w:p>
            <w:pPr>
              <w:jc w:val="right"/>
              <w:ind w:right="264"/>
              <w:spacing w:after="0" w:line="169" w:lineRule="exact"/>
              <w:rPr>
                <w:sz w:val="20"/>
                <w:szCs w:val="20"/>
                <w:color w:val="auto"/>
              </w:rPr>
            </w:pPr>
            <w:r>
              <w:rPr>
                <w:rFonts w:ascii="Arial" w:cs="Arial" w:eastAsia="Arial" w:hAnsi="Arial"/>
                <w:sz w:val="15"/>
                <w:szCs w:val="15"/>
                <w:color w:val="auto"/>
              </w:rPr>
              <w:t>5,415</w:t>
            </w:r>
          </w:p>
        </w:tc>
        <w:tc>
          <w:tcPr>
            <w:tcW w:w="6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250,000</w:t>
            </w:r>
          </w:p>
        </w:tc>
      </w:tr>
      <w:tr>
        <w:trPr>
          <w:trHeight w:val="169"/>
        </w:trPr>
        <w:tc>
          <w:tcPr>
            <w:tcW w:w="484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Daniel N. Wesson</w:t>
            </w:r>
          </w:p>
        </w:tc>
        <w:tc>
          <w:tcPr>
            <w:tcW w:w="5040" w:type="dxa"/>
            <w:vAlign w:val="bottom"/>
            <w:tcBorders>
              <w:bottom w:val="single" w:sz="8" w:color="A8A8AC"/>
            </w:tcBorders>
          </w:tcPr>
          <w:p>
            <w:pPr>
              <w:jc w:val="right"/>
              <w:ind w:right="264"/>
              <w:spacing w:after="0" w:line="169" w:lineRule="exact"/>
              <w:rPr>
                <w:sz w:val="20"/>
                <w:szCs w:val="20"/>
                <w:color w:val="auto"/>
              </w:rPr>
            </w:pPr>
            <w:r>
              <w:rPr>
                <w:rFonts w:ascii="Arial" w:cs="Arial" w:eastAsia="Arial" w:hAnsi="Arial"/>
                <w:sz w:val="15"/>
                <w:szCs w:val="15"/>
                <w:color w:val="auto"/>
              </w:rPr>
              <w:t>8,664</w:t>
            </w:r>
          </w:p>
        </w:tc>
        <w:tc>
          <w:tcPr>
            <w:tcW w:w="6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400,000</w:t>
            </w:r>
          </w:p>
        </w:tc>
      </w:tr>
      <w:tr>
        <w:trPr>
          <w:trHeight w:val="169"/>
        </w:trPr>
        <w:tc>
          <w:tcPr>
            <w:tcW w:w="4840" w:type="dxa"/>
            <w:vAlign w:val="bottom"/>
            <w:tcBorders>
              <w:bottom w:val="single" w:sz="8" w:color="A26F2A"/>
            </w:tcBorders>
          </w:tcPr>
          <w:p>
            <w:pPr>
              <w:ind w:left="60"/>
              <w:spacing w:after="0" w:line="169" w:lineRule="exact"/>
              <w:rPr>
                <w:sz w:val="20"/>
                <w:szCs w:val="20"/>
                <w:color w:val="auto"/>
              </w:rPr>
            </w:pPr>
            <w:r>
              <w:rPr>
                <w:rFonts w:ascii="Arial" w:cs="Arial" w:eastAsia="Arial" w:hAnsi="Arial"/>
                <w:sz w:val="15"/>
                <w:szCs w:val="15"/>
                <w:b w:val="1"/>
                <w:bCs w:val="1"/>
                <w:color w:val="auto"/>
              </w:rPr>
              <w:t>Matt Zmigrosky</w:t>
            </w:r>
          </w:p>
        </w:tc>
        <w:tc>
          <w:tcPr>
            <w:tcW w:w="5040" w:type="dxa"/>
            <w:vAlign w:val="bottom"/>
            <w:tcBorders>
              <w:bottom w:val="single" w:sz="8" w:color="A26F2A"/>
            </w:tcBorders>
          </w:tcPr>
          <w:p>
            <w:pPr>
              <w:jc w:val="right"/>
              <w:ind w:right="264"/>
              <w:spacing w:after="0" w:line="169" w:lineRule="exact"/>
              <w:rPr>
                <w:sz w:val="20"/>
                <w:szCs w:val="20"/>
                <w:color w:val="auto"/>
              </w:rPr>
            </w:pPr>
            <w:r>
              <w:rPr>
                <w:rFonts w:ascii="Arial" w:cs="Arial" w:eastAsia="Arial" w:hAnsi="Arial"/>
                <w:sz w:val="15"/>
                <w:szCs w:val="15"/>
                <w:color w:val="auto"/>
              </w:rPr>
              <w:t>8,664</w:t>
            </w:r>
          </w:p>
        </w:tc>
        <w:tc>
          <w:tcPr>
            <w:tcW w:w="64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400,000</w:t>
            </w:r>
          </w:p>
        </w:tc>
      </w:tr>
    </w:tbl>
    <w:p>
      <w:pPr>
        <w:spacing w:after="0" w:line="56" w:lineRule="exact"/>
        <w:rPr>
          <w:sz w:val="20"/>
          <w:szCs w:val="20"/>
          <w:color w:val="auto"/>
        </w:rPr>
      </w:pPr>
    </w:p>
    <w:p>
      <w:pPr>
        <w:ind w:left="300" w:hanging="299"/>
        <w:spacing w:after="0" w:line="283" w:lineRule="auto"/>
        <w:tabs>
          <w:tab w:leader="none" w:pos="300" w:val="left"/>
        </w:tabs>
        <w:numPr>
          <w:ilvl w:val="0"/>
          <w:numId w:val="82"/>
        </w:numPr>
        <w:rPr>
          <w:rFonts w:ascii="Arial" w:cs="Arial" w:eastAsia="Arial" w:hAnsi="Arial"/>
          <w:sz w:val="13"/>
          <w:szCs w:val="13"/>
          <w:i w:val="1"/>
          <w:iCs w:val="1"/>
          <w:color w:val="auto"/>
        </w:rPr>
      </w:pPr>
      <w:r>
        <w:rPr>
          <w:rFonts w:ascii="Arial" w:cs="Arial" w:eastAsia="Arial" w:hAnsi="Arial"/>
          <w:sz w:val="13"/>
          <w:szCs w:val="13"/>
          <w:i w:val="1"/>
          <w:iCs w:val="1"/>
          <w:color w:val="auto"/>
        </w:rPr>
        <w:t>The three-year performance-based restricted stock units are for the performance period from January 1, 2025, through December 31, 2027. Each NEO is also entitled to dividend equivalent rights on such NEO’s unvested performance-based restricted stock units at target.</w:t>
      </w:r>
    </w:p>
    <w:p>
      <w:pPr>
        <w:jc w:val="both"/>
        <w:ind w:left="300" w:hanging="299"/>
        <w:spacing w:after="0" w:line="264" w:lineRule="auto"/>
        <w:tabs>
          <w:tab w:leader="none" w:pos="300" w:val="left"/>
        </w:tabs>
        <w:numPr>
          <w:ilvl w:val="0"/>
          <w:numId w:val="82"/>
        </w:numPr>
        <w:rPr>
          <w:rFonts w:ascii="Arial" w:cs="Arial" w:eastAsia="Arial" w:hAnsi="Arial"/>
          <w:sz w:val="13"/>
          <w:szCs w:val="13"/>
          <w:i w:val="1"/>
          <w:iCs w:val="1"/>
          <w:color w:val="auto"/>
        </w:rPr>
      </w:pPr>
      <w:r>
        <w:rPr>
          <w:rFonts w:ascii="Arial" w:cs="Arial" w:eastAsia="Arial" w:hAnsi="Arial"/>
          <w:sz w:val="13"/>
          <w:szCs w:val="13"/>
          <w:i w:val="1"/>
          <w:iCs w:val="1"/>
          <w:color w:val="auto"/>
        </w:rPr>
        <w:t>The aggregate number of performance-based and time-based restricted stock units for each NEO for 2025 was calculated by dividing the targeted value of the total LTI award for each NEO indicated in the table by $46.17 per share, representing the average closing price per share of Viper’s common stock on The Nasdaq Global Select Market for the five trading days immediately preceding the last trading day in February 2025.</w:t>
      </w:r>
    </w:p>
    <w:p>
      <w:pPr>
        <w:spacing w:after="0" w:line="13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performance-based restricted stock units are subject to the performance of our total stockholder return relative to Viper’s TSR performance peer group for the applicable performance period. Additionally, the number of performance-based restricted stock units that would otherwise vest is further adjusted by an absolute TSR modifier that reduces payouts upon negative absolute TSR, and increases payouts when the absolute TSR is greater than 15%. No awards vest if the relative total</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5"/>
          <w:szCs w:val="15"/>
          <w:color w:val="auto"/>
        </w:rPr>
        <w:t>stockholder return (prior to any adjustment required by application of the absolute TSR modifier) falls below the 25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The performance-based restricted stock units are also subject to satisfaction of continuous service requirements. For more information regarding these performance-based restricted stock unit awards, please see Viper’s proxy statement filed with the SEC in connection with its 2026 annual meeting of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26F2A"/>
        </w:rPr>
        <w:t>VESTING OF 2023 PERFORMANCE-BASED AWARDS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February 2026, the compensation committee certified the attainment of the pre-established performance goals with respect to performance-based restricted stock units granted to our NEOs in March 2023, which awards were subject to the satisfaction of certain total stockholder return performance conditions relative to our TSR performance peer group for the performance period commencing on January 1, 2023 and ending on December 31, 2025, and continuous service requirements.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 certified that, based on publicly available information:</w:t>
      </w:r>
    </w:p>
    <w:p>
      <w:pPr>
        <w:spacing w:after="0" w:line="181" w:lineRule="exact"/>
        <w:rPr>
          <w:sz w:val="20"/>
          <w:szCs w:val="20"/>
          <w:color w:val="auto"/>
        </w:rPr>
      </w:pPr>
    </w:p>
    <w:p>
      <w:pPr>
        <w:ind w:left="300" w:hanging="299"/>
        <w:spacing w:after="0" w:line="216" w:lineRule="auto"/>
        <w:tabs>
          <w:tab w:leader="none" w:pos="300" w:val="left"/>
        </w:tabs>
        <w:numPr>
          <w:ilvl w:val="0"/>
          <w:numId w:val="83"/>
        </w:numPr>
        <w:rPr>
          <w:rFonts w:ascii="Arial" w:cs="Arial" w:eastAsia="Arial" w:hAnsi="Arial"/>
          <w:sz w:val="15"/>
          <w:szCs w:val="15"/>
          <w:b w:val="1"/>
          <w:bCs w:val="1"/>
          <w:color w:val="auto"/>
        </w:rPr>
      </w:pPr>
      <w:r>
        <w:rPr>
          <w:rFonts w:ascii="Arial" w:cs="Arial" w:eastAsia="Arial" w:hAnsi="Arial"/>
          <w:sz w:val="15"/>
          <w:szCs w:val="15"/>
          <w:color w:val="auto"/>
        </w:rPr>
        <w:t>our total stockholder return for the above-referenced performance period was in the 82</w:t>
      </w:r>
      <w:r>
        <w:rPr>
          <w:rFonts w:ascii="Arial" w:cs="Arial" w:eastAsia="Arial" w:hAnsi="Arial"/>
          <w:sz w:val="25"/>
          <w:szCs w:val="25"/>
          <w:color w:val="auto"/>
          <w:vertAlign w:val="superscript"/>
        </w:rPr>
        <w:t>nd</w:t>
      </w:r>
      <w:r>
        <w:rPr>
          <w:rFonts w:ascii="Arial" w:cs="Arial" w:eastAsia="Arial" w:hAnsi="Arial"/>
          <w:sz w:val="15"/>
          <w:szCs w:val="15"/>
          <w:color w:val="auto"/>
        </w:rPr>
        <w:t xml:space="preserve"> percentile of the applicable TSR performance peer group resulting in a target vesting percentage of 200%;</w:t>
      </w:r>
    </w:p>
    <w:p>
      <w:pPr>
        <w:spacing w:after="0" w:line="53" w:lineRule="exact"/>
        <w:rPr>
          <w:rFonts w:ascii="Arial" w:cs="Arial" w:eastAsia="Arial" w:hAnsi="Arial"/>
          <w:sz w:val="15"/>
          <w:szCs w:val="15"/>
          <w:b w:val="1"/>
          <w:bCs w:val="1"/>
          <w:color w:val="auto"/>
        </w:rPr>
      </w:pPr>
    </w:p>
    <w:p>
      <w:pPr>
        <w:jc w:val="both"/>
        <w:ind w:left="300" w:hanging="299"/>
        <w:spacing w:after="0" w:line="264" w:lineRule="auto"/>
        <w:tabs>
          <w:tab w:leader="none" w:pos="300" w:val="left"/>
        </w:tabs>
        <w:numPr>
          <w:ilvl w:val="0"/>
          <w:numId w:val="83"/>
        </w:numPr>
        <w:rPr>
          <w:rFonts w:ascii="Arial" w:cs="Arial" w:eastAsia="Arial" w:hAnsi="Arial"/>
          <w:sz w:val="15"/>
          <w:szCs w:val="15"/>
          <w:b w:val="1"/>
          <w:bCs w:val="1"/>
          <w:color w:val="auto"/>
        </w:rPr>
      </w:pPr>
      <w:r>
        <w:rPr>
          <w:rFonts w:ascii="Arial" w:cs="Arial" w:eastAsia="Arial" w:hAnsi="Arial"/>
          <w:sz w:val="15"/>
          <w:szCs w:val="15"/>
          <w:color w:val="auto"/>
        </w:rPr>
        <w:t>the cumulative absolute total stockholder return percentage for the above-referenced performance period was approximately 27% (approximately 8% on an annualized basis), resulting in no further adjustment by the absolute TSR modifier and a resulting vesting percentage of 200% of the target number of restricted stock units granted to the NEOs; and</w:t>
      </w:r>
    </w:p>
    <w:p>
      <w:pPr>
        <w:spacing w:after="0" w:line="36" w:lineRule="exact"/>
        <w:rPr>
          <w:rFonts w:ascii="Arial" w:cs="Arial" w:eastAsia="Arial" w:hAnsi="Arial"/>
          <w:sz w:val="15"/>
          <w:szCs w:val="15"/>
          <w:b w:val="1"/>
          <w:bCs w:val="1"/>
          <w:color w:val="auto"/>
        </w:rPr>
      </w:pPr>
    </w:p>
    <w:p>
      <w:pPr>
        <w:ind w:left="300" w:hanging="299"/>
        <w:spacing w:after="0" w:line="282" w:lineRule="auto"/>
        <w:tabs>
          <w:tab w:leader="none" w:pos="300" w:val="left"/>
        </w:tabs>
        <w:numPr>
          <w:ilvl w:val="0"/>
          <w:numId w:val="83"/>
        </w:numPr>
        <w:rPr>
          <w:rFonts w:ascii="Arial" w:cs="Arial" w:eastAsia="Arial" w:hAnsi="Arial"/>
          <w:sz w:val="15"/>
          <w:szCs w:val="15"/>
          <w:b w:val="1"/>
          <w:bCs w:val="1"/>
          <w:color w:val="auto"/>
        </w:rPr>
      </w:pPr>
      <w:r>
        <w:rPr>
          <w:rFonts w:ascii="Arial" w:cs="Arial" w:eastAsia="Arial" w:hAnsi="Arial"/>
          <w:sz w:val="15"/>
          <w:szCs w:val="15"/>
          <w:color w:val="auto"/>
        </w:rPr>
        <w:t>the applicable performance target and other material terms of such performance-based restricted stock unit awards were achieved at such levels for the above-referenced performance period.</w:t>
      </w:r>
    </w:p>
    <w:p>
      <w:pPr>
        <w:spacing w:after="0" w:line="12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Acquired companies were not excluded from the relative comparison during the performance period, and the total stockholder return for such companies was measured assuming the performance period ended for each such company at the announcement of the applicable acquisition.</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connection with reaching these performance goals, each of the 2023 performance-based restricted stock unit awards received by Messrs. Stice, Van’t Hof, Thompson, Wesson and Zmigrosky and Ms. Dick vested at 200% of the target, resulting in the issuance of the shares of the Company’s common stock underlying the 2023 performance-based restricted stock units to these NEOs in March 2026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80" w:type="dxa"/>
            <w:vAlign w:val="bottom"/>
          </w:tcPr>
          <w:p>
            <w:pPr>
              <w:spacing w:after="0"/>
              <w:rPr>
                <w:sz w:val="15"/>
                <w:szCs w:val="15"/>
                <w:color w:val="auto"/>
              </w:rPr>
            </w:pPr>
          </w:p>
        </w:tc>
        <w:tc>
          <w:tcPr>
            <w:tcW w:w="3840" w:type="dxa"/>
            <w:vAlign w:val="bottom"/>
          </w:tcPr>
          <w:p>
            <w:pPr>
              <w:jc w:val="right"/>
              <w:ind w:right="84"/>
              <w:spacing w:after="0"/>
              <w:rPr>
                <w:sz w:val="20"/>
                <w:szCs w:val="20"/>
                <w:color w:val="auto"/>
              </w:rPr>
            </w:pPr>
            <w:r>
              <w:rPr>
                <w:rFonts w:ascii="Arial" w:cs="Arial" w:eastAsia="Arial" w:hAnsi="Arial"/>
                <w:sz w:val="15"/>
                <w:szCs w:val="15"/>
                <w:b w:val="1"/>
                <w:bCs w:val="1"/>
                <w:color w:val="auto"/>
              </w:rPr>
              <w:t>2023</w:t>
            </w:r>
          </w:p>
        </w:tc>
        <w:tc>
          <w:tcPr>
            <w:tcW w:w="1700" w:type="dxa"/>
            <w:vAlign w:val="bottom"/>
          </w:tcPr>
          <w:p>
            <w:pPr>
              <w:jc w:val="right"/>
              <w:ind w:right="84"/>
              <w:spacing w:after="0"/>
              <w:rPr>
                <w:sz w:val="20"/>
                <w:szCs w:val="20"/>
                <w:color w:val="auto"/>
              </w:rPr>
            </w:pPr>
            <w:r>
              <w:rPr>
                <w:rFonts w:ascii="Arial" w:cs="Arial" w:eastAsia="Arial" w:hAnsi="Arial"/>
                <w:sz w:val="15"/>
                <w:szCs w:val="15"/>
                <w:b w:val="1"/>
                <w:bCs w:val="1"/>
                <w:color w:val="auto"/>
              </w:rPr>
              <w:t>Vesting Percentage</w:t>
            </w: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Actual 2023</w:t>
            </w:r>
          </w:p>
        </w:tc>
      </w:tr>
      <w:tr>
        <w:trPr>
          <w:trHeight w:val="177"/>
        </w:trPr>
        <w:tc>
          <w:tcPr>
            <w:tcW w:w="4080" w:type="dxa"/>
            <w:vAlign w:val="bottom"/>
          </w:tcPr>
          <w:p>
            <w:pPr>
              <w:spacing w:after="0"/>
              <w:rPr>
                <w:sz w:val="15"/>
                <w:szCs w:val="15"/>
                <w:color w:val="auto"/>
              </w:rPr>
            </w:pPr>
          </w:p>
        </w:tc>
        <w:tc>
          <w:tcPr>
            <w:tcW w:w="3840" w:type="dxa"/>
            <w:vAlign w:val="bottom"/>
          </w:tcPr>
          <w:p>
            <w:pPr>
              <w:jc w:val="right"/>
              <w:ind w:right="84"/>
              <w:spacing w:after="0"/>
              <w:rPr>
                <w:sz w:val="20"/>
                <w:szCs w:val="20"/>
                <w:color w:val="auto"/>
              </w:rPr>
            </w:pPr>
            <w:r>
              <w:rPr>
                <w:rFonts w:ascii="Arial" w:cs="Arial" w:eastAsia="Arial" w:hAnsi="Arial"/>
                <w:sz w:val="15"/>
                <w:szCs w:val="15"/>
                <w:b w:val="1"/>
                <w:bCs w:val="1"/>
                <w:color w:val="auto"/>
              </w:rPr>
              <w:t>Performance-Based</w:t>
            </w:r>
          </w:p>
        </w:tc>
        <w:tc>
          <w:tcPr>
            <w:tcW w:w="1700" w:type="dxa"/>
            <w:vAlign w:val="bottom"/>
          </w:tcPr>
          <w:p>
            <w:pPr>
              <w:jc w:val="right"/>
              <w:ind w:right="84"/>
              <w:spacing w:after="0"/>
              <w:rPr>
                <w:sz w:val="20"/>
                <w:szCs w:val="20"/>
                <w:color w:val="auto"/>
              </w:rPr>
            </w:pPr>
            <w:r>
              <w:rPr>
                <w:rFonts w:ascii="Arial" w:cs="Arial" w:eastAsia="Arial" w:hAnsi="Arial"/>
                <w:sz w:val="15"/>
                <w:szCs w:val="15"/>
                <w:b w:val="1"/>
                <w:bCs w:val="1"/>
                <w:color w:val="auto"/>
              </w:rPr>
              <w:t>After Application of</w:t>
            </w: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Performance-Based</w:t>
            </w:r>
          </w:p>
        </w:tc>
      </w:tr>
      <w:tr>
        <w:trPr>
          <w:trHeight w:val="177"/>
        </w:trPr>
        <w:tc>
          <w:tcPr>
            <w:tcW w:w="4080" w:type="dxa"/>
            <w:vAlign w:val="bottom"/>
          </w:tcPr>
          <w:p>
            <w:pPr>
              <w:spacing w:after="0"/>
              <w:rPr>
                <w:sz w:val="15"/>
                <w:szCs w:val="15"/>
                <w:color w:val="auto"/>
              </w:rPr>
            </w:pPr>
          </w:p>
        </w:tc>
        <w:tc>
          <w:tcPr>
            <w:tcW w:w="3840" w:type="dxa"/>
            <w:vAlign w:val="bottom"/>
          </w:tcPr>
          <w:p>
            <w:pPr>
              <w:jc w:val="right"/>
              <w:ind w:right="84"/>
              <w:spacing w:after="0"/>
              <w:rPr>
                <w:sz w:val="20"/>
                <w:szCs w:val="20"/>
                <w:color w:val="auto"/>
              </w:rPr>
            </w:pPr>
            <w:r>
              <w:rPr>
                <w:rFonts w:ascii="Arial" w:cs="Arial" w:eastAsia="Arial" w:hAnsi="Arial"/>
                <w:sz w:val="15"/>
                <w:szCs w:val="15"/>
                <w:b w:val="1"/>
                <w:bCs w:val="1"/>
                <w:color w:val="auto"/>
              </w:rPr>
              <w:t>Restricted Stock</w:t>
            </w:r>
          </w:p>
        </w:tc>
        <w:tc>
          <w:tcPr>
            <w:tcW w:w="1700" w:type="dxa"/>
            <w:vAlign w:val="bottom"/>
          </w:tcPr>
          <w:p>
            <w:pPr>
              <w:jc w:val="right"/>
              <w:ind w:right="84"/>
              <w:spacing w:after="0"/>
              <w:rPr>
                <w:sz w:val="20"/>
                <w:szCs w:val="20"/>
                <w:color w:val="auto"/>
              </w:rPr>
            </w:pPr>
            <w:r>
              <w:rPr>
                <w:rFonts w:ascii="Arial" w:cs="Arial" w:eastAsia="Arial" w:hAnsi="Arial"/>
                <w:sz w:val="15"/>
                <w:szCs w:val="15"/>
                <w:b w:val="1"/>
                <w:bCs w:val="1"/>
                <w:color w:val="auto"/>
              </w:rPr>
              <w:t>Absolute TSR</w:t>
            </w: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Restricted Stock</w:t>
            </w:r>
          </w:p>
        </w:tc>
      </w:tr>
      <w:tr>
        <w:trPr>
          <w:trHeight w:val="194"/>
        </w:trPr>
        <w:tc>
          <w:tcPr>
            <w:tcW w:w="408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Named Executive Officer</w:t>
            </w:r>
          </w:p>
        </w:tc>
        <w:tc>
          <w:tcPr>
            <w:tcW w:w="3840" w:type="dxa"/>
            <w:vAlign w:val="bottom"/>
            <w:tcBorders>
              <w:bottom w:val="single" w:sz="8" w:color="A26F2A"/>
            </w:tcBorders>
          </w:tcPr>
          <w:p>
            <w:pPr>
              <w:jc w:val="right"/>
              <w:ind w:right="84"/>
              <w:spacing w:after="0"/>
              <w:rPr>
                <w:sz w:val="20"/>
                <w:szCs w:val="20"/>
                <w:color w:val="auto"/>
              </w:rPr>
            </w:pPr>
            <w:r>
              <w:rPr>
                <w:rFonts w:ascii="Arial" w:cs="Arial" w:eastAsia="Arial" w:hAnsi="Arial"/>
                <w:sz w:val="15"/>
                <w:szCs w:val="15"/>
                <w:b w:val="1"/>
                <w:bCs w:val="1"/>
                <w:color w:val="auto"/>
              </w:rPr>
              <w:t>Unit Award</w:t>
            </w:r>
          </w:p>
        </w:tc>
        <w:tc>
          <w:tcPr>
            <w:tcW w:w="1700" w:type="dxa"/>
            <w:vAlign w:val="bottom"/>
            <w:tcBorders>
              <w:bottom w:val="single" w:sz="8" w:color="A26F2A"/>
            </w:tcBorders>
          </w:tcPr>
          <w:p>
            <w:pPr>
              <w:jc w:val="right"/>
              <w:ind w:right="84"/>
              <w:spacing w:after="0"/>
              <w:rPr>
                <w:sz w:val="20"/>
                <w:szCs w:val="20"/>
                <w:color w:val="auto"/>
              </w:rPr>
            </w:pPr>
            <w:r>
              <w:rPr>
                <w:rFonts w:ascii="Arial" w:cs="Arial" w:eastAsia="Arial" w:hAnsi="Arial"/>
                <w:sz w:val="15"/>
                <w:szCs w:val="15"/>
                <w:b w:val="1"/>
                <w:bCs w:val="1"/>
                <w:color w:val="auto"/>
              </w:rPr>
              <w:t>Modifier</w:t>
            </w:r>
          </w:p>
        </w:tc>
        <w:tc>
          <w:tcPr>
            <w:tcW w:w="1620" w:type="dxa"/>
            <w:vAlign w:val="bottom"/>
            <w:tcBorders>
              <w:bottom w:val="single" w:sz="8" w:color="A26F2A"/>
            </w:tcBorders>
          </w:tcPr>
          <w:p>
            <w:pPr>
              <w:jc w:val="right"/>
              <w:spacing w:after="0"/>
              <w:rPr>
                <w:sz w:val="20"/>
                <w:szCs w:val="20"/>
                <w:color w:val="auto"/>
              </w:rPr>
            </w:pPr>
            <w:r>
              <w:rPr>
                <w:rFonts w:ascii="Arial" w:cs="Arial" w:eastAsia="Arial" w:hAnsi="Arial"/>
                <w:sz w:val="15"/>
                <w:szCs w:val="15"/>
                <w:b w:val="1"/>
                <w:bCs w:val="1"/>
                <w:color w:val="auto"/>
              </w:rPr>
              <w:t>Units Earned</w:t>
            </w:r>
          </w:p>
        </w:tc>
      </w:tr>
      <w:tr>
        <w:trPr>
          <w:trHeight w:val="177"/>
        </w:trPr>
        <w:tc>
          <w:tcPr>
            <w:tcW w:w="4080" w:type="dxa"/>
            <w:vAlign w:val="bottom"/>
            <w:tcBorders>
              <w:bottom w:val="single" w:sz="8" w:color="A8A8AC"/>
            </w:tcBorders>
          </w:tcPr>
          <w:p>
            <w:pPr>
              <w:ind w:left="60"/>
              <w:spacing w:after="0"/>
              <w:rPr>
                <w:sz w:val="20"/>
                <w:szCs w:val="20"/>
                <w:color w:val="auto"/>
              </w:rPr>
            </w:pPr>
            <w:r>
              <w:rPr>
                <w:rFonts w:ascii="Arial" w:cs="Arial" w:eastAsia="Arial" w:hAnsi="Arial"/>
                <w:sz w:val="15"/>
                <w:szCs w:val="15"/>
                <w:b w:val="1"/>
                <w:bCs w:val="1"/>
                <w:color w:val="auto"/>
              </w:rPr>
              <w:t>Travis D. Stice</w:t>
            </w:r>
          </w:p>
        </w:tc>
        <w:tc>
          <w:tcPr>
            <w:tcW w:w="3840" w:type="dxa"/>
            <w:vAlign w:val="bottom"/>
            <w:tcBorders>
              <w:bottom w:val="single" w:sz="8" w:color="A8A8AC"/>
            </w:tcBorders>
          </w:tcPr>
          <w:p>
            <w:pPr>
              <w:jc w:val="right"/>
              <w:ind w:right="84"/>
              <w:spacing w:after="0"/>
              <w:rPr>
                <w:sz w:val="20"/>
                <w:szCs w:val="20"/>
                <w:color w:val="auto"/>
              </w:rPr>
            </w:pPr>
            <w:r>
              <w:rPr>
                <w:rFonts w:ascii="Arial" w:cs="Arial" w:eastAsia="Arial" w:hAnsi="Arial"/>
                <w:sz w:val="15"/>
                <w:szCs w:val="15"/>
                <w:color w:val="auto"/>
              </w:rPr>
              <w:t>40,509</w:t>
            </w:r>
          </w:p>
        </w:tc>
        <w:tc>
          <w:tcPr>
            <w:tcW w:w="1700" w:type="dxa"/>
            <w:vAlign w:val="bottom"/>
            <w:tcBorders>
              <w:bottom w:val="single" w:sz="8" w:color="A8A8AC"/>
            </w:tcBorders>
          </w:tcPr>
          <w:p>
            <w:pPr>
              <w:jc w:val="right"/>
              <w:ind w:right="84"/>
              <w:spacing w:after="0"/>
              <w:rPr>
                <w:sz w:val="20"/>
                <w:szCs w:val="20"/>
                <w:color w:val="auto"/>
              </w:rPr>
            </w:pPr>
            <w:r>
              <w:rPr>
                <w:rFonts w:ascii="Arial" w:cs="Arial" w:eastAsia="Arial" w:hAnsi="Arial"/>
                <w:sz w:val="15"/>
                <w:szCs w:val="15"/>
                <w:color w:val="auto"/>
              </w:rPr>
              <w:t>200%</w:t>
            </w:r>
          </w:p>
        </w:tc>
        <w:tc>
          <w:tcPr>
            <w:tcW w:w="162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81,018</w:t>
            </w:r>
          </w:p>
        </w:tc>
      </w:tr>
      <w:tr>
        <w:trPr>
          <w:trHeight w:val="169"/>
        </w:trPr>
        <w:tc>
          <w:tcPr>
            <w:tcW w:w="408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Kaes Van’t Hof</w:t>
            </w:r>
          </w:p>
        </w:tc>
        <w:tc>
          <w:tcPr>
            <w:tcW w:w="384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18,218</w:t>
            </w:r>
          </w:p>
        </w:tc>
        <w:tc>
          <w:tcPr>
            <w:tcW w:w="170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200%</w:t>
            </w:r>
          </w:p>
        </w:tc>
        <w:tc>
          <w:tcPr>
            <w:tcW w:w="162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36,436</w:t>
            </w:r>
          </w:p>
        </w:tc>
      </w:tr>
      <w:tr>
        <w:trPr>
          <w:trHeight w:val="169"/>
        </w:trPr>
        <w:tc>
          <w:tcPr>
            <w:tcW w:w="408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Jere W. Thompson III</w:t>
            </w:r>
          </w:p>
        </w:tc>
        <w:tc>
          <w:tcPr>
            <w:tcW w:w="384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3,858</w:t>
            </w:r>
          </w:p>
        </w:tc>
        <w:tc>
          <w:tcPr>
            <w:tcW w:w="170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200%</w:t>
            </w:r>
          </w:p>
        </w:tc>
        <w:tc>
          <w:tcPr>
            <w:tcW w:w="162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7,716</w:t>
            </w:r>
          </w:p>
        </w:tc>
      </w:tr>
      <w:tr>
        <w:trPr>
          <w:trHeight w:val="169"/>
        </w:trPr>
        <w:tc>
          <w:tcPr>
            <w:tcW w:w="408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Teresa L. Dick</w:t>
            </w:r>
          </w:p>
        </w:tc>
        <w:tc>
          <w:tcPr>
            <w:tcW w:w="384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9,216</w:t>
            </w:r>
          </w:p>
        </w:tc>
        <w:tc>
          <w:tcPr>
            <w:tcW w:w="170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200%</w:t>
            </w:r>
          </w:p>
        </w:tc>
        <w:tc>
          <w:tcPr>
            <w:tcW w:w="162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18,432</w:t>
            </w:r>
          </w:p>
        </w:tc>
      </w:tr>
      <w:tr>
        <w:trPr>
          <w:trHeight w:val="169"/>
        </w:trPr>
        <w:tc>
          <w:tcPr>
            <w:tcW w:w="408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Daniel N. Wesson</w:t>
            </w:r>
          </w:p>
        </w:tc>
        <w:tc>
          <w:tcPr>
            <w:tcW w:w="384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13,289</w:t>
            </w:r>
          </w:p>
        </w:tc>
        <w:tc>
          <w:tcPr>
            <w:tcW w:w="170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200%</w:t>
            </w:r>
          </w:p>
        </w:tc>
        <w:tc>
          <w:tcPr>
            <w:tcW w:w="162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26,578</w:t>
            </w:r>
          </w:p>
        </w:tc>
      </w:tr>
      <w:tr>
        <w:trPr>
          <w:trHeight w:val="169"/>
        </w:trPr>
        <w:tc>
          <w:tcPr>
            <w:tcW w:w="4080" w:type="dxa"/>
            <w:vAlign w:val="bottom"/>
            <w:tcBorders>
              <w:bottom w:val="single" w:sz="8" w:color="A26F2A"/>
            </w:tcBorders>
          </w:tcPr>
          <w:p>
            <w:pPr>
              <w:ind w:left="60"/>
              <w:spacing w:after="0" w:line="169" w:lineRule="exact"/>
              <w:rPr>
                <w:sz w:val="20"/>
                <w:szCs w:val="20"/>
                <w:color w:val="auto"/>
              </w:rPr>
            </w:pPr>
            <w:r>
              <w:rPr>
                <w:rFonts w:ascii="Arial" w:cs="Arial" w:eastAsia="Arial" w:hAnsi="Arial"/>
                <w:sz w:val="15"/>
                <w:szCs w:val="15"/>
                <w:b w:val="1"/>
                <w:bCs w:val="1"/>
                <w:color w:val="auto"/>
              </w:rPr>
              <w:t>Matt Zmigrosky</w:t>
            </w:r>
          </w:p>
        </w:tc>
        <w:tc>
          <w:tcPr>
            <w:tcW w:w="3840" w:type="dxa"/>
            <w:vAlign w:val="bottom"/>
            <w:tcBorders>
              <w:bottom w:val="single" w:sz="8" w:color="A26F2A"/>
            </w:tcBorders>
          </w:tcPr>
          <w:p>
            <w:pPr>
              <w:jc w:val="right"/>
              <w:ind w:right="84"/>
              <w:spacing w:after="0" w:line="169" w:lineRule="exact"/>
              <w:rPr>
                <w:sz w:val="20"/>
                <w:szCs w:val="20"/>
                <w:color w:val="auto"/>
              </w:rPr>
            </w:pPr>
            <w:r>
              <w:rPr>
                <w:rFonts w:ascii="Arial" w:cs="Arial" w:eastAsia="Arial" w:hAnsi="Arial"/>
                <w:sz w:val="15"/>
                <w:szCs w:val="15"/>
                <w:color w:val="auto"/>
              </w:rPr>
              <w:t>10,717</w:t>
            </w:r>
          </w:p>
        </w:tc>
        <w:tc>
          <w:tcPr>
            <w:tcW w:w="1700" w:type="dxa"/>
            <w:vAlign w:val="bottom"/>
            <w:tcBorders>
              <w:bottom w:val="single" w:sz="8" w:color="A26F2A"/>
            </w:tcBorders>
          </w:tcPr>
          <w:p>
            <w:pPr>
              <w:jc w:val="right"/>
              <w:ind w:right="84"/>
              <w:spacing w:after="0" w:line="169" w:lineRule="exact"/>
              <w:rPr>
                <w:sz w:val="20"/>
                <w:szCs w:val="20"/>
                <w:color w:val="auto"/>
              </w:rPr>
            </w:pPr>
            <w:r>
              <w:rPr>
                <w:rFonts w:ascii="Arial" w:cs="Arial" w:eastAsia="Arial" w:hAnsi="Arial"/>
                <w:sz w:val="15"/>
                <w:szCs w:val="15"/>
                <w:color w:val="auto"/>
              </w:rPr>
              <w:t>200%</w:t>
            </w:r>
          </w:p>
        </w:tc>
        <w:tc>
          <w:tcPr>
            <w:tcW w:w="162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21,434</w:t>
            </w:r>
          </w:p>
        </w:tc>
      </w:tr>
    </w:tbl>
    <w:p>
      <w:pPr>
        <w:spacing w:after="0" w:line="16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ind w:left="380" w:right="960" w:hanging="370"/>
        <w:spacing w:after="0" w:line="300" w:lineRule="auto"/>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OTHER SIGNIFICANT COMPENSATION AND BENEFIT PLANS, POLICIES AND</w:t>
      </w: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PRACTICES</w:t>
      </w:r>
    </w:p>
    <w:p>
      <w:pPr>
        <w:spacing w:after="0" w:line="167"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Senior Management Severance Plan</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Effective February 20, 2020, we adopted the Diamondback Energy, Inc. Senior Management Severance Plan, which was (i) amended and restated effective February 21, 2022, to provide for adjustments to severance benefits in connection with certain executive promotions and related title changes and (ii) revised to provide for certain clarifying amendments effective February 11, 2024 and effective April 6, 2025 (as so amended and restated, the severance plan). We entered into a participation agreement thereunder with each of our NEOs. Pursuant to the participation agreements, the benefits under the severance plan replace any prior employment agreement with each of our NEOs. The severance plan also covers other eligible executives who are selected to participate and replaces any employment agreement they may have had. The severance plan provides a uniform framework for certain severance and change in control benefits that are consistent with market practices and is described in more detail below.</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Payments and Benefits Unrelated to a Change in Control</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the event that the employment of a participating executive is terminated by us other than for “cause” (and not by reason of death or disability) or if the participant terminates his or her employment for “good reason” (in each case as defined in the severance plan), in addition to any accrued but unpaid base salary or unreimbursed business expenses payable in accordance with the requirements of applicable law, the participant is entitled to receive severance benefits consisting of:</w:t>
      </w:r>
    </w:p>
    <w:p>
      <w:pPr>
        <w:spacing w:after="0" w:line="138" w:lineRule="exact"/>
        <w:rPr>
          <w:sz w:val="20"/>
          <w:szCs w:val="20"/>
          <w:color w:val="auto"/>
        </w:rPr>
      </w:pPr>
    </w:p>
    <w:p>
      <w:pPr>
        <w:ind w:left="300" w:hanging="299"/>
        <w:spacing w:after="0" w:line="282" w:lineRule="auto"/>
        <w:tabs>
          <w:tab w:leader="none" w:pos="300" w:val="left"/>
        </w:tabs>
        <w:numPr>
          <w:ilvl w:val="0"/>
          <w:numId w:val="85"/>
        </w:numPr>
        <w:rPr>
          <w:rFonts w:ascii="Arial" w:cs="Arial" w:eastAsia="Arial" w:hAnsi="Arial"/>
          <w:sz w:val="15"/>
          <w:szCs w:val="15"/>
          <w:b w:val="1"/>
          <w:bCs w:val="1"/>
          <w:color w:val="auto"/>
        </w:rPr>
      </w:pPr>
      <w:r>
        <w:rPr>
          <w:rFonts w:ascii="Arial" w:cs="Arial" w:eastAsia="Arial" w:hAnsi="Arial"/>
          <w:sz w:val="15"/>
          <w:szCs w:val="15"/>
          <w:color w:val="auto"/>
        </w:rPr>
        <w:t>an amount, if any, equal to the bonus that would be payable for services attributable to a completed prior year performance period that has not been paid under the terms of the Annual Incentive Plan or any successor annual cash incentive plan or program;</w:t>
      </w:r>
    </w:p>
    <w:p>
      <w:pPr>
        <w:spacing w:after="0" w:line="23" w:lineRule="exact"/>
        <w:rPr>
          <w:rFonts w:ascii="Arial" w:cs="Arial" w:eastAsia="Arial" w:hAnsi="Arial"/>
          <w:sz w:val="15"/>
          <w:szCs w:val="15"/>
          <w:b w:val="1"/>
          <w:bCs w:val="1"/>
          <w:color w:val="auto"/>
        </w:rPr>
      </w:pPr>
    </w:p>
    <w:p>
      <w:pPr>
        <w:ind w:left="300" w:hanging="299"/>
        <w:spacing w:after="0" w:line="282" w:lineRule="auto"/>
        <w:tabs>
          <w:tab w:leader="none" w:pos="300" w:val="left"/>
        </w:tabs>
        <w:numPr>
          <w:ilvl w:val="0"/>
          <w:numId w:val="85"/>
        </w:numPr>
        <w:rPr>
          <w:rFonts w:ascii="Arial" w:cs="Arial" w:eastAsia="Arial" w:hAnsi="Arial"/>
          <w:sz w:val="15"/>
          <w:szCs w:val="15"/>
          <w:b w:val="1"/>
          <w:bCs w:val="1"/>
          <w:color w:val="auto"/>
        </w:rPr>
      </w:pPr>
      <w:r>
        <w:rPr>
          <w:rFonts w:ascii="Arial" w:cs="Arial" w:eastAsia="Arial" w:hAnsi="Arial"/>
          <w:sz w:val="15"/>
          <w:szCs w:val="15"/>
          <w:color w:val="auto"/>
        </w:rPr>
        <w:t>base salary continuation for a specified number of months: 24 months of base salary for the Chief Executive Officer; 18 months for Executive Vice Presidents; 15 months for Senior Vice Presidents and 12 months for Vice Presidents;</w:t>
      </w:r>
    </w:p>
    <w:p>
      <w:pPr>
        <w:spacing w:after="0" w:line="23" w:lineRule="exact"/>
        <w:rPr>
          <w:rFonts w:ascii="Arial" w:cs="Arial" w:eastAsia="Arial" w:hAnsi="Arial"/>
          <w:sz w:val="15"/>
          <w:szCs w:val="15"/>
          <w:b w:val="1"/>
          <w:bCs w:val="1"/>
          <w:color w:val="auto"/>
        </w:rPr>
      </w:pPr>
    </w:p>
    <w:p>
      <w:pPr>
        <w:ind w:left="300" w:hanging="299"/>
        <w:spacing w:after="0"/>
        <w:tabs>
          <w:tab w:leader="none" w:pos="300" w:val="left"/>
        </w:tabs>
        <w:numPr>
          <w:ilvl w:val="0"/>
          <w:numId w:val="85"/>
        </w:numPr>
        <w:rPr>
          <w:rFonts w:ascii="Arial" w:cs="Arial" w:eastAsia="Arial" w:hAnsi="Arial"/>
          <w:sz w:val="15"/>
          <w:szCs w:val="15"/>
          <w:b w:val="1"/>
          <w:bCs w:val="1"/>
          <w:color w:val="auto"/>
        </w:rPr>
      </w:pPr>
      <w:r>
        <w:rPr>
          <w:rFonts w:ascii="Arial" w:cs="Arial" w:eastAsia="Arial" w:hAnsi="Arial"/>
          <w:sz w:val="15"/>
          <w:szCs w:val="15"/>
          <w:color w:val="auto"/>
        </w:rPr>
        <w:t>a pro-rated target annual cash bonus for the year of termination (based on the number of days employed during the year of termination);</w:t>
      </w:r>
    </w:p>
    <w:p>
      <w:pPr>
        <w:spacing w:after="0" w:line="79" w:lineRule="exact"/>
        <w:rPr>
          <w:rFonts w:ascii="Arial" w:cs="Arial" w:eastAsia="Arial" w:hAnsi="Arial"/>
          <w:sz w:val="15"/>
          <w:szCs w:val="15"/>
          <w:b w:val="1"/>
          <w:bCs w:val="1"/>
          <w:color w:val="auto"/>
        </w:rPr>
      </w:pPr>
    </w:p>
    <w:p>
      <w:pPr>
        <w:ind w:left="300" w:hanging="299"/>
        <w:spacing w:after="0"/>
        <w:tabs>
          <w:tab w:leader="none" w:pos="300" w:val="left"/>
        </w:tabs>
        <w:numPr>
          <w:ilvl w:val="0"/>
          <w:numId w:val="85"/>
        </w:numPr>
        <w:rPr>
          <w:rFonts w:ascii="Arial" w:cs="Arial" w:eastAsia="Arial" w:hAnsi="Arial"/>
          <w:sz w:val="15"/>
          <w:szCs w:val="15"/>
          <w:b w:val="1"/>
          <w:bCs w:val="1"/>
          <w:color w:val="auto"/>
        </w:rPr>
      </w:pPr>
      <w:r>
        <w:rPr>
          <w:rFonts w:ascii="Arial" w:cs="Arial" w:eastAsia="Arial" w:hAnsi="Arial"/>
          <w:sz w:val="15"/>
          <w:szCs w:val="15"/>
          <w:color w:val="auto"/>
        </w:rPr>
        <w:t>reimbursements for the cost of up to 18 months of premiums for COBRA group health continuation coverage; and</w:t>
      </w:r>
    </w:p>
    <w:p>
      <w:pPr>
        <w:spacing w:after="0" w:line="79" w:lineRule="exact"/>
        <w:rPr>
          <w:rFonts w:ascii="Arial" w:cs="Arial" w:eastAsia="Arial" w:hAnsi="Arial"/>
          <w:sz w:val="15"/>
          <w:szCs w:val="15"/>
          <w:b w:val="1"/>
          <w:bCs w:val="1"/>
          <w:color w:val="auto"/>
        </w:rPr>
      </w:pPr>
    </w:p>
    <w:p>
      <w:pPr>
        <w:ind w:left="300" w:hanging="299"/>
        <w:spacing w:after="0" w:line="282" w:lineRule="auto"/>
        <w:tabs>
          <w:tab w:leader="none" w:pos="300" w:val="left"/>
        </w:tabs>
        <w:numPr>
          <w:ilvl w:val="0"/>
          <w:numId w:val="85"/>
        </w:numPr>
        <w:rPr>
          <w:rFonts w:ascii="Arial" w:cs="Arial" w:eastAsia="Arial" w:hAnsi="Arial"/>
          <w:sz w:val="15"/>
          <w:szCs w:val="15"/>
          <w:b w:val="1"/>
          <w:bCs w:val="1"/>
          <w:color w:val="auto"/>
        </w:rPr>
      </w:pPr>
      <w:r>
        <w:rPr>
          <w:rFonts w:ascii="Arial" w:cs="Arial" w:eastAsia="Arial" w:hAnsi="Arial"/>
          <w:sz w:val="15"/>
          <w:szCs w:val="15"/>
          <w:color w:val="auto"/>
        </w:rPr>
        <w:t>the vesting or forfeiture, as applicable, of each outstanding unvested equity-based compensation award granted by us or our affiliates in accordance with the terms of the applicable equity award agreement.</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Mr. Stice’s participation agreement includes terms that are intended to maintain certain benefits under his prior employment agreement and are consistent with prior public disclosure that require each equity award granted to Mr. Stice to become 100% vested upon an eligible termination, and in the case of outstanding performance-based equity awards to vest at the maximum level under the equity award agreement, and be settled within ten business days.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Severance Benefits Related to a Change in Control</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In the event that employment of a participant is terminated by us other than for “cause” (and not by reason of death or disability) or if the participant terminates his or her employment for “good reason,” in either case within the two year period (protection period) immediately following the consummation of a change in control (as defined in the severance plan), the participant will be entitled to the benefits described above, except that the salary continuation described in clause (ii) will be replaced by a lump sum cash payment equal to a multiple of the participant’s annual base salary plus the greater of such participant’s target bonus and the participant’s average bonus for the preceding three years (3.0x for the Chief Executive Officer, 2.5x for Executive Vice-Presidents, 2.25x for Senior Vice-Presidents and 2.0x for Vice-Presidents).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Severance Benefits Related to Death or Disability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severance plan also provides the same benefits described in clauses (i), (ii), (iii) and (v) above (but not clause (iv)) in the event that a participant dies or becomes disabled (as defined in the severance plan) while employed by us. Mr. Stice’s participation agreement includes terms that are intended to maintain certain benefits under his prior employment agreement and are consistent with prior public disclosure that require the Company to pay 100% of the premiums to continue the group health plan continuation coverage under COBRA for Mr. Stice (in the event of his disability) and his spouse’s and any of his eligible dependents (in the event of his death or disability).</w:t>
      </w:r>
    </w:p>
    <w:p>
      <w:pPr>
        <w:spacing w:after="0" w:line="14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2" w:name="page63"/>
    <w:bookmarkEnd w:id="6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Release and Restrictive Covenants</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payment of any benefits under the severance plan is conditioned on the participant’s (or if applicable, the participant’s personal representative’s or estate’s) execution of a waiver and general release of claims. The severance plan also includes certain covenants restricting (i) competition with Diamondback and its subsidiaries, (ii) solicitation or hire of employees or agents of Diamondback and its subsidiaries and (iii) interference with business relationships of Diamondback and its subsidiaries with third parties, which covenants apply, in each case, during the period of the participant’s employment with the Company and for a period of one year (or such shorter period described below) following termination of employment (collectively, the restricted period). The severance plan also includes indefinite confidential information and non-disparagement covenants in favor of Diamondback. If a participating executive resigns employment on a basis that is not eligible for severance benefits, the Company can elect to apply these restrictive covenants for a monthly period selected by the Company not to exceed 12 months and receive a waiver and release by payment of an amount equal to one-twelfth of the participant’s annualized base salary plus target annual bonus for each month the restrictive covenants will apply, and such amount will be paid on a pro-rated basis on a regularly scheduled payroll date during such restricted period following the termination date. Notwithstanding the foregoing restrictions, in the event the participant’s employment is terminated by the Company without cause or by the participant for good reason during the protection period or due to the participant’s death or disability, the restrictions on competition with Diamondback and its subsidiaries and on interference with their business relationships with third parties will end on the date of such participant’s termination of employment.</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We believe that these severance benefits provide the same type of income transition protections that were provided to our executives under their prior employment agreements, offer letters or similar agreements. The severance plan’s provisions are intended to attract and retain qualified executives that could have job alternatives that may appear to them to be less risky absent these arrangements. We believe that the enhanced severance benefits resulting from terminations related to a change in control transaction are in the interest of our stockholders because they provide an incentive for executives to continue to help successfully execute such a transaction from its early stages through consummation. We also believe that these benefits provide important protection to our NEOs, are consistent with the prior employment protections and the practices of peer group companies and are appropriate for the attraction and retention of executive talent.</w:t>
      </w:r>
    </w:p>
    <w:p>
      <w:pPr>
        <w:spacing w:after="0" w:line="237"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Viper Energy, Inc. 2024 Amended and Restated Long-Term Incentive Plan</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We provide personnel and general and administrative services to our publicly traded subsidiary Viper, including the services of the executive officers and other employees, pursuant to the Services and Secondment Agreement, dated as of November 2, 2023, and effective as of November 13, 2023. Under the terms and conditions of the Viper LTIP adopted by the stockholders of Viper, Viper’s board of directors or its compensation committee, established in March 2024, may, from time to time, grant equity awards under the Viper LTIP to our executive officers and other employees who perform services for Viper. Similar to the Viper LTIP 2024 awards, to motivate and incentivize our executive officers who perform such services for Viper under the Services and Secondment Agreement and further align their interests with those of Viper’s stockholders, in March 2025, Viper’s compensation committee granted performance-based restricted stock unit awards to Viper’s executive officers under the Viper LTIP that are subject to the satisfaction of certain Viper stockholder return performance conditions relative to Viper’s TSR performance peer group during the three-year performance period. For additional information regarding such performance-based awards under the Viper LTIP, see “Stock Ownership—Holdings of Officers and Directors” and related footnotes beginning on page 85.</w:t>
      </w: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Benefits and Perquisites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Consistent with our compensation philosophy, our compensation committee provides benefits to our executives that are substantially the same as those currently being offered to our other employees, including health insurance, life and disability insurance and a 401(k) plan.</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Under our 401(k) Plan, all employees and officers are eligible to participate and may elect to defer a portion of their compensation up to the statutorily prescribed limit. Each pay period we make a matching contribution to each employee’s deferral, not to exceed 10 percent of compensation. An employee’s interests in his or her deferrals and our matching contributions are, in each case, 100% vested when contributed. The 401(k) Plan is intended to qualify under Section 401(a) of the Internal Revenue Code (Code). As such, matching contributions to the 401(k) Plan and earnings on those contributions are not taxable to the employee until distributed from the 401(k) Plan, and all timely made contributions are deductible by us for the year in which they are allocable.</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Company purchases flight time through a private charter aircraft company. Access to private aircraft is made available for business use to our executive officers and employees in accordance with the Company’s Aircraft Use Policy. The Company’s Aircraft Use Policy does not permit employees, including executive officers, to use these hours for personal use. In limited occasions when a personal guest accompanies an employee on a business-related flight, the Company follows the Internal Revenue Service rules and, where required, will impute income to the employee based on applicable Standard Industry Fare Level rates.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The Company covers the cost of a comprehensive annual physical for its NEOs.</w:t>
      </w:r>
    </w:p>
    <w:p>
      <w:pPr>
        <w:spacing w:after="0" w:line="18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Clawback Policy</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Company maintains a “clawback” policy that complies with Listing Standard 5608 adopted by Nasdaq to implement Rule 10D-1 under the Exchange Act. Under the clawback policy, the Company will recoup any excess incentive-based compensation earned by an executive officer (including each of our NEOs), on or after October 2, 2023 and during a three fiscal year lookback period, in the event of a financial restatement if a lesser amount of incentive-based compensation would have been earned had such incentive-based compensation been determined based on the restated results. For purposes of the clawback policy, incentive-based compensation includes any compensation granted, earned or vested based in whole or in part on the Company’s attainment of a financial reporting measure.</w:t>
      </w:r>
    </w:p>
    <w:p>
      <w:pPr>
        <w:spacing w:after="0" w:line="235"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Anti-Hedging and Anti-Pledging Policies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have a policy prohibiting directors, executive officers and certain other designated employees from speculative trading in our securities, including hedging transactions, short selling, and trading in put options, call options, swaps or collars. In addition, we prohibit our directors and executive officers from holding our common stock in a margin account. To our knowledge, all such individuals are in compliance with the policy. Our policy is to also prohibit all other employees from engaging in hedging activities in our stock. We also have a policy prohibiting our directors, executive officers and certain other designated employees from pledging our securities as collateral for a loan.</w:t>
      </w:r>
    </w:p>
    <w:p>
      <w:pPr>
        <w:spacing w:after="0" w:line="235"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Timing of Equity Awards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Grants of equity awards are within the discretion of the compensation committee and are generally made to our named executive officers on March 1 of each year, approximately two weeks after our earnings are announced for the preceding quarter and full fiscal year and following the filing of our Annual Report on Form 10-K for that year. On occasion, the compensation committee may grant equity awards outside of our annual grant cycle for new hires, promotions, recognition, retention or other purposes. We do not currently grant, and have not in recent years granted, stock options, stock appreciation rights (SARs) or other instruments with option-like features to our named executive officers or other employees. The compensation committee did not take material nonpublic information into account when determining the timing and terms of equity awards granted in 2025, and the Company does not time the disclosure of material nonpublic information for the purpose of affecting the value of executive compensation.</w:t>
      </w:r>
    </w:p>
    <w:p>
      <w:pPr>
        <w:spacing w:after="0" w:line="237"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Stock Ownership and Retention Guidelines for Non-Employee Directors and Executive Officers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compensation committee has adopted stock ownership and retention guidelines for our non-employee directors and executive officers who are classified as Vice President and above. These guidelines were adopted to encourage our non-employee directors and executives to have a meaningful stake in the Company, which encourages a focus on our long-term success, aligns directors’ and executives’ interests with the interests of our stockholders and further promotes our commitment to sound corporate governance.</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Under the stock ownership and retention guidelines, each of our non-employee directors must own an amount of our common stock equal in value to a multiple of the base annual retainer and our executive officers must own an amount of our and Viper’s common stock equal in value to a multiple of his or her annual base salary, as set forth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240" w:type="dxa"/>
            <w:vAlign w:val="bottom"/>
            <w:gridSpan w:val="2"/>
          </w:tcPr>
          <w:p>
            <w:pPr>
              <w:jc w:val="right"/>
              <w:spacing w:after="0"/>
              <w:rPr>
                <w:sz w:val="20"/>
                <w:szCs w:val="20"/>
                <w:color w:val="auto"/>
              </w:rPr>
            </w:pPr>
            <w:r>
              <w:rPr>
                <w:rFonts w:ascii="Arial" w:cs="Arial" w:eastAsia="Arial" w:hAnsi="Arial"/>
                <w:sz w:val="15"/>
                <w:szCs w:val="15"/>
                <w:b w:val="1"/>
                <w:bCs w:val="1"/>
                <w:color w:val="auto"/>
              </w:rPr>
              <w:t>Multiple of Base Annual Retainer/Annual</w:t>
            </w:r>
          </w:p>
        </w:tc>
      </w:tr>
      <w:tr>
        <w:trPr>
          <w:trHeight w:val="194"/>
        </w:trPr>
        <w:tc>
          <w:tcPr>
            <w:tcW w:w="898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Position</w:t>
            </w:r>
          </w:p>
        </w:tc>
        <w:tc>
          <w:tcPr>
            <w:tcW w:w="2260" w:type="dxa"/>
            <w:vAlign w:val="bottom"/>
            <w:tcBorders>
              <w:bottom w:val="single" w:sz="8" w:color="A26F2A"/>
            </w:tcBorders>
          </w:tcPr>
          <w:p>
            <w:pPr>
              <w:jc w:val="right"/>
              <w:spacing w:after="0"/>
              <w:rPr>
                <w:sz w:val="20"/>
                <w:szCs w:val="20"/>
                <w:color w:val="auto"/>
              </w:rPr>
            </w:pPr>
            <w:r>
              <w:rPr>
                <w:rFonts w:ascii="Arial" w:cs="Arial" w:eastAsia="Arial" w:hAnsi="Arial"/>
                <w:sz w:val="15"/>
                <w:szCs w:val="15"/>
                <w:b w:val="1"/>
                <w:bCs w:val="1"/>
                <w:color w:val="auto"/>
              </w:rPr>
              <w:t>Base Salary Required</w:t>
            </w:r>
          </w:p>
        </w:tc>
      </w:tr>
      <w:tr>
        <w:trPr>
          <w:trHeight w:val="177"/>
        </w:trPr>
        <w:tc>
          <w:tcPr>
            <w:tcW w:w="898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rPr>
              <w:t>Non-Employee Directors</w:t>
            </w:r>
          </w:p>
        </w:tc>
        <w:tc>
          <w:tcPr>
            <w:tcW w:w="2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5x</w:t>
            </w:r>
          </w:p>
        </w:tc>
      </w:tr>
      <w:tr>
        <w:trPr>
          <w:trHeight w:val="169"/>
        </w:trPr>
        <w:tc>
          <w:tcPr>
            <w:tcW w:w="898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color w:val="auto"/>
              </w:rPr>
              <w:t>Chief Executive Officer</w:t>
            </w:r>
          </w:p>
        </w:tc>
        <w:tc>
          <w:tcPr>
            <w:tcW w:w="226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6x</w:t>
            </w:r>
          </w:p>
        </w:tc>
      </w:tr>
      <w:tr>
        <w:trPr>
          <w:trHeight w:val="169"/>
        </w:trPr>
        <w:tc>
          <w:tcPr>
            <w:tcW w:w="898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color w:val="auto"/>
              </w:rPr>
              <w:t>President</w:t>
            </w:r>
          </w:p>
        </w:tc>
        <w:tc>
          <w:tcPr>
            <w:tcW w:w="226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4x</w:t>
            </w:r>
          </w:p>
        </w:tc>
      </w:tr>
      <w:tr>
        <w:trPr>
          <w:trHeight w:val="169"/>
        </w:trPr>
        <w:tc>
          <w:tcPr>
            <w:tcW w:w="898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color w:val="auto"/>
              </w:rPr>
              <w:t>Executive Vice Presidents</w:t>
            </w:r>
          </w:p>
        </w:tc>
        <w:tc>
          <w:tcPr>
            <w:tcW w:w="226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3x</w:t>
            </w:r>
          </w:p>
        </w:tc>
      </w:tr>
      <w:tr>
        <w:trPr>
          <w:trHeight w:val="169"/>
        </w:trPr>
        <w:tc>
          <w:tcPr>
            <w:tcW w:w="8980" w:type="dxa"/>
            <w:vAlign w:val="bottom"/>
            <w:tcBorders>
              <w:bottom w:val="single" w:sz="8" w:color="A26F2A"/>
            </w:tcBorders>
          </w:tcPr>
          <w:p>
            <w:pPr>
              <w:ind w:left="60"/>
              <w:spacing w:after="0" w:line="169" w:lineRule="exact"/>
              <w:rPr>
                <w:sz w:val="20"/>
                <w:szCs w:val="20"/>
                <w:color w:val="auto"/>
              </w:rPr>
            </w:pPr>
            <w:r>
              <w:rPr>
                <w:rFonts w:ascii="Arial" w:cs="Arial" w:eastAsia="Arial" w:hAnsi="Arial"/>
                <w:sz w:val="15"/>
                <w:szCs w:val="15"/>
                <w:color w:val="auto"/>
              </w:rPr>
              <w:t>Senior Vice Presidents and Vice Presidents</w:t>
            </w:r>
          </w:p>
        </w:tc>
        <w:tc>
          <w:tcPr>
            <w:tcW w:w="226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2x</w:t>
            </w:r>
          </w:p>
        </w:tc>
      </w:tr>
      <w:tr>
        <w:trPr>
          <w:trHeight w:val="364"/>
        </w:trPr>
        <w:tc>
          <w:tcPr>
            <w:tcW w:w="8980" w:type="dxa"/>
            <w:vAlign w:val="bottom"/>
          </w:tcPr>
          <w:p>
            <w:pPr>
              <w:ind w:left="6580"/>
              <w:spacing w:after="0"/>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p>
        </w:tc>
        <w:tc>
          <w:tcPr>
            <w:tcW w:w="2260" w:type="dxa"/>
            <w:vAlign w:val="bottom"/>
          </w:tcPr>
          <w:p>
            <w:pPr>
              <w:jc w:val="right"/>
              <w:spacing w:after="0"/>
              <w:rPr>
                <w:sz w:val="20"/>
                <w:szCs w:val="20"/>
                <w:color w:val="auto"/>
              </w:rPr>
            </w:pPr>
            <w:r>
              <w:rPr>
                <w:rFonts w:ascii="Arial" w:cs="Arial" w:eastAsia="Arial" w:hAnsi="Arial"/>
                <w:sz w:val="15"/>
                <w:szCs w:val="15"/>
                <w:color w:val="auto"/>
              </w:rPr>
              <w:t xml:space="preserve">2026 PROXY STATEMENT   </w:t>
            </w:r>
            <w:r>
              <w:rPr>
                <w:rFonts w:ascii="Arial" w:cs="Arial" w:eastAsia="Arial" w:hAnsi="Arial"/>
                <w:sz w:val="15"/>
                <w:szCs w:val="15"/>
                <w:b w:val="1"/>
                <w:bCs w:val="1"/>
                <w:color w:val="auto"/>
              </w:rPr>
              <w:t>61</w:t>
            </w:r>
          </w:p>
        </w:tc>
      </w:tr>
      <w:tr>
        <w:trPr>
          <w:trHeight w:val="240"/>
        </w:trPr>
        <w:tc>
          <w:tcPr>
            <w:tcW w:w="8980" w:type="dxa"/>
            <w:vAlign w:val="bottom"/>
            <w:tcBorders>
              <w:bottom w:val="single" w:sz="8" w:color="C0C0C0"/>
            </w:tcBorders>
          </w:tcPr>
          <w:p>
            <w:pPr>
              <w:spacing w:after="0"/>
              <w:rPr>
                <w:sz w:val="20"/>
                <w:szCs w:val="20"/>
                <w:color w:val="auto"/>
              </w:rPr>
            </w:pPr>
          </w:p>
        </w:tc>
        <w:tc>
          <w:tcPr>
            <w:tcW w:w="22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231" w:right="339" w:bottom="1440" w:gutter="0" w:footer="0" w:header="0"/>
        </w:sectPr>
      </w:pPr>
    </w:p>
    <w:bookmarkStart w:id="64" w:name="page65"/>
    <w:bookmarkEnd w:id="6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As of December 31, 2025, the table below provides the minimum value of stock that each of our NEOs (other than Mr. Stice, who will be subject to the stock ownership and retention guidelines in his capacity as a non-employee director (rather than as an executive officer) after the date of the 2026 Annual Meeting) who currently serve as our executive officers must retain under our stock ownership and retention guidelines.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3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00" w:type="dxa"/>
            <w:vAlign w:val="bottom"/>
          </w:tcPr>
          <w:p>
            <w:pPr>
              <w:jc w:val="right"/>
              <w:ind w:right="84"/>
              <w:spacing w:after="0"/>
              <w:rPr>
                <w:sz w:val="20"/>
                <w:szCs w:val="20"/>
                <w:color w:val="auto"/>
              </w:rPr>
            </w:pPr>
            <w:r>
              <w:rPr>
                <w:rFonts w:ascii="Arial" w:cs="Arial" w:eastAsia="Arial" w:hAnsi="Arial"/>
                <w:sz w:val="15"/>
                <w:szCs w:val="15"/>
                <w:b w:val="1"/>
                <w:bCs w:val="1"/>
                <w:color w:val="auto"/>
              </w:rPr>
              <w:t>Multiple of</w:t>
            </w:r>
          </w:p>
        </w:tc>
        <w:tc>
          <w:tcPr>
            <w:tcW w:w="154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rPr>
              <w:t>Minimum Value</w:t>
            </w:r>
          </w:p>
        </w:tc>
      </w:tr>
      <w:tr>
        <w:trPr>
          <w:trHeight w:val="177"/>
        </w:trPr>
        <w:tc>
          <w:tcPr>
            <w:tcW w:w="43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60" w:type="dxa"/>
            <w:vAlign w:val="bottom"/>
          </w:tcPr>
          <w:p>
            <w:pPr>
              <w:jc w:val="right"/>
              <w:ind w:right="84"/>
              <w:spacing w:after="0"/>
              <w:rPr>
                <w:sz w:val="20"/>
                <w:szCs w:val="20"/>
                <w:color w:val="auto"/>
              </w:rPr>
            </w:pPr>
            <w:r>
              <w:rPr>
                <w:rFonts w:ascii="Arial" w:cs="Arial" w:eastAsia="Arial" w:hAnsi="Arial"/>
                <w:sz w:val="15"/>
                <w:szCs w:val="15"/>
                <w:b w:val="1"/>
                <w:bCs w:val="1"/>
                <w:color w:val="auto"/>
              </w:rPr>
              <w:t>2025</w:t>
            </w:r>
          </w:p>
        </w:tc>
        <w:tc>
          <w:tcPr>
            <w:tcW w:w="1500" w:type="dxa"/>
            <w:vAlign w:val="bottom"/>
          </w:tcPr>
          <w:p>
            <w:pPr>
              <w:jc w:val="right"/>
              <w:ind w:right="84"/>
              <w:spacing w:after="0"/>
              <w:rPr>
                <w:sz w:val="20"/>
                <w:szCs w:val="20"/>
                <w:color w:val="auto"/>
              </w:rPr>
            </w:pPr>
            <w:r>
              <w:rPr>
                <w:rFonts w:ascii="Arial" w:cs="Arial" w:eastAsia="Arial" w:hAnsi="Arial"/>
                <w:sz w:val="15"/>
                <w:szCs w:val="15"/>
                <w:b w:val="1"/>
                <w:bCs w:val="1"/>
                <w:color w:val="auto"/>
              </w:rPr>
              <w:t>Annual Base</w:t>
            </w:r>
          </w:p>
        </w:tc>
        <w:tc>
          <w:tcPr>
            <w:tcW w:w="1540" w:type="dxa"/>
            <w:vAlign w:val="bottom"/>
            <w:gridSpan w:val="2"/>
          </w:tcPr>
          <w:p>
            <w:pPr>
              <w:jc w:val="right"/>
              <w:ind w:right="4"/>
              <w:spacing w:after="0"/>
              <w:rPr>
                <w:sz w:val="20"/>
                <w:szCs w:val="20"/>
                <w:color w:val="auto"/>
              </w:rPr>
            </w:pPr>
            <w:r>
              <w:rPr>
                <w:rFonts w:ascii="Arial" w:cs="Arial" w:eastAsia="Arial" w:hAnsi="Arial"/>
                <w:sz w:val="15"/>
                <w:szCs w:val="15"/>
                <w:b w:val="1"/>
                <w:bCs w:val="1"/>
                <w:color w:val="auto"/>
              </w:rPr>
              <w:t>of Stock Required</w:t>
            </w:r>
          </w:p>
        </w:tc>
      </w:tr>
      <w:tr>
        <w:trPr>
          <w:trHeight w:val="194"/>
        </w:trPr>
        <w:tc>
          <w:tcPr>
            <w:tcW w:w="4300" w:type="dxa"/>
            <w:vAlign w:val="bottom"/>
            <w:tcBorders>
              <w:bottom w:val="single" w:sz="8" w:color="A26F2A"/>
            </w:tcBorders>
          </w:tcPr>
          <w:p>
            <w:pPr>
              <w:spacing w:after="0"/>
              <w:rPr>
                <w:sz w:val="16"/>
                <w:szCs w:val="16"/>
                <w:color w:val="auto"/>
              </w:rPr>
            </w:pPr>
          </w:p>
        </w:tc>
        <w:tc>
          <w:tcPr>
            <w:tcW w:w="2840" w:type="dxa"/>
            <w:vAlign w:val="bottom"/>
            <w:tcBorders>
              <w:bottom w:val="single" w:sz="8" w:color="A26F2A"/>
            </w:tcBorders>
          </w:tcPr>
          <w:p>
            <w:pPr>
              <w:spacing w:after="0"/>
              <w:rPr>
                <w:sz w:val="16"/>
                <w:szCs w:val="16"/>
                <w:color w:val="auto"/>
              </w:rPr>
            </w:pPr>
          </w:p>
        </w:tc>
        <w:tc>
          <w:tcPr>
            <w:tcW w:w="1060" w:type="dxa"/>
            <w:vAlign w:val="bottom"/>
            <w:tcBorders>
              <w:bottom w:val="single" w:sz="8" w:color="A26F2A"/>
            </w:tcBorders>
          </w:tcPr>
          <w:p>
            <w:pPr>
              <w:jc w:val="right"/>
              <w:ind w:right="84"/>
              <w:spacing w:after="0"/>
              <w:rPr>
                <w:sz w:val="20"/>
                <w:szCs w:val="20"/>
                <w:color w:val="auto"/>
              </w:rPr>
            </w:pPr>
            <w:r>
              <w:rPr>
                <w:rFonts w:ascii="Arial" w:cs="Arial" w:eastAsia="Arial" w:hAnsi="Arial"/>
                <w:sz w:val="15"/>
                <w:szCs w:val="15"/>
                <w:b w:val="1"/>
                <w:bCs w:val="1"/>
                <w:color w:val="auto"/>
              </w:rPr>
              <w:t>Base Salary</w:t>
            </w:r>
          </w:p>
        </w:tc>
        <w:tc>
          <w:tcPr>
            <w:tcW w:w="1500" w:type="dxa"/>
            <w:vAlign w:val="bottom"/>
            <w:tcBorders>
              <w:bottom w:val="single" w:sz="8" w:color="A26F2A"/>
            </w:tcBorders>
          </w:tcPr>
          <w:p>
            <w:pPr>
              <w:jc w:val="right"/>
              <w:ind w:right="84"/>
              <w:spacing w:after="0"/>
              <w:rPr>
                <w:sz w:val="20"/>
                <w:szCs w:val="20"/>
                <w:color w:val="auto"/>
              </w:rPr>
            </w:pPr>
            <w:r>
              <w:rPr>
                <w:rFonts w:ascii="Arial" w:cs="Arial" w:eastAsia="Arial" w:hAnsi="Arial"/>
                <w:sz w:val="15"/>
                <w:szCs w:val="15"/>
                <w:b w:val="1"/>
                <w:bCs w:val="1"/>
                <w:color w:val="auto"/>
              </w:rPr>
              <w:t>Salary Required</w:t>
            </w:r>
          </w:p>
        </w:tc>
        <w:tc>
          <w:tcPr>
            <w:tcW w:w="680" w:type="dxa"/>
            <w:vAlign w:val="bottom"/>
            <w:tcBorders>
              <w:bottom w:val="single" w:sz="8" w:color="A26F2A"/>
            </w:tcBorders>
          </w:tcPr>
          <w:p>
            <w:pPr>
              <w:spacing w:after="0"/>
              <w:rPr>
                <w:sz w:val="16"/>
                <w:szCs w:val="16"/>
                <w:color w:val="auto"/>
              </w:rPr>
            </w:pPr>
          </w:p>
        </w:tc>
        <w:tc>
          <w:tcPr>
            <w:tcW w:w="860" w:type="dxa"/>
            <w:vAlign w:val="bottom"/>
            <w:tcBorders>
              <w:bottom w:val="single" w:sz="8" w:color="A26F2A"/>
            </w:tcBorders>
          </w:tcPr>
          <w:p>
            <w:pPr>
              <w:jc w:val="right"/>
              <w:ind w:right="24"/>
              <w:spacing w:after="0"/>
              <w:rPr>
                <w:sz w:val="20"/>
                <w:szCs w:val="20"/>
                <w:color w:val="auto"/>
              </w:rPr>
            </w:pPr>
            <w:r>
              <w:rPr>
                <w:rFonts w:ascii="Arial" w:cs="Arial" w:eastAsia="Arial" w:hAnsi="Arial"/>
                <w:sz w:val="15"/>
                <w:szCs w:val="15"/>
                <w:b w:val="1"/>
                <w:bCs w:val="1"/>
                <w:color w:val="auto"/>
              </w:rPr>
              <w:t>to Retain</w:t>
            </w:r>
          </w:p>
        </w:tc>
      </w:tr>
      <w:tr>
        <w:trPr>
          <w:trHeight w:val="189"/>
        </w:trPr>
        <w:tc>
          <w:tcPr>
            <w:tcW w:w="430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Kaes Van’t Hof</w:t>
            </w:r>
          </w:p>
        </w:tc>
        <w:tc>
          <w:tcPr>
            <w:tcW w:w="28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1,300,000</w:t>
            </w:r>
          </w:p>
        </w:tc>
        <w:tc>
          <w:tcPr>
            <w:tcW w:w="150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6x</w:t>
            </w:r>
          </w:p>
        </w:tc>
        <w:tc>
          <w:tcPr>
            <w:tcW w:w="68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7,800,000</w:t>
            </w:r>
          </w:p>
        </w:tc>
      </w:tr>
      <w:tr>
        <w:trPr>
          <w:trHeight w:val="182"/>
        </w:trPr>
        <w:tc>
          <w:tcPr>
            <w:tcW w:w="430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Jere W. Thompson III</w:t>
            </w:r>
          </w:p>
        </w:tc>
        <w:tc>
          <w:tcPr>
            <w:tcW w:w="28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550,000</w:t>
            </w:r>
          </w:p>
        </w:tc>
        <w:tc>
          <w:tcPr>
            <w:tcW w:w="150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3x</w:t>
            </w:r>
          </w:p>
        </w:tc>
        <w:tc>
          <w:tcPr>
            <w:tcW w:w="68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1,650,000</w:t>
            </w:r>
          </w:p>
        </w:tc>
      </w:tr>
      <w:tr>
        <w:trPr>
          <w:trHeight w:val="182"/>
        </w:trPr>
        <w:tc>
          <w:tcPr>
            <w:tcW w:w="430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Teresa L. Dick</w:t>
            </w:r>
          </w:p>
        </w:tc>
        <w:tc>
          <w:tcPr>
            <w:tcW w:w="28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550,000</w:t>
            </w:r>
          </w:p>
        </w:tc>
        <w:tc>
          <w:tcPr>
            <w:tcW w:w="150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3x</w:t>
            </w:r>
          </w:p>
        </w:tc>
        <w:tc>
          <w:tcPr>
            <w:tcW w:w="68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1,650,000</w:t>
            </w:r>
          </w:p>
        </w:tc>
      </w:tr>
      <w:tr>
        <w:trPr>
          <w:trHeight w:val="182"/>
        </w:trPr>
        <w:tc>
          <w:tcPr>
            <w:tcW w:w="430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Daniel N. Wesson</w:t>
            </w:r>
          </w:p>
        </w:tc>
        <w:tc>
          <w:tcPr>
            <w:tcW w:w="28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700,000</w:t>
            </w:r>
          </w:p>
        </w:tc>
        <w:tc>
          <w:tcPr>
            <w:tcW w:w="150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3x</w:t>
            </w:r>
          </w:p>
        </w:tc>
        <w:tc>
          <w:tcPr>
            <w:tcW w:w="68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2,100,000</w:t>
            </w:r>
          </w:p>
        </w:tc>
      </w:tr>
      <w:tr>
        <w:trPr>
          <w:trHeight w:val="182"/>
        </w:trPr>
        <w:tc>
          <w:tcPr>
            <w:tcW w:w="430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Matt Zmigrosky</w:t>
            </w:r>
          </w:p>
        </w:tc>
        <w:tc>
          <w:tcPr>
            <w:tcW w:w="284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26F2A"/>
            </w:tcBorders>
          </w:tcPr>
          <w:p>
            <w:pPr>
              <w:jc w:val="right"/>
              <w:ind w:right="84"/>
              <w:spacing w:after="0"/>
              <w:rPr>
                <w:sz w:val="20"/>
                <w:szCs w:val="20"/>
                <w:color w:val="auto"/>
              </w:rPr>
            </w:pPr>
            <w:r>
              <w:rPr>
                <w:rFonts w:ascii="Arial" w:cs="Arial" w:eastAsia="Arial" w:hAnsi="Arial"/>
                <w:sz w:val="15"/>
                <w:szCs w:val="15"/>
                <w:color w:val="auto"/>
              </w:rPr>
              <w:t>700,000</w:t>
            </w:r>
          </w:p>
        </w:tc>
        <w:tc>
          <w:tcPr>
            <w:tcW w:w="1500" w:type="dxa"/>
            <w:vAlign w:val="bottom"/>
            <w:tcBorders>
              <w:bottom w:val="single" w:sz="8" w:color="A26F2A"/>
            </w:tcBorders>
          </w:tcPr>
          <w:p>
            <w:pPr>
              <w:jc w:val="right"/>
              <w:ind w:right="84"/>
              <w:spacing w:after="0"/>
              <w:rPr>
                <w:sz w:val="20"/>
                <w:szCs w:val="20"/>
                <w:color w:val="auto"/>
              </w:rPr>
            </w:pPr>
            <w:r>
              <w:rPr>
                <w:rFonts w:ascii="Arial" w:cs="Arial" w:eastAsia="Arial" w:hAnsi="Arial"/>
                <w:sz w:val="15"/>
                <w:szCs w:val="15"/>
                <w:color w:val="auto"/>
              </w:rPr>
              <w:t>3x</w:t>
            </w:r>
          </w:p>
        </w:tc>
        <w:tc>
          <w:tcPr>
            <w:tcW w:w="680" w:type="dxa"/>
            <w:vAlign w:val="bottom"/>
            <w:tcBorders>
              <w:bottom w:val="single" w:sz="8" w:color="A26F2A"/>
            </w:tcBorders>
          </w:tcPr>
          <w:p>
            <w:pPr>
              <w:jc w:val="right"/>
              <w:ind w:right="2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26F2A"/>
            </w:tcBorders>
          </w:tcPr>
          <w:p>
            <w:pPr>
              <w:jc w:val="right"/>
              <w:ind w:right="24"/>
              <w:spacing w:after="0"/>
              <w:rPr>
                <w:sz w:val="20"/>
                <w:szCs w:val="20"/>
                <w:color w:val="auto"/>
              </w:rPr>
            </w:pPr>
            <w:r>
              <w:rPr>
                <w:rFonts w:ascii="Arial" w:cs="Arial" w:eastAsia="Arial" w:hAnsi="Arial"/>
                <w:sz w:val="15"/>
                <w:szCs w:val="15"/>
                <w:color w:val="auto"/>
              </w:rPr>
              <w:t>2,100,000</w:t>
            </w:r>
          </w:p>
        </w:tc>
      </w:tr>
    </w:tbl>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compensation committee reviews compliance with the stock ownership and retention guidelines on an annual basis. As of December 31, 2025, all NEOs were in compliance with the stock ownership and retention guidelines.</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Any participant who acquires shares of our and Viper’s common stock via the exercise of options or the vesting of restricted stock or restricted stock units that is granted after the effective date of the guidelines must retain 50% of the net shares acquired until the earlier of (i) the date such participant is determined to be in full compliance with the guidelines and (ii) the date such individual ceases to be a participant subject to the guidelines. Once the ownership requirement is met, the participant must continue to maintain the value amount in accordance with the guidelines.</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Any participant subject to the guidelines who is not in compliance with the applicable guideline (after taking into account any compliance transition period) may be required to retain up to 100% of the net shares of our and Viper’s common stock acquired via the exercise of options or the vesting of restricted stock unit awards granted under our and Viper’s equity incentive programs until the applicable guideline has been met.</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Participants generally are given a five-year transition period to come into full compliance with the guidelines. Participants are expected to make steady progress towards meeting the ownership levels specified in the guidelines with any stock awards or stock purchases made on or after the effective date of the guidelines. If an individual becomes subject to a greater ownership amount, due to a promotion, an increase in base salary or an increase in the base retainer, as applicable, the individual is expected to meet the higher ownership amount by the latest to occur of (i) the end of the original period; (ii) three years from the effective date of the promotion, increase in base salary or increase in base retainer, as applicable; and (iii) such date as may be specified by the compensation committee. The compensation committee will evaluate whether exceptions should be made for any participant who, due to his or her unique financial circumstances, would incur a hardship by complying with the guidelines.</w:t>
      </w:r>
    </w:p>
    <w:p>
      <w:pPr>
        <w:spacing w:after="0" w:line="146"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“Net shares” means the net number of shares received by the participant upon settlement after taking into account the sale or withholding of shares to pay any applicable taxes and/or option exercise price.</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addition to shares held outright, shares held directly or indirectly in trust, shares held by immediate family members residing in the same household, shares held in qualified plans (e.g., in a 401(k) plan), vested shares held in non-qualified plans, and unvested restricted stock or restricted stock units subject to time-based (but not performance-based) vesting are all counted toward satisfaction of the ownership requirement. Restricted stock units that have vested, but not yet settled, shall be included as long as they do not remain subject to achievement of any performance goals. Stock options (whether vested or unvested) and unvested performance-based awards are not counted as shares owned for the purpose of calculating stock ownership under the guidelines.</w:t>
      </w:r>
    </w:p>
    <w:p>
      <w:pPr>
        <w:spacing w:after="0" w:line="235"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Annual Incentive Plan</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February 2021, the compensation committee of our board of directors adopted the Executive Annual Incentive Compensation Plan (Annual Incentive Plan), replacing our prior 2014 Executive Annual Incentive Compensation Plan. The purpose of the Annual Incentive Plan is to provide an incentive to our executive officers and other selected employees to contribute to the growth, profitability and increased value of the Company. The Annual Incentive Plan is designed to focus on achievement of annual objectives and goals, determined at the beginning of each calendar year. Participants may earn a pre-determined percentage of base salary for the achievement of specified goals (performance targets). The payout opportunity varies for performance above and below the pre-established target performance levels. Performance factors for each award under the Annual Incentive Plan include criteria and objectives determined by the plan administrator used to measure the performance targets during the applicable performance period as a condition to the participant’s receipt of payment with respect to an award.</w:t>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All payments in respect of awards granted under the Annual Incentive Plan are made in cash, paid within a reasonable period after the end of the performance period and designed not to be deferred compensation within the meaning of Section 409A of the Internal Revenue Code (Code).</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Unless otherwise provided by the compensation committee in connection with a specific termination of employment, if the employment of an NEO or other participant terminates for any reason prior to the payment of any award for any reason other than death or disability, no award will be payable to such participant for that performance period.</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the event of a change in control, as such term is defined in the Annual Incentive Plan, each NEO or other participant will be paid the target award amount (the mid-point of any specified range of potential award payment amounts or performance targets), based on the assumption that the performance target was attained at the target level for the entire performance period, payable within a specified period following the consummation of the change in control transaction.</w:t>
      </w:r>
    </w:p>
    <w:p>
      <w:pPr>
        <w:spacing w:after="0" w:line="228"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Equity Incentive Plan</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On April 6, 2021, our board of directors unanimously adopted, subject to stockholder approval, our 2021 Amended and Restated Equity Incentive Plan, amending and restating our 2019 Amended and Restated Equity Incentive Plan. On June 3, 2021, our stockholders approved the 2021 Amended and Restated Equity Incentive Plan. Effective February 11, 2024, the 2021 Amended and Restated Equity Incentive Plan was further revised pursuant to certain clarifying amendments effective February 11, 2024. The 2021 Amended and Restated Equity Incentive Plan, as amended and restated as of the date hereof is referred to as the Equity Incentive Plan.</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Equity Incentive Plan became effective as of April 6, 2021, the date adopted by the compensation committee of our board of directors, and will remain in effect until April 6, 2031, unless otherwise terminated earlier by the board of directors.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compensation committee may grant awards under the Equity Incentive Plan, which may include restricted awards, performance awards, stock options and stock appreciation rights, to employees, consultants and directors of our Company and its affiliates; however, incentive stock options may be granted only to employees of our Company and its subsidiary corporations. Consultants do not receive awards pursuant to our current equity compensation program.</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the event of certain corporate events or changes in our common stock, the compensation committee will proportionally adjust awards, the number and class of shares available under the Equity Incentive Plan and the maximum number of shares that may be granted under awards to any participant in a calendar year as it determines to be appropriate.</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the event of a change in control transaction or other corporate transaction such as a dissolution or liquidation of our Company, or any corporate separation or division, the Equity Incentive Plan provides that all outstanding awards under the Equity Incentive Plan may be assumed, continued or substituted for by any surviving or acquiring entity (or its parent company), or may be cancelled either with or without consideration for the vested portion of the awards, all as determined by the compensation committee. If an award would be cancelled without payment of consideration to the extent vested, the participant may exercise the award in full or in part for a period of ten days.</w:t>
      </w:r>
    </w:p>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Awards granted under the Equity Incentive Plan are subject to the Company’s clawback policy, compliant with the Nasdaq listing standards and Rule 10D-1 under the Exchange Act, which allows us to recoup paid incentive compensation from current and former executive officers in certain instances.</w:t>
      </w:r>
    </w:p>
    <w:p>
      <w:pPr>
        <w:spacing w:after="0" w:line="215"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Effect of Our Compensation Policies and Practices on Risk and Risk Management</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compensation committee reviews the risks and rewards associated with our compensation policies and programs. We believe that such policies and programs encourage and reward prudent business judgment and avoid encouraging excessive risk-taking over the long-term. With respect to specific elements of compensation:</w:t>
      </w:r>
    </w:p>
    <w:p>
      <w:pPr>
        <w:spacing w:after="0" w:line="125" w:lineRule="exact"/>
        <w:rPr>
          <w:sz w:val="20"/>
          <w:szCs w:val="20"/>
          <w:color w:val="auto"/>
        </w:rPr>
      </w:pPr>
    </w:p>
    <w:p>
      <w:pPr>
        <w:ind w:left="160" w:hanging="159"/>
        <w:spacing w:after="0" w:line="282" w:lineRule="auto"/>
        <w:tabs>
          <w:tab w:leader="none" w:pos="160" w:val="left"/>
        </w:tabs>
        <w:numPr>
          <w:ilvl w:val="0"/>
          <w:numId w:val="86"/>
        </w:numPr>
        <w:rPr>
          <w:rFonts w:ascii="Arial" w:cs="Arial" w:eastAsia="Arial" w:hAnsi="Arial"/>
          <w:sz w:val="15"/>
          <w:szCs w:val="15"/>
          <w:color w:val="A26F2A"/>
        </w:rPr>
      </w:pPr>
      <w:r>
        <w:rPr>
          <w:rFonts w:ascii="Arial" w:cs="Arial" w:eastAsia="Arial" w:hAnsi="Arial"/>
          <w:sz w:val="15"/>
          <w:szCs w:val="15"/>
          <w:color w:val="auto"/>
        </w:rPr>
        <w:t>We believe that our programs balance short- and long-term incentives for our executive officers providing for an appropriate mix of fixed, discretionary and equity compensation that overall encourages long-term performance.</w:t>
      </w:r>
    </w:p>
    <w:p>
      <w:pPr>
        <w:spacing w:after="0" w:line="23" w:lineRule="exact"/>
        <w:rPr>
          <w:rFonts w:ascii="Arial" w:cs="Arial" w:eastAsia="Arial" w:hAnsi="Arial"/>
          <w:sz w:val="15"/>
          <w:szCs w:val="15"/>
          <w:color w:val="A26F2A"/>
        </w:rPr>
      </w:pPr>
    </w:p>
    <w:p>
      <w:pPr>
        <w:jc w:val="both"/>
        <w:ind w:left="160" w:hanging="159"/>
        <w:spacing w:after="0" w:line="255" w:lineRule="auto"/>
        <w:tabs>
          <w:tab w:leader="none" w:pos="160" w:val="left"/>
        </w:tabs>
        <w:numPr>
          <w:ilvl w:val="0"/>
          <w:numId w:val="86"/>
        </w:numPr>
        <w:rPr>
          <w:rFonts w:ascii="Arial" w:cs="Arial" w:eastAsia="Arial" w:hAnsi="Arial"/>
          <w:sz w:val="15"/>
          <w:szCs w:val="15"/>
          <w:color w:val="A26F2A"/>
        </w:rPr>
      </w:pPr>
      <w:r>
        <w:rPr>
          <w:rFonts w:ascii="Arial" w:cs="Arial" w:eastAsia="Arial" w:hAnsi="Arial"/>
          <w:sz w:val="15"/>
          <w:szCs w:val="15"/>
          <w:color w:val="auto"/>
        </w:rPr>
        <w:t>We believe that annual base salaries for our NEOs do not encourage excessive risk-taking as they are fixed amounts that are subject to discretionary increases by our compensation committee, based, among other factors, on annual performance evaluations. We also believe that such annual base salaries are set at reasonable levels, as compared to the base salaries of similarly situated individuals at our compensation peer group companies. The base salary represents a portion of our NEOs’ overall compensation potential and is balanced by the other elements of their overall compensation potential, which are tied to both performance and long-term service.</w:t>
      </w:r>
    </w:p>
    <w:p>
      <w:pPr>
        <w:spacing w:after="0" w:line="10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6" w:name="page67"/>
    <w:bookmarkEnd w:id="6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ind w:left="160" w:hanging="159"/>
        <w:spacing w:after="0" w:line="264" w:lineRule="auto"/>
        <w:tabs>
          <w:tab w:leader="none" w:pos="160" w:val="left"/>
        </w:tabs>
        <w:numPr>
          <w:ilvl w:val="0"/>
          <w:numId w:val="87"/>
        </w:numPr>
        <w:rPr>
          <w:rFonts w:ascii="Arial" w:cs="Arial" w:eastAsia="Arial" w:hAnsi="Arial"/>
          <w:sz w:val="15"/>
          <w:szCs w:val="15"/>
          <w:color w:val="A26F2A"/>
        </w:rPr>
      </w:pPr>
      <w:r>
        <w:rPr>
          <w:rFonts w:ascii="Arial" w:cs="Arial" w:eastAsia="Arial" w:hAnsi="Arial"/>
          <w:sz w:val="15"/>
          <w:szCs w:val="15"/>
          <w:color w:val="auto"/>
        </w:rPr>
        <w:t>Our annual incentive bonuses are designed to award achievement of short-term performance-driven results. The payment and amounts of the 2025 annual incentive bonuses were based, in part, upon meeting of certain performance criteria and targets established by the compensation committee for 2025, as disclosed in more detail above. We believe the performance criteria and applicable targets were set at meaningful levels and do not encourage excessive risk taking.</w:t>
      </w:r>
    </w:p>
    <w:p>
      <w:pPr>
        <w:spacing w:after="0" w:line="36" w:lineRule="exact"/>
        <w:rPr>
          <w:rFonts w:ascii="Arial" w:cs="Arial" w:eastAsia="Arial" w:hAnsi="Arial"/>
          <w:sz w:val="15"/>
          <w:szCs w:val="15"/>
          <w:color w:val="A26F2A"/>
        </w:rPr>
      </w:pPr>
    </w:p>
    <w:p>
      <w:pPr>
        <w:jc w:val="both"/>
        <w:ind w:left="160" w:hanging="159"/>
        <w:spacing w:after="0" w:line="253" w:lineRule="auto"/>
        <w:tabs>
          <w:tab w:leader="none" w:pos="160" w:val="left"/>
        </w:tabs>
        <w:numPr>
          <w:ilvl w:val="0"/>
          <w:numId w:val="87"/>
        </w:numPr>
        <w:rPr>
          <w:rFonts w:ascii="Arial" w:cs="Arial" w:eastAsia="Arial" w:hAnsi="Arial"/>
          <w:sz w:val="15"/>
          <w:szCs w:val="15"/>
          <w:color w:val="A26F2A"/>
        </w:rPr>
      </w:pPr>
      <w:r>
        <w:rPr>
          <w:rFonts w:ascii="Arial" w:cs="Arial" w:eastAsia="Arial" w:hAnsi="Arial"/>
          <w:sz w:val="15"/>
          <w:szCs w:val="15"/>
          <w:color w:val="auto"/>
        </w:rPr>
        <w:t>Restricted stock units granted to our NEOs are subject to performance-based and time-based provisions. We award restricted stock units to promote performance and ensure that our executives have a continuing stake in the long-term success of the Company as the value of the award will depend on the stock price at and after the time of vesting. We believe that a mixture of performance-based and time-based equity awards represent a balanced approach to long-term equity compensation and do not encourage excessive risk taking that may be associated with the compensation approach focused solely on equity awards that vest strictly based on achieving certain targets. We also believe that the weight given by our compensation committee to performance-based equity awards, as compared to time-based equity awards, provide incentive to our NEOs to take appropriate amount of risk to drive the Company’s performance and enhance stockholder value.</w:t>
      </w:r>
    </w:p>
    <w:p>
      <w:pPr>
        <w:spacing w:after="0" w:line="45" w:lineRule="exact"/>
        <w:rPr>
          <w:rFonts w:ascii="Arial" w:cs="Arial" w:eastAsia="Arial" w:hAnsi="Arial"/>
          <w:sz w:val="15"/>
          <w:szCs w:val="15"/>
          <w:color w:val="A26F2A"/>
        </w:rPr>
      </w:pPr>
    </w:p>
    <w:p>
      <w:pPr>
        <w:jc w:val="both"/>
        <w:ind w:left="160" w:hanging="159"/>
        <w:spacing w:after="0" w:line="264" w:lineRule="auto"/>
        <w:tabs>
          <w:tab w:leader="none" w:pos="160" w:val="left"/>
        </w:tabs>
        <w:numPr>
          <w:ilvl w:val="0"/>
          <w:numId w:val="87"/>
        </w:numPr>
        <w:rPr>
          <w:rFonts w:ascii="Arial" w:cs="Arial" w:eastAsia="Arial" w:hAnsi="Arial"/>
          <w:sz w:val="15"/>
          <w:szCs w:val="15"/>
          <w:color w:val="A26F2A"/>
        </w:rPr>
      </w:pPr>
      <w:r>
        <w:rPr>
          <w:rFonts w:ascii="Arial" w:cs="Arial" w:eastAsia="Arial" w:hAnsi="Arial"/>
          <w:sz w:val="15"/>
          <w:szCs w:val="15"/>
          <w:color w:val="auto"/>
        </w:rPr>
        <w:t>Our NEOs are entitled to certain benefits that are payable upon the occurrence of their termination without “cause,” resignation for “good reason” or certain change in control transactions. See “Potential Payments upon Termination, Resignation or Change of Control for Fiscal Year 2025” and “Other Significant Compensation and Benefit Plans, Policies and Practices—Senior Management Severance Plan” for more information.</w:t>
      </w:r>
    </w:p>
    <w:p>
      <w:pPr>
        <w:spacing w:after="0" w:line="138"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Based on the foregoing, the compensation committee believes that the Company does not utilize compensation policies and programs creating risks that are reasonably likely to have a material adverse impact on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Letter Agreement with Executive Chairman</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On February 20, 2025, the Company and Mr. Stice entered into a letter agreement specifying the terms on which he will serve as Executive Chairman. The letter agreement provides:</w:t>
      </w:r>
    </w:p>
    <w:p>
      <w:pPr>
        <w:spacing w:after="0" w:line="125" w:lineRule="exact"/>
        <w:rPr>
          <w:sz w:val="20"/>
          <w:szCs w:val="20"/>
          <w:color w:val="auto"/>
        </w:rPr>
      </w:pPr>
    </w:p>
    <w:p>
      <w:pPr>
        <w:ind w:left="160" w:hanging="159"/>
        <w:spacing w:after="0" w:line="282" w:lineRule="auto"/>
        <w:tabs>
          <w:tab w:leader="none" w:pos="160" w:val="left"/>
        </w:tabs>
        <w:numPr>
          <w:ilvl w:val="0"/>
          <w:numId w:val="88"/>
        </w:numPr>
        <w:rPr>
          <w:rFonts w:ascii="Arial" w:cs="Arial" w:eastAsia="Arial" w:hAnsi="Arial"/>
          <w:sz w:val="15"/>
          <w:szCs w:val="15"/>
          <w:color w:val="A26F2A"/>
        </w:rPr>
      </w:pPr>
      <w:r>
        <w:rPr>
          <w:rFonts w:ascii="Arial" w:cs="Arial" w:eastAsia="Arial" w:hAnsi="Arial"/>
          <w:sz w:val="15"/>
          <w:szCs w:val="15"/>
          <w:color w:val="auto"/>
        </w:rPr>
        <w:t>Mr. Stice will serve as Executive Chairman from the Company’s 2025 Annual Meeting until the Company’s 2026 Annual Meeting, at which point Mr. Stice will transition to non-executive Chairman of the Board.</w:t>
      </w:r>
    </w:p>
    <w:p>
      <w:pPr>
        <w:spacing w:after="0" w:line="23" w:lineRule="exact"/>
        <w:rPr>
          <w:rFonts w:ascii="Arial" w:cs="Arial" w:eastAsia="Arial" w:hAnsi="Arial"/>
          <w:sz w:val="15"/>
          <w:szCs w:val="15"/>
          <w:color w:val="A26F2A"/>
        </w:rPr>
      </w:pPr>
    </w:p>
    <w:p>
      <w:pPr>
        <w:jc w:val="both"/>
        <w:ind w:left="160" w:hanging="159"/>
        <w:spacing w:after="0" w:line="264" w:lineRule="auto"/>
        <w:tabs>
          <w:tab w:leader="none" w:pos="160" w:val="left"/>
        </w:tabs>
        <w:numPr>
          <w:ilvl w:val="0"/>
          <w:numId w:val="88"/>
        </w:numPr>
        <w:rPr>
          <w:rFonts w:ascii="Arial" w:cs="Arial" w:eastAsia="Arial" w:hAnsi="Arial"/>
          <w:sz w:val="15"/>
          <w:szCs w:val="15"/>
          <w:color w:val="A26F2A"/>
        </w:rPr>
      </w:pPr>
      <w:r>
        <w:rPr>
          <w:rFonts w:ascii="Arial" w:cs="Arial" w:eastAsia="Arial" w:hAnsi="Arial"/>
          <w:sz w:val="15"/>
          <w:szCs w:val="15"/>
          <w:color w:val="auto"/>
        </w:rPr>
        <w:t>Effective as of the Company’s 2025 Annual Meeting, Mr. Stice’s annual base salary was adjusted to $900,000 and his target annual bonus opportunity for 2025 was set at 150%, and, as further detailed below, Mr. Stice’s 2025 payment under the Company’s Annual Incentive Plan is based on the blended base salary earned by Mr. Stice before and after the effective date of his appointment to Executive Chairman.</w:t>
      </w:r>
    </w:p>
    <w:p>
      <w:pPr>
        <w:spacing w:after="0" w:line="36"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88"/>
        </w:numPr>
        <w:rPr>
          <w:rFonts w:ascii="Arial" w:cs="Arial" w:eastAsia="Arial" w:hAnsi="Arial"/>
          <w:sz w:val="15"/>
          <w:szCs w:val="15"/>
          <w:color w:val="A26F2A"/>
        </w:rPr>
      </w:pPr>
      <w:r>
        <w:rPr>
          <w:rFonts w:ascii="Arial" w:cs="Arial" w:eastAsia="Arial" w:hAnsi="Arial"/>
          <w:sz w:val="15"/>
          <w:szCs w:val="15"/>
          <w:color w:val="auto"/>
        </w:rPr>
        <w:t>As Executive Chairman, Mr. Stice remains a participant in the Company’s Amended and Restated Senior Management Severance Plan, except his cash severance benefits not in connection with a change in control were reduced to 24 months of base salary continuation.</w:t>
      </w:r>
    </w:p>
    <w:p>
      <w:pPr>
        <w:spacing w:after="0" w:line="23"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88"/>
        </w:numPr>
        <w:rPr>
          <w:rFonts w:ascii="Arial" w:cs="Arial" w:eastAsia="Arial" w:hAnsi="Arial"/>
          <w:sz w:val="15"/>
          <w:szCs w:val="15"/>
          <w:color w:val="A26F2A"/>
        </w:rPr>
      </w:pPr>
      <w:r>
        <w:rPr>
          <w:rFonts w:ascii="Arial" w:cs="Arial" w:eastAsia="Arial" w:hAnsi="Arial"/>
          <w:sz w:val="15"/>
          <w:szCs w:val="15"/>
          <w:color w:val="auto"/>
        </w:rPr>
        <w:t>From Mr. Stice’s transition to non-executive Chairman of the Board through December 31, 2026, the Company will reimburse the cost of premiums for COBRA group health continuation coverage.</w:t>
      </w:r>
    </w:p>
    <w:p>
      <w:pPr>
        <w:spacing w:after="0" w:line="8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7" w:name="page68"/>
    <w:bookmarkEnd w:id="6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COMPENSATION COMMITTEE REPORT</w:t>
      </w:r>
    </w:p>
    <w:p>
      <w:pPr>
        <w:spacing w:after="0" w:line="328"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compensation committee has reviewed and discussed the foregoing Compensation Discussion and Analysis with management. Based on its review and discussion with management, the compensation committee recommended to the Board that the Compensation Discussion and Analysis be included in this proxy statement.</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COMMITTEE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Melanie M. Trent, </w:t>
      </w:r>
      <w:r>
        <w:rPr>
          <w:rFonts w:ascii="Arial" w:cs="Arial" w:eastAsia="Arial" w:hAnsi="Arial"/>
          <w:sz w:val="15"/>
          <w:szCs w:val="15"/>
          <w:i w:val="1"/>
          <w:iCs w:val="1"/>
          <w:color w:val="auto"/>
        </w:rPr>
        <w:t>Chair</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Stephanie K. Mains</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Robert K. Reeves</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Mark L. Plaumann</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Frank D. Tsuru</w:t>
      </w:r>
    </w:p>
    <w:p>
      <w:pPr>
        <w:spacing w:after="0" w:line="261"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COMPENSATION COMMITTEE INTERLOCKS AND INSIDER PARTICIPATION</w:t>
      </w:r>
    </w:p>
    <w:p>
      <w:pPr>
        <w:spacing w:after="0" w:line="32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Melanie M. Trent, Stephanie K. Mains, Robert K. Reeves, Mark L. Plaumann and Frank D. Tsuru served on the compensation committee of our board of directors during 2025. No member of our compensation committee has ever been an officer or employee of ours or had any relationship requiring disclosure by us under Regulation S-K Item 404. None of our executive officers serves, or has served during the past fiscal year, as a member of the board of directors or compensation committee of any other company that has or had one or more executive officers serving as members of our board of directors or compensation committee.</w:t>
      </w:r>
    </w:p>
    <w:p>
      <w:pPr>
        <w:spacing w:after="0" w:line="14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311785</wp:posOffset>
            </wp:positionV>
            <wp:extent cx="144145" cy="12020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4145" cy="1202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00"/>
        <w:spacing w:after="0"/>
        <w:rPr>
          <w:sz w:val="20"/>
          <w:szCs w:val="20"/>
          <w:color w:val="auto"/>
        </w:rPr>
      </w:pPr>
      <w:r>
        <w:rPr>
          <w:rFonts w:ascii="Arial" w:cs="Arial" w:eastAsia="Arial" w:hAnsi="Arial"/>
          <w:sz w:val="44"/>
          <w:szCs w:val="44"/>
          <w:b w:val="1"/>
          <w:bCs w:val="1"/>
          <w:color w:val="auto"/>
        </w:rPr>
        <w:t>COMPENSATION TABLES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SUMMARY COMPENSATION TABLE</w:t>
      </w:r>
    </w:p>
    <w:p>
      <w:pPr>
        <w:spacing w:after="0" w:line="214"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following table provides information concerning compensation of our principal executive officer, principal financial officer, and our three other highest paid executive officers during 2025, each identified as our NEO, for the fiscal years presented below, as applicable.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3"/>
            <w:vMerge w:val="restart"/>
          </w:tcPr>
          <w:p>
            <w:pPr>
              <w:jc w:val="right"/>
              <w:ind w:right="344"/>
              <w:spacing w:after="0"/>
              <w:rPr>
                <w:sz w:val="20"/>
                <w:szCs w:val="20"/>
                <w:color w:val="auto"/>
              </w:rPr>
            </w:pPr>
            <w:r>
              <w:rPr>
                <w:rFonts w:ascii="Arial" w:cs="Arial" w:eastAsia="Arial" w:hAnsi="Arial"/>
                <w:sz w:val="15"/>
                <w:szCs w:val="15"/>
                <w:b w:val="1"/>
                <w:bCs w:val="1"/>
                <w:color w:val="auto"/>
              </w:rPr>
              <w:t>Stock Awards ($)</w:t>
            </w:r>
            <w:r>
              <w:rPr>
                <w:rFonts w:ascii="Arial" w:cs="Arial" w:eastAsia="Arial" w:hAnsi="Arial"/>
                <w:sz w:val="25"/>
                <w:szCs w:val="25"/>
                <w:b w:val="1"/>
                <w:bCs w:val="1"/>
                <w:color w:val="auto"/>
                <w:vertAlign w:val="superscript"/>
              </w:rPr>
              <w:t>(1)</w:t>
            </w:r>
          </w:p>
        </w:tc>
        <w:tc>
          <w:tcPr>
            <w:tcW w:w="8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Arial" w:cs="Arial" w:eastAsia="Arial" w:hAnsi="Arial"/>
                <w:sz w:val="15"/>
                <w:szCs w:val="15"/>
                <w:b w:val="1"/>
                <w:bCs w:val="1"/>
                <w:color w:val="auto"/>
              </w:rPr>
              <w:t>Non-Equity</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Borders>
              <w:bottom w:val="single" w:sz="8" w:color="A26F2A"/>
            </w:tcBorders>
          </w:tcPr>
          <w:p>
            <w:pPr>
              <w:spacing w:after="0"/>
              <w:rPr>
                <w:sz w:val="16"/>
                <w:szCs w:val="16"/>
                <w:color w:val="auto"/>
              </w:rPr>
            </w:pPr>
          </w:p>
        </w:tc>
        <w:tc>
          <w:tcPr>
            <w:tcW w:w="2040" w:type="dxa"/>
            <w:vAlign w:val="bottom"/>
            <w:tcBorders>
              <w:bottom w:val="single" w:sz="8" w:color="A26F2A"/>
            </w:tcBorders>
            <w:gridSpan w:val="3"/>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40" w:type="dxa"/>
            <w:vAlign w:val="bottom"/>
            <w:gridSpan w:val="2"/>
          </w:tcPr>
          <w:p>
            <w:pPr>
              <w:jc w:val="right"/>
              <w:ind w:right="5"/>
              <w:spacing w:after="0"/>
              <w:rPr>
                <w:sz w:val="20"/>
                <w:szCs w:val="20"/>
                <w:color w:val="auto"/>
              </w:rPr>
            </w:pPr>
            <w:r>
              <w:rPr>
                <w:rFonts w:ascii="Arial" w:cs="Arial" w:eastAsia="Arial" w:hAnsi="Arial"/>
                <w:sz w:val="15"/>
                <w:szCs w:val="15"/>
                <w:b w:val="1"/>
                <w:bCs w:val="1"/>
                <w:color w:val="auto"/>
              </w:rPr>
              <w:t>Incentive Plan</w:t>
            </w:r>
          </w:p>
        </w:tc>
        <w:tc>
          <w:tcPr>
            <w:tcW w:w="340" w:type="dxa"/>
            <w:vAlign w:val="bottom"/>
          </w:tcPr>
          <w:p>
            <w:pPr>
              <w:spacing w:after="0"/>
              <w:rPr>
                <w:sz w:val="16"/>
                <w:szCs w:val="16"/>
                <w:color w:val="auto"/>
              </w:rPr>
            </w:pPr>
          </w:p>
        </w:tc>
        <w:tc>
          <w:tcPr>
            <w:tcW w:w="900" w:type="dxa"/>
            <w:vAlign w:val="bottom"/>
          </w:tcPr>
          <w:p>
            <w:pPr>
              <w:jc w:val="right"/>
              <w:ind w:right="5"/>
              <w:spacing w:after="0"/>
              <w:rPr>
                <w:sz w:val="20"/>
                <w:szCs w:val="20"/>
                <w:color w:val="auto"/>
              </w:rPr>
            </w:pPr>
            <w:r>
              <w:rPr>
                <w:rFonts w:ascii="Arial" w:cs="Arial" w:eastAsia="Arial" w:hAnsi="Arial"/>
                <w:sz w:val="15"/>
                <w:szCs w:val="15"/>
                <w:b w:val="1"/>
                <w:bCs w:val="1"/>
                <w:color w:val="auto"/>
              </w:rPr>
              <w:t>All Other</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8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Name and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04"/>
              <w:spacing w:after="0" w:line="169" w:lineRule="exact"/>
              <w:rPr>
                <w:sz w:val="20"/>
                <w:szCs w:val="20"/>
                <w:color w:val="auto"/>
              </w:rPr>
            </w:pPr>
            <w:r>
              <w:rPr>
                <w:rFonts w:ascii="Arial" w:cs="Arial" w:eastAsia="Arial" w:hAnsi="Arial"/>
                <w:sz w:val="15"/>
                <w:szCs w:val="15"/>
                <w:b w:val="1"/>
                <w:bCs w:val="1"/>
                <w:color w:val="auto"/>
              </w:rPr>
              <w:t>Salary</w:t>
            </w:r>
          </w:p>
        </w:tc>
        <w:tc>
          <w:tcPr>
            <w:tcW w:w="108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Performance-</w:t>
            </w:r>
          </w:p>
        </w:tc>
        <w:tc>
          <w:tcPr>
            <w:tcW w:w="120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Time Vested</w:t>
            </w:r>
            <w:r>
              <w:rPr>
                <w:rFonts w:ascii="Arial" w:cs="Arial" w:eastAsia="Arial" w:hAnsi="Arial"/>
                <w:sz w:val="25"/>
                <w:szCs w:val="25"/>
                <w:b w:val="1"/>
                <w:bCs w:val="1"/>
                <w:color w:val="auto"/>
                <w:vertAlign w:val="superscript"/>
              </w:rPr>
              <w:t>(3)</w:t>
            </w:r>
          </w:p>
        </w:tc>
        <w:tc>
          <w:tcPr>
            <w:tcW w:w="1240" w:type="dxa"/>
            <w:vAlign w:val="bottom"/>
            <w:gridSpan w:val="2"/>
          </w:tcPr>
          <w:p>
            <w:pPr>
              <w:ind w:left="100"/>
              <w:spacing w:after="0" w:line="169" w:lineRule="exact"/>
              <w:rPr>
                <w:sz w:val="20"/>
                <w:szCs w:val="20"/>
                <w:color w:val="auto"/>
              </w:rPr>
            </w:pPr>
            <w:r>
              <w:rPr>
                <w:rFonts w:ascii="Arial" w:cs="Arial" w:eastAsia="Arial" w:hAnsi="Arial"/>
                <w:sz w:val="15"/>
                <w:szCs w:val="15"/>
                <w:b w:val="1"/>
                <w:bCs w:val="1"/>
                <w:color w:val="auto"/>
              </w:rPr>
              <w:t>Compensation</w:t>
            </w:r>
          </w:p>
        </w:tc>
        <w:tc>
          <w:tcPr>
            <w:tcW w:w="1240" w:type="dxa"/>
            <w:vAlign w:val="bottom"/>
            <w:gridSpan w:val="2"/>
          </w:tcPr>
          <w:p>
            <w:pPr>
              <w:ind w:left="100"/>
              <w:spacing w:after="0" w:line="169" w:lineRule="exact"/>
              <w:rPr>
                <w:sz w:val="20"/>
                <w:szCs w:val="20"/>
                <w:color w:val="auto"/>
              </w:rPr>
            </w:pPr>
            <w:r>
              <w:rPr>
                <w:rFonts w:ascii="Arial" w:cs="Arial" w:eastAsia="Arial" w:hAnsi="Arial"/>
                <w:sz w:val="15"/>
                <w:szCs w:val="15"/>
                <w:b w:val="1"/>
                <w:bCs w:val="1"/>
                <w:color w:val="auto"/>
              </w:rPr>
              <w:t>Compensation</w:t>
            </w:r>
          </w:p>
        </w:tc>
        <w:tc>
          <w:tcPr>
            <w:tcW w:w="180" w:type="dxa"/>
            <w:vAlign w:val="bottom"/>
          </w:tcPr>
          <w:p>
            <w:pPr>
              <w:spacing w:after="0"/>
              <w:rPr>
                <w:sz w:val="14"/>
                <w:szCs w:val="14"/>
                <w:color w:val="auto"/>
              </w:rPr>
            </w:pPr>
          </w:p>
        </w:tc>
        <w:tc>
          <w:tcPr>
            <w:tcW w:w="860" w:type="dxa"/>
            <w:vAlign w:val="bottom"/>
          </w:tcPr>
          <w:p>
            <w:pPr>
              <w:jc w:val="right"/>
              <w:ind w:right="5"/>
              <w:spacing w:after="0" w:line="169"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20"/>
        </w:trPr>
        <w:tc>
          <w:tcPr>
            <w:tcW w:w="378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Principal Position</w:t>
            </w:r>
          </w:p>
        </w:tc>
        <w:tc>
          <w:tcPr>
            <w:tcW w:w="620" w:type="dxa"/>
            <w:vAlign w:val="bottom"/>
            <w:tcBorders>
              <w:bottom w:val="single" w:sz="8" w:color="A26F2A"/>
            </w:tcBorders>
          </w:tcPr>
          <w:p>
            <w:pPr>
              <w:jc w:val="right"/>
              <w:ind w:right="24"/>
              <w:spacing w:after="0"/>
              <w:rPr>
                <w:sz w:val="20"/>
                <w:szCs w:val="20"/>
                <w:color w:val="auto"/>
              </w:rPr>
            </w:pPr>
            <w:r>
              <w:rPr>
                <w:rFonts w:ascii="Arial" w:cs="Arial" w:eastAsia="Arial" w:hAnsi="Arial"/>
                <w:sz w:val="15"/>
                <w:szCs w:val="15"/>
                <w:b w:val="1"/>
                <w:bCs w:val="1"/>
                <w:color w:val="auto"/>
              </w:rPr>
              <w:t>Year</w:t>
            </w:r>
          </w:p>
        </w:tc>
        <w:tc>
          <w:tcPr>
            <w:tcW w:w="180" w:type="dxa"/>
            <w:vAlign w:val="bottom"/>
            <w:tcBorders>
              <w:bottom w:val="single" w:sz="8" w:color="A26F2A"/>
            </w:tcBorders>
          </w:tcPr>
          <w:p>
            <w:pPr>
              <w:spacing w:after="0"/>
              <w:rPr>
                <w:sz w:val="19"/>
                <w:szCs w:val="19"/>
                <w:color w:val="auto"/>
              </w:rPr>
            </w:pPr>
          </w:p>
        </w:tc>
        <w:tc>
          <w:tcPr>
            <w:tcW w:w="860" w:type="dxa"/>
            <w:vAlign w:val="bottom"/>
            <w:tcBorders>
              <w:bottom w:val="single" w:sz="8" w:color="A26F2A"/>
            </w:tcBorders>
          </w:tcPr>
          <w:p>
            <w:pPr>
              <w:jc w:val="right"/>
              <w:ind w:right="104"/>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A26F2A"/>
            </w:tcBorders>
          </w:tcPr>
          <w:p>
            <w:pPr>
              <w:spacing w:after="0"/>
              <w:rPr>
                <w:sz w:val="19"/>
                <w:szCs w:val="19"/>
                <w:color w:val="auto"/>
              </w:rPr>
            </w:pPr>
          </w:p>
        </w:tc>
        <w:tc>
          <w:tcPr>
            <w:tcW w:w="920" w:type="dxa"/>
            <w:vAlign w:val="bottom"/>
            <w:tcBorders>
              <w:bottom w:val="single" w:sz="8" w:color="A26F2A"/>
            </w:tcBorders>
          </w:tcPr>
          <w:p>
            <w:pPr>
              <w:jc w:val="right"/>
              <w:ind w:right="24"/>
              <w:spacing w:after="0" w:line="214" w:lineRule="exact"/>
              <w:rPr>
                <w:sz w:val="20"/>
                <w:szCs w:val="20"/>
                <w:color w:val="auto"/>
              </w:rPr>
            </w:pPr>
            <w:r>
              <w:rPr>
                <w:rFonts w:ascii="Arial" w:cs="Arial" w:eastAsia="Arial" w:hAnsi="Arial"/>
                <w:sz w:val="15"/>
                <w:szCs w:val="15"/>
                <w:b w:val="1"/>
                <w:bCs w:val="1"/>
                <w:color w:val="auto"/>
              </w:rPr>
              <w:t>based</w:t>
            </w:r>
            <w:r>
              <w:rPr>
                <w:rFonts w:ascii="Arial" w:cs="Arial" w:eastAsia="Arial" w:hAnsi="Arial"/>
                <w:sz w:val="24"/>
                <w:szCs w:val="24"/>
                <w:b w:val="1"/>
                <w:bCs w:val="1"/>
                <w:color w:val="auto"/>
                <w:vertAlign w:val="superscript"/>
              </w:rPr>
              <w:t>(2)</w:t>
            </w:r>
          </w:p>
        </w:tc>
        <w:tc>
          <w:tcPr>
            <w:tcW w:w="1200" w:type="dxa"/>
            <w:vAlign w:val="bottom"/>
            <w:tcBorders>
              <w:bottom w:val="single" w:sz="8" w:color="A26F2A"/>
            </w:tcBorders>
            <w:gridSpan w:val="3"/>
            <w:vMerge w:val="continue"/>
          </w:tcPr>
          <w:p>
            <w:pPr>
              <w:spacing w:after="0"/>
              <w:rPr>
                <w:sz w:val="19"/>
                <w:szCs w:val="19"/>
                <w:color w:val="auto"/>
              </w:rPr>
            </w:pPr>
          </w:p>
        </w:tc>
        <w:tc>
          <w:tcPr>
            <w:tcW w:w="260" w:type="dxa"/>
            <w:vAlign w:val="bottom"/>
            <w:tcBorders>
              <w:bottom w:val="single" w:sz="8" w:color="A26F2A"/>
            </w:tcBorders>
          </w:tcPr>
          <w:p>
            <w:pPr>
              <w:spacing w:after="0"/>
              <w:rPr>
                <w:sz w:val="19"/>
                <w:szCs w:val="19"/>
                <w:color w:val="auto"/>
              </w:rPr>
            </w:pPr>
          </w:p>
        </w:tc>
        <w:tc>
          <w:tcPr>
            <w:tcW w:w="980" w:type="dxa"/>
            <w:vAlign w:val="bottom"/>
            <w:tcBorders>
              <w:bottom w:val="single" w:sz="8" w:color="A26F2A"/>
            </w:tcBorders>
          </w:tcPr>
          <w:p>
            <w:pPr>
              <w:jc w:val="right"/>
              <w:ind w:right="5"/>
              <w:spacing w:after="0" w:line="214"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1"/>
                <w:szCs w:val="11"/>
                <w:b w:val="1"/>
                <w:bCs w:val="1"/>
                <w:color w:val="auto"/>
              </w:rPr>
              <w:t>(4)</w:t>
            </w:r>
          </w:p>
        </w:tc>
        <w:tc>
          <w:tcPr>
            <w:tcW w:w="340" w:type="dxa"/>
            <w:vAlign w:val="bottom"/>
            <w:tcBorders>
              <w:bottom w:val="single" w:sz="8" w:color="A26F2A"/>
            </w:tcBorders>
          </w:tcPr>
          <w:p>
            <w:pPr>
              <w:spacing w:after="0"/>
              <w:rPr>
                <w:sz w:val="19"/>
                <w:szCs w:val="19"/>
                <w:color w:val="auto"/>
              </w:rPr>
            </w:pPr>
          </w:p>
        </w:tc>
        <w:tc>
          <w:tcPr>
            <w:tcW w:w="900" w:type="dxa"/>
            <w:vAlign w:val="bottom"/>
            <w:tcBorders>
              <w:bottom w:val="single" w:sz="8" w:color="A26F2A"/>
            </w:tcBorders>
          </w:tcPr>
          <w:p>
            <w:pPr>
              <w:jc w:val="right"/>
              <w:ind w:right="5"/>
              <w:spacing w:after="0" w:line="214"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1"/>
                <w:szCs w:val="11"/>
                <w:b w:val="1"/>
                <w:bCs w:val="1"/>
                <w:color w:val="auto"/>
              </w:rPr>
              <w:t>(5)</w:t>
            </w:r>
          </w:p>
        </w:tc>
        <w:tc>
          <w:tcPr>
            <w:tcW w:w="180" w:type="dxa"/>
            <w:vAlign w:val="bottom"/>
            <w:tcBorders>
              <w:bottom w:val="single" w:sz="8" w:color="A26F2A"/>
            </w:tcBorders>
          </w:tcPr>
          <w:p>
            <w:pPr>
              <w:spacing w:after="0"/>
              <w:rPr>
                <w:sz w:val="19"/>
                <w:szCs w:val="19"/>
                <w:color w:val="auto"/>
              </w:rPr>
            </w:pPr>
          </w:p>
        </w:tc>
        <w:tc>
          <w:tcPr>
            <w:tcW w:w="860" w:type="dxa"/>
            <w:vAlign w:val="bottom"/>
            <w:tcBorders>
              <w:bottom w:val="single" w:sz="8" w:color="A26F2A"/>
            </w:tcBorders>
          </w:tcPr>
          <w:p>
            <w:pPr>
              <w:jc w:val="right"/>
              <w:ind w:right="5"/>
              <w:spacing w:after="0" w:line="214"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1"/>
                <w:szCs w:val="11"/>
                <w:b w:val="1"/>
                <w:bCs w:val="1"/>
                <w:color w:val="auto"/>
              </w:rPr>
              <w:t>(6)</w:t>
            </w:r>
          </w:p>
        </w:tc>
        <w:tc>
          <w:tcPr>
            <w:tcW w:w="0" w:type="dxa"/>
            <w:vAlign w:val="bottom"/>
          </w:tcPr>
          <w:p>
            <w:pPr>
              <w:spacing w:after="0"/>
              <w:rPr>
                <w:sz w:val="1"/>
                <w:szCs w:val="1"/>
                <w:color w:val="auto"/>
              </w:rPr>
            </w:pPr>
          </w:p>
        </w:tc>
      </w:tr>
      <w:tr>
        <w:trPr>
          <w:trHeight w:val="177"/>
        </w:trPr>
        <w:tc>
          <w:tcPr>
            <w:tcW w:w="3780" w:type="dxa"/>
            <w:vAlign w:val="bottom"/>
          </w:tcPr>
          <w:p>
            <w:pPr>
              <w:ind w:left="60"/>
              <w:spacing w:after="0" w:line="157" w:lineRule="exact"/>
              <w:rPr>
                <w:sz w:val="20"/>
                <w:szCs w:val="20"/>
                <w:color w:val="auto"/>
              </w:rPr>
            </w:pPr>
            <w:r>
              <w:rPr>
                <w:rFonts w:ascii="Arial" w:cs="Arial" w:eastAsia="Arial" w:hAnsi="Arial"/>
                <w:sz w:val="12"/>
                <w:szCs w:val="12"/>
                <w:b w:val="1"/>
                <w:bCs w:val="1"/>
                <w:color w:val="auto"/>
              </w:rPr>
              <w:t>Travis D. Stice</w:t>
            </w:r>
            <w:r>
              <w:rPr>
                <w:rFonts w:ascii="Arial" w:cs="Arial" w:eastAsia="Arial" w:hAnsi="Arial"/>
                <w:sz w:val="18"/>
                <w:szCs w:val="18"/>
                <w:b w:val="1"/>
                <w:bCs w:val="1"/>
                <w:color w:val="auto"/>
                <w:vertAlign w:val="superscript"/>
              </w:rPr>
              <w:t>(7)</w:t>
            </w:r>
          </w:p>
        </w:tc>
        <w:tc>
          <w:tcPr>
            <w:tcW w:w="620" w:type="dxa"/>
            <w:vAlign w:val="bottom"/>
            <w:tcBorders>
              <w:bottom w:val="single" w:sz="8" w:color="A8A9AC"/>
            </w:tcBorders>
          </w:tcPr>
          <w:p>
            <w:pPr>
              <w:jc w:val="right"/>
              <w:ind w:right="24"/>
              <w:spacing w:after="0" w:line="157" w:lineRule="exact"/>
              <w:rPr>
                <w:sz w:val="20"/>
                <w:szCs w:val="20"/>
                <w:color w:val="auto"/>
              </w:rPr>
            </w:pPr>
            <w:r>
              <w:rPr>
                <w:rFonts w:ascii="Arial" w:cs="Arial" w:eastAsia="Arial" w:hAnsi="Arial"/>
                <w:sz w:val="15"/>
                <w:szCs w:val="15"/>
                <w:color w:val="auto"/>
              </w:rPr>
              <w:t>2025</w:t>
            </w:r>
          </w:p>
        </w:tc>
        <w:tc>
          <w:tcPr>
            <w:tcW w:w="180" w:type="dxa"/>
            <w:vAlign w:val="bottom"/>
            <w:tcBorders>
              <w:bottom w:val="single" w:sz="8" w:color="A8A9AC"/>
            </w:tcBorders>
          </w:tcPr>
          <w:p>
            <w:pPr>
              <w:jc w:val="right"/>
              <w:spacing w:after="0" w:line="157"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104"/>
              <w:spacing w:after="0" w:line="157" w:lineRule="exact"/>
              <w:rPr>
                <w:sz w:val="20"/>
                <w:szCs w:val="20"/>
                <w:color w:val="auto"/>
              </w:rPr>
            </w:pPr>
            <w:r>
              <w:rPr>
                <w:rFonts w:ascii="Arial" w:cs="Arial" w:eastAsia="Arial" w:hAnsi="Arial"/>
                <w:sz w:val="15"/>
                <w:szCs w:val="15"/>
                <w:color w:val="auto"/>
                <w:w w:val="98"/>
              </w:rPr>
              <w:t>1,128,600</w:t>
            </w:r>
          </w:p>
        </w:tc>
        <w:tc>
          <w:tcPr>
            <w:tcW w:w="160" w:type="dxa"/>
            <w:vAlign w:val="bottom"/>
            <w:tcBorders>
              <w:bottom w:val="single" w:sz="8" w:color="A8A9AC"/>
            </w:tcBorders>
          </w:tcPr>
          <w:p>
            <w:pPr>
              <w:spacing w:after="0" w:line="157"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8A9AC"/>
            </w:tcBorders>
          </w:tcPr>
          <w:p>
            <w:pPr>
              <w:jc w:val="right"/>
              <w:ind w:right="24"/>
              <w:spacing w:after="0" w:line="157" w:lineRule="exact"/>
              <w:rPr>
                <w:sz w:val="20"/>
                <w:szCs w:val="20"/>
                <w:color w:val="auto"/>
              </w:rPr>
            </w:pPr>
            <w:r>
              <w:rPr>
                <w:rFonts w:ascii="Arial" w:cs="Arial" w:eastAsia="Arial" w:hAnsi="Arial"/>
                <w:sz w:val="15"/>
                <w:szCs w:val="15"/>
                <w:color w:val="auto"/>
              </w:rPr>
              <w:t>11,242,400</w:t>
            </w:r>
          </w:p>
        </w:tc>
        <w:tc>
          <w:tcPr>
            <w:tcW w:w="300" w:type="dxa"/>
            <w:vAlign w:val="bottom"/>
            <w:tcBorders>
              <w:bottom w:val="single" w:sz="8" w:color="A8A9AC"/>
            </w:tcBorders>
          </w:tcPr>
          <w:p>
            <w:pPr>
              <w:ind w:left="80"/>
              <w:spacing w:after="0" w:line="157"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gridSpan w:val="2"/>
          </w:tcPr>
          <w:p>
            <w:pPr>
              <w:jc w:val="right"/>
              <w:ind w:right="80"/>
              <w:spacing w:after="0" w:line="157" w:lineRule="exact"/>
              <w:rPr>
                <w:sz w:val="20"/>
                <w:szCs w:val="20"/>
                <w:color w:val="auto"/>
              </w:rPr>
            </w:pPr>
            <w:r>
              <w:rPr>
                <w:rFonts w:ascii="Arial" w:cs="Arial" w:eastAsia="Arial" w:hAnsi="Arial"/>
                <w:sz w:val="15"/>
                <w:szCs w:val="15"/>
                <w:color w:val="auto"/>
              </w:rPr>
              <w:t>5,358,383</w:t>
            </w:r>
          </w:p>
        </w:tc>
        <w:tc>
          <w:tcPr>
            <w:tcW w:w="260" w:type="dxa"/>
            <w:vAlign w:val="bottom"/>
            <w:tcBorders>
              <w:bottom w:val="single" w:sz="8" w:color="A8A9AC"/>
            </w:tcBorders>
          </w:tcPr>
          <w:p>
            <w:pPr>
              <w:ind w:left="100"/>
              <w:spacing w:after="0" w:line="15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8A9AC"/>
            </w:tcBorders>
          </w:tcPr>
          <w:p>
            <w:pPr>
              <w:jc w:val="right"/>
              <w:ind w:right="5"/>
              <w:spacing w:after="0" w:line="157" w:lineRule="exact"/>
              <w:rPr>
                <w:sz w:val="20"/>
                <w:szCs w:val="20"/>
                <w:color w:val="auto"/>
              </w:rPr>
            </w:pPr>
            <w:r>
              <w:rPr>
                <w:rFonts w:ascii="Arial" w:cs="Arial" w:eastAsia="Arial" w:hAnsi="Arial"/>
                <w:sz w:val="15"/>
                <w:szCs w:val="15"/>
                <w:color w:val="auto"/>
              </w:rPr>
              <w:t>2,729,281</w:t>
            </w:r>
          </w:p>
        </w:tc>
        <w:tc>
          <w:tcPr>
            <w:tcW w:w="340" w:type="dxa"/>
            <w:vAlign w:val="bottom"/>
            <w:tcBorders>
              <w:bottom w:val="single" w:sz="8" w:color="A8A9AC"/>
            </w:tcBorders>
          </w:tcPr>
          <w:p>
            <w:pPr>
              <w:ind w:left="100"/>
              <w:spacing w:after="0" w:line="157"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tcPr>
          <w:p>
            <w:pPr>
              <w:jc w:val="right"/>
              <w:ind w:right="5"/>
              <w:spacing w:after="0" w:line="157" w:lineRule="exact"/>
              <w:rPr>
                <w:sz w:val="20"/>
                <w:szCs w:val="20"/>
                <w:color w:val="auto"/>
              </w:rPr>
            </w:pPr>
            <w:r>
              <w:rPr>
                <w:rFonts w:ascii="Arial" w:cs="Arial" w:eastAsia="Arial" w:hAnsi="Arial"/>
                <w:sz w:val="15"/>
                <w:szCs w:val="15"/>
                <w:color w:val="auto"/>
              </w:rPr>
              <w:t>44,111</w:t>
            </w:r>
          </w:p>
        </w:tc>
        <w:tc>
          <w:tcPr>
            <w:tcW w:w="180" w:type="dxa"/>
            <w:vAlign w:val="bottom"/>
            <w:tcBorders>
              <w:bottom w:val="single" w:sz="8" w:color="A8A9AC"/>
            </w:tcBorders>
          </w:tcPr>
          <w:p>
            <w:pPr>
              <w:jc w:val="right"/>
              <w:spacing w:after="0" w:line="157"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5"/>
              <w:spacing w:after="0" w:line="157" w:lineRule="exact"/>
              <w:rPr>
                <w:sz w:val="20"/>
                <w:szCs w:val="20"/>
                <w:color w:val="auto"/>
              </w:rPr>
            </w:pPr>
            <w:r>
              <w:rPr>
                <w:rFonts w:ascii="Arial" w:cs="Arial" w:eastAsia="Arial" w:hAnsi="Arial"/>
                <w:sz w:val="15"/>
                <w:szCs w:val="15"/>
                <w:color w:val="auto"/>
              </w:rPr>
              <w:t>20,502,775</w:t>
            </w:r>
          </w:p>
        </w:tc>
        <w:tc>
          <w:tcPr>
            <w:tcW w:w="0" w:type="dxa"/>
            <w:vAlign w:val="bottom"/>
          </w:tcPr>
          <w:p>
            <w:pPr>
              <w:spacing w:after="0"/>
              <w:rPr>
                <w:sz w:val="1"/>
                <w:szCs w:val="1"/>
                <w:color w:val="auto"/>
              </w:rPr>
            </w:pPr>
          </w:p>
        </w:tc>
      </w:tr>
      <w:tr>
        <w:trPr>
          <w:trHeight w:val="169"/>
        </w:trPr>
        <w:tc>
          <w:tcPr>
            <w:tcW w:w="3780" w:type="dxa"/>
            <w:vAlign w:val="bottom"/>
          </w:tcPr>
          <w:p>
            <w:pPr>
              <w:ind w:left="280"/>
              <w:spacing w:after="0" w:line="169" w:lineRule="exact"/>
              <w:rPr>
                <w:sz w:val="20"/>
                <w:szCs w:val="20"/>
                <w:color w:val="auto"/>
              </w:rPr>
            </w:pPr>
            <w:r>
              <w:rPr>
                <w:rFonts w:ascii="Arial" w:cs="Arial" w:eastAsia="Arial" w:hAnsi="Arial"/>
                <w:sz w:val="15"/>
                <w:szCs w:val="15"/>
                <w:color w:val="auto"/>
              </w:rPr>
              <w:t>Executive Chairman*</w:t>
            </w:r>
          </w:p>
        </w:tc>
        <w:tc>
          <w:tcPr>
            <w:tcW w:w="620" w:type="dxa"/>
            <w:vAlign w:val="bottom"/>
            <w:tcBorders>
              <w:bottom w:val="single" w:sz="8" w:color="A8A9AC"/>
            </w:tcBorders>
          </w:tcPr>
          <w:p>
            <w:pPr>
              <w:jc w:val="right"/>
              <w:ind w:right="24"/>
              <w:spacing w:after="0" w:line="169" w:lineRule="exact"/>
              <w:rPr>
                <w:sz w:val="20"/>
                <w:szCs w:val="20"/>
                <w:color w:val="auto"/>
              </w:rPr>
            </w:pPr>
            <w:r>
              <w:rPr>
                <w:rFonts w:ascii="Arial" w:cs="Arial" w:eastAsia="Arial" w:hAnsi="Arial"/>
                <w:sz w:val="15"/>
                <w:szCs w:val="15"/>
                <w:color w:val="auto"/>
              </w:rPr>
              <w:t>2024</w:t>
            </w: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w w:val="98"/>
              </w:rPr>
              <w:t>1,391,667</w:t>
            </w:r>
          </w:p>
        </w:tc>
        <w:tc>
          <w:tcPr>
            <w:tcW w:w="160" w:type="dxa"/>
            <w:vAlign w:val="bottom"/>
            <w:tcBorders>
              <w:bottom w:val="single" w:sz="8" w:color="A8A9AC"/>
            </w:tcBorders>
          </w:tcPr>
          <w:p>
            <w:pPr>
              <w:spacing w:after="0" w:line="16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8A9AC"/>
            </w:tcBorders>
          </w:tcPr>
          <w:p>
            <w:pPr>
              <w:jc w:val="right"/>
              <w:ind w:right="24"/>
              <w:spacing w:after="0" w:line="169" w:lineRule="exact"/>
              <w:rPr>
                <w:sz w:val="20"/>
                <w:szCs w:val="20"/>
                <w:color w:val="auto"/>
              </w:rPr>
            </w:pPr>
            <w:r>
              <w:rPr>
                <w:rFonts w:ascii="Arial" w:cs="Arial" w:eastAsia="Arial" w:hAnsi="Arial"/>
                <w:sz w:val="15"/>
                <w:szCs w:val="15"/>
                <w:color w:val="auto"/>
              </w:rPr>
              <w:t>12,491,394</w:t>
            </w:r>
          </w:p>
        </w:tc>
        <w:tc>
          <w:tcPr>
            <w:tcW w:w="300" w:type="dxa"/>
            <w:vAlign w:val="bottom"/>
            <w:tcBorders>
              <w:bottom w:val="single" w:sz="8" w:color="A8A9AC"/>
            </w:tcBorders>
          </w:tcPr>
          <w:p>
            <w:pPr>
              <w:ind w:left="8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gridSpan w:val="2"/>
          </w:tcPr>
          <w:p>
            <w:pPr>
              <w:jc w:val="right"/>
              <w:ind w:right="80"/>
              <w:spacing w:after="0" w:line="169" w:lineRule="exact"/>
              <w:rPr>
                <w:sz w:val="20"/>
                <w:szCs w:val="20"/>
                <w:color w:val="auto"/>
              </w:rPr>
            </w:pPr>
            <w:r>
              <w:rPr>
                <w:rFonts w:ascii="Arial" w:cs="Arial" w:eastAsia="Arial" w:hAnsi="Arial"/>
                <w:sz w:val="15"/>
                <w:szCs w:val="15"/>
                <w:color w:val="auto"/>
              </w:rPr>
              <w:t>4,066,518</w:t>
            </w:r>
          </w:p>
        </w:tc>
        <w:tc>
          <w:tcPr>
            <w:tcW w:w="260" w:type="dxa"/>
            <w:vAlign w:val="bottom"/>
            <w:tcBorders>
              <w:bottom w:val="single" w:sz="8" w:color="A8A9AC"/>
            </w:tcBorders>
          </w:tcPr>
          <w:p>
            <w:pPr>
              <w:ind w:left="100"/>
              <w:spacing w:after="0" w:line="169"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8A9AC"/>
            </w:tcBorders>
          </w:tcPr>
          <w:p>
            <w:pPr>
              <w:jc w:val="right"/>
              <w:ind w:right="5"/>
              <w:spacing w:after="0" w:line="169" w:lineRule="exact"/>
              <w:rPr>
                <w:sz w:val="20"/>
                <w:szCs w:val="20"/>
                <w:color w:val="auto"/>
              </w:rPr>
            </w:pPr>
            <w:r>
              <w:rPr>
                <w:rFonts w:ascii="Arial" w:cs="Arial" w:eastAsia="Arial" w:hAnsi="Arial"/>
                <w:sz w:val="15"/>
                <w:szCs w:val="15"/>
                <w:color w:val="auto"/>
              </w:rPr>
              <w:t>3,332,000</w:t>
            </w:r>
          </w:p>
        </w:tc>
        <w:tc>
          <w:tcPr>
            <w:tcW w:w="340" w:type="dxa"/>
            <w:vAlign w:val="bottom"/>
            <w:tcBorders>
              <w:bottom w:val="single" w:sz="8" w:color="A8A9AC"/>
            </w:tcBorders>
          </w:tcPr>
          <w:p>
            <w:pPr>
              <w:ind w:left="10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tcPr>
          <w:p>
            <w:pPr>
              <w:jc w:val="right"/>
              <w:ind w:right="5"/>
              <w:spacing w:after="0" w:line="169" w:lineRule="exact"/>
              <w:rPr>
                <w:sz w:val="20"/>
                <w:szCs w:val="20"/>
                <w:color w:val="auto"/>
              </w:rPr>
            </w:pPr>
            <w:r>
              <w:rPr>
                <w:rFonts w:ascii="Arial" w:cs="Arial" w:eastAsia="Arial" w:hAnsi="Arial"/>
                <w:sz w:val="15"/>
                <w:szCs w:val="15"/>
                <w:color w:val="auto"/>
              </w:rPr>
              <w:t>42,500</w:t>
            </w: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5"/>
              <w:spacing w:after="0" w:line="169" w:lineRule="exact"/>
              <w:rPr>
                <w:sz w:val="20"/>
                <w:szCs w:val="20"/>
                <w:color w:val="auto"/>
              </w:rPr>
            </w:pPr>
            <w:r>
              <w:rPr>
                <w:rFonts w:ascii="Arial" w:cs="Arial" w:eastAsia="Arial" w:hAnsi="Arial"/>
                <w:sz w:val="15"/>
                <w:szCs w:val="15"/>
                <w:color w:val="auto"/>
              </w:rPr>
              <w:t>21,324,079</w:t>
            </w:r>
          </w:p>
        </w:tc>
        <w:tc>
          <w:tcPr>
            <w:tcW w:w="0" w:type="dxa"/>
            <w:vAlign w:val="bottom"/>
          </w:tcPr>
          <w:p>
            <w:pPr>
              <w:spacing w:after="0"/>
              <w:rPr>
                <w:sz w:val="1"/>
                <w:szCs w:val="1"/>
                <w:color w:val="auto"/>
              </w:rPr>
            </w:pPr>
          </w:p>
        </w:tc>
      </w:tr>
      <w:tr>
        <w:trPr>
          <w:trHeight w:val="169"/>
        </w:trPr>
        <w:tc>
          <w:tcPr>
            <w:tcW w:w="3780" w:type="dxa"/>
            <w:vAlign w:val="bottom"/>
            <w:tcBorders>
              <w:bottom w:val="single" w:sz="8" w:color="A26F2A"/>
            </w:tcBorders>
          </w:tcPr>
          <w:p>
            <w:pPr>
              <w:spacing w:after="0"/>
              <w:rPr>
                <w:sz w:val="14"/>
                <w:szCs w:val="14"/>
                <w:color w:val="auto"/>
              </w:rPr>
            </w:pPr>
          </w:p>
        </w:tc>
        <w:tc>
          <w:tcPr>
            <w:tcW w:w="620" w:type="dxa"/>
            <w:vAlign w:val="bottom"/>
            <w:tcBorders>
              <w:bottom w:val="single" w:sz="8" w:color="A26F2A"/>
            </w:tcBorders>
          </w:tcPr>
          <w:p>
            <w:pPr>
              <w:jc w:val="right"/>
              <w:ind w:right="24"/>
              <w:spacing w:after="0" w:line="169" w:lineRule="exact"/>
              <w:rPr>
                <w:sz w:val="20"/>
                <w:szCs w:val="20"/>
                <w:color w:val="auto"/>
              </w:rPr>
            </w:pPr>
            <w:r>
              <w:rPr>
                <w:rFonts w:ascii="Arial" w:cs="Arial" w:eastAsia="Arial" w:hAnsi="Arial"/>
                <w:sz w:val="15"/>
                <w:szCs w:val="15"/>
                <w:color w:val="auto"/>
              </w:rPr>
              <w:t>2023</w:t>
            </w:r>
          </w:p>
        </w:tc>
        <w:tc>
          <w:tcPr>
            <w:tcW w:w="1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26F2A"/>
            </w:tcBorders>
          </w:tcPr>
          <w:p>
            <w:pPr>
              <w:jc w:val="right"/>
              <w:ind w:right="104"/>
              <w:spacing w:after="0" w:line="169" w:lineRule="exact"/>
              <w:rPr>
                <w:sz w:val="20"/>
                <w:szCs w:val="20"/>
                <w:color w:val="auto"/>
              </w:rPr>
            </w:pPr>
            <w:r>
              <w:rPr>
                <w:rFonts w:ascii="Arial" w:cs="Arial" w:eastAsia="Arial" w:hAnsi="Arial"/>
                <w:sz w:val="15"/>
                <w:szCs w:val="15"/>
                <w:color w:val="auto"/>
                <w:w w:val="98"/>
              </w:rPr>
              <w:t>1,350,000</w:t>
            </w:r>
          </w:p>
        </w:tc>
        <w:tc>
          <w:tcPr>
            <w:tcW w:w="160" w:type="dxa"/>
            <w:vAlign w:val="bottom"/>
            <w:tcBorders>
              <w:bottom w:val="single" w:sz="8" w:color="A26F2A"/>
            </w:tcBorders>
          </w:tcPr>
          <w:p>
            <w:pPr>
              <w:spacing w:after="0" w:line="16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26F2A"/>
            </w:tcBorders>
          </w:tcPr>
          <w:p>
            <w:pPr>
              <w:jc w:val="right"/>
              <w:ind w:right="24"/>
              <w:spacing w:after="0" w:line="169" w:lineRule="exact"/>
              <w:rPr>
                <w:sz w:val="20"/>
                <w:szCs w:val="20"/>
                <w:color w:val="auto"/>
              </w:rPr>
            </w:pPr>
            <w:r>
              <w:rPr>
                <w:rFonts w:ascii="Arial" w:cs="Arial" w:eastAsia="Arial" w:hAnsi="Arial"/>
                <w:sz w:val="15"/>
                <w:szCs w:val="15"/>
                <w:color w:val="auto"/>
              </w:rPr>
              <w:t>10,512,896</w:t>
            </w:r>
          </w:p>
        </w:tc>
        <w:tc>
          <w:tcPr>
            <w:tcW w:w="300" w:type="dxa"/>
            <w:vAlign w:val="bottom"/>
            <w:tcBorders>
              <w:bottom w:val="single" w:sz="8" w:color="A26F2A"/>
            </w:tcBorders>
          </w:tcPr>
          <w:p>
            <w:pPr>
              <w:ind w:left="8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26F2A"/>
            </w:tcBorders>
            <w:gridSpan w:val="2"/>
          </w:tcPr>
          <w:p>
            <w:pPr>
              <w:jc w:val="right"/>
              <w:ind w:right="80"/>
              <w:spacing w:after="0" w:line="169" w:lineRule="exact"/>
              <w:rPr>
                <w:sz w:val="20"/>
                <w:szCs w:val="20"/>
                <w:color w:val="auto"/>
              </w:rPr>
            </w:pPr>
            <w:r>
              <w:rPr>
                <w:rFonts w:ascii="Arial" w:cs="Arial" w:eastAsia="Arial" w:hAnsi="Arial"/>
                <w:sz w:val="15"/>
                <w:szCs w:val="15"/>
                <w:color w:val="auto"/>
              </w:rPr>
              <w:t>3,905,608</w:t>
            </w:r>
          </w:p>
        </w:tc>
        <w:tc>
          <w:tcPr>
            <w:tcW w:w="260" w:type="dxa"/>
            <w:vAlign w:val="bottom"/>
            <w:tcBorders>
              <w:bottom w:val="single" w:sz="8" w:color="A26F2A"/>
            </w:tcBorders>
          </w:tcPr>
          <w:p>
            <w:pPr>
              <w:ind w:left="100"/>
              <w:spacing w:after="0" w:line="169"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26F2A"/>
            </w:tcBorders>
          </w:tcPr>
          <w:p>
            <w:pPr>
              <w:jc w:val="right"/>
              <w:ind w:right="5"/>
              <w:spacing w:after="0" w:line="169" w:lineRule="exact"/>
              <w:rPr>
                <w:sz w:val="20"/>
                <w:szCs w:val="20"/>
                <w:color w:val="auto"/>
              </w:rPr>
            </w:pPr>
            <w:r>
              <w:rPr>
                <w:rFonts w:ascii="Arial" w:cs="Arial" w:eastAsia="Arial" w:hAnsi="Arial"/>
                <w:sz w:val="15"/>
                <w:szCs w:val="15"/>
                <w:color w:val="auto"/>
              </w:rPr>
              <w:t>1,771,875</w:t>
            </w:r>
          </w:p>
        </w:tc>
        <w:tc>
          <w:tcPr>
            <w:tcW w:w="340" w:type="dxa"/>
            <w:vAlign w:val="bottom"/>
            <w:tcBorders>
              <w:bottom w:val="single" w:sz="8" w:color="A26F2A"/>
            </w:tcBorders>
          </w:tcPr>
          <w:p>
            <w:pPr>
              <w:ind w:left="10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26F2A"/>
            </w:tcBorders>
          </w:tcPr>
          <w:p>
            <w:pPr>
              <w:jc w:val="right"/>
              <w:ind w:right="5"/>
              <w:spacing w:after="0" w:line="169" w:lineRule="exact"/>
              <w:rPr>
                <w:sz w:val="20"/>
                <w:szCs w:val="20"/>
                <w:color w:val="auto"/>
              </w:rPr>
            </w:pPr>
            <w:r>
              <w:rPr>
                <w:rFonts w:ascii="Arial" w:cs="Arial" w:eastAsia="Arial" w:hAnsi="Arial"/>
                <w:sz w:val="15"/>
                <w:szCs w:val="15"/>
                <w:color w:val="auto"/>
              </w:rPr>
              <w:t>43,007</w:t>
            </w:r>
          </w:p>
        </w:tc>
        <w:tc>
          <w:tcPr>
            <w:tcW w:w="1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26F2A"/>
            </w:tcBorders>
          </w:tcPr>
          <w:p>
            <w:pPr>
              <w:jc w:val="right"/>
              <w:ind w:right="5"/>
              <w:spacing w:after="0" w:line="169" w:lineRule="exact"/>
              <w:rPr>
                <w:sz w:val="20"/>
                <w:szCs w:val="20"/>
                <w:color w:val="auto"/>
              </w:rPr>
            </w:pPr>
            <w:r>
              <w:rPr>
                <w:rFonts w:ascii="Arial" w:cs="Arial" w:eastAsia="Arial" w:hAnsi="Arial"/>
                <w:sz w:val="15"/>
                <w:szCs w:val="15"/>
                <w:color w:val="auto"/>
              </w:rPr>
              <w:t>17,583,386</w:t>
            </w:r>
          </w:p>
        </w:tc>
        <w:tc>
          <w:tcPr>
            <w:tcW w:w="0" w:type="dxa"/>
            <w:vAlign w:val="bottom"/>
          </w:tcPr>
          <w:p>
            <w:pPr>
              <w:spacing w:after="0"/>
              <w:rPr>
                <w:sz w:val="1"/>
                <w:szCs w:val="1"/>
                <w:color w:val="auto"/>
              </w:rPr>
            </w:pPr>
          </w:p>
        </w:tc>
      </w:tr>
      <w:tr>
        <w:trPr>
          <w:trHeight w:val="169"/>
        </w:trPr>
        <w:tc>
          <w:tcPr>
            <w:tcW w:w="378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Kaes Van’t Hof</w:t>
            </w:r>
          </w:p>
        </w:tc>
        <w:tc>
          <w:tcPr>
            <w:tcW w:w="620" w:type="dxa"/>
            <w:vAlign w:val="bottom"/>
            <w:tcBorders>
              <w:bottom w:val="single" w:sz="8" w:color="A8A9AC"/>
            </w:tcBorders>
          </w:tcPr>
          <w:p>
            <w:pPr>
              <w:jc w:val="right"/>
              <w:ind w:right="24"/>
              <w:spacing w:after="0" w:line="169" w:lineRule="exact"/>
              <w:rPr>
                <w:sz w:val="20"/>
                <w:szCs w:val="20"/>
                <w:color w:val="auto"/>
              </w:rPr>
            </w:pPr>
            <w:r>
              <w:rPr>
                <w:rFonts w:ascii="Arial" w:cs="Arial" w:eastAsia="Arial" w:hAnsi="Arial"/>
                <w:sz w:val="15"/>
                <w:szCs w:val="15"/>
                <w:color w:val="auto"/>
              </w:rPr>
              <w:t>2025</w:t>
            </w: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w w:val="98"/>
              </w:rPr>
              <w:t>1,109,500</w:t>
            </w:r>
          </w:p>
        </w:tc>
        <w:tc>
          <w:tcPr>
            <w:tcW w:w="160" w:type="dxa"/>
            <w:vAlign w:val="bottom"/>
            <w:tcBorders>
              <w:bottom w:val="single" w:sz="8" w:color="A8A9AC"/>
            </w:tcBorders>
          </w:tcPr>
          <w:p>
            <w:pPr>
              <w:spacing w:after="0" w:line="16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8A9AC"/>
            </w:tcBorders>
          </w:tcPr>
          <w:p>
            <w:pPr>
              <w:jc w:val="right"/>
              <w:ind w:right="24"/>
              <w:spacing w:after="0" w:line="169" w:lineRule="exact"/>
              <w:rPr>
                <w:sz w:val="20"/>
                <w:szCs w:val="20"/>
                <w:color w:val="auto"/>
              </w:rPr>
            </w:pPr>
            <w:r>
              <w:rPr>
                <w:rFonts w:ascii="Arial" w:cs="Arial" w:eastAsia="Arial" w:hAnsi="Arial"/>
                <w:sz w:val="15"/>
                <w:szCs w:val="15"/>
                <w:color w:val="auto"/>
              </w:rPr>
              <w:t>7,997,391</w:t>
            </w:r>
          </w:p>
        </w:tc>
        <w:tc>
          <w:tcPr>
            <w:tcW w:w="300" w:type="dxa"/>
            <w:vAlign w:val="bottom"/>
            <w:tcBorders>
              <w:bottom w:val="single" w:sz="8" w:color="A8A9AC"/>
            </w:tcBorders>
          </w:tcPr>
          <w:p>
            <w:pPr>
              <w:ind w:left="8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gridSpan w:val="2"/>
          </w:tcPr>
          <w:p>
            <w:pPr>
              <w:jc w:val="right"/>
              <w:ind w:right="80"/>
              <w:spacing w:after="0" w:line="169" w:lineRule="exact"/>
              <w:rPr>
                <w:sz w:val="20"/>
                <w:szCs w:val="20"/>
                <w:color w:val="auto"/>
              </w:rPr>
            </w:pPr>
            <w:r>
              <w:rPr>
                <w:rFonts w:ascii="Arial" w:cs="Arial" w:eastAsia="Arial" w:hAnsi="Arial"/>
                <w:sz w:val="15"/>
                <w:szCs w:val="15"/>
                <w:color w:val="auto"/>
              </w:rPr>
              <w:t>3,104,071</w:t>
            </w:r>
          </w:p>
        </w:tc>
        <w:tc>
          <w:tcPr>
            <w:tcW w:w="260" w:type="dxa"/>
            <w:vAlign w:val="bottom"/>
            <w:tcBorders>
              <w:bottom w:val="single" w:sz="8" w:color="A8A9AC"/>
            </w:tcBorders>
          </w:tcPr>
          <w:p>
            <w:pPr>
              <w:ind w:left="100"/>
              <w:spacing w:after="0" w:line="169"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8A9AC"/>
            </w:tcBorders>
          </w:tcPr>
          <w:p>
            <w:pPr>
              <w:jc w:val="right"/>
              <w:ind w:right="5"/>
              <w:spacing w:after="0" w:line="169" w:lineRule="exact"/>
              <w:rPr>
                <w:sz w:val="20"/>
                <w:szCs w:val="20"/>
                <w:color w:val="auto"/>
              </w:rPr>
            </w:pPr>
            <w:r>
              <w:rPr>
                <w:rFonts w:ascii="Arial" w:cs="Arial" w:eastAsia="Arial" w:hAnsi="Arial"/>
                <w:sz w:val="15"/>
                <w:szCs w:val="15"/>
                <w:color w:val="auto"/>
              </w:rPr>
              <w:t>2,676,350</w:t>
            </w:r>
          </w:p>
        </w:tc>
        <w:tc>
          <w:tcPr>
            <w:tcW w:w="340" w:type="dxa"/>
            <w:vAlign w:val="bottom"/>
            <w:tcBorders>
              <w:bottom w:val="single" w:sz="8" w:color="A8A9AC"/>
            </w:tcBorders>
          </w:tcPr>
          <w:p>
            <w:pPr>
              <w:ind w:left="10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tcPr>
          <w:p>
            <w:pPr>
              <w:jc w:val="right"/>
              <w:ind w:right="5"/>
              <w:spacing w:after="0" w:line="169" w:lineRule="exact"/>
              <w:rPr>
                <w:sz w:val="20"/>
                <w:szCs w:val="20"/>
                <w:color w:val="auto"/>
              </w:rPr>
            </w:pPr>
            <w:r>
              <w:rPr>
                <w:rFonts w:ascii="Arial" w:cs="Arial" w:eastAsia="Arial" w:hAnsi="Arial"/>
                <w:sz w:val="15"/>
                <w:szCs w:val="15"/>
                <w:color w:val="auto"/>
              </w:rPr>
              <w:t>44,111</w:t>
            </w: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5"/>
              <w:spacing w:after="0" w:line="169" w:lineRule="exact"/>
              <w:rPr>
                <w:sz w:val="20"/>
                <w:szCs w:val="20"/>
                <w:color w:val="auto"/>
              </w:rPr>
            </w:pPr>
            <w:r>
              <w:rPr>
                <w:rFonts w:ascii="Arial" w:cs="Arial" w:eastAsia="Arial" w:hAnsi="Arial"/>
                <w:sz w:val="15"/>
                <w:szCs w:val="15"/>
                <w:color w:val="auto"/>
              </w:rPr>
              <w:t>14,931,423</w:t>
            </w:r>
          </w:p>
        </w:tc>
        <w:tc>
          <w:tcPr>
            <w:tcW w:w="0" w:type="dxa"/>
            <w:vAlign w:val="bottom"/>
          </w:tcPr>
          <w:p>
            <w:pPr>
              <w:spacing w:after="0"/>
              <w:rPr>
                <w:sz w:val="1"/>
                <w:szCs w:val="1"/>
                <w:color w:val="auto"/>
              </w:rPr>
            </w:pPr>
          </w:p>
        </w:tc>
      </w:tr>
      <w:tr>
        <w:trPr>
          <w:trHeight w:val="169"/>
        </w:trPr>
        <w:tc>
          <w:tcPr>
            <w:tcW w:w="3780" w:type="dxa"/>
            <w:vAlign w:val="bottom"/>
          </w:tcPr>
          <w:p>
            <w:pPr>
              <w:ind w:left="280"/>
              <w:spacing w:after="0" w:line="169" w:lineRule="exact"/>
              <w:rPr>
                <w:sz w:val="20"/>
                <w:szCs w:val="20"/>
                <w:color w:val="auto"/>
              </w:rPr>
            </w:pPr>
            <w:r>
              <w:rPr>
                <w:rFonts w:ascii="Arial" w:cs="Arial" w:eastAsia="Arial" w:hAnsi="Arial"/>
                <w:sz w:val="15"/>
                <w:szCs w:val="15"/>
                <w:color w:val="auto"/>
              </w:rPr>
              <w:t>Chief Executive Officer*</w:t>
            </w:r>
          </w:p>
        </w:tc>
        <w:tc>
          <w:tcPr>
            <w:tcW w:w="620" w:type="dxa"/>
            <w:vAlign w:val="bottom"/>
            <w:tcBorders>
              <w:bottom w:val="single" w:sz="8" w:color="A8A9AC"/>
            </w:tcBorders>
          </w:tcPr>
          <w:p>
            <w:pPr>
              <w:jc w:val="right"/>
              <w:ind w:right="24"/>
              <w:spacing w:after="0" w:line="169" w:lineRule="exact"/>
              <w:rPr>
                <w:sz w:val="20"/>
                <w:szCs w:val="20"/>
                <w:color w:val="auto"/>
              </w:rPr>
            </w:pPr>
            <w:r>
              <w:rPr>
                <w:rFonts w:ascii="Arial" w:cs="Arial" w:eastAsia="Arial" w:hAnsi="Arial"/>
                <w:sz w:val="15"/>
                <w:szCs w:val="15"/>
                <w:color w:val="auto"/>
              </w:rPr>
              <w:t>2024</w:t>
            </w: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691,667</w:t>
            </w:r>
          </w:p>
        </w:tc>
        <w:tc>
          <w:tcPr>
            <w:tcW w:w="160" w:type="dxa"/>
            <w:vAlign w:val="bottom"/>
            <w:tcBorders>
              <w:bottom w:val="single" w:sz="8" w:color="A8A9AC"/>
            </w:tcBorders>
          </w:tcPr>
          <w:p>
            <w:pPr>
              <w:spacing w:after="0" w:line="16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8A9AC"/>
            </w:tcBorders>
          </w:tcPr>
          <w:p>
            <w:pPr>
              <w:jc w:val="right"/>
              <w:ind w:right="24"/>
              <w:spacing w:after="0" w:line="169" w:lineRule="exact"/>
              <w:rPr>
                <w:sz w:val="20"/>
                <w:szCs w:val="20"/>
                <w:color w:val="auto"/>
              </w:rPr>
            </w:pPr>
            <w:r>
              <w:rPr>
                <w:rFonts w:ascii="Arial" w:cs="Arial" w:eastAsia="Arial" w:hAnsi="Arial"/>
                <w:sz w:val="15"/>
                <w:szCs w:val="15"/>
                <w:color w:val="auto"/>
              </w:rPr>
              <w:t>5,859,064</w:t>
            </w:r>
          </w:p>
        </w:tc>
        <w:tc>
          <w:tcPr>
            <w:tcW w:w="300" w:type="dxa"/>
            <w:vAlign w:val="bottom"/>
            <w:tcBorders>
              <w:bottom w:val="single" w:sz="8" w:color="A8A9AC"/>
            </w:tcBorders>
          </w:tcPr>
          <w:p>
            <w:pPr>
              <w:ind w:left="8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gridSpan w:val="2"/>
          </w:tcPr>
          <w:p>
            <w:pPr>
              <w:jc w:val="right"/>
              <w:ind w:right="80"/>
              <w:spacing w:after="0" w:line="169" w:lineRule="exact"/>
              <w:rPr>
                <w:sz w:val="20"/>
                <w:szCs w:val="20"/>
                <w:color w:val="auto"/>
              </w:rPr>
            </w:pPr>
            <w:r>
              <w:rPr>
                <w:rFonts w:ascii="Arial" w:cs="Arial" w:eastAsia="Arial" w:hAnsi="Arial"/>
                <w:sz w:val="15"/>
                <w:szCs w:val="15"/>
                <w:color w:val="auto"/>
              </w:rPr>
              <w:t>1,668,382</w:t>
            </w:r>
          </w:p>
        </w:tc>
        <w:tc>
          <w:tcPr>
            <w:tcW w:w="260" w:type="dxa"/>
            <w:vAlign w:val="bottom"/>
            <w:tcBorders>
              <w:bottom w:val="single" w:sz="8" w:color="A8A9AC"/>
            </w:tcBorders>
          </w:tcPr>
          <w:p>
            <w:pPr>
              <w:ind w:left="100"/>
              <w:spacing w:after="0" w:line="169"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8A9AC"/>
            </w:tcBorders>
          </w:tcPr>
          <w:p>
            <w:pPr>
              <w:jc w:val="right"/>
              <w:ind w:right="5"/>
              <w:spacing w:after="0" w:line="169" w:lineRule="exact"/>
              <w:rPr>
                <w:sz w:val="20"/>
                <w:szCs w:val="20"/>
                <w:color w:val="auto"/>
              </w:rPr>
            </w:pPr>
            <w:r>
              <w:rPr>
                <w:rFonts w:ascii="Arial" w:cs="Arial" w:eastAsia="Arial" w:hAnsi="Arial"/>
                <w:sz w:val="15"/>
                <w:szCs w:val="15"/>
                <w:color w:val="auto"/>
              </w:rPr>
              <w:t>1,190,000</w:t>
            </w:r>
          </w:p>
        </w:tc>
        <w:tc>
          <w:tcPr>
            <w:tcW w:w="340" w:type="dxa"/>
            <w:vAlign w:val="bottom"/>
            <w:tcBorders>
              <w:bottom w:val="single" w:sz="8" w:color="A8A9AC"/>
            </w:tcBorders>
          </w:tcPr>
          <w:p>
            <w:pPr>
              <w:ind w:left="10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tcPr>
          <w:p>
            <w:pPr>
              <w:jc w:val="right"/>
              <w:ind w:right="5"/>
              <w:spacing w:after="0" w:line="169" w:lineRule="exact"/>
              <w:rPr>
                <w:sz w:val="20"/>
                <w:szCs w:val="20"/>
                <w:color w:val="auto"/>
              </w:rPr>
            </w:pPr>
            <w:r>
              <w:rPr>
                <w:rFonts w:ascii="Arial" w:cs="Arial" w:eastAsia="Arial" w:hAnsi="Arial"/>
                <w:sz w:val="15"/>
                <w:szCs w:val="15"/>
                <w:color w:val="auto"/>
              </w:rPr>
              <w:t>42,500</w:t>
            </w: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5"/>
              <w:spacing w:after="0" w:line="169" w:lineRule="exact"/>
              <w:rPr>
                <w:sz w:val="20"/>
                <w:szCs w:val="20"/>
                <w:color w:val="auto"/>
              </w:rPr>
            </w:pPr>
            <w:r>
              <w:rPr>
                <w:rFonts w:ascii="Arial" w:cs="Arial" w:eastAsia="Arial" w:hAnsi="Arial"/>
                <w:sz w:val="15"/>
                <w:szCs w:val="15"/>
                <w:color w:val="auto"/>
              </w:rPr>
              <w:t>9,451,613</w:t>
            </w:r>
          </w:p>
        </w:tc>
        <w:tc>
          <w:tcPr>
            <w:tcW w:w="0" w:type="dxa"/>
            <w:vAlign w:val="bottom"/>
          </w:tcPr>
          <w:p>
            <w:pPr>
              <w:spacing w:after="0"/>
              <w:rPr>
                <w:sz w:val="1"/>
                <w:szCs w:val="1"/>
                <w:color w:val="auto"/>
              </w:rPr>
            </w:pPr>
          </w:p>
        </w:tc>
      </w:tr>
      <w:tr>
        <w:trPr>
          <w:trHeight w:val="169"/>
        </w:trPr>
        <w:tc>
          <w:tcPr>
            <w:tcW w:w="3780" w:type="dxa"/>
            <w:vAlign w:val="bottom"/>
            <w:tcBorders>
              <w:bottom w:val="single" w:sz="8" w:color="A26F2A"/>
            </w:tcBorders>
          </w:tcPr>
          <w:p>
            <w:pPr>
              <w:spacing w:after="0"/>
              <w:rPr>
                <w:sz w:val="14"/>
                <w:szCs w:val="14"/>
                <w:color w:val="auto"/>
              </w:rPr>
            </w:pPr>
          </w:p>
        </w:tc>
        <w:tc>
          <w:tcPr>
            <w:tcW w:w="620" w:type="dxa"/>
            <w:vAlign w:val="bottom"/>
            <w:tcBorders>
              <w:bottom w:val="single" w:sz="8" w:color="A26F2A"/>
            </w:tcBorders>
          </w:tcPr>
          <w:p>
            <w:pPr>
              <w:jc w:val="right"/>
              <w:ind w:right="24"/>
              <w:spacing w:after="0" w:line="169" w:lineRule="exact"/>
              <w:rPr>
                <w:sz w:val="20"/>
                <w:szCs w:val="20"/>
                <w:color w:val="auto"/>
              </w:rPr>
            </w:pPr>
            <w:r>
              <w:rPr>
                <w:rFonts w:ascii="Arial" w:cs="Arial" w:eastAsia="Arial" w:hAnsi="Arial"/>
                <w:sz w:val="15"/>
                <w:szCs w:val="15"/>
                <w:color w:val="auto"/>
              </w:rPr>
              <w:t>2023</w:t>
            </w:r>
          </w:p>
        </w:tc>
        <w:tc>
          <w:tcPr>
            <w:tcW w:w="1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26F2A"/>
            </w:tcBorders>
          </w:tcPr>
          <w:p>
            <w:pPr>
              <w:jc w:val="right"/>
              <w:ind w:right="104"/>
              <w:spacing w:after="0" w:line="169" w:lineRule="exact"/>
              <w:rPr>
                <w:sz w:val="20"/>
                <w:szCs w:val="20"/>
                <w:color w:val="auto"/>
              </w:rPr>
            </w:pPr>
            <w:r>
              <w:rPr>
                <w:rFonts w:ascii="Arial" w:cs="Arial" w:eastAsia="Arial" w:hAnsi="Arial"/>
                <w:sz w:val="15"/>
                <w:szCs w:val="15"/>
                <w:color w:val="auto"/>
              </w:rPr>
              <w:t>645,192</w:t>
            </w:r>
          </w:p>
        </w:tc>
        <w:tc>
          <w:tcPr>
            <w:tcW w:w="160" w:type="dxa"/>
            <w:vAlign w:val="bottom"/>
            <w:tcBorders>
              <w:bottom w:val="single" w:sz="8" w:color="A26F2A"/>
            </w:tcBorders>
          </w:tcPr>
          <w:p>
            <w:pPr>
              <w:spacing w:after="0" w:line="16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26F2A"/>
            </w:tcBorders>
          </w:tcPr>
          <w:p>
            <w:pPr>
              <w:jc w:val="right"/>
              <w:ind w:right="24"/>
              <w:spacing w:after="0" w:line="169" w:lineRule="exact"/>
              <w:rPr>
                <w:sz w:val="20"/>
                <w:szCs w:val="20"/>
                <w:color w:val="auto"/>
              </w:rPr>
            </w:pPr>
            <w:r>
              <w:rPr>
                <w:rFonts w:ascii="Arial" w:cs="Arial" w:eastAsia="Arial" w:hAnsi="Arial"/>
                <w:sz w:val="15"/>
                <w:szCs w:val="15"/>
                <w:color w:val="auto"/>
              </w:rPr>
              <w:t>4,727,935</w:t>
            </w:r>
          </w:p>
        </w:tc>
        <w:tc>
          <w:tcPr>
            <w:tcW w:w="300" w:type="dxa"/>
            <w:vAlign w:val="bottom"/>
            <w:tcBorders>
              <w:bottom w:val="single" w:sz="8" w:color="A26F2A"/>
            </w:tcBorders>
          </w:tcPr>
          <w:p>
            <w:pPr>
              <w:ind w:left="8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26F2A"/>
            </w:tcBorders>
            <w:gridSpan w:val="2"/>
          </w:tcPr>
          <w:p>
            <w:pPr>
              <w:jc w:val="right"/>
              <w:ind w:right="80"/>
              <w:spacing w:after="0" w:line="169" w:lineRule="exact"/>
              <w:rPr>
                <w:sz w:val="20"/>
                <w:szCs w:val="20"/>
                <w:color w:val="auto"/>
              </w:rPr>
            </w:pPr>
            <w:r>
              <w:rPr>
                <w:rFonts w:ascii="Arial" w:cs="Arial" w:eastAsia="Arial" w:hAnsi="Arial"/>
                <w:sz w:val="15"/>
                <w:szCs w:val="15"/>
                <w:color w:val="auto"/>
              </w:rPr>
              <w:t>1,756,410</w:t>
            </w:r>
          </w:p>
        </w:tc>
        <w:tc>
          <w:tcPr>
            <w:tcW w:w="260" w:type="dxa"/>
            <w:vAlign w:val="bottom"/>
            <w:tcBorders>
              <w:bottom w:val="single" w:sz="8" w:color="A26F2A"/>
            </w:tcBorders>
          </w:tcPr>
          <w:p>
            <w:pPr>
              <w:ind w:left="100"/>
              <w:spacing w:after="0" w:line="169"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26F2A"/>
            </w:tcBorders>
          </w:tcPr>
          <w:p>
            <w:pPr>
              <w:jc w:val="right"/>
              <w:ind w:right="5"/>
              <w:spacing w:after="0" w:line="169" w:lineRule="exact"/>
              <w:rPr>
                <w:sz w:val="20"/>
                <w:szCs w:val="20"/>
                <w:color w:val="auto"/>
              </w:rPr>
            </w:pPr>
            <w:r>
              <w:rPr>
                <w:rFonts w:ascii="Arial" w:cs="Arial" w:eastAsia="Arial" w:hAnsi="Arial"/>
                <w:sz w:val="15"/>
                <w:szCs w:val="15"/>
                <w:color w:val="auto"/>
              </w:rPr>
              <w:t>682,500</w:t>
            </w:r>
          </w:p>
        </w:tc>
        <w:tc>
          <w:tcPr>
            <w:tcW w:w="340" w:type="dxa"/>
            <w:vAlign w:val="bottom"/>
            <w:tcBorders>
              <w:bottom w:val="single" w:sz="8" w:color="A26F2A"/>
            </w:tcBorders>
          </w:tcPr>
          <w:p>
            <w:pPr>
              <w:ind w:left="10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26F2A"/>
            </w:tcBorders>
          </w:tcPr>
          <w:p>
            <w:pPr>
              <w:jc w:val="right"/>
              <w:ind w:right="5"/>
              <w:spacing w:after="0" w:line="169" w:lineRule="exact"/>
              <w:rPr>
                <w:sz w:val="20"/>
                <w:szCs w:val="20"/>
                <w:color w:val="auto"/>
              </w:rPr>
            </w:pPr>
            <w:r>
              <w:rPr>
                <w:rFonts w:ascii="Arial" w:cs="Arial" w:eastAsia="Arial" w:hAnsi="Arial"/>
                <w:sz w:val="15"/>
                <w:szCs w:val="15"/>
                <w:color w:val="auto"/>
              </w:rPr>
              <w:t>39,929</w:t>
            </w:r>
          </w:p>
        </w:tc>
        <w:tc>
          <w:tcPr>
            <w:tcW w:w="1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26F2A"/>
            </w:tcBorders>
          </w:tcPr>
          <w:p>
            <w:pPr>
              <w:jc w:val="right"/>
              <w:ind w:right="5"/>
              <w:spacing w:after="0" w:line="169" w:lineRule="exact"/>
              <w:rPr>
                <w:sz w:val="20"/>
                <w:szCs w:val="20"/>
                <w:color w:val="auto"/>
              </w:rPr>
            </w:pPr>
            <w:r>
              <w:rPr>
                <w:rFonts w:ascii="Arial" w:cs="Arial" w:eastAsia="Arial" w:hAnsi="Arial"/>
                <w:sz w:val="15"/>
                <w:szCs w:val="15"/>
                <w:color w:val="auto"/>
              </w:rPr>
              <w:t>7,851,966</w:t>
            </w:r>
          </w:p>
        </w:tc>
        <w:tc>
          <w:tcPr>
            <w:tcW w:w="0" w:type="dxa"/>
            <w:vAlign w:val="bottom"/>
          </w:tcPr>
          <w:p>
            <w:pPr>
              <w:spacing w:after="0"/>
              <w:rPr>
                <w:sz w:val="1"/>
                <w:szCs w:val="1"/>
                <w:color w:val="auto"/>
              </w:rPr>
            </w:pPr>
          </w:p>
        </w:tc>
      </w:tr>
      <w:tr>
        <w:trPr>
          <w:trHeight w:val="157"/>
        </w:trPr>
        <w:tc>
          <w:tcPr>
            <w:tcW w:w="3780" w:type="dxa"/>
            <w:vAlign w:val="bottom"/>
          </w:tcPr>
          <w:p>
            <w:pPr>
              <w:ind w:left="60"/>
              <w:spacing w:after="0" w:line="157" w:lineRule="exact"/>
              <w:rPr>
                <w:sz w:val="20"/>
                <w:szCs w:val="20"/>
                <w:color w:val="auto"/>
              </w:rPr>
            </w:pPr>
            <w:r>
              <w:rPr>
                <w:rFonts w:ascii="Arial" w:cs="Arial" w:eastAsia="Arial" w:hAnsi="Arial"/>
                <w:sz w:val="15"/>
                <w:szCs w:val="15"/>
                <w:b w:val="1"/>
                <w:bCs w:val="1"/>
                <w:color w:val="auto"/>
              </w:rPr>
              <w:t>Jere W. Thompson III</w:t>
            </w:r>
          </w:p>
        </w:tc>
        <w:tc>
          <w:tcPr>
            <w:tcW w:w="620" w:type="dxa"/>
            <w:vAlign w:val="bottom"/>
          </w:tcPr>
          <w:p>
            <w:pPr>
              <w:jc w:val="right"/>
              <w:ind w:right="24"/>
              <w:spacing w:after="0" w:line="157" w:lineRule="exact"/>
              <w:rPr>
                <w:sz w:val="20"/>
                <w:szCs w:val="20"/>
                <w:color w:val="auto"/>
              </w:rPr>
            </w:pPr>
            <w:r>
              <w:rPr>
                <w:rFonts w:ascii="Arial" w:cs="Arial" w:eastAsia="Arial" w:hAnsi="Arial"/>
                <w:sz w:val="15"/>
                <w:szCs w:val="15"/>
                <w:color w:val="auto"/>
              </w:rPr>
              <w:t>2025</w:t>
            </w:r>
          </w:p>
        </w:tc>
        <w:tc>
          <w:tcPr>
            <w:tcW w:w="180" w:type="dxa"/>
            <w:vAlign w:val="bottom"/>
          </w:tcPr>
          <w:p>
            <w:pPr>
              <w:jc w:val="right"/>
              <w:spacing w:after="0" w:line="157"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line="157" w:lineRule="exact"/>
              <w:rPr>
                <w:sz w:val="20"/>
                <w:szCs w:val="20"/>
                <w:color w:val="auto"/>
              </w:rPr>
            </w:pPr>
            <w:r>
              <w:rPr>
                <w:rFonts w:ascii="Arial" w:cs="Arial" w:eastAsia="Arial" w:hAnsi="Arial"/>
                <w:sz w:val="15"/>
                <w:szCs w:val="15"/>
                <w:color w:val="auto"/>
              </w:rPr>
              <w:t>541,667</w:t>
            </w:r>
          </w:p>
        </w:tc>
        <w:tc>
          <w:tcPr>
            <w:tcW w:w="160" w:type="dxa"/>
            <w:vAlign w:val="bottom"/>
          </w:tcPr>
          <w:p>
            <w:pPr>
              <w:spacing w:after="0" w:line="157"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line="157" w:lineRule="exact"/>
              <w:rPr>
                <w:sz w:val="20"/>
                <w:szCs w:val="20"/>
                <w:color w:val="auto"/>
              </w:rPr>
            </w:pPr>
            <w:r>
              <w:rPr>
                <w:rFonts w:ascii="Arial" w:cs="Arial" w:eastAsia="Arial" w:hAnsi="Arial"/>
                <w:sz w:val="15"/>
                <w:szCs w:val="15"/>
                <w:color w:val="auto"/>
              </w:rPr>
              <w:t>2,400,287</w:t>
            </w:r>
          </w:p>
        </w:tc>
        <w:tc>
          <w:tcPr>
            <w:tcW w:w="300" w:type="dxa"/>
            <w:vAlign w:val="bottom"/>
          </w:tcPr>
          <w:p>
            <w:pPr>
              <w:ind w:left="80"/>
              <w:spacing w:after="0" w:line="157"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57" w:lineRule="exact"/>
              <w:rPr>
                <w:sz w:val="20"/>
                <w:szCs w:val="20"/>
                <w:color w:val="auto"/>
              </w:rPr>
            </w:pPr>
            <w:r>
              <w:rPr>
                <w:rFonts w:ascii="Arial" w:cs="Arial" w:eastAsia="Arial" w:hAnsi="Arial"/>
                <w:sz w:val="15"/>
                <w:szCs w:val="15"/>
                <w:color w:val="auto"/>
              </w:rPr>
              <w:t>865,537</w:t>
            </w:r>
          </w:p>
        </w:tc>
        <w:tc>
          <w:tcPr>
            <w:tcW w:w="80" w:type="dxa"/>
            <w:vAlign w:val="bottom"/>
          </w:tcPr>
          <w:p>
            <w:pPr>
              <w:spacing w:after="0"/>
              <w:rPr>
                <w:sz w:val="13"/>
                <w:szCs w:val="13"/>
                <w:color w:val="auto"/>
              </w:rPr>
            </w:pPr>
          </w:p>
        </w:tc>
        <w:tc>
          <w:tcPr>
            <w:tcW w:w="260" w:type="dxa"/>
            <w:vAlign w:val="bottom"/>
          </w:tcPr>
          <w:p>
            <w:pPr>
              <w:ind w:left="100"/>
              <w:spacing w:after="0" w:line="157"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5"/>
              <w:spacing w:after="0" w:line="157" w:lineRule="exact"/>
              <w:rPr>
                <w:sz w:val="20"/>
                <w:szCs w:val="20"/>
                <w:color w:val="auto"/>
              </w:rPr>
            </w:pPr>
            <w:r>
              <w:rPr>
                <w:rFonts w:ascii="Arial" w:cs="Arial" w:eastAsia="Arial" w:hAnsi="Arial"/>
                <w:sz w:val="15"/>
                <w:szCs w:val="15"/>
                <w:color w:val="auto"/>
              </w:rPr>
              <w:t>796,950</w:t>
            </w:r>
          </w:p>
        </w:tc>
        <w:tc>
          <w:tcPr>
            <w:tcW w:w="340" w:type="dxa"/>
            <w:vAlign w:val="bottom"/>
          </w:tcPr>
          <w:p>
            <w:pPr>
              <w:ind w:left="100"/>
              <w:spacing w:after="0" w:line="157"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line="157" w:lineRule="exact"/>
              <w:rPr>
                <w:sz w:val="20"/>
                <w:szCs w:val="20"/>
                <w:color w:val="auto"/>
              </w:rPr>
            </w:pPr>
            <w:r>
              <w:rPr>
                <w:rFonts w:ascii="Arial" w:cs="Arial" w:eastAsia="Arial" w:hAnsi="Arial"/>
                <w:sz w:val="15"/>
                <w:szCs w:val="15"/>
                <w:color w:val="auto"/>
              </w:rPr>
              <w:t>44,111</w:t>
            </w:r>
          </w:p>
        </w:tc>
        <w:tc>
          <w:tcPr>
            <w:tcW w:w="180" w:type="dxa"/>
            <w:vAlign w:val="bottom"/>
          </w:tcPr>
          <w:p>
            <w:pPr>
              <w:jc w:val="right"/>
              <w:spacing w:after="0" w:line="157"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5"/>
              <w:spacing w:after="0" w:line="157" w:lineRule="exact"/>
              <w:rPr>
                <w:sz w:val="20"/>
                <w:szCs w:val="20"/>
                <w:color w:val="auto"/>
              </w:rPr>
            </w:pPr>
            <w:r>
              <w:rPr>
                <w:rFonts w:ascii="Arial" w:cs="Arial" w:eastAsia="Arial" w:hAnsi="Arial"/>
                <w:sz w:val="15"/>
                <w:szCs w:val="15"/>
                <w:color w:val="auto"/>
              </w:rPr>
              <w:t>4,648,552</w:t>
            </w:r>
          </w:p>
        </w:tc>
        <w:tc>
          <w:tcPr>
            <w:tcW w:w="0" w:type="dxa"/>
            <w:vAlign w:val="bottom"/>
          </w:tcPr>
          <w:p>
            <w:pPr>
              <w:spacing w:after="0"/>
              <w:rPr>
                <w:sz w:val="1"/>
                <w:szCs w:val="1"/>
                <w:color w:val="auto"/>
              </w:rPr>
            </w:pPr>
          </w:p>
        </w:tc>
      </w:tr>
      <w:tr>
        <w:trPr>
          <w:trHeight w:val="177"/>
        </w:trPr>
        <w:tc>
          <w:tcPr>
            <w:tcW w:w="3780" w:type="dxa"/>
            <w:vAlign w:val="bottom"/>
          </w:tcPr>
          <w:p>
            <w:pPr>
              <w:ind w:left="280"/>
              <w:spacing w:after="0"/>
              <w:rPr>
                <w:sz w:val="20"/>
                <w:szCs w:val="20"/>
                <w:color w:val="auto"/>
              </w:rPr>
            </w:pPr>
            <w:r>
              <w:rPr>
                <w:rFonts w:ascii="Arial" w:cs="Arial" w:eastAsia="Arial" w:hAnsi="Arial"/>
                <w:sz w:val="15"/>
                <w:szCs w:val="15"/>
                <w:color w:val="auto"/>
              </w:rPr>
              <w:t>Executive Vice President and Chief Financial</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80" w:type="dxa"/>
            <w:vAlign w:val="bottom"/>
            <w:tcBorders>
              <w:bottom w:val="single" w:sz="8" w:color="A26F2A"/>
            </w:tcBorders>
          </w:tcPr>
          <w:p>
            <w:pPr>
              <w:ind w:left="280"/>
              <w:spacing w:after="0"/>
              <w:rPr>
                <w:sz w:val="20"/>
                <w:szCs w:val="20"/>
                <w:color w:val="auto"/>
              </w:rPr>
            </w:pPr>
            <w:r>
              <w:rPr>
                <w:rFonts w:ascii="Arial" w:cs="Arial" w:eastAsia="Arial" w:hAnsi="Arial"/>
                <w:sz w:val="15"/>
                <w:szCs w:val="15"/>
                <w:color w:val="auto"/>
              </w:rPr>
              <w:t>Officer*</w:t>
            </w:r>
          </w:p>
        </w:tc>
        <w:tc>
          <w:tcPr>
            <w:tcW w:w="620" w:type="dxa"/>
            <w:vAlign w:val="bottom"/>
            <w:tcBorders>
              <w:bottom w:val="single" w:sz="8" w:color="A26F2A"/>
            </w:tcBorders>
          </w:tcPr>
          <w:p>
            <w:pPr>
              <w:spacing w:after="0"/>
              <w:rPr>
                <w:sz w:val="16"/>
                <w:szCs w:val="16"/>
                <w:color w:val="auto"/>
              </w:rPr>
            </w:pPr>
          </w:p>
        </w:tc>
        <w:tc>
          <w:tcPr>
            <w:tcW w:w="180" w:type="dxa"/>
            <w:vAlign w:val="bottom"/>
            <w:tcBorders>
              <w:bottom w:val="single" w:sz="8" w:color="A26F2A"/>
            </w:tcBorders>
          </w:tcPr>
          <w:p>
            <w:pPr>
              <w:spacing w:after="0"/>
              <w:rPr>
                <w:sz w:val="16"/>
                <w:szCs w:val="16"/>
                <w:color w:val="auto"/>
              </w:rPr>
            </w:pPr>
          </w:p>
        </w:tc>
        <w:tc>
          <w:tcPr>
            <w:tcW w:w="860" w:type="dxa"/>
            <w:vAlign w:val="bottom"/>
            <w:tcBorders>
              <w:bottom w:val="single" w:sz="8" w:color="A26F2A"/>
            </w:tcBorders>
          </w:tcPr>
          <w:p>
            <w:pPr>
              <w:spacing w:after="0"/>
              <w:rPr>
                <w:sz w:val="16"/>
                <w:szCs w:val="16"/>
                <w:color w:val="auto"/>
              </w:rPr>
            </w:pPr>
          </w:p>
        </w:tc>
        <w:tc>
          <w:tcPr>
            <w:tcW w:w="160" w:type="dxa"/>
            <w:vAlign w:val="bottom"/>
            <w:tcBorders>
              <w:bottom w:val="single" w:sz="8" w:color="A26F2A"/>
            </w:tcBorders>
          </w:tcPr>
          <w:p>
            <w:pPr>
              <w:spacing w:after="0"/>
              <w:rPr>
                <w:sz w:val="16"/>
                <w:szCs w:val="16"/>
                <w:color w:val="auto"/>
              </w:rPr>
            </w:pPr>
          </w:p>
        </w:tc>
        <w:tc>
          <w:tcPr>
            <w:tcW w:w="920" w:type="dxa"/>
            <w:vAlign w:val="bottom"/>
            <w:tcBorders>
              <w:bottom w:val="single" w:sz="8" w:color="A26F2A"/>
            </w:tcBorders>
          </w:tcPr>
          <w:p>
            <w:pPr>
              <w:spacing w:after="0"/>
              <w:rPr>
                <w:sz w:val="16"/>
                <w:szCs w:val="16"/>
                <w:color w:val="auto"/>
              </w:rPr>
            </w:pPr>
          </w:p>
        </w:tc>
        <w:tc>
          <w:tcPr>
            <w:tcW w:w="300" w:type="dxa"/>
            <w:vAlign w:val="bottom"/>
            <w:tcBorders>
              <w:bottom w:val="single" w:sz="8" w:color="A26F2A"/>
            </w:tcBorders>
          </w:tcPr>
          <w:p>
            <w:pPr>
              <w:spacing w:after="0"/>
              <w:rPr>
                <w:sz w:val="16"/>
                <w:szCs w:val="16"/>
                <w:color w:val="auto"/>
              </w:rPr>
            </w:pPr>
          </w:p>
        </w:tc>
        <w:tc>
          <w:tcPr>
            <w:tcW w:w="820" w:type="dxa"/>
            <w:vAlign w:val="bottom"/>
            <w:tcBorders>
              <w:bottom w:val="single" w:sz="8" w:color="A26F2A"/>
            </w:tcBorders>
          </w:tcPr>
          <w:p>
            <w:pPr>
              <w:spacing w:after="0"/>
              <w:rPr>
                <w:sz w:val="16"/>
                <w:szCs w:val="16"/>
                <w:color w:val="auto"/>
              </w:rPr>
            </w:pPr>
          </w:p>
        </w:tc>
        <w:tc>
          <w:tcPr>
            <w:tcW w:w="80" w:type="dxa"/>
            <w:vAlign w:val="bottom"/>
            <w:tcBorders>
              <w:bottom w:val="single" w:sz="8" w:color="A26F2A"/>
            </w:tcBorders>
          </w:tcPr>
          <w:p>
            <w:pPr>
              <w:spacing w:after="0"/>
              <w:rPr>
                <w:sz w:val="16"/>
                <w:szCs w:val="16"/>
                <w:color w:val="auto"/>
              </w:rPr>
            </w:pPr>
          </w:p>
        </w:tc>
        <w:tc>
          <w:tcPr>
            <w:tcW w:w="260" w:type="dxa"/>
            <w:vAlign w:val="bottom"/>
            <w:tcBorders>
              <w:bottom w:val="single" w:sz="8" w:color="A26F2A"/>
            </w:tcBorders>
          </w:tcPr>
          <w:p>
            <w:pPr>
              <w:spacing w:after="0"/>
              <w:rPr>
                <w:sz w:val="16"/>
                <w:szCs w:val="16"/>
                <w:color w:val="auto"/>
              </w:rPr>
            </w:pPr>
          </w:p>
        </w:tc>
        <w:tc>
          <w:tcPr>
            <w:tcW w:w="980" w:type="dxa"/>
            <w:vAlign w:val="bottom"/>
            <w:tcBorders>
              <w:bottom w:val="single" w:sz="8" w:color="A26F2A"/>
            </w:tcBorders>
          </w:tcPr>
          <w:p>
            <w:pPr>
              <w:spacing w:after="0"/>
              <w:rPr>
                <w:sz w:val="16"/>
                <w:szCs w:val="16"/>
                <w:color w:val="auto"/>
              </w:rPr>
            </w:pPr>
          </w:p>
        </w:tc>
        <w:tc>
          <w:tcPr>
            <w:tcW w:w="340" w:type="dxa"/>
            <w:vAlign w:val="bottom"/>
            <w:tcBorders>
              <w:bottom w:val="single" w:sz="8" w:color="A26F2A"/>
            </w:tcBorders>
          </w:tcPr>
          <w:p>
            <w:pPr>
              <w:spacing w:after="0"/>
              <w:rPr>
                <w:sz w:val="16"/>
                <w:szCs w:val="16"/>
                <w:color w:val="auto"/>
              </w:rPr>
            </w:pPr>
          </w:p>
        </w:tc>
        <w:tc>
          <w:tcPr>
            <w:tcW w:w="900" w:type="dxa"/>
            <w:vAlign w:val="bottom"/>
            <w:tcBorders>
              <w:bottom w:val="single" w:sz="8" w:color="A26F2A"/>
            </w:tcBorders>
          </w:tcPr>
          <w:p>
            <w:pPr>
              <w:spacing w:after="0"/>
              <w:rPr>
                <w:sz w:val="16"/>
                <w:szCs w:val="16"/>
                <w:color w:val="auto"/>
              </w:rPr>
            </w:pPr>
          </w:p>
        </w:tc>
        <w:tc>
          <w:tcPr>
            <w:tcW w:w="180" w:type="dxa"/>
            <w:vAlign w:val="bottom"/>
            <w:tcBorders>
              <w:bottom w:val="single" w:sz="8" w:color="A26F2A"/>
            </w:tcBorders>
          </w:tcPr>
          <w:p>
            <w:pPr>
              <w:spacing w:after="0"/>
              <w:rPr>
                <w:sz w:val="16"/>
                <w:szCs w:val="16"/>
                <w:color w:val="auto"/>
              </w:rPr>
            </w:pPr>
          </w:p>
        </w:tc>
        <w:tc>
          <w:tcPr>
            <w:tcW w:w="860" w:type="dxa"/>
            <w:vAlign w:val="bottom"/>
            <w:tcBorders>
              <w:bottom w:val="single" w:sz="8" w:color="A26F2A"/>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8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Teresa L. Dick</w:t>
            </w:r>
          </w:p>
        </w:tc>
        <w:tc>
          <w:tcPr>
            <w:tcW w:w="620" w:type="dxa"/>
            <w:vAlign w:val="bottom"/>
            <w:tcBorders>
              <w:bottom w:val="single" w:sz="8" w:color="A8A9AC"/>
            </w:tcBorders>
          </w:tcPr>
          <w:p>
            <w:pPr>
              <w:jc w:val="right"/>
              <w:ind w:right="24"/>
              <w:spacing w:after="0" w:line="169" w:lineRule="exact"/>
              <w:rPr>
                <w:sz w:val="20"/>
                <w:szCs w:val="20"/>
                <w:color w:val="auto"/>
              </w:rPr>
            </w:pPr>
            <w:r>
              <w:rPr>
                <w:rFonts w:ascii="Arial" w:cs="Arial" w:eastAsia="Arial" w:hAnsi="Arial"/>
                <w:sz w:val="15"/>
                <w:szCs w:val="15"/>
                <w:color w:val="auto"/>
              </w:rPr>
              <w:t>2025</w:t>
            </w: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545,833</w:t>
            </w:r>
          </w:p>
        </w:tc>
        <w:tc>
          <w:tcPr>
            <w:tcW w:w="160" w:type="dxa"/>
            <w:vAlign w:val="bottom"/>
            <w:tcBorders>
              <w:bottom w:val="single" w:sz="8" w:color="A8A9AC"/>
            </w:tcBorders>
          </w:tcPr>
          <w:p>
            <w:pPr>
              <w:spacing w:after="0" w:line="16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8A9AC"/>
            </w:tcBorders>
          </w:tcPr>
          <w:p>
            <w:pPr>
              <w:jc w:val="right"/>
              <w:ind w:right="24"/>
              <w:spacing w:after="0" w:line="169" w:lineRule="exact"/>
              <w:rPr>
                <w:sz w:val="20"/>
                <w:szCs w:val="20"/>
                <w:color w:val="auto"/>
              </w:rPr>
            </w:pPr>
            <w:r>
              <w:rPr>
                <w:rFonts w:ascii="Arial" w:cs="Arial" w:eastAsia="Arial" w:hAnsi="Arial"/>
                <w:sz w:val="15"/>
                <w:szCs w:val="15"/>
                <w:color w:val="auto"/>
              </w:rPr>
              <w:t>2,224,562</w:t>
            </w:r>
          </w:p>
        </w:tc>
        <w:tc>
          <w:tcPr>
            <w:tcW w:w="300" w:type="dxa"/>
            <w:vAlign w:val="bottom"/>
            <w:tcBorders>
              <w:bottom w:val="single" w:sz="8" w:color="A8A9AC"/>
            </w:tcBorders>
          </w:tcPr>
          <w:p>
            <w:pPr>
              <w:ind w:left="80"/>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886,202</w:t>
            </w:r>
          </w:p>
        </w:tc>
        <w:tc>
          <w:tcPr>
            <w:tcW w:w="80" w:type="dxa"/>
            <w:vAlign w:val="bottom"/>
            <w:tcBorders>
              <w:bottom w:val="single" w:sz="8" w:color="A8A9AC"/>
            </w:tcBorders>
          </w:tcPr>
          <w:p>
            <w:pPr>
              <w:spacing w:after="0"/>
              <w:rPr>
                <w:sz w:val="14"/>
                <w:szCs w:val="14"/>
                <w:color w:val="auto"/>
              </w:rPr>
            </w:pPr>
          </w:p>
        </w:tc>
        <w:tc>
          <w:tcPr>
            <w:tcW w:w="260" w:type="dxa"/>
            <w:vAlign w:val="bottom"/>
            <w:tcBorders>
              <w:bottom w:val="single" w:sz="8" w:color="A8A9AC"/>
            </w:tcBorders>
          </w:tcPr>
          <w:p>
            <w:pPr>
              <w:ind w:left="100"/>
              <w:spacing w:after="0" w:line="169"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8A9AC"/>
            </w:tcBorders>
          </w:tcPr>
          <w:p>
            <w:pPr>
              <w:jc w:val="right"/>
              <w:ind w:right="5"/>
              <w:spacing w:after="0" w:line="169" w:lineRule="exact"/>
              <w:rPr>
                <w:sz w:val="20"/>
                <w:szCs w:val="20"/>
                <w:color w:val="auto"/>
              </w:rPr>
            </w:pPr>
            <w:r>
              <w:rPr>
                <w:rFonts w:ascii="Arial" w:cs="Arial" w:eastAsia="Arial" w:hAnsi="Arial"/>
                <w:sz w:val="15"/>
                <w:szCs w:val="15"/>
                <w:color w:val="auto"/>
              </w:rPr>
              <w:t>796,950</w:t>
            </w:r>
          </w:p>
        </w:tc>
        <w:tc>
          <w:tcPr>
            <w:tcW w:w="340" w:type="dxa"/>
            <w:vAlign w:val="bottom"/>
            <w:tcBorders>
              <w:bottom w:val="single" w:sz="8" w:color="A8A9AC"/>
            </w:tcBorders>
          </w:tcPr>
          <w:p>
            <w:pPr>
              <w:ind w:left="10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tcPr>
          <w:p>
            <w:pPr>
              <w:jc w:val="right"/>
              <w:ind w:right="5"/>
              <w:spacing w:after="0" w:line="169" w:lineRule="exact"/>
              <w:rPr>
                <w:sz w:val="20"/>
                <w:szCs w:val="20"/>
                <w:color w:val="auto"/>
              </w:rPr>
            </w:pPr>
            <w:r>
              <w:rPr>
                <w:rFonts w:ascii="Arial" w:cs="Arial" w:eastAsia="Arial" w:hAnsi="Arial"/>
                <w:sz w:val="15"/>
                <w:szCs w:val="15"/>
                <w:color w:val="auto"/>
              </w:rPr>
              <w:t>44,111</w:t>
            </w: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5"/>
              <w:spacing w:after="0" w:line="169" w:lineRule="exact"/>
              <w:rPr>
                <w:sz w:val="20"/>
                <w:szCs w:val="20"/>
                <w:color w:val="auto"/>
              </w:rPr>
            </w:pPr>
            <w:r>
              <w:rPr>
                <w:rFonts w:ascii="Arial" w:cs="Arial" w:eastAsia="Arial" w:hAnsi="Arial"/>
                <w:sz w:val="15"/>
                <w:szCs w:val="15"/>
                <w:color w:val="auto"/>
              </w:rPr>
              <w:t>4,497,658</w:t>
            </w:r>
          </w:p>
        </w:tc>
        <w:tc>
          <w:tcPr>
            <w:tcW w:w="0" w:type="dxa"/>
            <w:vAlign w:val="bottom"/>
          </w:tcPr>
          <w:p>
            <w:pPr>
              <w:spacing w:after="0"/>
              <w:rPr>
                <w:sz w:val="1"/>
                <w:szCs w:val="1"/>
                <w:color w:val="auto"/>
              </w:rPr>
            </w:pPr>
          </w:p>
        </w:tc>
      </w:tr>
      <w:tr>
        <w:trPr>
          <w:trHeight w:val="144"/>
        </w:trPr>
        <w:tc>
          <w:tcPr>
            <w:tcW w:w="3780" w:type="dxa"/>
            <w:vAlign w:val="bottom"/>
          </w:tcPr>
          <w:p>
            <w:pPr>
              <w:ind w:left="280"/>
              <w:spacing w:after="0" w:line="145" w:lineRule="exact"/>
              <w:rPr>
                <w:sz w:val="20"/>
                <w:szCs w:val="20"/>
                <w:color w:val="auto"/>
              </w:rPr>
            </w:pPr>
            <w:r>
              <w:rPr>
                <w:rFonts w:ascii="Arial" w:cs="Arial" w:eastAsia="Arial" w:hAnsi="Arial"/>
                <w:sz w:val="15"/>
                <w:szCs w:val="15"/>
                <w:color w:val="auto"/>
              </w:rPr>
              <w:t>Executive Vice President, Chief Accounting Officer</w:t>
            </w:r>
          </w:p>
        </w:tc>
        <w:tc>
          <w:tcPr>
            <w:tcW w:w="620" w:type="dxa"/>
            <w:vAlign w:val="bottom"/>
          </w:tcPr>
          <w:p>
            <w:pPr>
              <w:jc w:val="right"/>
              <w:ind w:right="24"/>
              <w:spacing w:after="0" w:line="145" w:lineRule="exact"/>
              <w:rPr>
                <w:sz w:val="20"/>
                <w:szCs w:val="20"/>
                <w:color w:val="auto"/>
              </w:rPr>
            </w:pPr>
            <w:r>
              <w:rPr>
                <w:rFonts w:ascii="Arial" w:cs="Arial" w:eastAsia="Arial" w:hAnsi="Arial"/>
                <w:sz w:val="15"/>
                <w:szCs w:val="15"/>
                <w:color w:val="auto"/>
              </w:rPr>
              <w:t>2024</w:t>
            </w:r>
          </w:p>
        </w:tc>
        <w:tc>
          <w:tcPr>
            <w:tcW w:w="180" w:type="dxa"/>
            <w:vAlign w:val="bottom"/>
          </w:tcPr>
          <w:p>
            <w:pPr>
              <w:jc w:val="right"/>
              <w:spacing w:after="0" w:line="145"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line="145" w:lineRule="exact"/>
              <w:rPr>
                <w:sz w:val="20"/>
                <w:szCs w:val="20"/>
                <w:color w:val="auto"/>
              </w:rPr>
            </w:pPr>
            <w:r>
              <w:rPr>
                <w:rFonts w:ascii="Arial" w:cs="Arial" w:eastAsia="Arial" w:hAnsi="Arial"/>
                <w:sz w:val="15"/>
                <w:szCs w:val="15"/>
                <w:color w:val="auto"/>
              </w:rPr>
              <w:t>520,833</w:t>
            </w:r>
          </w:p>
        </w:tc>
        <w:tc>
          <w:tcPr>
            <w:tcW w:w="160" w:type="dxa"/>
            <w:vAlign w:val="bottom"/>
          </w:tcPr>
          <w:p>
            <w:pPr>
              <w:spacing w:after="0" w:line="145"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line="145" w:lineRule="exact"/>
              <w:rPr>
                <w:sz w:val="20"/>
                <w:szCs w:val="20"/>
                <w:color w:val="auto"/>
              </w:rPr>
            </w:pPr>
            <w:r>
              <w:rPr>
                <w:rFonts w:ascii="Arial" w:cs="Arial" w:eastAsia="Arial" w:hAnsi="Arial"/>
                <w:sz w:val="15"/>
                <w:szCs w:val="15"/>
                <w:color w:val="auto"/>
              </w:rPr>
              <w:t>2,779,522</w:t>
            </w:r>
          </w:p>
        </w:tc>
        <w:tc>
          <w:tcPr>
            <w:tcW w:w="300" w:type="dxa"/>
            <w:vAlign w:val="bottom"/>
          </w:tcPr>
          <w:p>
            <w:pPr>
              <w:ind w:left="80"/>
              <w:spacing w:after="0" w:line="145" w:lineRule="exact"/>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80"/>
              <w:spacing w:after="0" w:line="145" w:lineRule="exact"/>
              <w:rPr>
                <w:sz w:val="20"/>
                <w:szCs w:val="20"/>
                <w:color w:val="auto"/>
              </w:rPr>
            </w:pPr>
            <w:r>
              <w:rPr>
                <w:rFonts w:ascii="Arial" w:cs="Arial" w:eastAsia="Arial" w:hAnsi="Arial"/>
                <w:sz w:val="15"/>
                <w:szCs w:val="15"/>
                <w:color w:val="auto"/>
              </w:rPr>
              <w:t>855,115</w:t>
            </w:r>
          </w:p>
        </w:tc>
        <w:tc>
          <w:tcPr>
            <w:tcW w:w="260" w:type="dxa"/>
            <w:vAlign w:val="bottom"/>
          </w:tcPr>
          <w:p>
            <w:pPr>
              <w:ind w:left="100"/>
              <w:spacing w:after="0" w:line="145"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5"/>
              <w:spacing w:after="0" w:line="145" w:lineRule="exact"/>
              <w:rPr>
                <w:sz w:val="20"/>
                <w:szCs w:val="20"/>
                <w:color w:val="auto"/>
              </w:rPr>
            </w:pPr>
            <w:r>
              <w:rPr>
                <w:rFonts w:ascii="Arial" w:cs="Arial" w:eastAsia="Arial" w:hAnsi="Arial"/>
                <w:sz w:val="15"/>
                <w:szCs w:val="15"/>
                <w:color w:val="auto"/>
              </w:rPr>
              <w:t>803,250</w:t>
            </w:r>
          </w:p>
        </w:tc>
        <w:tc>
          <w:tcPr>
            <w:tcW w:w="340" w:type="dxa"/>
            <w:vAlign w:val="bottom"/>
          </w:tcPr>
          <w:p>
            <w:pPr>
              <w:ind w:left="100"/>
              <w:spacing w:after="0" w:line="145"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line="145" w:lineRule="exact"/>
              <w:rPr>
                <w:sz w:val="20"/>
                <w:szCs w:val="20"/>
                <w:color w:val="auto"/>
              </w:rPr>
            </w:pPr>
            <w:r>
              <w:rPr>
                <w:rFonts w:ascii="Arial" w:cs="Arial" w:eastAsia="Arial" w:hAnsi="Arial"/>
                <w:sz w:val="15"/>
                <w:szCs w:val="15"/>
                <w:color w:val="auto"/>
              </w:rPr>
              <w:t>42,500</w:t>
            </w:r>
          </w:p>
        </w:tc>
        <w:tc>
          <w:tcPr>
            <w:tcW w:w="180" w:type="dxa"/>
            <w:vAlign w:val="bottom"/>
          </w:tcPr>
          <w:p>
            <w:pPr>
              <w:jc w:val="right"/>
              <w:spacing w:after="0" w:line="145"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5"/>
              <w:spacing w:after="0" w:line="145" w:lineRule="exact"/>
              <w:rPr>
                <w:sz w:val="20"/>
                <w:szCs w:val="20"/>
                <w:color w:val="auto"/>
              </w:rPr>
            </w:pPr>
            <w:r>
              <w:rPr>
                <w:rFonts w:ascii="Arial" w:cs="Arial" w:eastAsia="Arial" w:hAnsi="Arial"/>
                <w:sz w:val="15"/>
                <w:szCs w:val="15"/>
                <w:color w:val="auto"/>
              </w:rPr>
              <w:t>5,001,220</w:t>
            </w:r>
          </w:p>
        </w:tc>
        <w:tc>
          <w:tcPr>
            <w:tcW w:w="0" w:type="dxa"/>
            <w:vAlign w:val="bottom"/>
          </w:tcPr>
          <w:p>
            <w:pPr>
              <w:spacing w:after="0"/>
              <w:rPr>
                <w:sz w:val="1"/>
                <w:szCs w:val="1"/>
                <w:color w:val="auto"/>
              </w:rPr>
            </w:pPr>
          </w:p>
        </w:tc>
      </w:tr>
      <w:tr>
        <w:trPr>
          <w:trHeight w:val="25"/>
        </w:trPr>
        <w:tc>
          <w:tcPr>
            <w:tcW w:w="3780" w:type="dxa"/>
            <w:vAlign w:val="bottom"/>
            <w:vMerge w:val="restart"/>
          </w:tcPr>
          <w:p>
            <w:pPr>
              <w:ind w:left="280"/>
              <w:spacing w:after="0"/>
              <w:rPr>
                <w:sz w:val="20"/>
                <w:szCs w:val="20"/>
                <w:color w:val="auto"/>
              </w:rPr>
            </w:pPr>
            <w:r>
              <w:rPr>
                <w:rFonts w:ascii="Arial" w:cs="Arial" w:eastAsia="Arial" w:hAnsi="Arial"/>
                <w:sz w:val="15"/>
                <w:szCs w:val="15"/>
                <w:color w:val="auto"/>
              </w:rPr>
              <w:t>and Assistant Secretary</w:t>
            </w:r>
          </w:p>
        </w:tc>
        <w:tc>
          <w:tcPr>
            <w:tcW w:w="620" w:type="dxa"/>
            <w:vAlign w:val="bottom"/>
            <w:tcBorders>
              <w:bottom w:val="single" w:sz="8" w:color="A8A9AC"/>
            </w:tcBorders>
          </w:tcPr>
          <w:p>
            <w:pPr>
              <w:spacing w:after="0"/>
              <w:rPr>
                <w:sz w:val="2"/>
                <w:szCs w:val="2"/>
                <w:color w:val="auto"/>
              </w:rPr>
            </w:pPr>
          </w:p>
        </w:tc>
        <w:tc>
          <w:tcPr>
            <w:tcW w:w="180" w:type="dxa"/>
            <w:vAlign w:val="bottom"/>
            <w:tcBorders>
              <w:bottom w:val="single" w:sz="8" w:color="A8A9AC"/>
            </w:tcBorders>
          </w:tcPr>
          <w:p>
            <w:pPr>
              <w:spacing w:after="0"/>
              <w:rPr>
                <w:sz w:val="2"/>
                <w:szCs w:val="2"/>
                <w:color w:val="auto"/>
              </w:rPr>
            </w:pPr>
          </w:p>
        </w:tc>
        <w:tc>
          <w:tcPr>
            <w:tcW w:w="860" w:type="dxa"/>
            <w:vAlign w:val="bottom"/>
            <w:tcBorders>
              <w:bottom w:val="single" w:sz="8" w:color="A8A9AC"/>
            </w:tcBorders>
          </w:tcPr>
          <w:p>
            <w:pPr>
              <w:spacing w:after="0"/>
              <w:rPr>
                <w:sz w:val="2"/>
                <w:szCs w:val="2"/>
                <w:color w:val="auto"/>
              </w:rPr>
            </w:pPr>
          </w:p>
        </w:tc>
        <w:tc>
          <w:tcPr>
            <w:tcW w:w="160" w:type="dxa"/>
            <w:vAlign w:val="bottom"/>
            <w:tcBorders>
              <w:bottom w:val="single" w:sz="8" w:color="A8A9AC"/>
            </w:tcBorders>
          </w:tcPr>
          <w:p>
            <w:pPr>
              <w:spacing w:after="0"/>
              <w:rPr>
                <w:sz w:val="2"/>
                <w:szCs w:val="2"/>
                <w:color w:val="auto"/>
              </w:rPr>
            </w:pPr>
          </w:p>
        </w:tc>
        <w:tc>
          <w:tcPr>
            <w:tcW w:w="920" w:type="dxa"/>
            <w:vAlign w:val="bottom"/>
            <w:tcBorders>
              <w:bottom w:val="single" w:sz="8" w:color="A8A9AC"/>
            </w:tcBorders>
          </w:tcPr>
          <w:p>
            <w:pPr>
              <w:spacing w:after="0"/>
              <w:rPr>
                <w:sz w:val="2"/>
                <w:szCs w:val="2"/>
                <w:color w:val="auto"/>
              </w:rPr>
            </w:pPr>
          </w:p>
        </w:tc>
        <w:tc>
          <w:tcPr>
            <w:tcW w:w="300" w:type="dxa"/>
            <w:vAlign w:val="bottom"/>
            <w:tcBorders>
              <w:bottom w:val="single" w:sz="8" w:color="A8A9AC"/>
            </w:tcBorders>
          </w:tcPr>
          <w:p>
            <w:pPr>
              <w:spacing w:after="0"/>
              <w:rPr>
                <w:sz w:val="2"/>
                <w:szCs w:val="2"/>
                <w:color w:val="auto"/>
              </w:rPr>
            </w:pPr>
          </w:p>
        </w:tc>
        <w:tc>
          <w:tcPr>
            <w:tcW w:w="820" w:type="dxa"/>
            <w:vAlign w:val="bottom"/>
            <w:tcBorders>
              <w:bottom w:val="single" w:sz="8" w:color="A8A9AC"/>
            </w:tcBorders>
          </w:tcPr>
          <w:p>
            <w:pPr>
              <w:spacing w:after="0"/>
              <w:rPr>
                <w:sz w:val="2"/>
                <w:szCs w:val="2"/>
                <w:color w:val="auto"/>
              </w:rPr>
            </w:pPr>
          </w:p>
        </w:tc>
        <w:tc>
          <w:tcPr>
            <w:tcW w:w="80" w:type="dxa"/>
            <w:vAlign w:val="bottom"/>
            <w:tcBorders>
              <w:bottom w:val="single" w:sz="8" w:color="A8A9AC"/>
            </w:tcBorders>
          </w:tcPr>
          <w:p>
            <w:pPr>
              <w:spacing w:after="0"/>
              <w:rPr>
                <w:sz w:val="2"/>
                <w:szCs w:val="2"/>
                <w:color w:val="auto"/>
              </w:rPr>
            </w:pPr>
          </w:p>
        </w:tc>
        <w:tc>
          <w:tcPr>
            <w:tcW w:w="260" w:type="dxa"/>
            <w:vAlign w:val="bottom"/>
            <w:tcBorders>
              <w:bottom w:val="single" w:sz="8" w:color="A8A9AC"/>
            </w:tcBorders>
          </w:tcPr>
          <w:p>
            <w:pPr>
              <w:spacing w:after="0"/>
              <w:rPr>
                <w:sz w:val="2"/>
                <w:szCs w:val="2"/>
                <w:color w:val="auto"/>
              </w:rPr>
            </w:pPr>
          </w:p>
        </w:tc>
        <w:tc>
          <w:tcPr>
            <w:tcW w:w="980" w:type="dxa"/>
            <w:vAlign w:val="bottom"/>
            <w:tcBorders>
              <w:bottom w:val="single" w:sz="8" w:color="A8A9AC"/>
            </w:tcBorders>
          </w:tcPr>
          <w:p>
            <w:pPr>
              <w:spacing w:after="0"/>
              <w:rPr>
                <w:sz w:val="2"/>
                <w:szCs w:val="2"/>
                <w:color w:val="auto"/>
              </w:rPr>
            </w:pPr>
          </w:p>
        </w:tc>
        <w:tc>
          <w:tcPr>
            <w:tcW w:w="340" w:type="dxa"/>
            <w:vAlign w:val="bottom"/>
            <w:tcBorders>
              <w:bottom w:val="single" w:sz="8" w:color="A8A9AC"/>
            </w:tcBorders>
          </w:tcPr>
          <w:p>
            <w:pPr>
              <w:spacing w:after="0"/>
              <w:rPr>
                <w:sz w:val="2"/>
                <w:szCs w:val="2"/>
                <w:color w:val="auto"/>
              </w:rPr>
            </w:pPr>
          </w:p>
        </w:tc>
        <w:tc>
          <w:tcPr>
            <w:tcW w:w="900" w:type="dxa"/>
            <w:vAlign w:val="bottom"/>
            <w:tcBorders>
              <w:bottom w:val="single" w:sz="8" w:color="A8A9AC"/>
            </w:tcBorders>
          </w:tcPr>
          <w:p>
            <w:pPr>
              <w:spacing w:after="0"/>
              <w:rPr>
                <w:sz w:val="2"/>
                <w:szCs w:val="2"/>
                <w:color w:val="auto"/>
              </w:rPr>
            </w:pPr>
          </w:p>
        </w:tc>
        <w:tc>
          <w:tcPr>
            <w:tcW w:w="180" w:type="dxa"/>
            <w:vAlign w:val="bottom"/>
            <w:tcBorders>
              <w:bottom w:val="single" w:sz="8" w:color="A8A9AC"/>
            </w:tcBorders>
          </w:tcPr>
          <w:p>
            <w:pPr>
              <w:spacing w:after="0"/>
              <w:rPr>
                <w:sz w:val="2"/>
                <w:szCs w:val="2"/>
                <w:color w:val="auto"/>
              </w:rPr>
            </w:pPr>
          </w:p>
        </w:tc>
        <w:tc>
          <w:tcPr>
            <w:tcW w:w="860" w:type="dxa"/>
            <w:vAlign w:val="bottom"/>
            <w:tcBorders>
              <w:bottom w:val="single" w:sz="8" w:color="A8A9AC"/>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780" w:type="dxa"/>
            <w:vAlign w:val="bottom"/>
            <w:tcBorders>
              <w:bottom w:val="single" w:sz="8" w:color="A26F2A"/>
            </w:tcBorders>
            <w:vMerge w:val="continue"/>
          </w:tcPr>
          <w:p>
            <w:pPr>
              <w:spacing w:after="0"/>
              <w:rPr>
                <w:sz w:val="14"/>
                <w:szCs w:val="14"/>
                <w:color w:val="auto"/>
              </w:rPr>
            </w:pPr>
          </w:p>
        </w:tc>
        <w:tc>
          <w:tcPr>
            <w:tcW w:w="620" w:type="dxa"/>
            <w:vAlign w:val="bottom"/>
            <w:tcBorders>
              <w:bottom w:val="single" w:sz="8" w:color="A26F2A"/>
            </w:tcBorders>
          </w:tcPr>
          <w:p>
            <w:pPr>
              <w:jc w:val="right"/>
              <w:ind w:right="24"/>
              <w:spacing w:after="0" w:line="169" w:lineRule="exact"/>
              <w:rPr>
                <w:sz w:val="20"/>
                <w:szCs w:val="20"/>
                <w:color w:val="auto"/>
              </w:rPr>
            </w:pPr>
            <w:r>
              <w:rPr>
                <w:rFonts w:ascii="Arial" w:cs="Arial" w:eastAsia="Arial" w:hAnsi="Arial"/>
                <w:sz w:val="15"/>
                <w:szCs w:val="15"/>
                <w:color w:val="auto"/>
              </w:rPr>
              <w:t>2023</w:t>
            </w:r>
          </w:p>
        </w:tc>
        <w:tc>
          <w:tcPr>
            <w:tcW w:w="1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26F2A"/>
            </w:tcBorders>
          </w:tcPr>
          <w:p>
            <w:pPr>
              <w:jc w:val="right"/>
              <w:ind w:right="104"/>
              <w:spacing w:after="0" w:line="169" w:lineRule="exact"/>
              <w:rPr>
                <w:sz w:val="20"/>
                <w:szCs w:val="20"/>
                <w:color w:val="auto"/>
              </w:rPr>
            </w:pPr>
            <w:r>
              <w:rPr>
                <w:rFonts w:ascii="Arial" w:cs="Arial" w:eastAsia="Arial" w:hAnsi="Arial"/>
                <w:sz w:val="15"/>
                <w:szCs w:val="15"/>
                <w:color w:val="auto"/>
              </w:rPr>
              <w:t>495,192</w:t>
            </w:r>
          </w:p>
        </w:tc>
        <w:tc>
          <w:tcPr>
            <w:tcW w:w="160" w:type="dxa"/>
            <w:vAlign w:val="bottom"/>
            <w:tcBorders>
              <w:bottom w:val="single" w:sz="8" w:color="A26F2A"/>
            </w:tcBorders>
          </w:tcPr>
          <w:p>
            <w:pPr>
              <w:spacing w:after="0" w:line="16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26F2A"/>
            </w:tcBorders>
          </w:tcPr>
          <w:p>
            <w:pPr>
              <w:jc w:val="right"/>
              <w:ind w:right="24"/>
              <w:spacing w:after="0" w:line="169" w:lineRule="exact"/>
              <w:rPr>
                <w:sz w:val="20"/>
                <w:szCs w:val="20"/>
                <w:color w:val="auto"/>
              </w:rPr>
            </w:pPr>
            <w:r>
              <w:rPr>
                <w:rFonts w:ascii="Arial" w:cs="Arial" w:eastAsia="Arial" w:hAnsi="Arial"/>
                <w:sz w:val="15"/>
                <w:szCs w:val="15"/>
                <w:color w:val="auto"/>
              </w:rPr>
              <w:t>2,391,736</w:t>
            </w:r>
          </w:p>
        </w:tc>
        <w:tc>
          <w:tcPr>
            <w:tcW w:w="300" w:type="dxa"/>
            <w:vAlign w:val="bottom"/>
            <w:tcBorders>
              <w:bottom w:val="single" w:sz="8" w:color="A26F2A"/>
            </w:tcBorders>
          </w:tcPr>
          <w:p>
            <w:pPr>
              <w:ind w:left="80"/>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888,545</w:t>
            </w:r>
          </w:p>
        </w:tc>
        <w:tc>
          <w:tcPr>
            <w:tcW w:w="80" w:type="dxa"/>
            <w:vAlign w:val="bottom"/>
            <w:tcBorders>
              <w:bottom w:val="single" w:sz="8" w:color="A26F2A"/>
            </w:tcBorders>
          </w:tcPr>
          <w:p>
            <w:pPr>
              <w:spacing w:after="0"/>
              <w:rPr>
                <w:sz w:val="14"/>
                <w:szCs w:val="14"/>
                <w:color w:val="auto"/>
              </w:rPr>
            </w:pPr>
          </w:p>
        </w:tc>
        <w:tc>
          <w:tcPr>
            <w:tcW w:w="260" w:type="dxa"/>
            <w:vAlign w:val="bottom"/>
            <w:tcBorders>
              <w:bottom w:val="single" w:sz="8" w:color="A26F2A"/>
            </w:tcBorders>
          </w:tcPr>
          <w:p>
            <w:pPr>
              <w:ind w:left="100"/>
              <w:spacing w:after="0" w:line="169"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26F2A"/>
            </w:tcBorders>
          </w:tcPr>
          <w:p>
            <w:pPr>
              <w:jc w:val="right"/>
              <w:ind w:right="5"/>
              <w:spacing w:after="0" w:line="169" w:lineRule="exact"/>
              <w:rPr>
                <w:sz w:val="20"/>
                <w:szCs w:val="20"/>
                <w:color w:val="auto"/>
              </w:rPr>
            </w:pPr>
            <w:r>
              <w:rPr>
                <w:rFonts w:ascii="Arial" w:cs="Arial" w:eastAsia="Arial" w:hAnsi="Arial"/>
                <w:sz w:val="15"/>
                <w:szCs w:val="15"/>
                <w:color w:val="auto"/>
              </w:rPr>
              <w:t>420,000</w:t>
            </w:r>
          </w:p>
        </w:tc>
        <w:tc>
          <w:tcPr>
            <w:tcW w:w="340" w:type="dxa"/>
            <w:vAlign w:val="bottom"/>
            <w:tcBorders>
              <w:bottom w:val="single" w:sz="8" w:color="A26F2A"/>
            </w:tcBorders>
          </w:tcPr>
          <w:p>
            <w:pPr>
              <w:ind w:left="10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26F2A"/>
            </w:tcBorders>
          </w:tcPr>
          <w:p>
            <w:pPr>
              <w:jc w:val="right"/>
              <w:ind w:right="5"/>
              <w:spacing w:after="0" w:line="169" w:lineRule="exact"/>
              <w:rPr>
                <w:sz w:val="20"/>
                <w:szCs w:val="20"/>
                <w:color w:val="auto"/>
              </w:rPr>
            </w:pPr>
            <w:r>
              <w:rPr>
                <w:rFonts w:ascii="Arial" w:cs="Arial" w:eastAsia="Arial" w:hAnsi="Arial"/>
                <w:sz w:val="15"/>
                <w:szCs w:val="15"/>
                <w:color w:val="auto"/>
              </w:rPr>
              <w:t>40,685</w:t>
            </w:r>
          </w:p>
        </w:tc>
        <w:tc>
          <w:tcPr>
            <w:tcW w:w="1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26F2A"/>
            </w:tcBorders>
          </w:tcPr>
          <w:p>
            <w:pPr>
              <w:jc w:val="right"/>
              <w:ind w:right="5"/>
              <w:spacing w:after="0" w:line="169" w:lineRule="exact"/>
              <w:rPr>
                <w:sz w:val="20"/>
                <w:szCs w:val="20"/>
                <w:color w:val="auto"/>
              </w:rPr>
            </w:pPr>
            <w:r>
              <w:rPr>
                <w:rFonts w:ascii="Arial" w:cs="Arial" w:eastAsia="Arial" w:hAnsi="Arial"/>
                <w:sz w:val="15"/>
                <w:szCs w:val="15"/>
                <w:color w:val="auto"/>
              </w:rPr>
              <w:t>4,236,158</w:t>
            </w:r>
          </w:p>
        </w:tc>
        <w:tc>
          <w:tcPr>
            <w:tcW w:w="0" w:type="dxa"/>
            <w:vAlign w:val="bottom"/>
          </w:tcPr>
          <w:p>
            <w:pPr>
              <w:spacing w:after="0"/>
              <w:rPr>
                <w:sz w:val="1"/>
                <w:szCs w:val="1"/>
                <w:color w:val="auto"/>
              </w:rPr>
            </w:pPr>
          </w:p>
        </w:tc>
      </w:tr>
      <w:tr>
        <w:trPr>
          <w:trHeight w:val="169"/>
        </w:trPr>
        <w:tc>
          <w:tcPr>
            <w:tcW w:w="378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Daniel N. Wesson</w:t>
            </w:r>
          </w:p>
        </w:tc>
        <w:tc>
          <w:tcPr>
            <w:tcW w:w="620" w:type="dxa"/>
            <w:vAlign w:val="bottom"/>
            <w:tcBorders>
              <w:bottom w:val="single" w:sz="8" w:color="A8A9AC"/>
            </w:tcBorders>
          </w:tcPr>
          <w:p>
            <w:pPr>
              <w:jc w:val="right"/>
              <w:ind w:right="24"/>
              <w:spacing w:after="0" w:line="169" w:lineRule="exact"/>
              <w:rPr>
                <w:sz w:val="20"/>
                <w:szCs w:val="20"/>
                <w:color w:val="auto"/>
              </w:rPr>
            </w:pPr>
            <w:r>
              <w:rPr>
                <w:rFonts w:ascii="Arial" w:cs="Arial" w:eastAsia="Arial" w:hAnsi="Arial"/>
                <w:sz w:val="15"/>
                <w:szCs w:val="15"/>
                <w:color w:val="auto"/>
              </w:rPr>
              <w:t>2025</w:t>
            </w: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691,667</w:t>
            </w:r>
          </w:p>
        </w:tc>
        <w:tc>
          <w:tcPr>
            <w:tcW w:w="160" w:type="dxa"/>
            <w:vAlign w:val="bottom"/>
            <w:tcBorders>
              <w:bottom w:val="single" w:sz="8" w:color="A8A9AC"/>
            </w:tcBorders>
          </w:tcPr>
          <w:p>
            <w:pPr>
              <w:spacing w:after="0" w:line="16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8A9AC"/>
            </w:tcBorders>
          </w:tcPr>
          <w:p>
            <w:pPr>
              <w:jc w:val="right"/>
              <w:ind w:right="24"/>
              <w:spacing w:after="0" w:line="169" w:lineRule="exact"/>
              <w:rPr>
                <w:sz w:val="20"/>
                <w:szCs w:val="20"/>
                <w:color w:val="auto"/>
              </w:rPr>
            </w:pPr>
            <w:r>
              <w:rPr>
                <w:rFonts w:ascii="Arial" w:cs="Arial" w:eastAsia="Arial" w:hAnsi="Arial"/>
                <w:sz w:val="15"/>
                <w:szCs w:val="15"/>
                <w:color w:val="auto"/>
              </w:rPr>
              <w:t>4,130,092</w:t>
            </w:r>
          </w:p>
        </w:tc>
        <w:tc>
          <w:tcPr>
            <w:tcW w:w="300" w:type="dxa"/>
            <w:vAlign w:val="bottom"/>
            <w:tcBorders>
              <w:bottom w:val="single" w:sz="8" w:color="A8A9AC"/>
            </w:tcBorders>
          </w:tcPr>
          <w:p>
            <w:pPr>
              <w:ind w:left="8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gridSpan w:val="2"/>
          </w:tcPr>
          <w:p>
            <w:pPr>
              <w:jc w:val="right"/>
              <w:ind w:right="80"/>
              <w:spacing w:after="0" w:line="169" w:lineRule="exact"/>
              <w:rPr>
                <w:sz w:val="20"/>
                <w:szCs w:val="20"/>
                <w:color w:val="auto"/>
              </w:rPr>
            </w:pPr>
            <w:r>
              <w:rPr>
                <w:rFonts w:ascii="Arial" w:cs="Arial" w:eastAsia="Arial" w:hAnsi="Arial"/>
                <w:sz w:val="15"/>
                <w:szCs w:val="15"/>
                <w:color w:val="auto"/>
              </w:rPr>
              <w:t>1,689,904</w:t>
            </w:r>
          </w:p>
        </w:tc>
        <w:tc>
          <w:tcPr>
            <w:tcW w:w="260" w:type="dxa"/>
            <w:vAlign w:val="bottom"/>
            <w:tcBorders>
              <w:bottom w:val="single" w:sz="8" w:color="A8A9AC"/>
            </w:tcBorders>
          </w:tcPr>
          <w:p>
            <w:pPr>
              <w:ind w:left="100"/>
              <w:spacing w:after="0" w:line="169"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8A9AC"/>
            </w:tcBorders>
          </w:tcPr>
          <w:p>
            <w:pPr>
              <w:jc w:val="right"/>
              <w:ind w:right="5"/>
              <w:spacing w:after="0" w:line="169" w:lineRule="exact"/>
              <w:rPr>
                <w:sz w:val="20"/>
                <w:szCs w:val="20"/>
                <w:color w:val="auto"/>
              </w:rPr>
            </w:pPr>
            <w:r>
              <w:rPr>
                <w:rFonts w:ascii="Arial" w:cs="Arial" w:eastAsia="Arial" w:hAnsi="Arial"/>
                <w:sz w:val="15"/>
                <w:szCs w:val="15"/>
                <w:color w:val="auto"/>
              </w:rPr>
              <w:t>1,127,000</w:t>
            </w:r>
          </w:p>
        </w:tc>
        <w:tc>
          <w:tcPr>
            <w:tcW w:w="340" w:type="dxa"/>
            <w:vAlign w:val="bottom"/>
            <w:tcBorders>
              <w:bottom w:val="single" w:sz="8" w:color="A8A9AC"/>
            </w:tcBorders>
          </w:tcPr>
          <w:p>
            <w:pPr>
              <w:ind w:left="10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tcPr>
          <w:p>
            <w:pPr>
              <w:jc w:val="right"/>
              <w:ind w:right="5"/>
              <w:spacing w:after="0" w:line="169" w:lineRule="exact"/>
              <w:rPr>
                <w:sz w:val="20"/>
                <w:szCs w:val="20"/>
                <w:color w:val="auto"/>
              </w:rPr>
            </w:pPr>
            <w:r>
              <w:rPr>
                <w:rFonts w:ascii="Arial" w:cs="Arial" w:eastAsia="Arial" w:hAnsi="Arial"/>
                <w:sz w:val="15"/>
                <w:szCs w:val="15"/>
                <w:color w:val="auto"/>
              </w:rPr>
              <w:t>44,111</w:t>
            </w: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5"/>
              <w:spacing w:after="0" w:line="169" w:lineRule="exact"/>
              <w:rPr>
                <w:sz w:val="20"/>
                <w:szCs w:val="20"/>
                <w:color w:val="auto"/>
              </w:rPr>
            </w:pPr>
            <w:r>
              <w:rPr>
                <w:rFonts w:ascii="Arial" w:cs="Arial" w:eastAsia="Arial" w:hAnsi="Arial"/>
                <w:sz w:val="15"/>
                <w:szCs w:val="15"/>
                <w:color w:val="auto"/>
              </w:rPr>
              <w:t>7,682,774</w:t>
            </w:r>
          </w:p>
        </w:tc>
        <w:tc>
          <w:tcPr>
            <w:tcW w:w="0" w:type="dxa"/>
            <w:vAlign w:val="bottom"/>
          </w:tcPr>
          <w:p>
            <w:pPr>
              <w:spacing w:after="0"/>
              <w:rPr>
                <w:sz w:val="1"/>
                <w:szCs w:val="1"/>
                <w:color w:val="auto"/>
              </w:rPr>
            </w:pPr>
          </w:p>
        </w:tc>
      </w:tr>
      <w:tr>
        <w:trPr>
          <w:trHeight w:val="144"/>
        </w:trPr>
        <w:tc>
          <w:tcPr>
            <w:tcW w:w="3780" w:type="dxa"/>
            <w:vAlign w:val="bottom"/>
          </w:tcPr>
          <w:p>
            <w:pPr>
              <w:ind w:left="280"/>
              <w:spacing w:after="0" w:line="145" w:lineRule="exact"/>
              <w:rPr>
                <w:sz w:val="20"/>
                <w:szCs w:val="20"/>
                <w:color w:val="auto"/>
              </w:rPr>
            </w:pPr>
            <w:r>
              <w:rPr>
                <w:rFonts w:ascii="Arial" w:cs="Arial" w:eastAsia="Arial" w:hAnsi="Arial"/>
                <w:sz w:val="15"/>
                <w:szCs w:val="15"/>
                <w:color w:val="auto"/>
              </w:rPr>
              <w:t>Executive Vice President and Chief Operating</w:t>
            </w:r>
          </w:p>
        </w:tc>
        <w:tc>
          <w:tcPr>
            <w:tcW w:w="620" w:type="dxa"/>
            <w:vAlign w:val="bottom"/>
          </w:tcPr>
          <w:p>
            <w:pPr>
              <w:jc w:val="right"/>
              <w:ind w:right="24"/>
              <w:spacing w:after="0" w:line="145" w:lineRule="exact"/>
              <w:rPr>
                <w:sz w:val="20"/>
                <w:szCs w:val="20"/>
                <w:color w:val="auto"/>
              </w:rPr>
            </w:pPr>
            <w:r>
              <w:rPr>
                <w:rFonts w:ascii="Arial" w:cs="Arial" w:eastAsia="Arial" w:hAnsi="Arial"/>
                <w:sz w:val="15"/>
                <w:szCs w:val="15"/>
                <w:color w:val="auto"/>
              </w:rPr>
              <w:t>2024</w:t>
            </w:r>
          </w:p>
        </w:tc>
        <w:tc>
          <w:tcPr>
            <w:tcW w:w="180" w:type="dxa"/>
            <w:vAlign w:val="bottom"/>
          </w:tcPr>
          <w:p>
            <w:pPr>
              <w:jc w:val="right"/>
              <w:spacing w:after="0" w:line="145"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line="145" w:lineRule="exact"/>
              <w:rPr>
                <w:sz w:val="20"/>
                <w:szCs w:val="20"/>
                <w:color w:val="auto"/>
              </w:rPr>
            </w:pPr>
            <w:r>
              <w:rPr>
                <w:rFonts w:ascii="Arial" w:cs="Arial" w:eastAsia="Arial" w:hAnsi="Arial"/>
                <w:sz w:val="15"/>
                <w:szCs w:val="15"/>
                <w:color w:val="auto"/>
              </w:rPr>
              <w:t>641,667</w:t>
            </w:r>
          </w:p>
        </w:tc>
        <w:tc>
          <w:tcPr>
            <w:tcW w:w="160" w:type="dxa"/>
            <w:vAlign w:val="bottom"/>
          </w:tcPr>
          <w:p>
            <w:pPr>
              <w:spacing w:after="0" w:line="145"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line="145" w:lineRule="exact"/>
              <w:rPr>
                <w:sz w:val="20"/>
                <w:szCs w:val="20"/>
                <w:color w:val="auto"/>
              </w:rPr>
            </w:pPr>
            <w:r>
              <w:rPr>
                <w:rFonts w:ascii="Arial" w:cs="Arial" w:eastAsia="Arial" w:hAnsi="Arial"/>
                <w:sz w:val="15"/>
                <w:szCs w:val="15"/>
                <w:color w:val="auto"/>
              </w:rPr>
              <w:t>4,452,284</w:t>
            </w:r>
          </w:p>
        </w:tc>
        <w:tc>
          <w:tcPr>
            <w:tcW w:w="300" w:type="dxa"/>
            <w:vAlign w:val="bottom"/>
          </w:tcPr>
          <w:p>
            <w:pPr>
              <w:ind w:left="80"/>
              <w:spacing w:after="0" w:line="145" w:lineRule="exact"/>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80"/>
              <w:spacing w:after="0" w:line="145" w:lineRule="exact"/>
              <w:rPr>
                <w:sz w:val="20"/>
                <w:szCs w:val="20"/>
                <w:color w:val="auto"/>
              </w:rPr>
            </w:pPr>
            <w:r>
              <w:rPr>
                <w:rFonts w:ascii="Arial" w:cs="Arial" w:eastAsia="Arial" w:hAnsi="Arial"/>
                <w:sz w:val="15"/>
                <w:szCs w:val="15"/>
                <w:color w:val="auto"/>
              </w:rPr>
              <w:t>1,459,695</w:t>
            </w:r>
          </w:p>
        </w:tc>
        <w:tc>
          <w:tcPr>
            <w:tcW w:w="260" w:type="dxa"/>
            <w:vAlign w:val="bottom"/>
          </w:tcPr>
          <w:p>
            <w:pPr>
              <w:ind w:left="100"/>
              <w:spacing w:after="0" w:line="145"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5"/>
              <w:spacing w:after="0" w:line="145" w:lineRule="exact"/>
              <w:rPr>
                <w:sz w:val="20"/>
                <w:szCs w:val="20"/>
                <w:color w:val="auto"/>
              </w:rPr>
            </w:pPr>
            <w:r>
              <w:rPr>
                <w:rFonts w:ascii="Arial" w:cs="Arial" w:eastAsia="Arial" w:hAnsi="Arial"/>
                <w:sz w:val="15"/>
                <w:szCs w:val="15"/>
                <w:color w:val="auto"/>
              </w:rPr>
              <w:t>1,105,000</w:t>
            </w:r>
          </w:p>
        </w:tc>
        <w:tc>
          <w:tcPr>
            <w:tcW w:w="340" w:type="dxa"/>
            <w:vAlign w:val="bottom"/>
          </w:tcPr>
          <w:p>
            <w:pPr>
              <w:ind w:left="100"/>
              <w:spacing w:after="0" w:line="145"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line="145" w:lineRule="exact"/>
              <w:rPr>
                <w:sz w:val="20"/>
                <w:szCs w:val="20"/>
                <w:color w:val="auto"/>
              </w:rPr>
            </w:pPr>
            <w:r>
              <w:rPr>
                <w:rFonts w:ascii="Arial" w:cs="Arial" w:eastAsia="Arial" w:hAnsi="Arial"/>
                <w:sz w:val="15"/>
                <w:szCs w:val="15"/>
                <w:color w:val="auto"/>
              </w:rPr>
              <w:t>42,500</w:t>
            </w:r>
          </w:p>
        </w:tc>
        <w:tc>
          <w:tcPr>
            <w:tcW w:w="180" w:type="dxa"/>
            <w:vAlign w:val="bottom"/>
          </w:tcPr>
          <w:p>
            <w:pPr>
              <w:jc w:val="right"/>
              <w:spacing w:after="0" w:line="145"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5"/>
              <w:spacing w:after="0" w:line="145" w:lineRule="exact"/>
              <w:rPr>
                <w:sz w:val="20"/>
                <w:szCs w:val="20"/>
                <w:color w:val="auto"/>
              </w:rPr>
            </w:pPr>
            <w:r>
              <w:rPr>
                <w:rFonts w:ascii="Arial" w:cs="Arial" w:eastAsia="Arial" w:hAnsi="Arial"/>
                <w:sz w:val="15"/>
                <w:szCs w:val="15"/>
                <w:color w:val="auto"/>
              </w:rPr>
              <w:t>7,701,146</w:t>
            </w:r>
          </w:p>
        </w:tc>
        <w:tc>
          <w:tcPr>
            <w:tcW w:w="0" w:type="dxa"/>
            <w:vAlign w:val="bottom"/>
          </w:tcPr>
          <w:p>
            <w:pPr>
              <w:spacing w:after="0"/>
              <w:rPr>
                <w:sz w:val="1"/>
                <w:szCs w:val="1"/>
                <w:color w:val="auto"/>
              </w:rPr>
            </w:pPr>
          </w:p>
        </w:tc>
      </w:tr>
      <w:tr>
        <w:trPr>
          <w:trHeight w:val="25"/>
        </w:trPr>
        <w:tc>
          <w:tcPr>
            <w:tcW w:w="3780" w:type="dxa"/>
            <w:vAlign w:val="bottom"/>
            <w:vMerge w:val="restart"/>
          </w:tcPr>
          <w:p>
            <w:pPr>
              <w:ind w:left="280"/>
              <w:spacing w:after="0"/>
              <w:rPr>
                <w:sz w:val="20"/>
                <w:szCs w:val="20"/>
                <w:color w:val="auto"/>
              </w:rPr>
            </w:pPr>
            <w:r>
              <w:rPr>
                <w:rFonts w:ascii="Arial" w:cs="Arial" w:eastAsia="Arial" w:hAnsi="Arial"/>
                <w:sz w:val="15"/>
                <w:szCs w:val="15"/>
                <w:color w:val="auto"/>
              </w:rPr>
              <w:t>Officer</w:t>
            </w:r>
          </w:p>
        </w:tc>
        <w:tc>
          <w:tcPr>
            <w:tcW w:w="620" w:type="dxa"/>
            <w:vAlign w:val="bottom"/>
            <w:tcBorders>
              <w:bottom w:val="single" w:sz="8" w:color="A8A9AC"/>
            </w:tcBorders>
          </w:tcPr>
          <w:p>
            <w:pPr>
              <w:spacing w:after="0"/>
              <w:rPr>
                <w:sz w:val="2"/>
                <w:szCs w:val="2"/>
                <w:color w:val="auto"/>
              </w:rPr>
            </w:pPr>
          </w:p>
        </w:tc>
        <w:tc>
          <w:tcPr>
            <w:tcW w:w="180" w:type="dxa"/>
            <w:vAlign w:val="bottom"/>
            <w:tcBorders>
              <w:bottom w:val="single" w:sz="8" w:color="A8A9AC"/>
            </w:tcBorders>
          </w:tcPr>
          <w:p>
            <w:pPr>
              <w:spacing w:after="0"/>
              <w:rPr>
                <w:sz w:val="2"/>
                <w:szCs w:val="2"/>
                <w:color w:val="auto"/>
              </w:rPr>
            </w:pPr>
          </w:p>
        </w:tc>
        <w:tc>
          <w:tcPr>
            <w:tcW w:w="860" w:type="dxa"/>
            <w:vAlign w:val="bottom"/>
            <w:tcBorders>
              <w:bottom w:val="single" w:sz="8" w:color="A8A9AC"/>
            </w:tcBorders>
          </w:tcPr>
          <w:p>
            <w:pPr>
              <w:spacing w:after="0"/>
              <w:rPr>
                <w:sz w:val="2"/>
                <w:szCs w:val="2"/>
                <w:color w:val="auto"/>
              </w:rPr>
            </w:pPr>
          </w:p>
        </w:tc>
        <w:tc>
          <w:tcPr>
            <w:tcW w:w="160" w:type="dxa"/>
            <w:vAlign w:val="bottom"/>
            <w:tcBorders>
              <w:bottom w:val="single" w:sz="8" w:color="A8A9AC"/>
            </w:tcBorders>
          </w:tcPr>
          <w:p>
            <w:pPr>
              <w:spacing w:after="0"/>
              <w:rPr>
                <w:sz w:val="2"/>
                <w:szCs w:val="2"/>
                <w:color w:val="auto"/>
              </w:rPr>
            </w:pPr>
          </w:p>
        </w:tc>
        <w:tc>
          <w:tcPr>
            <w:tcW w:w="920" w:type="dxa"/>
            <w:vAlign w:val="bottom"/>
            <w:tcBorders>
              <w:bottom w:val="single" w:sz="8" w:color="A8A9AC"/>
            </w:tcBorders>
          </w:tcPr>
          <w:p>
            <w:pPr>
              <w:spacing w:after="0"/>
              <w:rPr>
                <w:sz w:val="2"/>
                <w:szCs w:val="2"/>
                <w:color w:val="auto"/>
              </w:rPr>
            </w:pPr>
          </w:p>
        </w:tc>
        <w:tc>
          <w:tcPr>
            <w:tcW w:w="300" w:type="dxa"/>
            <w:vAlign w:val="bottom"/>
            <w:tcBorders>
              <w:bottom w:val="single" w:sz="8" w:color="A8A9AC"/>
            </w:tcBorders>
          </w:tcPr>
          <w:p>
            <w:pPr>
              <w:spacing w:after="0"/>
              <w:rPr>
                <w:sz w:val="2"/>
                <w:szCs w:val="2"/>
                <w:color w:val="auto"/>
              </w:rPr>
            </w:pPr>
          </w:p>
        </w:tc>
        <w:tc>
          <w:tcPr>
            <w:tcW w:w="820" w:type="dxa"/>
            <w:vAlign w:val="bottom"/>
            <w:tcBorders>
              <w:bottom w:val="single" w:sz="8" w:color="A8A9AC"/>
            </w:tcBorders>
          </w:tcPr>
          <w:p>
            <w:pPr>
              <w:spacing w:after="0"/>
              <w:rPr>
                <w:sz w:val="2"/>
                <w:szCs w:val="2"/>
                <w:color w:val="auto"/>
              </w:rPr>
            </w:pPr>
          </w:p>
        </w:tc>
        <w:tc>
          <w:tcPr>
            <w:tcW w:w="80" w:type="dxa"/>
            <w:vAlign w:val="bottom"/>
            <w:tcBorders>
              <w:bottom w:val="single" w:sz="8" w:color="A8A9AC"/>
            </w:tcBorders>
          </w:tcPr>
          <w:p>
            <w:pPr>
              <w:spacing w:after="0"/>
              <w:rPr>
                <w:sz w:val="2"/>
                <w:szCs w:val="2"/>
                <w:color w:val="auto"/>
              </w:rPr>
            </w:pPr>
          </w:p>
        </w:tc>
        <w:tc>
          <w:tcPr>
            <w:tcW w:w="260" w:type="dxa"/>
            <w:vAlign w:val="bottom"/>
            <w:tcBorders>
              <w:bottom w:val="single" w:sz="8" w:color="A8A9AC"/>
            </w:tcBorders>
          </w:tcPr>
          <w:p>
            <w:pPr>
              <w:spacing w:after="0"/>
              <w:rPr>
                <w:sz w:val="2"/>
                <w:szCs w:val="2"/>
                <w:color w:val="auto"/>
              </w:rPr>
            </w:pPr>
          </w:p>
        </w:tc>
        <w:tc>
          <w:tcPr>
            <w:tcW w:w="980" w:type="dxa"/>
            <w:vAlign w:val="bottom"/>
            <w:tcBorders>
              <w:bottom w:val="single" w:sz="8" w:color="A8A9AC"/>
            </w:tcBorders>
          </w:tcPr>
          <w:p>
            <w:pPr>
              <w:spacing w:after="0"/>
              <w:rPr>
                <w:sz w:val="2"/>
                <w:szCs w:val="2"/>
                <w:color w:val="auto"/>
              </w:rPr>
            </w:pPr>
          </w:p>
        </w:tc>
        <w:tc>
          <w:tcPr>
            <w:tcW w:w="340" w:type="dxa"/>
            <w:vAlign w:val="bottom"/>
            <w:tcBorders>
              <w:bottom w:val="single" w:sz="8" w:color="A8A9AC"/>
            </w:tcBorders>
          </w:tcPr>
          <w:p>
            <w:pPr>
              <w:spacing w:after="0"/>
              <w:rPr>
                <w:sz w:val="2"/>
                <w:szCs w:val="2"/>
                <w:color w:val="auto"/>
              </w:rPr>
            </w:pPr>
          </w:p>
        </w:tc>
        <w:tc>
          <w:tcPr>
            <w:tcW w:w="900" w:type="dxa"/>
            <w:vAlign w:val="bottom"/>
            <w:tcBorders>
              <w:bottom w:val="single" w:sz="8" w:color="A8A9AC"/>
            </w:tcBorders>
          </w:tcPr>
          <w:p>
            <w:pPr>
              <w:spacing w:after="0"/>
              <w:rPr>
                <w:sz w:val="2"/>
                <w:szCs w:val="2"/>
                <w:color w:val="auto"/>
              </w:rPr>
            </w:pPr>
          </w:p>
        </w:tc>
        <w:tc>
          <w:tcPr>
            <w:tcW w:w="180" w:type="dxa"/>
            <w:vAlign w:val="bottom"/>
            <w:tcBorders>
              <w:bottom w:val="single" w:sz="8" w:color="A8A9AC"/>
            </w:tcBorders>
          </w:tcPr>
          <w:p>
            <w:pPr>
              <w:spacing w:after="0"/>
              <w:rPr>
                <w:sz w:val="2"/>
                <w:szCs w:val="2"/>
                <w:color w:val="auto"/>
              </w:rPr>
            </w:pPr>
          </w:p>
        </w:tc>
        <w:tc>
          <w:tcPr>
            <w:tcW w:w="860" w:type="dxa"/>
            <w:vAlign w:val="bottom"/>
            <w:tcBorders>
              <w:bottom w:val="single" w:sz="8" w:color="A8A9AC"/>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780" w:type="dxa"/>
            <w:vAlign w:val="bottom"/>
            <w:tcBorders>
              <w:bottom w:val="single" w:sz="8" w:color="A26F2A"/>
            </w:tcBorders>
            <w:vMerge w:val="continue"/>
          </w:tcPr>
          <w:p>
            <w:pPr>
              <w:spacing w:after="0"/>
              <w:rPr>
                <w:sz w:val="14"/>
                <w:szCs w:val="14"/>
                <w:color w:val="auto"/>
              </w:rPr>
            </w:pPr>
          </w:p>
        </w:tc>
        <w:tc>
          <w:tcPr>
            <w:tcW w:w="620" w:type="dxa"/>
            <w:vAlign w:val="bottom"/>
            <w:tcBorders>
              <w:bottom w:val="single" w:sz="8" w:color="A26F2A"/>
            </w:tcBorders>
          </w:tcPr>
          <w:p>
            <w:pPr>
              <w:jc w:val="right"/>
              <w:ind w:right="24"/>
              <w:spacing w:after="0" w:line="169" w:lineRule="exact"/>
              <w:rPr>
                <w:sz w:val="20"/>
                <w:szCs w:val="20"/>
                <w:color w:val="auto"/>
              </w:rPr>
            </w:pPr>
            <w:r>
              <w:rPr>
                <w:rFonts w:ascii="Arial" w:cs="Arial" w:eastAsia="Arial" w:hAnsi="Arial"/>
                <w:sz w:val="15"/>
                <w:szCs w:val="15"/>
                <w:color w:val="auto"/>
              </w:rPr>
              <w:t>2023</w:t>
            </w:r>
          </w:p>
        </w:tc>
        <w:tc>
          <w:tcPr>
            <w:tcW w:w="1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26F2A"/>
            </w:tcBorders>
          </w:tcPr>
          <w:p>
            <w:pPr>
              <w:jc w:val="right"/>
              <w:ind w:right="104"/>
              <w:spacing w:after="0" w:line="169" w:lineRule="exact"/>
              <w:rPr>
                <w:sz w:val="20"/>
                <w:szCs w:val="20"/>
                <w:color w:val="auto"/>
              </w:rPr>
            </w:pPr>
            <w:r>
              <w:rPr>
                <w:rFonts w:ascii="Arial" w:cs="Arial" w:eastAsia="Arial" w:hAnsi="Arial"/>
                <w:sz w:val="15"/>
                <w:szCs w:val="15"/>
                <w:color w:val="auto"/>
              </w:rPr>
              <w:t>592,308</w:t>
            </w:r>
          </w:p>
        </w:tc>
        <w:tc>
          <w:tcPr>
            <w:tcW w:w="160" w:type="dxa"/>
            <w:vAlign w:val="bottom"/>
            <w:tcBorders>
              <w:bottom w:val="single" w:sz="8" w:color="A26F2A"/>
            </w:tcBorders>
          </w:tcPr>
          <w:p>
            <w:pPr>
              <w:spacing w:after="0" w:line="16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26F2A"/>
            </w:tcBorders>
          </w:tcPr>
          <w:p>
            <w:pPr>
              <w:jc w:val="right"/>
              <w:ind w:right="24"/>
              <w:spacing w:after="0" w:line="169" w:lineRule="exact"/>
              <w:rPr>
                <w:sz w:val="20"/>
                <w:szCs w:val="20"/>
                <w:color w:val="auto"/>
              </w:rPr>
            </w:pPr>
            <w:r>
              <w:rPr>
                <w:rFonts w:ascii="Arial" w:cs="Arial" w:eastAsia="Arial" w:hAnsi="Arial"/>
                <w:sz w:val="15"/>
                <w:szCs w:val="15"/>
                <w:color w:val="auto"/>
              </w:rPr>
              <w:t>3,448,761</w:t>
            </w:r>
          </w:p>
        </w:tc>
        <w:tc>
          <w:tcPr>
            <w:tcW w:w="300" w:type="dxa"/>
            <w:vAlign w:val="bottom"/>
            <w:tcBorders>
              <w:bottom w:val="single" w:sz="8" w:color="A26F2A"/>
            </w:tcBorders>
          </w:tcPr>
          <w:p>
            <w:pPr>
              <w:ind w:left="8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26F2A"/>
            </w:tcBorders>
            <w:gridSpan w:val="2"/>
          </w:tcPr>
          <w:p>
            <w:pPr>
              <w:jc w:val="right"/>
              <w:ind w:right="80"/>
              <w:spacing w:after="0" w:line="169" w:lineRule="exact"/>
              <w:rPr>
                <w:sz w:val="20"/>
                <w:szCs w:val="20"/>
                <w:color w:val="auto"/>
              </w:rPr>
            </w:pPr>
            <w:r>
              <w:rPr>
                <w:rFonts w:ascii="Arial" w:cs="Arial" w:eastAsia="Arial" w:hAnsi="Arial"/>
                <w:sz w:val="15"/>
                <w:szCs w:val="15"/>
                <w:color w:val="auto"/>
              </w:rPr>
              <w:t>1,281,189</w:t>
            </w:r>
          </w:p>
        </w:tc>
        <w:tc>
          <w:tcPr>
            <w:tcW w:w="260" w:type="dxa"/>
            <w:vAlign w:val="bottom"/>
            <w:tcBorders>
              <w:bottom w:val="single" w:sz="8" w:color="A26F2A"/>
            </w:tcBorders>
          </w:tcPr>
          <w:p>
            <w:pPr>
              <w:ind w:left="100"/>
              <w:spacing w:after="0" w:line="169"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26F2A"/>
            </w:tcBorders>
          </w:tcPr>
          <w:p>
            <w:pPr>
              <w:jc w:val="right"/>
              <w:ind w:right="5"/>
              <w:spacing w:after="0" w:line="169" w:lineRule="exact"/>
              <w:rPr>
                <w:sz w:val="20"/>
                <w:szCs w:val="20"/>
                <w:color w:val="auto"/>
              </w:rPr>
            </w:pPr>
            <w:r>
              <w:rPr>
                <w:rFonts w:ascii="Arial" w:cs="Arial" w:eastAsia="Arial" w:hAnsi="Arial"/>
                <w:sz w:val="15"/>
                <w:szCs w:val="15"/>
                <w:color w:val="auto"/>
              </w:rPr>
              <w:t>567,000</w:t>
            </w:r>
          </w:p>
        </w:tc>
        <w:tc>
          <w:tcPr>
            <w:tcW w:w="340" w:type="dxa"/>
            <w:vAlign w:val="bottom"/>
            <w:tcBorders>
              <w:bottom w:val="single" w:sz="8" w:color="A26F2A"/>
            </w:tcBorders>
          </w:tcPr>
          <w:p>
            <w:pPr>
              <w:ind w:left="10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26F2A"/>
            </w:tcBorders>
          </w:tcPr>
          <w:p>
            <w:pPr>
              <w:jc w:val="right"/>
              <w:ind w:right="5"/>
              <w:spacing w:after="0" w:line="169" w:lineRule="exact"/>
              <w:rPr>
                <w:sz w:val="20"/>
                <w:szCs w:val="20"/>
                <w:color w:val="auto"/>
              </w:rPr>
            </w:pPr>
            <w:r>
              <w:rPr>
                <w:rFonts w:ascii="Arial" w:cs="Arial" w:eastAsia="Arial" w:hAnsi="Arial"/>
                <w:sz w:val="15"/>
                <w:szCs w:val="15"/>
                <w:color w:val="auto"/>
              </w:rPr>
              <w:t>39,929</w:t>
            </w:r>
          </w:p>
        </w:tc>
        <w:tc>
          <w:tcPr>
            <w:tcW w:w="1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26F2A"/>
            </w:tcBorders>
          </w:tcPr>
          <w:p>
            <w:pPr>
              <w:jc w:val="right"/>
              <w:ind w:right="5"/>
              <w:spacing w:after="0" w:line="169" w:lineRule="exact"/>
              <w:rPr>
                <w:sz w:val="20"/>
                <w:szCs w:val="20"/>
                <w:color w:val="auto"/>
              </w:rPr>
            </w:pPr>
            <w:r>
              <w:rPr>
                <w:rFonts w:ascii="Arial" w:cs="Arial" w:eastAsia="Arial" w:hAnsi="Arial"/>
                <w:sz w:val="15"/>
                <w:szCs w:val="15"/>
                <w:color w:val="auto"/>
              </w:rPr>
              <w:t>5,929,187</w:t>
            </w:r>
          </w:p>
        </w:tc>
        <w:tc>
          <w:tcPr>
            <w:tcW w:w="0" w:type="dxa"/>
            <w:vAlign w:val="bottom"/>
          </w:tcPr>
          <w:p>
            <w:pPr>
              <w:spacing w:after="0"/>
              <w:rPr>
                <w:sz w:val="1"/>
                <w:szCs w:val="1"/>
                <w:color w:val="auto"/>
              </w:rPr>
            </w:pPr>
          </w:p>
        </w:tc>
      </w:tr>
      <w:tr>
        <w:trPr>
          <w:trHeight w:val="169"/>
        </w:trPr>
        <w:tc>
          <w:tcPr>
            <w:tcW w:w="378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Matt Zmigrosky</w:t>
            </w:r>
          </w:p>
        </w:tc>
        <w:tc>
          <w:tcPr>
            <w:tcW w:w="620" w:type="dxa"/>
            <w:vAlign w:val="bottom"/>
            <w:tcBorders>
              <w:bottom w:val="single" w:sz="8" w:color="A8A9AC"/>
            </w:tcBorders>
          </w:tcPr>
          <w:p>
            <w:pPr>
              <w:jc w:val="right"/>
              <w:ind w:right="24"/>
              <w:spacing w:after="0" w:line="169" w:lineRule="exact"/>
              <w:rPr>
                <w:sz w:val="20"/>
                <w:szCs w:val="20"/>
                <w:color w:val="auto"/>
              </w:rPr>
            </w:pPr>
            <w:r>
              <w:rPr>
                <w:rFonts w:ascii="Arial" w:cs="Arial" w:eastAsia="Arial" w:hAnsi="Arial"/>
                <w:sz w:val="15"/>
                <w:szCs w:val="15"/>
                <w:color w:val="auto"/>
              </w:rPr>
              <w:t>2025</w:t>
            </w: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688,333</w:t>
            </w:r>
          </w:p>
        </w:tc>
        <w:tc>
          <w:tcPr>
            <w:tcW w:w="160" w:type="dxa"/>
            <w:vAlign w:val="bottom"/>
            <w:tcBorders>
              <w:bottom w:val="single" w:sz="8" w:color="A8A9AC"/>
            </w:tcBorders>
          </w:tcPr>
          <w:p>
            <w:pPr>
              <w:spacing w:after="0" w:line="16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8A9AC"/>
            </w:tcBorders>
          </w:tcPr>
          <w:p>
            <w:pPr>
              <w:jc w:val="right"/>
              <w:ind w:right="24"/>
              <w:spacing w:after="0" w:line="169" w:lineRule="exact"/>
              <w:rPr>
                <w:sz w:val="20"/>
                <w:szCs w:val="20"/>
                <w:color w:val="auto"/>
              </w:rPr>
            </w:pPr>
            <w:r>
              <w:rPr>
                <w:rFonts w:ascii="Arial" w:cs="Arial" w:eastAsia="Arial" w:hAnsi="Arial"/>
                <w:sz w:val="15"/>
                <w:szCs w:val="15"/>
                <w:color w:val="auto"/>
              </w:rPr>
              <w:t>3,048,853</w:t>
            </w:r>
          </w:p>
        </w:tc>
        <w:tc>
          <w:tcPr>
            <w:tcW w:w="300" w:type="dxa"/>
            <w:vAlign w:val="bottom"/>
            <w:tcBorders>
              <w:bottom w:val="single" w:sz="8" w:color="A8A9AC"/>
            </w:tcBorders>
          </w:tcPr>
          <w:p>
            <w:pPr>
              <w:ind w:left="8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gridSpan w:val="2"/>
          </w:tcPr>
          <w:p>
            <w:pPr>
              <w:jc w:val="right"/>
              <w:ind w:right="80"/>
              <w:spacing w:after="0" w:line="169" w:lineRule="exact"/>
              <w:rPr>
                <w:sz w:val="20"/>
                <w:szCs w:val="20"/>
                <w:color w:val="auto"/>
              </w:rPr>
            </w:pPr>
            <w:r>
              <w:rPr>
                <w:rFonts w:ascii="Arial" w:cs="Arial" w:eastAsia="Arial" w:hAnsi="Arial"/>
                <w:sz w:val="15"/>
                <w:szCs w:val="15"/>
                <w:color w:val="auto"/>
              </w:rPr>
              <w:t>1,174,714</w:t>
            </w:r>
          </w:p>
        </w:tc>
        <w:tc>
          <w:tcPr>
            <w:tcW w:w="260" w:type="dxa"/>
            <w:vAlign w:val="bottom"/>
            <w:tcBorders>
              <w:bottom w:val="single" w:sz="8" w:color="A8A9AC"/>
            </w:tcBorders>
          </w:tcPr>
          <w:p>
            <w:pPr>
              <w:ind w:left="100"/>
              <w:spacing w:after="0" w:line="169"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8A9AC"/>
            </w:tcBorders>
          </w:tcPr>
          <w:p>
            <w:pPr>
              <w:jc w:val="right"/>
              <w:ind w:right="5"/>
              <w:spacing w:after="0" w:line="169" w:lineRule="exact"/>
              <w:rPr>
                <w:sz w:val="20"/>
                <w:szCs w:val="20"/>
                <w:color w:val="auto"/>
              </w:rPr>
            </w:pPr>
            <w:r>
              <w:rPr>
                <w:rFonts w:ascii="Arial" w:cs="Arial" w:eastAsia="Arial" w:hAnsi="Arial"/>
                <w:sz w:val="15"/>
                <w:szCs w:val="15"/>
                <w:color w:val="auto"/>
              </w:rPr>
              <w:t>1,014,300</w:t>
            </w:r>
          </w:p>
        </w:tc>
        <w:tc>
          <w:tcPr>
            <w:tcW w:w="340" w:type="dxa"/>
            <w:vAlign w:val="bottom"/>
            <w:tcBorders>
              <w:bottom w:val="single" w:sz="8" w:color="A8A9AC"/>
            </w:tcBorders>
          </w:tcPr>
          <w:p>
            <w:pPr>
              <w:ind w:left="10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tcPr>
          <w:p>
            <w:pPr>
              <w:jc w:val="right"/>
              <w:ind w:right="5"/>
              <w:spacing w:after="0" w:line="169" w:lineRule="exact"/>
              <w:rPr>
                <w:sz w:val="20"/>
                <w:szCs w:val="20"/>
                <w:color w:val="auto"/>
              </w:rPr>
            </w:pPr>
            <w:r>
              <w:rPr>
                <w:rFonts w:ascii="Arial" w:cs="Arial" w:eastAsia="Arial" w:hAnsi="Arial"/>
                <w:sz w:val="15"/>
                <w:szCs w:val="15"/>
                <w:color w:val="auto"/>
              </w:rPr>
              <w:t>44,111</w:t>
            </w: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5"/>
              <w:spacing w:after="0" w:line="169" w:lineRule="exact"/>
              <w:rPr>
                <w:sz w:val="20"/>
                <w:szCs w:val="20"/>
                <w:color w:val="auto"/>
              </w:rPr>
            </w:pPr>
            <w:r>
              <w:rPr>
                <w:rFonts w:ascii="Arial" w:cs="Arial" w:eastAsia="Arial" w:hAnsi="Arial"/>
                <w:sz w:val="15"/>
                <w:szCs w:val="15"/>
                <w:color w:val="auto"/>
              </w:rPr>
              <w:t>5,970,311</w:t>
            </w:r>
          </w:p>
        </w:tc>
        <w:tc>
          <w:tcPr>
            <w:tcW w:w="0" w:type="dxa"/>
            <w:vAlign w:val="bottom"/>
          </w:tcPr>
          <w:p>
            <w:pPr>
              <w:spacing w:after="0"/>
              <w:rPr>
                <w:sz w:val="1"/>
                <w:szCs w:val="1"/>
                <w:color w:val="auto"/>
              </w:rPr>
            </w:pPr>
          </w:p>
        </w:tc>
      </w:tr>
      <w:tr>
        <w:trPr>
          <w:trHeight w:val="144"/>
        </w:trPr>
        <w:tc>
          <w:tcPr>
            <w:tcW w:w="3780" w:type="dxa"/>
            <w:vAlign w:val="bottom"/>
          </w:tcPr>
          <w:p>
            <w:pPr>
              <w:ind w:left="280"/>
              <w:spacing w:after="0" w:line="145" w:lineRule="exact"/>
              <w:rPr>
                <w:sz w:val="20"/>
                <w:szCs w:val="20"/>
                <w:color w:val="auto"/>
              </w:rPr>
            </w:pPr>
            <w:r>
              <w:rPr>
                <w:rFonts w:ascii="Arial" w:cs="Arial" w:eastAsia="Arial" w:hAnsi="Arial"/>
                <w:sz w:val="15"/>
                <w:szCs w:val="15"/>
                <w:color w:val="auto"/>
              </w:rPr>
              <w:t>Executive Vice President, Chief Legal and</w:t>
            </w:r>
          </w:p>
        </w:tc>
        <w:tc>
          <w:tcPr>
            <w:tcW w:w="620" w:type="dxa"/>
            <w:vAlign w:val="bottom"/>
          </w:tcPr>
          <w:p>
            <w:pPr>
              <w:jc w:val="right"/>
              <w:ind w:right="24"/>
              <w:spacing w:after="0" w:line="145" w:lineRule="exact"/>
              <w:rPr>
                <w:sz w:val="20"/>
                <w:szCs w:val="20"/>
                <w:color w:val="auto"/>
              </w:rPr>
            </w:pPr>
            <w:r>
              <w:rPr>
                <w:rFonts w:ascii="Arial" w:cs="Arial" w:eastAsia="Arial" w:hAnsi="Arial"/>
                <w:sz w:val="15"/>
                <w:szCs w:val="15"/>
                <w:color w:val="auto"/>
              </w:rPr>
              <w:t>2024</w:t>
            </w:r>
          </w:p>
        </w:tc>
        <w:tc>
          <w:tcPr>
            <w:tcW w:w="180" w:type="dxa"/>
            <w:vAlign w:val="bottom"/>
          </w:tcPr>
          <w:p>
            <w:pPr>
              <w:jc w:val="right"/>
              <w:spacing w:after="0" w:line="145"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line="145" w:lineRule="exact"/>
              <w:rPr>
                <w:sz w:val="20"/>
                <w:szCs w:val="20"/>
                <w:color w:val="auto"/>
              </w:rPr>
            </w:pPr>
            <w:r>
              <w:rPr>
                <w:rFonts w:ascii="Arial" w:cs="Arial" w:eastAsia="Arial" w:hAnsi="Arial"/>
                <w:sz w:val="15"/>
                <w:szCs w:val="15"/>
                <w:color w:val="auto"/>
              </w:rPr>
              <w:t>625,000</w:t>
            </w:r>
          </w:p>
        </w:tc>
        <w:tc>
          <w:tcPr>
            <w:tcW w:w="160" w:type="dxa"/>
            <w:vAlign w:val="bottom"/>
          </w:tcPr>
          <w:p>
            <w:pPr>
              <w:spacing w:after="0" w:line="145"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line="145" w:lineRule="exact"/>
              <w:rPr>
                <w:sz w:val="20"/>
                <w:szCs w:val="20"/>
                <w:color w:val="auto"/>
              </w:rPr>
            </w:pPr>
            <w:r>
              <w:rPr>
                <w:rFonts w:ascii="Arial" w:cs="Arial" w:eastAsia="Arial" w:hAnsi="Arial"/>
                <w:sz w:val="15"/>
                <w:szCs w:val="15"/>
                <w:color w:val="auto"/>
              </w:rPr>
              <w:t>3,298,761</w:t>
            </w:r>
          </w:p>
        </w:tc>
        <w:tc>
          <w:tcPr>
            <w:tcW w:w="300" w:type="dxa"/>
            <w:vAlign w:val="bottom"/>
          </w:tcPr>
          <w:p>
            <w:pPr>
              <w:ind w:left="80"/>
              <w:spacing w:after="0" w:line="145" w:lineRule="exact"/>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80"/>
              <w:spacing w:after="0" w:line="145" w:lineRule="exact"/>
              <w:rPr>
                <w:sz w:val="20"/>
                <w:szCs w:val="20"/>
                <w:color w:val="auto"/>
              </w:rPr>
            </w:pPr>
            <w:r>
              <w:rPr>
                <w:rFonts w:ascii="Arial" w:cs="Arial" w:eastAsia="Arial" w:hAnsi="Arial"/>
                <w:sz w:val="15"/>
                <w:szCs w:val="15"/>
                <w:color w:val="auto"/>
              </w:rPr>
              <w:t>2,917,421</w:t>
            </w:r>
          </w:p>
        </w:tc>
        <w:tc>
          <w:tcPr>
            <w:tcW w:w="260" w:type="dxa"/>
            <w:vAlign w:val="bottom"/>
          </w:tcPr>
          <w:p>
            <w:pPr>
              <w:ind w:left="100"/>
              <w:spacing w:after="0" w:line="145"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5"/>
              <w:spacing w:after="0" w:line="145" w:lineRule="exact"/>
              <w:rPr>
                <w:sz w:val="20"/>
                <w:szCs w:val="20"/>
                <w:color w:val="auto"/>
              </w:rPr>
            </w:pPr>
            <w:r>
              <w:rPr>
                <w:rFonts w:ascii="Arial" w:cs="Arial" w:eastAsia="Arial" w:hAnsi="Arial"/>
                <w:sz w:val="15"/>
                <w:szCs w:val="15"/>
                <w:color w:val="auto"/>
              </w:rPr>
              <w:t>963,900</w:t>
            </w:r>
          </w:p>
        </w:tc>
        <w:tc>
          <w:tcPr>
            <w:tcW w:w="340" w:type="dxa"/>
            <w:vAlign w:val="bottom"/>
          </w:tcPr>
          <w:p>
            <w:pPr>
              <w:ind w:left="100"/>
              <w:spacing w:after="0" w:line="145"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line="145" w:lineRule="exact"/>
              <w:rPr>
                <w:sz w:val="20"/>
                <w:szCs w:val="20"/>
                <w:color w:val="auto"/>
              </w:rPr>
            </w:pPr>
            <w:r>
              <w:rPr>
                <w:rFonts w:ascii="Arial" w:cs="Arial" w:eastAsia="Arial" w:hAnsi="Arial"/>
                <w:sz w:val="15"/>
                <w:szCs w:val="15"/>
                <w:color w:val="auto"/>
              </w:rPr>
              <w:t>42,500</w:t>
            </w:r>
          </w:p>
        </w:tc>
        <w:tc>
          <w:tcPr>
            <w:tcW w:w="180" w:type="dxa"/>
            <w:vAlign w:val="bottom"/>
          </w:tcPr>
          <w:p>
            <w:pPr>
              <w:jc w:val="right"/>
              <w:spacing w:after="0" w:line="145"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5"/>
              <w:spacing w:after="0" w:line="145" w:lineRule="exact"/>
              <w:rPr>
                <w:sz w:val="20"/>
                <w:szCs w:val="20"/>
                <w:color w:val="auto"/>
              </w:rPr>
            </w:pPr>
            <w:r>
              <w:rPr>
                <w:rFonts w:ascii="Arial" w:cs="Arial" w:eastAsia="Arial" w:hAnsi="Arial"/>
                <w:sz w:val="15"/>
                <w:szCs w:val="15"/>
                <w:color w:val="auto"/>
              </w:rPr>
              <w:t>7,847,582</w:t>
            </w:r>
          </w:p>
        </w:tc>
        <w:tc>
          <w:tcPr>
            <w:tcW w:w="0" w:type="dxa"/>
            <w:vAlign w:val="bottom"/>
          </w:tcPr>
          <w:p>
            <w:pPr>
              <w:spacing w:after="0"/>
              <w:rPr>
                <w:sz w:val="1"/>
                <w:szCs w:val="1"/>
                <w:color w:val="auto"/>
              </w:rPr>
            </w:pPr>
          </w:p>
        </w:tc>
      </w:tr>
      <w:tr>
        <w:trPr>
          <w:trHeight w:val="25"/>
        </w:trPr>
        <w:tc>
          <w:tcPr>
            <w:tcW w:w="3780" w:type="dxa"/>
            <w:vAlign w:val="bottom"/>
            <w:vMerge w:val="restart"/>
          </w:tcPr>
          <w:p>
            <w:pPr>
              <w:ind w:left="280"/>
              <w:spacing w:after="0"/>
              <w:rPr>
                <w:sz w:val="20"/>
                <w:szCs w:val="20"/>
                <w:color w:val="auto"/>
              </w:rPr>
            </w:pPr>
            <w:r>
              <w:rPr>
                <w:rFonts w:ascii="Arial" w:cs="Arial" w:eastAsia="Arial" w:hAnsi="Arial"/>
                <w:sz w:val="15"/>
                <w:szCs w:val="15"/>
                <w:color w:val="auto"/>
              </w:rPr>
              <w:t>Administrative Officer and Secretary</w:t>
            </w:r>
          </w:p>
        </w:tc>
        <w:tc>
          <w:tcPr>
            <w:tcW w:w="620" w:type="dxa"/>
            <w:vAlign w:val="bottom"/>
            <w:tcBorders>
              <w:bottom w:val="single" w:sz="8" w:color="A8A9AC"/>
            </w:tcBorders>
          </w:tcPr>
          <w:p>
            <w:pPr>
              <w:spacing w:after="0"/>
              <w:rPr>
                <w:sz w:val="2"/>
                <w:szCs w:val="2"/>
                <w:color w:val="auto"/>
              </w:rPr>
            </w:pPr>
          </w:p>
        </w:tc>
        <w:tc>
          <w:tcPr>
            <w:tcW w:w="180" w:type="dxa"/>
            <w:vAlign w:val="bottom"/>
            <w:tcBorders>
              <w:bottom w:val="single" w:sz="8" w:color="A8A9AC"/>
            </w:tcBorders>
          </w:tcPr>
          <w:p>
            <w:pPr>
              <w:spacing w:after="0"/>
              <w:rPr>
                <w:sz w:val="2"/>
                <w:szCs w:val="2"/>
                <w:color w:val="auto"/>
              </w:rPr>
            </w:pPr>
          </w:p>
        </w:tc>
        <w:tc>
          <w:tcPr>
            <w:tcW w:w="860" w:type="dxa"/>
            <w:vAlign w:val="bottom"/>
            <w:tcBorders>
              <w:bottom w:val="single" w:sz="8" w:color="A8A9AC"/>
            </w:tcBorders>
          </w:tcPr>
          <w:p>
            <w:pPr>
              <w:spacing w:after="0"/>
              <w:rPr>
                <w:sz w:val="2"/>
                <w:szCs w:val="2"/>
                <w:color w:val="auto"/>
              </w:rPr>
            </w:pPr>
          </w:p>
        </w:tc>
        <w:tc>
          <w:tcPr>
            <w:tcW w:w="160" w:type="dxa"/>
            <w:vAlign w:val="bottom"/>
            <w:tcBorders>
              <w:bottom w:val="single" w:sz="8" w:color="A8A9AC"/>
            </w:tcBorders>
          </w:tcPr>
          <w:p>
            <w:pPr>
              <w:spacing w:after="0"/>
              <w:rPr>
                <w:sz w:val="2"/>
                <w:szCs w:val="2"/>
                <w:color w:val="auto"/>
              </w:rPr>
            </w:pPr>
          </w:p>
        </w:tc>
        <w:tc>
          <w:tcPr>
            <w:tcW w:w="920" w:type="dxa"/>
            <w:vAlign w:val="bottom"/>
            <w:tcBorders>
              <w:bottom w:val="single" w:sz="8" w:color="A8A9AC"/>
            </w:tcBorders>
          </w:tcPr>
          <w:p>
            <w:pPr>
              <w:spacing w:after="0"/>
              <w:rPr>
                <w:sz w:val="2"/>
                <w:szCs w:val="2"/>
                <w:color w:val="auto"/>
              </w:rPr>
            </w:pPr>
          </w:p>
        </w:tc>
        <w:tc>
          <w:tcPr>
            <w:tcW w:w="300" w:type="dxa"/>
            <w:vAlign w:val="bottom"/>
            <w:tcBorders>
              <w:bottom w:val="single" w:sz="8" w:color="A8A9AC"/>
            </w:tcBorders>
          </w:tcPr>
          <w:p>
            <w:pPr>
              <w:spacing w:after="0"/>
              <w:rPr>
                <w:sz w:val="2"/>
                <w:szCs w:val="2"/>
                <w:color w:val="auto"/>
              </w:rPr>
            </w:pPr>
          </w:p>
        </w:tc>
        <w:tc>
          <w:tcPr>
            <w:tcW w:w="820" w:type="dxa"/>
            <w:vAlign w:val="bottom"/>
            <w:tcBorders>
              <w:bottom w:val="single" w:sz="8" w:color="A8A9AC"/>
            </w:tcBorders>
          </w:tcPr>
          <w:p>
            <w:pPr>
              <w:spacing w:after="0"/>
              <w:rPr>
                <w:sz w:val="2"/>
                <w:szCs w:val="2"/>
                <w:color w:val="auto"/>
              </w:rPr>
            </w:pPr>
          </w:p>
        </w:tc>
        <w:tc>
          <w:tcPr>
            <w:tcW w:w="80" w:type="dxa"/>
            <w:vAlign w:val="bottom"/>
            <w:tcBorders>
              <w:bottom w:val="single" w:sz="8" w:color="A8A9AC"/>
            </w:tcBorders>
          </w:tcPr>
          <w:p>
            <w:pPr>
              <w:spacing w:after="0"/>
              <w:rPr>
                <w:sz w:val="2"/>
                <w:szCs w:val="2"/>
                <w:color w:val="auto"/>
              </w:rPr>
            </w:pPr>
          </w:p>
        </w:tc>
        <w:tc>
          <w:tcPr>
            <w:tcW w:w="260" w:type="dxa"/>
            <w:vAlign w:val="bottom"/>
            <w:tcBorders>
              <w:bottom w:val="single" w:sz="8" w:color="A8A9AC"/>
            </w:tcBorders>
          </w:tcPr>
          <w:p>
            <w:pPr>
              <w:spacing w:after="0"/>
              <w:rPr>
                <w:sz w:val="2"/>
                <w:szCs w:val="2"/>
                <w:color w:val="auto"/>
              </w:rPr>
            </w:pPr>
          </w:p>
        </w:tc>
        <w:tc>
          <w:tcPr>
            <w:tcW w:w="980" w:type="dxa"/>
            <w:vAlign w:val="bottom"/>
            <w:tcBorders>
              <w:bottom w:val="single" w:sz="8" w:color="A8A9AC"/>
            </w:tcBorders>
          </w:tcPr>
          <w:p>
            <w:pPr>
              <w:spacing w:after="0"/>
              <w:rPr>
                <w:sz w:val="2"/>
                <w:szCs w:val="2"/>
                <w:color w:val="auto"/>
              </w:rPr>
            </w:pPr>
          </w:p>
        </w:tc>
        <w:tc>
          <w:tcPr>
            <w:tcW w:w="340" w:type="dxa"/>
            <w:vAlign w:val="bottom"/>
            <w:tcBorders>
              <w:bottom w:val="single" w:sz="8" w:color="A8A9AC"/>
            </w:tcBorders>
          </w:tcPr>
          <w:p>
            <w:pPr>
              <w:spacing w:after="0"/>
              <w:rPr>
                <w:sz w:val="2"/>
                <w:szCs w:val="2"/>
                <w:color w:val="auto"/>
              </w:rPr>
            </w:pPr>
          </w:p>
        </w:tc>
        <w:tc>
          <w:tcPr>
            <w:tcW w:w="900" w:type="dxa"/>
            <w:vAlign w:val="bottom"/>
            <w:tcBorders>
              <w:bottom w:val="single" w:sz="8" w:color="A8A9AC"/>
            </w:tcBorders>
          </w:tcPr>
          <w:p>
            <w:pPr>
              <w:spacing w:after="0"/>
              <w:rPr>
                <w:sz w:val="2"/>
                <w:szCs w:val="2"/>
                <w:color w:val="auto"/>
              </w:rPr>
            </w:pPr>
          </w:p>
        </w:tc>
        <w:tc>
          <w:tcPr>
            <w:tcW w:w="180" w:type="dxa"/>
            <w:vAlign w:val="bottom"/>
            <w:tcBorders>
              <w:bottom w:val="single" w:sz="8" w:color="A8A9AC"/>
            </w:tcBorders>
          </w:tcPr>
          <w:p>
            <w:pPr>
              <w:spacing w:after="0"/>
              <w:rPr>
                <w:sz w:val="2"/>
                <w:szCs w:val="2"/>
                <w:color w:val="auto"/>
              </w:rPr>
            </w:pPr>
          </w:p>
        </w:tc>
        <w:tc>
          <w:tcPr>
            <w:tcW w:w="860" w:type="dxa"/>
            <w:vAlign w:val="bottom"/>
            <w:tcBorders>
              <w:bottom w:val="single" w:sz="8" w:color="A8A9AC"/>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780" w:type="dxa"/>
            <w:vAlign w:val="bottom"/>
            <w:tcBorders>
              <w:bottom w:val="single" w:sz="8" w:color="A26F2A"/>
            </w:tcBorders>
            <w:vMerge w:val="continue"/>
          </w:tcPr>
          <w:p>
            <w:pPr>
              <w:spacing w:after="0"/>
              <w:rPr>
                <w:sz w:val="14"/>
                <w:szCs w:val="14"/>
                <w:color w:val="auto"/>
              </w:rPr>
            </w:pPr>
          </w:p>
        </w:tc>
        <w:tc>
          <w:tcPr>
            <w:tcW w:w="620" w:type="dxa"/>
            <w:vAlign w:val="bottom"/>
            <w:tcBorders>
              <w:bottom w:val="single" w:sz="8" w:color="A26F2A"/>
            </w:tcBorders>
          </w:tcPr>
          <w:p>
            <w:pPr>
              <w:jc w:val="right"/>
              <w:ind w:right="24"/>
              <w:spacing w:after="0" w:line="169" w:lineRule="exact"/>
              <w:rPr>
                <w:sz w:val="20"/>
                <w:szCs w:val="20"/>
                <w:color w:val="auto"/>
              </w:rPr>
            </w:pPr>
            <w:r>
              <w:rPr>
                <w:rFonts w:ascii="Arial" w:cs="Arial" w:eastAsia="Arial" w:hAnsi="Arial"/>
                <w:sz w:val="15"/>
                <w:szCs w:val="15"/>
                <w:color w:val="auto"/>
              </w:rPr>
              <w:t>2023</w:t>
            </w:r>
          </w:p>
        </w:tc>
        <w:tc>
          <w:tcPr>
            <w:tcW w:w="1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26F2A"/>
            </w:tcBorders>
          </w:tcPr>
          <w:p>
            <w:pPr>
              <w:jc w:val="right"/>
              <w:ind w:right="104"/>
              <w:spacing w:after="0" w:line="169" w:lineRule="exact"/>
              <w:rPr>
                <w:sz w:val="20"/>
                <w:szCs w:val="20"/>
                <w:color w:val="auto"/>
              </w:rPr>
            </w:pPr>
            <w:r>
              <w:rPr>
                <w:rFonts w:ascii="Arial" w:cs="Arial" w:eastAsia="Arial" w:hAnsi="Arial"/>
                <w:sz w:val="15"/>
                <w:szCs w:val="15"/>
                <w:color w:val="auto"/>
              </w:rPr>
              <w:t>590,385</w:t>
            </w:r>
          </w:p>
        </w:tc>
        <w:tc>
          <w:tcPr>
            <w:tcW w:w="160" w:type="dxa"/>
            <w:vAlign w:val="bottom"/>
            <w:tcBorders>
              <w:bottom w:val="single" w:sz="8" w:color="A26F2A"/>
            </w:tcBorders>
          </w:tcPr>
          <w:p>
            <w:pPr>
              <w:spacing w:after="0" w:line="16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26F2A"/>
            </w:tcBorders>
          </w:tcPr>
          <w:p>
            <w:pPr>
              <w:jc w:val="right"/>
              <w:ind w:right="24"/>
              <w:spacing w:after="0" w:line="169" w:lineRule="exact"/>
              <w:rPr>
                <w:sz w:val="20"/>
                <w:szCs w:val="20"/>
                <w:color w:val="auto"/>
              </w:rPr>
            </w:pPr>
            <w:r>
              <w:rPr>
                <w:rFonts w:ascii="Arial" w:cs="Arial" w:eastAsia="Arial" w:hAnsi="Arial"/>
                <w:sz w:val="15"/>
                <w:szCs w:val="15"/>
                <w:color w:val="auto"/>
              </w:rPr>
              <w:t>2,781,276</w:t>
            </w:r>
          </w:p>
        </w:tc>
        <w:tc>
          <w:tcPr>
            <w:tcW w:w="300" w:type="dxa"/>
            <w:vAlign w:val="bottom"/>
            <w:tcBorders>
              <w:bottom w:val="single" w:sz="8" w:color="A26F2A"/>
            </w:tcBorders>
          </w:tcPr>
          <w:p>
            <w:pPr>
              <w:ind w:left="8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26F2A"/>
            </w:tcBorders>
            <w:gridSpan w:val="2"/>
          </w:tcPr>
          <w:p>
            <w:pPr>
              <w:jc w:val="right"/>
              <w:ind w:right="80"/>
              <w:spacing w:after="0" w:line="169" w:lineRule="exact"/>
              <w:rPr>
                <w:sz w:val="20"/>
                <w:szCs w:val="20"/>
                <w:color w:val="auto"/>
              </w:rPr>
            </w:pPr>
            <w:r>
              <w:rPr>
                <w:rFonts w:ascii="Arial" w:cs="Arial" w:eastAsia="Arial" w:hAnsi="Arial"/>
                <w:sz w:val="15"/>
                <w:szCs w:val="15"/>
                <w:color w:val="auto"/>
              </w:rPr>
              <w:t>1,033,165</w:t>
            </w:r>
          </w:p>
        </w:tc>
        <w:tc>
          <w:tcPr>
            <w:tcW w:w="260" w:type="dxa"/>
            <w:vAlign w:val="bottom"/>
            <w:tcBorders>
              <w:bottom w:val="single" w:sz="8" w:color="A26F2A"/>
            </w:tcBorders>
          </w:tcPr>
          <w:p>
            <w:pPr>
              <w:ind w:left="100"/>
              <w:spacing w:after="0" w:line="169"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26F2A"/>
            </w:tcBorders>
          </w:tcPr>
          <w:p>
            <w:pPr>
              <w:jc w:val="right"/>
              <w:ind w:right="5"/>
              <w:spacing w:after="0" w:line="169" w:lineRule="exact"/>
              <w:rPr>
                <w:sz w:val="20"/>
                <w:szCs w:val="20"/>
                <w:color w:val="auto"/>
              </w:rPr>
            </w:pPr>
            <w:r>
              <w:rPr>
                <w:rFonts w:ascii="Arial" w:cs="Arial" w:eastAsia="Arial" w:hAnsi="Arial"/>
                <w:sz w:val="15"/>
                <w:szCs w:val="15"/>
                <w:color w:val="auto"/>
              </w:rPr>
              <w:t>504,000</w:t>
            </w:r>
          </w:p>
        </w:tc>
        <w:tc>
          <w:tcPr>
            <w:tcW w:w="340" w:type="dxa"/>
            <w:vAlign w:val="bottom"/>
            <w:tcBorders>
              <w:bottom w:val="single" w:sz="8" w:color="A26F2A"/>
            </w:tcBorders>
          </w:tcPr>
          <w:p>
            <w:pPr>
              <w:ind w:left="100"/>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26F2A"/>
            </w:tcBorders>
          </w:tcPr>
          <w:p>
            <w:pPr>
              <w:jc w:val="right"/>
              <w:ind w:right="5"/>
              <w:spacing w:after="0" w:line="169" w:lineRule="exact"/>
              <w:rPr>
                <w:sz w:val="20"/>
                <w:szCs w:val="20"/>
                <w:color w:val="auto"/>
              </w:rPr>
            </w:pPr>
            <w:r>
              <w:rPr>
                <w:rFonts w:ascii="Arial" w:cs="Arial" w:eastAsia="Arial" w:hAnsi="Arial"/>
                <w:sz w:val="15"/>
                <w:szCs w:val="15"/>
                <w:color w:val="auto"/>
              </w:rPr>
              <w:t>40,253</w:t>
            </w:r>
          </w:p>
        </w:tc>
        <w:tc>
          <w:tcPr>
            <w:tcW w:w="1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26F2A"/>
            </w:tcBorders>
          </w:tcPr>
          <w:p>
            <w:pPr>
              <w:jc w:val="right"/>
              <w:ind w:right="5"/>
              <w:spacing w:after="0" w:line="169" w:lineRule="exact"/>
              <w:rPr>
                <w:sz w:val="20"/>
                <w:szCs w:val="20"/>
                <w:color w:val="auto"/>
              </w:rPr>
            </w:pPr>
            <w:r>
              <w:rPr>
                <w:rFonts w:ascii="Arial" w:cs="Arial" w:eastAsia="Arial" w:hAnsi="Arial"/>
                <w:sz w:val="15"/>
                <w:szCs w:val="15"/>
                <w:color w:val="auto"/>
              </w:rPr>
              <w:t>4,949,079</w:t>
            </w: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300" w:hanging="299"/>
        <w:spacing w:after="0" w:line="257" w:lineRule="auto"/>
        <w:tabs>
          <w:tab w:leader="none" w:pos="300" w:val="left"/>
        </w:tabs>
        <w:numPr>
          <w:ilvl w:val="0"/>
          <w:numId w:val="92"/>
        </w:numPr>
        <w:rPr>
          <w:rFonts w:ascii="Arial" w:cs="Arial" w:eastAsia="Arial" w:hAnsi="Arial"/>
          <w:sz w:val="13"/>
          <w:szCs w:val="13"/>
          <w:i w:val="1"/>
          <w:iCs w:val="1"/>
          <w:color w:val="auto"/>
        </w:rPr>
      </w:pPr>
      <w:r>
        <w:rPr>
          <w:rFonts w:ascii="Arial" w:cs="Arial" w:eastAsia="Arial" w:hAnsi="Arial"/>
          <w:sz w:val="13"/>
          <w:szCs w:val="13"/>
          <w:i w:val="1"/>
          <w:iCs w:val="1"/>
          <w:color w:val="auto"/>
        </w:rPr>
        <w:t>At the conclusion of the 2025 Annual Meeting on May 21, 2025, Mr. Stice transitioned from the role of Chief Executive Officer to Executive Chairman, and Mr. Van’t Hof succeeded Mr. Stice as Chief Executive Officer. Effective February 20, 2025, Mr. Van’t Hof ceased to serve as Chief Financial Officer, and Jere W. Thompson III, previously Executive Vice President of Strategy and Corporate Development of the Company, assumed the role of Executive Vice President and Chief Financial Officer. At the conclusion of the 2026 Annual Meeting, Mr. Stice will transition from the role of Executive Chairman to non-executive Chairman of the Board and will cease to be an executive officer.</w:t>
      </w:r>
    </w:p>
    <w:p>
      <w:pPr>
        <w:spacing w:after="0" w:line="16" w:lineRule="exact"/>
        <w:rPr>
          <w:sz w:val="20"/>
          <w:szCs w:val="20"/>
          <w:color w:val="auto"/>
        </w:rPr>
      </w:pPr>
    </w:p>
    <w:p>
      <w:pPr>
        <w:jc w:val="both"/>
        <w:ind w:left="300" w:hanging="299"/>
        <w:spacing w:after="0" w:line="252" w:lineRule="auto"/>
        <w:tabs>
          <w:tab w:leader="none" w:pos="300" w:val="left"/>
        </w:tabs>
        <w:numPr>
          <w:ilvl w:val="0"/>
          <w:numId w:val="93"/>
        </w:numPr>
        <w:rPr>
          <w:rFonts w:ascii="Arial" w:cs="Arial" w:eastAsia="Arial" w:hAnsi="Arial"/>
          <w:sz w:val="13"/>
          <w:szCs w:val="13"/>
          <w:i w:val="1"/>
          <w:iCs w:val="1"/>
          <w:color w:val="auto"/>
        </w:rPr>
      </w:pPr>
      <w:r>
        <w:rPr>
          <w:rFonts w:ascii="Arial" w:cs="Arial" w:eastAsia="Arial" w:hAnsi="Arial"/>
          <w:sz w:val="13"/>
          <w:szCs w:val="13"/>
          <w:i w:val="1"/>
          <w:iCs w:val="1"/>
          <w:color w:val="auto"/>
        </w:rPr>
        <w:t>The amounts shown in the above table under Stock Awards reflect the grant date fair value of restricted stock units and/or phantom units granted in 2025, 2024 and 2023, respectively, determined in accordance with FASB ASC Topic 718. Dividend equivalent rights were factored into the grant date fair value amounts reported in the above table. See Note 10 to our consolidated financial statements for the fiscal year ended December 31, 2025, included in our Annual Report on Form 10-K, filed with the SEC on February 25, 2026, regarding assumptions underlying valuations of equity awards for 2025, 2024 and 2023. Details regarding equity awards that were outstanding at December 31, 2025, can be found in the tables entitled “Outstanding Equity Awards at Fiscal 2025 Year-End under Diamondback’s Equity Incentive Plan,” and “Outstanding Equity Awards under the Viper LTIP at Fiscal 2025 Year-End.”</w:t>
      </w:r>
    </w:p>
    <w:p>
      <w:pPr>
        <w:spacing w:after="0" w:line="258"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9" w:name="page70"/>
    <w:bookmarkEnd w:id="6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8" w:lineRule="exact"/>
        <w:rPr>
          <w:sz w:val="20"/>
          <w:szCs w:val="20"/>
          <w:color w:val="auto"/>
        </w:rPr>
      </w:pPr>
    </w:p>
    <w:p>
      <w:pPr>
        <w:jc w:val="both"/>
        <w:ind w:left="300" w:hanging="299"/>
        <w:spacing w:after="0" w:line="253" w:lineRule="auto"/>
        <w:tabs>
          <w:tab w:leader="none" w:pos="300" w:val="left"/>
        </w:tabs>
        <w:numPr>
          <w:ilvl w:val="0"/>
          <w:numId w:val="94"/>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grant date fair value (calculated as discussed in Note 1 above) of the performance-based restricted stock units for each NEO granted under Diamondback’s Equity Incentive Plan and the Viper LTIP for the applicable performance period, subject to the Company’s attainment of certain pre-established performance targets and the NEO’s continuous employment. The Company utilized a Monte Carlo simulation to value the performance-based restricted stock units granted in 2025 based on the probable performance outcome for the target amount of units on the grant date, consistent with the estimate of aggregate compensation cost to be recognized over the service period. Actual payouts for the performance-based restricted stock units granted in 2025 can range from zero percent up to a maximum equal to 250% of the target number of performance-based restricted stock units granted.</w:t>
      </w:r>
    </w:p>
    <w:p>
      <w:pPr>
        <w:spacing w:after="0" w:line="19" w:lineRule="exact"/>
        <w:rPr>
          <w:rFonts w:ascii="Arial" w:cs="Arial" w:eastAsia="Arial" w:hAnsi="Arial"/>
          <w:sz w:val="13"/>
          <w:szCs w:val="13"/>
          <w:i w:val="1"/>
          <w:iCs w:val="1"/>
          <w:color w:val="auto"/>
        </w:rPr>
      </w:pPr>
    </w:p>
    <w:p>
      <w:pPr>
        <w:jc w:val="both"/>
        <w:ind w:left="300" w:hanging="299"/>
        <w:spacing w:after="0" w:line="264" w:lineRule="auto"/>
        <w:tabs>
          <w:tab w:leader="none" w:pos="300" w:val="left"/>
        </w:tabs>
        <w:numPr>
          <w:ilvl w:val="0"/>
          <w:numId w:val="94"/>
        </w:numPr>
        <w:rPr>
          <w:rFonts w:ascii="Arial" w:cs="Arial" w:eastAsia="Arial" w:hAnsi="Arial"/>
          <w:sz w:val="13"/>
          <w:szCs w:val="13"/>
          <w:i w:val="1"/>
          <w:iCs w:val="1"/>
          <w:color w:val="auto"/>
        </w:rPr>
      </w:pPr>
      <w:r>
        <w:rPr>
          <w:rFonts w:ascii="Arial" w:cs="Arial" w:eastAsia="Arial" w:hAnsi="Arial"/>
          <w:sz w:val="13"/>
          <w:szCs w:val="13"/>
          <w:i w:val="1"/>
          <w:iCs w:val="1"/>
          <w:color w:val="auto"/>
        </w:rPr>
        <w:t>The aggregate grant date fair values for 2025, 2024 and 2023 for each NEO are attributable to the time-based restricted stock units granted to such NEO under Diamondback’s Equity Incentive Plan on March 1, 2025, May 21, 2025, March 1, 2024, September 10, 2024, and March 1, 2023, respectively, in each case vesting in three substantially equal annual installments beginning on the date of grant.</w:t>
      </w:r>
    </w:p>
    <w:p>
      <w:pPr>
        <w:spacing w:after="0" w:line="11" w:lineRule="exact"/>
        <w:rPr>
          <w:rFonts w:ascii="Arial" w:cs="Arial" w:eastAsia="Arial" w:hAnsi="Arial"/>
          <w:sz w:val="13"/>
          <w:szCs w:val="13"/>
          <w:i w:val="1"/>
          <w:iCs w:val="1"/>
          <w:color w:val="auto"/>
        </w:rPr>
      </w:pPr>
    </w:p>
    <w:p>
      <w:pPr>
        <w:ind w:left="300" w:hanging="299"/>
        <w:spacing w:after="0"/>
        <w:tabs>
          <w:tab w:leader="none" w:pos="300" w:val="left"/>
        </w:tabs>
        <w:numPr>
          <w:ilvl w:val="0"/>
          <w:numId w:val="94"/>
        </w:numPr>
        <w:rPr>
          <w:rFonts w:ascii="Arial" w:cs="Arial" w:eastAsia="Arial" w:hAnsi="Arial"/>
          <w:sz w:val="13"/>
          <w:szCs w:val="13"/>
          <w:i w:val="1"/>
          <w:iCs w:val="1"/>
          <w:color w:val="auto"/>
        </w:rPr>
      </w:pPr>
      <w:r>
        <w:rPr>
          <w:rFonts w:ascii="Arial" w:cs="Arial" w:eastAsia="Arial" w:hAnsi="Arial"/>
          <w:sz w:val="13"/>
          <w:szCs w:val="13"/>
          <w:i w:val="1"/>
          <w:iCs w:val="1"/>
          <w:color w:val="auto"/>
        </w:rPr>
        <w:t>The amounts shown reflect performance-based annual incentive bonuses granted under the Annual Incentive Plan.</w:t>
      </w:r>
    </w:p>
    <w:p>
      <w:pPr>
        <w:spacing w:after="0" w:line="52" w:lineRule="exact"/>
        <w:rPr>
          <w:rFonts w:ascii="Arial" w:cs="Arial" w:eastAsia="Arial" w:hAnsi="Arial"/>
          <w:sz w:val="13"/>
          <w:szCs w:val="13"/>
          <w:i w:val="1"/>
          <w:iCs w:val="1"/>
          <w:color w:val="auto"/>
        </w:rPr>
      </w:pPr>
    </w:p>
    <w:p>
      <w:pPr>
        <w:ind w:left="300" w:hanging="299"/>
        <w:spacing w:after="0"/>
        <w:tabs>
          <w:tab w:leader="none" w:pos="300" w:val="left"/>
        </w:tabs>
        <w:numPr>
          <w:ilvl w:val="0"/>
          <w:numId w:val="94"/>
        </w:numPr>
        <w:rPr>
          <w:rFonts w:ascii="Arial" w:cs="Arial" w:eastAsia="Arial" w:hAnsi="Arial"/>
          <w:sz w:val="13"/>
          <w:szCs w:val="13"/>
          <w:i w:val="1"/>
          <w:iCs w:val="1"/>
          <w:color w:val="auto"/>
        </w:rPr>
      </w:pPr>
      <w:r>
        <w:rPr>
          <w:rFonts w:ascii="Arial" w:cs="Arial" w:eastAsia="Arial" w:hAnsi="Arial"/>
          <w:sz w:val="13"/>
          <w:szCs w:val="13"/>
          <w:i w:val="1"/>
          <w:iCs w:val="1"/>
          <w:color w:val="auto"/>
        </w:rPr>
        <w:t>The following provides a detailed breakdown of the amounts for 2025 under “All Other Compensation” in the Summary Compensation Table:</w:t>
      </w:r>
    </w:p>
    <w:p>
      <w:pPr>
        <w:spacing w:after="0" w:line="139" w:lineRule="exact"/>
        <w:rPr>
          <w:sz w:val="20"/>
          <w:szCs w:val="20"/>
          <w:color w:val="auto"/>
        </w:rPr>
      </w:pPr>
    </w:p>
    <w:tbl>
      <w:tblPr>
        <w:tblLayout w:type="fixed"/>
        <w:tblInd w:w="300" w:type="dxa"/>
        <w:tblCellMar>
          <w:top w:w="0" w:type="dxa"/>
          <w:left w:w="0" w:type="dxa"/>
          <w:bottom w:w="0" w:type="dxa"/>
          <w:right w:w="0" w:type="dxa"/>
        </w:tblCellMar>
      </w:tblPr>
      <w:tr>
        <w:trPr>
          <w:trHeight w:val="151"/>
        </w:trPr>
        <w:tc>
          <w:tcPr>
            <w:tcW w:w="38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b w:val="1"/>
                <w:bCs w:val="1"/>
                <w:color w:val="auto"/>
              </w:rPr>
              <w:t>Life and</w:t>
            </w:r>
          </w:p>
        </w:tc>
        <w:tc>
          <w:tcPr>
            <w:tcW w:w="1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b w:val="1"/>
                <w:bCs w:val="1"/>
                <w:color w:val="auto"/>
              </w:rPr>
              <w:t>Medical</w:t>
            </w:r>
          </w:p>
        </w:tc>
        <w:tc>
          <w:tcPr>
            <w:tcW w:w="1540" w:type="dxa"/>
            <w:vAlign w:val="bottom"/>
            <w:vMerge w:val="restart"/>
          </w:tcPr>
          <w:p>
            <w:pPr>
              <w:jc w:val="right"/>
              <w:ind w:right="154"/>
              <w:spacing w:after="0"/>
              <w:rPr>
                <w:sz w:val="20"/>
                <w:szCs w:val="20"/>
                <w:color w:val="auto"/>
              </w:rPr>
            </w:pPr>
            <w:r>
              <w:rPr>
                <w:rFonts w:ascii="Arial" w:cs="Arial" w:eastAsia="Arial" w:hAnsi="Arial"/>
                <w:sz w:val="13"/>
                <w:szCs w:val="13"/>
                <w:b w:val="1"/>
                <w:bCs w:val="1"/>
                <w:color w:val="auto"/>
              </w:rPr>
              <w:t>Executive Physical</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880" w:type="dxa"/>
            <w:vAlign w:val="bottom"/>
          </w:tcPr>
          <w:p>
            <w:pPr>
              <w:spacing w:after="0"/>
              <w:rPr>
                <w:sz w:val="11"/>
                <w:szCs w:val="11"/>
                <w:color w:val="auto"/>
              </w:rPr>
            </w:pPr>
          </w:p>
        </w:tc>
        <w:tc>
          <w:tcPr>
            <w:tcW w:w="3880" w:type="dxa"/>
            <w:vAlign w:val="bottom"/>
          </w:tcPr>
          <w:p>
            <w:pPr>
              <w:jc w:val="right"/>
              <w:ind w:right="173"/>
              <w:spacing w:after="0" w:line="136" w:lineRule="exact"/>
              <w:rPr>
                <w:sz w:val="20"/>
                <w:szCs w:val="20"/>
                <w:color w:val="auto"/>
              </w:rPr>
            </w:pPr>
            <w:r>
              <w:rPr>
                <w:rFonts w:ascii="Arial" w:cs="Arial" w:eastAsia="Arial" w:hAnsi="Arial"/>
                <w:sz w:val="13"/>
                <w:szCs w:val="13"/>
                <w:b w:val="1"/>
                <w:bCs w:val="1"/>
                <w:color w:val="auto"/>
              </w:rPr>
              <w:t>Contributions</w:t>
            </w:r>
          </w:p>
        </w:tc>
        <w:tc>
          <w:tcPr>
            <w:tcW w:w="980" w:type="dxa"/>
            <w:vAlign w:val="bottom"/>
          </w:tcPr>
          <w:p>
            <w:pPr>
              <w:jc w:val="right"/>
              <w:ind w:right="33"/>
              <w:spacing w:after="0" w:line="136" w:lineRule="exact"/>
              <w:rPr>
                <w:sz w:val="20"/>
                <w:szCs w:val="20"/>
                <w:color w:val="auto"/>
              </w:rPr>
            </w:pPr>
            <w:r>
              <w:rPr>
                <w:rFonts w:ascii="Arial" w:cs="Arial" w:eastAsia="Arial" w:hAnsi="Arial"/>
                <w:sz w:val="13"/>
                <w:szCs w:val="13"/>
                <w:b w:val="1"/>
                <w:bCs w:val="1"/>
                <w:color w:val="auto"/>
              </w:rPr>
              <w:t>Insurance</w:t>
            </w:r>
          </w:p>
        </w:tc>
        <w:tc>
          <w:tcPr>
            <w:tcW w:w="154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3880" w:type="dxa"/>
            <w:vAlign w:val="bottom"/>
          </w:tcPr>
          <w:p>
            <w:pPr>
              <w:jc w:val="right"/>
              <w:ind w:right="173"/>
              <w:spacing w:after="0"/>
              <w:rPr>
                <w:sz w:val="20"/>
                <w:szCs w:val="20"/>
                <w:color w:val="auto"/>
              </w:rPr>
            </w:pPr>
            <w:r>
              <w:rPr>
                <w:rFonts w:ascii="Arial" w:cs="Arial" w:eastAsia="Arial" w:hAnsi="Arial"/>
                <w:sz w:val="13"/>
                <w:szCs w:val="13"/>
                <w:b w:val="1"/>
                <w:bCs w:val="1"/>
                <w:color w:val="auto"/>
              </w:rPr>
              <w:t>to 401(k) Plan</w:t>
            </w:r>
          </w:p>
        </w:tc>
        <w:tc>
          <w:tcPr>
            <w:tcW w:w="980" w:type="dxa"/>
            <w:vAlign w:val="bottom"/>
          </w:tcPr>
          <w:p>
            <w:pPr>
              <w:jc w:val="right"/>
              <w:ind w:right="33"/>
              <w:spacing w:after="0"/>
              <w:rPr>
                <w:sz w:val="20"/>
                <w:szCs w:val="20"/>
                <w:color w:val="auto"/>
              </w:rPr>
            </w:pPr>
            <w:r>
              <w:rPr>
                <w:rFonts w:ascii="Arial" w:cs="Arial" w:eastAsia="Arial" w:hAnsi="Arial"/>
                <w:sz w:val="13"/>
                <w:szCs w:val="13"/>
                <w:b w:val="1"/>
                <w:bCs w:val="1"/>
                <w:color w:val="auto"/>
              </w:rPr>
              <w:t>Premiums</w:t>
            </w:r>
          </w:p>
        </w:tc>
        <w:tc>
          <w:tcPr>
            <w:tcW w:w="1540" w:type="dxa"/>
            <w:vAlign w:val="bottom"/>
          </w:tcPr>
          <w:p>
            <w:pPr>
              <w:jc w:val="right"/>
              <w:ind w:right="154"/>
              <w:spacing w:after="0" w:line="167" w:lineRule="exact"/>
              <w:rPr>
                <w:sz w:val="20"/>
                <w:szCs w:val="20"/>
                <w:color w:val="auto"/>
              </w:rPr>
            </w:pPr>
            <w:r>
              <w:rPr>
                <w:rFonts w:ascii="Arial" w:cs="Arial" w:eastAsia="Arial" w:hAnsi="Arial"/>
                <w:sz w:val="12"/>
                <w:szCs w:val="12"/>
                <w:b w:val="1"/>
                <w:bCs w:val="1"/>
                <w:color w:val="auto"/>
              </w:rPr>
              <w:t>Reimbursement</w:t>
            </w:r>
            <w:r>
              <w:rPr>
                <w:rFonts w:ascii="Arial" w:cs="Arial" w:eastAsia="Arial" w:hAnsi="Arial"/>
                <w:sz w:val="19"/>
                <w:szCs w:val="19"/>
                <w:b w:val="1"/>
                <w:bCs w:val="1"/>
                <w:color w:val="auto"/>
                <w:vertAlign w:val="superscript"/>
              </w:rPr>
              <w:t>(a)</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6"/>
        </w:trPr>
        <w:tc>
          <w:tcPr>
            <w:tcW w:w="3880" w:type="dxa"/>
            <w:vAlign w:val="bottom"/>
            <w:tcBorders>
              <w:bottom w:val="single" w:sz="8" w:color="A26F2A"/>
            </w:tcBorders>
          </w:tcPr>
          <w:p>
            <w:pPr>
              <w:ind w:left="60"/>
              <w:spacing w:after="0"/>
              <w:rPr>
                <w:sz w:val="20"/>
                <w:szCs w:val="20"/>
                <w:color w:val="auto"/>
              </w:rPr>
            </w:pPr>
            <w:r>
              <w:rPr>
                <w:rFonts w:ascii="Arial" w:cs="Arial" w:eastAsia="Arial" w:hAnsi="Arial"/>
                <w:sz w:val="13"/>
                <w:szCs w:val="13"/>
                <w:b w:val="1"/>
                <w:bCs w:val="1"/>
                <w:color w:val="auto"/>
              </w:rPr>
              <w:t>Name</w:t>
            </w:r>
          </w:p>
        </w:tc>
        <w:tc>
          <w:tcPr>
            <w:tcW w:w="3880" w:type="dxa"/>
            <w:vAlign w:val="bottom"/>
            <w:tcBorders>
              <w:bottom w:val="single" w:sz="8" w:color="A26F2A"/>
            </w:tcBorders>
          </w:tcPr>
          <w:p>
            <w:pPr>
              <w:jc w:val="right"/>
              <w:ind w:right="173"/>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26F2A"/>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540" w:type="dxa"/>
            <w:vAlign w:val="bottom"/>
            <w:tcBorders>
              <w:bottom w:val="single" w:sz="8" w:color="A26F2A"/>
            </w:tcBorders>
          </w:tcPr>
          <w:p>
            <w:pPr>
              <w:jc w:val="right"/>
              <w:ind w:right="154"/>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26F2A"/>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4"/>
        </w:trPr>
        <w:tc>
          <w:tcPr>
            <w:tcW w:w="3880" w:type="dxa"/>
            <w:vAlign w:val="bottom"/>
            <w:tcBorders>
              <w:bottom w:val="single" w:sz="8" w:color="A8A9AC"/>
            </w:tcBorders>
          </w:tcPr>
          <w:p>
            <w:pPr>
              <w:ind w:left="60"/>
              <w:spacing w:after="0"/>
              <w:rPr>
                <w:sz w:val="20"/>
                <w:szCs w:val="20"/>
                <w:color w:val="auto"/>
              </w:rPr>
            </w:pPr>
            <w:r>
              <w:rPr>
                <w:rFonts w:ascii="Arial" w:cs="Arial" w:eastAsia="Arial" w:hAnsi="Arial"/>
                <w:sz w:val="13"/>
                <w:szCs w:val="13"/>
                <w:b w:val="1"/>
                <w:bCs w:val="1"/>
                <w:color w:val="auto"/>
              </w:rPr>
              <w:t>Mr. Stice</w:t>
            </w:r>
          </w:p>
        </w:tc>
        <w:tc>
          <w:tcPr>
            <w:tcW w:w="3880" w:type="dxa"/>
            <w:vAlign w:val="bottom"/>
            <w:tcBorders>
              <w:bottom w:val="single" w:sz="8" w:color="A8A9AC"/>
            </w:tcBorders>
          </w:tcPr>
          <w:p>
            <w:pPr>
              <w:jc w:val="right"/>
              <w:ind w:right="173"/>
              <w:spacing w:after="0"/>
              <w:rPr>
                <w:sz w:val="20"/>
                <w:szCs w:val="20"/>
                <w:color w:val="auto"/>
              </w:rPr>
            </w:pPr>
            <w:r>
              <w:rPr>
                <w:rFonts w:ascii="Arial" w:cs="Arial" w:eastAsia="Arial" w:hAnsi="Arial"/>
                <w:sz w:val="13"/>
                <w:szCs w:val="13"/>
                <w:color w:val="auto"/>
              </w:rPr>
              <w:t>35,000</w:t>
            </w:r>
          </w:p>
        </w:tc>
        <w:tc>
          <w:tcPr>
            <w:tcW w:w="980" w:type="dxa"/>
            <w:vAlign w:val="bottom"/>
            <w:tcBorders>
              <w:bottom w:val="single" w:sz="8" w:color="A8A9AC"/>
            </w:tcBorders>
          </w:tcPr>
          <w:p>
            <w:pPr>
              <w:jc w:val="right"/>
              <w:ind w:right="33"/>
              <w:spacing w:after="0"/>
              <w:rPr>
                <w:sz w:val="20"/>
                <w:szCs w:val="20"/>
                <w:color w:val="auto"/>
              </w:rPr>
            </w:pPr>
            <w:r>
              <w:rPr>
                <w:rFonts w:ascii="Arial" w:cs="Arial" w:eastAsia="Arial" w:hAnsi="Arial"/>
                <w:sz w:val="13"/>
                <w:szCs w:val="13"/>
                <w:color w:val="auto"/>
              </w:rPr>
              <w:t>2,700</w:t>
            </w:r>
          </w:p>
        </w:tc>
        <w:tc>
          <w:tcPr>
            <w:tcW w:w="1540" w:type="dxa"/>
            <w:vAlign w:val="bottom"/>
            <w:tcBorders>
              <w:bottom w:val="single" w:sz="8" w:color="A8A9AC"/>
            </w:tcBorders>
          </w:tcPr>
          <w:p>
            <w:pPr>
              <w:jc w:val="right"/>
              <w:ind w:right="154"/>
              <w:spacing w:after="0"/>
              <w:rPr>
                <w:sz w:val="20"/>
                <w:szCs w:val="20"/>
                <w:color w:val="auto"/>
              </w:rPr>
            </w:pPr>
            <w:r>
              <w:rPr>
                <w:rFonts w:ascii="Arial" w:cs="Arial" w:eastAsia="Arial" w:hAnsi="Arial"/>
                <w:sz w:val="13"/>
                <w:szCs w:val="13"/>
                <w:color w:val="auto"/>
              </w:rPr>
              <w:t>6,411</w:t>
            </w:r>
          </w:p>
        </w:tc>
        <w:tc>
          <w:tcPr>
            <w:tcW w:w="660" w:type="dxa"/>
            <w:vAlign w:val="bottom"/>
            <w:tcBorders>
              <w:bottom w:val="single" w:sz="8" w:color="A8A9AC"/>
            </w:tcBorders>
          </w:tcPr>
          <w:p>
            <w:pPr>
              <w:jc w:val="right"/>
              <w:spacing w:after="0"/>
              <w:rPr>
                <w:sz w:val="20"/>
                <w:szCs w:val="20"/>
                <w:color w:val="auto"/>
              </w:rPr>
            </w:pPr>
            <w:r>
              <w:rPr>
                <w:rFonts w:ascii="Arial" w:cs="Arial" w:eastAsia="Arial" w:hAnsi="Arial"/>
                <w:sz w:val="13"/>
                <w:szCs w:val="13"/>
                <w:color w:val="auto"/>
              </w:rPr>
              <w:t>44,111</w:t>
            </w:r>
          </w:p>
        </w:tc>
        <w:tc>
          <w:tcPr>
            <w:tcW w:w="0" w:type="dxa"/>
            <w:vAlign w:val="bottom"/>
          </w:tcPr>
          <w:p>
            <w:pPr>
              <w:spacing w:after="0"/>
              <w:rPr>
                <w:sz w:val="1"/>
                <w:szCs w:val="1"/>
                <w:color w:val="auto"/>
              </w:rPr>
            </w:pPr>
          </w:p>
        </w:tc>
      </w:tr>
      <w:tr>
        <w:trPr>
          <w:trHeight w:val="157"/>
        </w:trPr>
        <w:tc>
          <w:tcPr>
            <w:tcW w:w="3880" w:type="dxa"/>
            <w:vAlign w:val="bottom"/>
            <w:tcBorders>
              <w:bottom w:val="single" w:sz="8" w:color="A8A9AC"/>
            </w:tcBorders>
          </w:tcPr>
          <w:p>
            <w:pPr>
              <w:ind w:left="60"/>
              <w:spacing w:after="0"/>
              <w:rPr>
                <w:sz w:val="20"/>
                <w:szCs w:val="20"/>
                <w:color w:val="auto"/>
              </w:rPr>
            </w:pPr>
            <w:r>
              <w:rPr>
                <w:rFonts w:ascii="Arial" w:cs="Arial" w:eastAsia="Arial" w:hAnsi="Arial"/>
                <w:sz w:val="13"/>
                <w:szCs w:val="13"/>
                <w:b w:val="1"/>
                <w:bCs w:val="1"/>
                <w:color w:val="auto"/>
              </w:rPr>
              <w:t>Mr. Van’t Hof</w:t>
            </w:r>
          </w:p>
        </w:tc>
        <w:tc>
          <w:tcPr>
            <w:tcW w:w="3880" w:type="dxa"/>
            <w:vAlign w:val="bottom"/>
            <w:tcBorders>
              <w:bottom w:val="single" w:sz="8" w:color="A8A9AC"/>
            </w:tcBorders>
          </w:tcPr>
          <w:p>
            <w:pPr>
              <w:jc w:val="right"/>
              <w:ind w:right="173"/>
              <w:spacing w:after="0"/>
              <w:rPr>
                <w:sz w:val="20"/>
                <w:szCs w:val="20"/>
                <w:color w:val="auto"/>
              </w:rPr>
            </w:pPr>
            <w:r>
              <w:rPr>
                <w:rFonts w:ascii="Arial" w:cs="Arial" w:eastAsia="Arial" w:hAnsi="Arial"/>
                <w:sz w:val="13"/>
                <w:szCs w:val="13"/>
                <w:color w:val="auto"/>
              </w:rPr>
              <w:t>35,000</w:t>
            </w:r>
          </w:p>
        </w:tc>
        <w:tc>
          <w:tcPr>
            <w:tcW w:w="980" w:type="dxa"/>
            <w:vAlign w:val="bottom"/>
            <w:tcBorders>
              <w:bottom w:val="single" w:sz="8" w:color="A8A9AC"/>
            </w:tcBorders>
          </w:tcPr>
          <w:p>
            <w:pPr>
              <w:jc w:val="right"/>
              <w:ind w:right="33"/>
              <w:spacing w:after="0"/>
              <w:rPr>
                <w:sz w:val="20"/>
                <w:szCs w:val="20"/>
                <w:color w:val="auto"/>
              </w:rPr>
            </w:pPr>
            <w:r>
              <w:rPr>
                <w:rFonts w:ascii="Arial" w:cs="Arial" w:eastAsia="Arial" w:hAnsi="Arial"/>
                <w:sz w:val="13"/>
                <w:szCs w:val="13"/>
                <w:color w:val="auto"/>
              </w:rPr>
              <w:t>2,700</w:t>
            </w:r>
          </w:p>
        </w:tc>
        <w:tc>
          <w:tcPr>
            <w:tcW w:w="1540" w:type="dxa"/>
            <w:vAlign w:val="bottom"/>
            <w:tcBorders>
              <w:bottom w:val="single" w:sz="8" w:color="A8A9AC"/>
            </w:tcBorders>
          </w:tcPr>
          <w:p>
            <w:pPr>
              <w:jc w:val="right"/>
              <w:ind w:right="154"/>
              <w:spacing w:after="0"/>
              <w:rPr>
                <w:sz w:val="20"/>
                <w:szCs w:val="20"/>
                <w:color w:val="auto"/>
              </w:rPr>
            </w:pPr>
            <w:r>
              <w:rPr>
                <w:rFonts w:ascii="Arial" w:cs="Arial" w:eastAsia="Arial" w:hAnsi="Arial"/>
                <w:sz w:val="13"/>
                <w:szCs w:val="13"/>
                <w:color w:val="auto"/>
              </w:rPr>
              <w:t>6,411</w:t>
            </w:r>
          </w:p>
        </w:tc>
        <w:tc>
          <w:tcPr>
            <w:tcW w:w="660" w:type="dxa"/>
            <w:vAlign w:val="bottom"/>
            <w:tcBorders>
              <w:bottom w:val="single" w:sz="8" w:color="A8A9AC"/>
            </w:tcBorders>
          </w:tcPr>
          <w:p>
            <w:pPr>
              <w:jc w:val="right"/>
              <w:spacing w:after="0"/>
              <w:rPr>
                <w:sz w:val="20"/>
                <w:szCs w:val="20"/>
                <w:color w:val="auto"/>
              </w:rPr>
            </w:pPr>
            <w:r>
              <w:rPr>
                <w:rFonts w:ascii="Arial" w:cs="Arial" w:eastAsia="Arial" w:hAnsi="Arial"/>
                <w:sz w:val="13"/>
                <w:szCs w:val="13"/>
                <w:color w:val="auto"/>
              </w:rPr>
              <w:t>44,111</w:t>
            </w:r>
          </w:p>
        </w:tc>
        <w:tc>
          <w:tcPr>
            <w:tcW w:w="0" w:type="dxa"/>
            <w:vAlign w:val="bottom"/>
          </w:tcPr>
          <w:p>
            <w:pPr>
              <w:spacing w:after="0"/>
              <w:rPr>
                <w:sz w:val="1"/>
                <w:szCs w:val="1"/>
                <w:color w:val="auto"/>
              </w:rPr>
            </w:pPr>
          </w:p>
        </w:tc>
      </w:tr>
      <w:tr>
        <w:trPr>
          <w:trHeight w:val="157"/>
        </w:trPr>
        <w:tc>
          <w:tcPr>
            <w:tcW w:w="3880" w:type="dxa"/>
            <w:vAlign w:val="bottom"/>
            <w:tcBorders>
              <w:bottom w:val="single" w:sz="8" w:color="A8A9AC"/>
            </w:tcBorders>
          </w:tcPr>
          <w:p>
            <w:pPr>
              <w:ind w:left="60"/>
              <w:spacing w:after="0"/>
              <w:rPr>
                <w:sz w:val="20"/>
                <w:szCs w:val="20"/>
                <w:color w:val="auto"/>
              </w:rPr>
            </w:pPr>
            <w:r>
              <w:rPr>
                <w:rFonts w:ascii="Arial" w:cs="Arial" w:eastAsia="Arial" w:hAnsi="Arial"/>
                <w:sz w:val="13"/>
                <w:szCs w:val="13"/>
                <w:b w:val="1"/>
                <w:bCs w:val="1"/>
                <w:color w:val="auto"/>
              </w:rPr>
              <w:t>Mr. Thompson III</w:t>
            </w:r>
          </w:p>
        </w:tc>
        <w:tc>
          <w:tcPr>
            <w:tcW w:w="3880" w:type="dxa"/>
            <w:vAlign w:val="bottom"/>
            <w:tcBorders>
              <w:bottom w:val="single" w:sz="8" w:color="A8A9AC"/>
            </w:tcBorders>
          </w:tcPr>
          <w:p>
            <w:pPr>
              <w:jc w:val="right"/>
              <w:ind w:right="173"/>
              <w:spacing w:after="0"/>
              <w:rPr>
                <w:sz w:val="20"/>
                <w:szCs w:val="20"/>
                <w:color w:val="auto"/>
              </w:rPr>
            </w:pPr>
            <w:r>
              <w:rPr>
                <w:rFonts w:ascii="Arial" w:cs="Arial" w:eastAsia="Arial" w:hAnsi="Arial"/>
                <w:sz w:val="13"/>
                <w:szCs w:val="13"/>
                <w:color w:val="auto"/>
              </w:rPr>
              <w:t>35,000</w:t>
            </w:r>
          </w:p>
        </w:tc>
        <w:tc>
          <w:tcPr>
            <w:tcW w:w="980" w:type="dxa"/>
            <w:vAlign w:val="bottom"/>
            <w:tcBorders>
              <w:bottom w:val="single" w:sz="8" w:color="A8A9AC"/>
            </w:tcBorders>
          </w:tcPr>
          <w:p>
            <w:pPr>
              <w:jc w:val="right"/>
              <w:ind w:right="33"/>
              <w:spacing w:after="0"/>
              <w:rPr>
                <w:sz w:val="20"/>
                <w:szCs w:val="20"/>
                <w:color w:val="auto"/>
              </w:rPr>
            </w:pPr>
            <w:r>
              <w:rPr>
                <w:rFonts w:ascii="Arial" w:cs="Arial" w:eastAsia="Arial" w:hAnsi="Arial"/>
                <w:sz w:val="13"/>
                <w:szCs w:val="13"/>
                <w:color w:val="auto"/>
              </w:rPr>
              <w:t>2,700</w:t>
            </w:r>
          </w:p>
        </w:tc>
        <w:tc>
          <w:tcPr>
            <w:tcW w:w="1540" w:type="dxa"/>
            <w:vAlign w:val="bottom"/>
            <w:tcBorders>
              <w:bottom w:val="single" w:sz="8" w:color="A8A9AC"/>
            </w:tcBorders>
          </w:tcPr>
          <w:p>
            <w:pPr>
              <w:jc w:val="right"/>
              <w:ind w:right="154"/>
              <w:spacing w:after="0"/>
              <w:rPr>
                <w:sz w:val="20"/>
                <w:szCs w:val="20"/>
                <w:color w:val="auto"/>
              </w:rPr>
            </w:pPr>
            <w:r>
              <w:rPr>
                <w:rFonts w:ascii="Arial" w:cs="Arial" w:eastAsia="Arial" w:hAnsi="Arial"/>
                <w:sz w:val="13"/>
                <w:szCs w:val="13"/>
                <w:color w:val="auto"/>
              </w:rPr>
              <w:t>6,411</w:t>
            </w:r>
          </w:p>
        </w:tc>
        <w:tc>
          <w:tcPr>
            <w:tcW w:w="660" w:type="dxa"/>
            <w:vAlign w:val="bottom"/>
            <w:tcBorders>
              <w:bottom w:val="single" w:sz="8" w:color="A8A9AC"/>
            </w:tcBorders>
          </w:tcPr>
          <w:p>
            <w:pPr>
              <w:jc w:val="right"/>
              <w:spacing w:after="0"/>
              <w:rPr>
                <w:sz w:val="20"/>
                <w:szCs w:val="20"/>
                <w:color w:val="auto"/>
              </w:rPr>
            </w:pPr>
            <w:r>
              <w:rPr>
                <w:rFonts w:ascii="Arial" w:cs="Arial" w:eastAsia="Arial" w:hAnsi="Arial"/>
                <w:sz w:val="13"/>
                <w:szCs w:val="13"/>
                <w:color w:val="auto"/>
              </w:rPr>
              <w:t>44,111</w:t>
            </w:r>
          </w:p>
        </w:tc>
        <w:tc>
          <w:tcPr>
            <w:tcW w:w="0" w:type="dxa"/>
            <w:vAlign w:val="bottom"/>
          </w:tcPr>
          <w:p>
            <w:pPr>
              <w:spacing w:after="0"/>
              <w:rPr>
                <w:sz w:val="1"/>
                <w:szCs w:val="1"/>
                <w:color w:val="auto"/>
              </w:rPr>
            </w:pPr>
          </w:p>
        </w:tc>
      </w:tr>
      <w:tr>
        <w:trPr>
          <w:trHeight w:val="157"/>
        </w:trPr>
        <w:tc>
          <w:tcPr>
            <w:tcW w:w="3880" w:type="dxa"/>
            <w:vAlign w:val="bottom"/>
            <w:tcBorders>
              <w:bottom w:val="single" w:sz="8" w:color="A8A9AC"/>
            </w:tcBorders>
          </w:tcPr>
          <w:p>
            <w:pPr>
              <w:ind w:left="60"/>
              <w:spacing w:after="0"/>
              <w:rPr>
                <w:sz w:val="20"/>
                <w:szCs w:val="20"/>
                <w:color w:val="auto"/>
              </w:rPr>
            </w:pPr>
            <w:r>
              <w:rPr>
                <w:rFonts w:ascii="Arial" w:cs="Arial" w:eastAsia="Arial" w:hAnsi="Arial"/>
                <w:sz w:val="13"/>
                <w:szCs w:val="13"/>
                <w:b w:val="1"/>
                <w:bCs w:val="1"/>
                <w:color w:val="auto"/>
              </w:rPr>
              <w:t>Ms. Dick</w:t>
            </w:r>
          </w:p>
        </w:tc>
        <w:tc>
          <w:tcPr>
            <w:tcW w:w="3880" w:type="dxa"/>
            <w:vAlign w:val="bottom"/>
            <w:tcBorders>
              <w:bottom w:val="single" w:sz="8" w:color="A8A9AC"/>
            </w:tcBorders>
          </w:tcPr>
          <w:p>
            <w:pPr>
              <w:jc w:val="right"/>
              <w:ind w:right="173"/>
              <w:spacing w:after="0"/>
              <w:rPr>
                <w:sz w:val="20"/>
                <w:szCs w:val="20"/>
                <w:color w:val="auto"/>
              </w:rPr>
            </w:pPr>
            <w:r>
              <w:rPr>
                <w:rFonts w:ascii="Arial" w:cs="Arial" w:eastAsia="Arial" w:hAnsi="Arial"/>
                <w:sz w:val="13"/>
                <w:szCs w:val="13"/>
                <w:color w:val="auto"/>
              </w:rPr>
              <w:t>35,000</w:t>
            </w:r>
          </w:p>
        </w:tc>
        <w:tc>
          <w:tcPr>
            <w:tcW w:w="980" w:type="dxa"/>
            <w:vAlign w:val="bottom"/>
            <w:tcBorders>
              <w:bottom w:val="single" w:sz="8" w:color="A8A9AC"/>
            </w:tcBorders>
          </w:tcPr>
          <w:p>
            <w:pPr>
              <w:jc w:val="right"/>
              <w:ind w:right="33"/>
              <w:spacing w:after="0"/>
              <w:rPr>
                <w:sz w:val="20"/>
                <w:szCs w:val="20"/>
                <w:color w:val="auto"/>
              </w:rPr>
            </w:pPr>
            <w:r>
              <w:rPr>
                <w:rFonts w:ascii="Arial" w:cs="Arial" w:eastAsia="Arial" w:hAnsi="Arial"/>
                <w:sz w:val="13"/>
                <w:szCs w:val="13"/>
                <w:color w:val="auto"/>
              </w:rPr>
              <w:t>2,700</w:t>
            </w:r>
          </w:p>
        </w:tc>
        <w:tc>
          <w:tcPr>
            <w:tcW w:w="1540" w:type="dxa"/>
            <w:vAlign w:val="bottom"/>
            <w:tcBorders>
              <w:bottom w:val="single" w:sz="8" w:color="A8A9AC"/>
            </w:tcBorders>
          </w:tcPr>
          <w:p>
            <w:pPr>
              <w:jc w:val="right"/>
              <w:ind w:right="154"/>
              <w:spacing w:after="0"/>
              <w:rPr>
                <w:sz w:val="20"/>
                <w:szCs w:val="20"/>
                <w:color w:val="auto"/>
              </w:rPr>
            </w:pPr>
            <w:r>
              <w:rPr>
                <w:rFonts w:ascii="Arial" w:cs="Arial" w:eastAsia="Arial" w:hAnsi="Arial"/>
                <w:sz w:val="13"/>
                <w:szCs w:val="13"/>
                <w:color w:val="auto"/>
              </w:rPr>
              <w:t>6,411</w:t>
            </w:r>
          </w:p>
        </w:tc>
        <w:tc>
          <w:tcPr>
            <w:tcW w:w="660" w:type="dxa"/>
            <w:vAlign w:val="bottom"/>
            <w:tcBorders>
              <w:bottom w:val="single" w:sz="8" w:color="A8A9AC"/>
            </w:tcBorders>
          </w:tcPr>
          <w:p>
            <w:pPr>
              <w:jc w:val="right"/>
              <w:spacing w:after="0"/>
              <w:rPr>
                <w:sz w:val="20"/>
                <w:szCs w:val="20"/>
                <w:color w:val="auto"/>
              </w:rPr>
            </w:pPr>
            <w:r>
              <w:rPr>
                <w:rFonts w:ascii="Arial" w:cs="Arial" w:eastAsia="Arial" w:hAnsi="Arial"/>
                <w:sz w:val="13"/>
                <w:szCs w:val="13"/>
                <w:color w:val="auto"/>
              </w:rPr>
              <w:t>44,111</w:t>
            </w:r>
          </w:p>
        </w:tc>
        <w:tc>
          <w:tcPr>
            <w:tcW w:w="0" w:type="dxa"/>
            <w:vAlign w:val="bottom"/>
          </w:tcPr>
          <w:p>
            <w:pPr>
              <w:spacing w:after="0"/>
              <w:rPr>
                <w:sz w:val="1"/>
                <w:szCs w:val="1"/>
                <w:color w:val="auto"/>
              </w:rPr>
            </w:pPr>
          </w:p>
        </w:tc>
      </w:tr>
      <w:tr>
        <w:trPr>
          <w:trHeight w:val="157"/>
        </w:trPr>
        <w:tc>
          <w:tcPr>
            <w:tcW w:w="3880" w:type="dxa"/>
            <w:vAlign w:val="bottom"/>
            <w:tcBorders>
              <w:bottom w:val="single" w:sz="8" w:color="A8A9AC"/>
            </w:tcBorders>
          </w:tcPr>
          <w:p>
            <w:pPr>
              <w:ind w:left="60"/>
              <w:spacing w:after="0"/>
              <w:rPr>
                <w:sz w:val="20"/>
                <w:szCs w:val="20"/>
                <w:color w:val="auto"/>
              </w:rPr>
            </w:pPr>
            <w:r>
              <w:rPr>
                <w:rFonts w:ascii="Arial" w:cs="Arial" w:eastAsia="Arial" w:hAnsi="Arial"/>
                <w:sz w:val="13"/>
                <w:szCs w:val="13"/>
                <w:b w:val="1"/>
                <w:bCs w:val="1"/>
                <w:color w:val="auto"/>
              </w:rPr>
              <w:t>Mr. Wesson</w:t>
            </w:r>
          </w:p>
        </w:tc>
        <w:tc>
          <w:tcPr>
            <w:tcW w:w="3880" w:type="dxa"/>
            <w:vAlign w:val="bottom"/>
            <w:tcBorders>
              <w:bottom w:val="single" w:sz="8" w:color="A8A9AC"/>
            </w:tcBorders>
          </w:tcPr>
          <w:p>
            <w:pPr>
              <w:jc w:val="right"/>
              <w:ind w:right="173"/>
              <w:spacing w:after="0"/>
              <w:rPr>
                <w:sz w:val="20"/>
                <w:szCs w:val="20"/>
                <w:color w:val="auto"/>
              </w:rPr>
            </w:pPr>
            <w:r>
              <w:rPr>
                <w:rFonts w:ascii="Arial" w:cs="Arial" w:eastAsia="Arial" w:hAnsi="Arial"/>
                <w:sz w:val="13"/>
                <w:szCs w:val="13"/>
                <w:color w:val="auto"/>
              </w:rPr>
              <w:t>35,000</w:t>
            </w:r>
          </w:p>
        </w:tc>
        <w:tc>
          <w:tcPr>
            <w:tcW w:w="980" w:type="dxa"/>
            <w:vAlign w:val="bottom"/>
            <w:tcBorders>
              <w:bottom w:val="single" w:sz="8" w:color="A8A9AC"/>
            </w:tcBorders>
          </w:tcPr>
          <w:p>
            <w:pPr>
              <w:jc w:val="right"/>
              <w:ind w:right="33"/>
              <w:spacing w:after="0"/>
              <w:rPr>
                <w:sz w:val="20"/>
                <w:szCs w:val="20"/>
                <w:color w:val="auto"/>
              </w:rPr>
            </w:pPr>
            <w:r>
              <w:rPr>
                <w:rFonts w:ascii="Arial" w:cs="Arial" w:eastAsia="Arial" w:hAnsi="Arial"/>
                <w:sz w:val="13"/>
                <w:szCs w:val="13"/>
                <w:color w:val="auto"/>
              </w:rPr>
              <w:t>2,700</w:t>
            </w:r>
          </w:p>
        </w:tc>
        <w:tc>
          <w:tcPr>
            <w:tcW w:w="1540" w:type="dxa"/>
            <w:vAlign w:val="bottom"/>
            <w:tcBorders>
              <w:bottom w:val="single" w:sz="8" w:color="A8A9AC"/>
            </w:tcBorders>
          </w:tcPr>
          <w:p>
            <w:pPr>
              <w:jc w:val="right"/>
              <w:ind w:right="154"/>
              <w:spacing w:after="0"/>
              <w:rPr>
                <w:sz w:val="20"/>
                <w:szCs w:val="20"/>
                <w:color w:val="auto"/>
              </w:rPr>
            </w:pPr>
            <w:r>
              <w:rPr>
                <w:rFonts w:ascii="Arial" w:cs="Arial" w:eastAsia="Arial" w:hAnsi="Arial"/>
                <w:sz w:val="13"/>
                <w:szCs w:val="13"/>
                <w:color w:val="auto"/>
              </w:rPr>
              <w:t>6,411</w:t>
            </w:r>
          </w:p>
        </w:tc>
        <w:tc>
          <w:tcPr>
            <w:tcW w:w="660" w:type="dxa"/>
            <w:vAlign w:val="bottom"/>
            <w:tcBorders>
              <w:bottom w:val="single" w:sz="8" w:color="A8A9AC"/>
            </w:tcBorders>
          </w:tcPr>
          <w:p>
            <w:pPr>
              <w:jc w:val="right"/>
              <w:spacing w:after="0"/>
              <w:rPr>
                <w:sz w:val="20"/>
                <w:szCs w:val="20"/>
                <w:color w:val="auto"/>
              </w:rPr>
            </w:pPr>
            <w:r>
              <w:rPr>
                <w:rFonts w:ascii="Arial" w:cs="Arial" w:eastAsia="Arial" w:hAnsi="Arial"/>
                <w:sz w:val="13"/>
                <w:szCs w:val="13"/>
                <w:color w:val="auto"/>
              </w:rPr>
              <w:t>44,111</w:t>
            </w:r>
          </w:p>
        </w:tc>
        <w:tc>
          <w:tcPr>
            <w:tcW w:w="0" w:type="dxa"/>
            <w:vAlign w:val="bottom"/>
          </w:tcPr>
          <w:p>
            <w:pPr>
              <w:spacing w:after="0"/>
              <w:rPr>
                <w:sz w:val="1"/>
                <w:szCs w:val="1"/>
                <w:color w:val="auto"/>
              </w:rPr>
            </w:pPr>
          </w:p>
        </w:tc>
      </w:tr>
      <w:tr>
        <w:trPr>
          <w:trHeight w:val="157"/>
        </w:trPr>
        <w:tc>
          <w:tcPr>
            <w:tcW w:w="3880" w:type="dxa"/>
            <w:vAlign w:val="bottom"/>
            <w:tcBorders>
              <w:bottom w:val="single" w:sz="8" w:color="A26F2A"/>
            </w:tcBorders>
          </w:tcPr>
          <w:p>
            <w:pPr>
              <w:ind w:left="60"/>
              <w:spacing w:after="0"/>
              <w:rPr>
                <w:sz w:val="20"/>
                <w:szCs w:val="20"/>
                <w:color w:val="auto"/>
              </w:rPr>
            </w:pPr>
            <w:r>
              <w:rPr>
                <w:rFonts w:ascii="Arial" w:cs="Arial" w:eastAsia="Arial" w:hAnsi="Arial"/>
                <w:sz w:val="13"/>
                <w:szCs w:val="13"/>
                <w:b w:val="1"/>
                <w:bCs w:val="1"/>
                <w:color w:val="auto"/>
              </w:rPr>
              <w:t>Mr. Zmigrosky</w:t>
            </w:r>
          </w:p>
        </w:tc>
        <w:tc>
          <w:tcPr>
            <w:tcW w:w="3880" w:type="dxa"/>
            <w:vAlign w:val="bottom"/>
            <w:tcBorders>
              <w:bottom w:val="single" w:sz="8" w:color="A26F2A"/>
            </w:tcBorders>
          </w:tcPr>
          <w:p>
            <w:pPr>
              <w:jc w:val="right"/>
              <w:ind w:right="173"/>
              <w:spacing w:after="0"/>
              <w:rPr>
                <w:sz w:val="20"/>
                <w:szCs w:val="20"/>
                <w:color w:val="auto"/>
              </w:rPr>
            </w:pPr>
            <w:r>
              <w:rPr>
                <w:rFonts w:ascii="Arial" w:cs="Arial" w:eastAsia="Arial" w:hAnsi="Arial"/>
                <w:sz w:val="13"/>
                <w:szCs w:val="13"/>
                <w:color w:val="auto"/>
              </w:rPr>
              <w:t>35,000</w:t>
            </w:r>
          </w:p>
        </w:tc>
        <w:tc>
          <w:tcPr>
            <w:tcW w:w="980" w:type="dxa"/>
            <w:vAlign w:val="bottom"/>
            <w:tcBorders>
              <w:bottom w:val="single" w:sz="8" w:color="A26F2A"/>
            </w:tcBorders>
          </w:tcPr>
          <w:p>
            <w:pPr>
              <w:jc w:val="right"/>
              <w:ind w:right="33"/>
              <w:spacing w:after="0"/>
              <w:rPr>
                <w:sz w:val="20"/>
                <w:szCs w:val="20"/>
                <w:color w:val="auto"/>
              </w:rPr>
            </w:pPr>
            <w:r>
              <w:rPr>
                <w:rFonts w:ascii="Arial" w:cs="Arial" w:eastAsia="Arial" w:hAnsi="Arial"/>
                <w:sz w:val="13"/>
                <w:szCs w:val="13"/>
                <w:color w:val="auto"/>
              </w:rPr>
              <w:t>2,700</w:t>
            </w:r>
          </w:p>
        </w:tc>
        <w:tc>
          <w:tcPr>
            <w:tcW w:w="1540" w:type="dxa"/>
            <w:vAlign w:val="bottom"/>
            <w:tcBorders>
              <w:bottom w:val="single" w:sz="8" w:color="A26F2A"/>
            </w:tcBorders>
          </w:tcPr>
          <w:p>
            <w:pPr>
              <w:jc w:val="right"/>
              <w:ind w:right="154"/>
              <w:spacing w:after="0"/>
              <w:rPr>
                <w:sz w:val="20"/>
                <w:szCs w:val="20"/>
                <w:color w:val="auto"/>
              </w:rPr>
            </w:pPr>
            <w:r>
              <w:rPr>
                <w:rFonts w:ascii="Arial" w:cs="Arial" w:eastAsia="Arial" w:hAnsi="Arial"/>
                <w:sz w:val="13"/>
                <w:szCs w:val="13"/>
                <w:color w:val="auto"/>
              </w:rPr>
              <w:t>6,411</w:t>
            </w:r>
          </w:p>
        </w:tc>
        <w:tc>
          <w:tcPr>
            <w:tcW w:w="660" w:type="dxa"/>
            <w:vAlign w:val="bottom"/>
            <w:tcBorders>
              <w:bottom w:val="single" w:sz="8" w:color="A26F2A"/>
            </w:tcBorders>
          </w:tcPr>
          <w:p>
            <w:pPr>
              <w:jc w:val="right"/>
              <w:spacing w:after="0"/>
              <w:rPr>
                <w:sz w:val="20"/>
                <w:szCs w:val="20"/>
                <w:color w:val="auto"/>
              </w:rPr>
            </w:pPr>
            <w:r>
              <w:rPr>
                <w:rFonts w:ascii="Arial" w:cs="Arial" w:eastAsia="Arial" w:hAnsi="Arial"/>
                <w:sz w:val="13"/>
                <w:szCs w:val="13"/>
                <w:color w:val="auto"/>
              </w:rPr>
              <w:t>44,111</w:t>
            </w: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600" w:hanging="296"/>
        <w:spacing w:after="0" w:line="264" w:lineRule="auto"/>
        <w:tabs>
          <w:tab w:leader="none" w:pos="600" w:val="left"/>
        </w:tabs>
        <w:numPr>
          <w:ilvl w:val="1"/>
          <w:numId w:val="95"/>
        </w:numPr>
        <w:rPr>
          <w:rFonts w:ascii="Arial" w:cs="Arial" w:eastAsia="Arial" w:hAnsi="Arial"/>
          <w:sz w:val="13"/>
          <w:szCs w:val="13"/>
          <w:i w:val="1"/>
          <w:iCs w:val="1"/>
          <w:color w:val="auto"/>
        </w:rPr>
      </w:pPr>
      <w:r>
        <w:rPr>
          <w:rFonts w:ascii="Arial" w:cs="Arial" w:eastAsia="Arial" w:hAnsi="Arial"/>
          <w:sz w:val="13"/>
          <w:szCs w:val="13"/>
          <w:i w:val="1"/>
          <w:iCs w:val="1"/>
          <w:color w:val="auto"/>
        </w:rPr>
        <w:t>In addition to the health and wellness benefits generally available to all employees, executive officers are eligible to participate in a supplemental annual physical program, the cost of which is reimbursed by the Company. The amounts reflected in this column represent the average cost of the supplemental annual physical program to the Company. Due to confidentiality requirements, we do not disclose the actual use of this program by the individual NEOs.</w:t>
      </w:r>
    </w:p>
    <w:p>
      <w:pPr>
        <w:spacing w:after="0" w:line="24" w:lineRule="exact"/>
        <w:rPr>
          <w:rFonts w:ascii="Arial" w:cs="Arial" w:eastAsia="Arial" w:hAnsi="Arial"/>
          <w:sz w:val="13"/>
          <w:szCs w:val="13"/>
          <w:i w:val="1"/>
          <w:iCs w:val="1"/>
          <w:color w:val="auto"/>
        </w:rPr>
      </w:pPr>
    </w:p>
    <w:p>
      <w:pPr>
        <w:jc w:val="both"/>
        <w:ind w:left="300" w:hanging="299"/>
        <w:spacing w:after="0" w:line="264" w:lineRule="auto"/>
        <w:tabs>
          <w:tab w:leader="none" w:pos="300" w:val="left"/>
        </w:tabs>
        <w:numPr>
          <w:ilvl w:val="0"/>
          <w:numId w:val="96"/>
        </w:numPr>
        <w:rPr>
          <w:rFonts w:ascii="Arial" w:cs="Arial" w:eastAsia="Arial" w:hAnsi="Arial"/>
          <w:sz w:val="13"/>
          <w:szCs w:val="13"/>
          <w:i w:val="1"/>
          <w:iCs w:val="1"/>
          <w:color w:val="auto"/>
        </w:rPr>
      </w:pPr>
      <w:r>
        <w:rPr>
          <w:rFonts w:ascii="Arial" w:cs="Arial" w:eastAsia="Arial" w:hAnsi="Arial"/>
          <w:sz w:val="13"/>
          <w:szCs w:val="13"/>
          <w:i w:val="1"/>
          <w:iCs w:val="1"/>
          <w:color w:val="auto"/>
        </w:rPr>
        <w:t>Certain of our NEOs also performed services as executive officers and/or directors of Viper, our publicly traded subsidiary, as set forth in more detail in their respective biographies above, and their time was allocated between managing our business and managing the business of Viper. During 2025, 2024 and 2023, no specific allocations were made by Viper for our executive officers’ services to Viper.</w:t>
      </w:r>
    </w:p>
    <w:p>
      <w:pPr>
        <w:spacing w:after="0" w:line="36" w:lineRule="exact"/>
        <w:rPr>
          <w:rFonts w:ascii="Arial" w:cs="Arial" w:eastAsia="Arial" w:hAnsi="Arial"/>
          <w:sz w:val="13"/>
          <w:szCs w:val="13"/>
          <w:i w:val="1"/>
          <w:iCs w:val="1"/>
          <w:color w:val="auto"/>
        </w:rPr>
      </w:pPr>
    </w:p>
    <w:p>
      <w:pPr>
        <w:ind w:left="300" w:hanging="299"/>
        <w:spacing w:after="0"/>
        <w:tabs>
          <w:tab w:leader="none" w:pos="300" w:val="left"/>
        </w:tabs>
        <w:numPr>
          <w:ilvl w:val="0"/>
          <w:numId w:val="96"/>
        </w:numPr>
        <w:rPr>
          <w:rFonts w:ascii="Arial" w:cs="Arial" w:eastAsia="Arial" w:hAnsi="Arial"/>
          <w:sz w:val="13"/>
          <w:szCs w:val="13"/>
          <w:i w:val="1"/>
          <w:iCs w:val="1"/>
          <w:color w:val="auto"/>
        </w:rPr>
      </w:pPr>
      <w:r>
        <w:rPr>
          <w:rFonts w:ascii="Arial" w:cs="Arial" w:eastAsia="Arial" w:hAnsi="Arial"/>
          <w:sz w:val="13"/>
          <w:szCs w:val="13"/>
          <w:i w:val="1"/>
          <w:iCs w:val="1"/>
          <w:color w:val="auto"/>
        </w:rPr>
        <w:t>Compensation paid to Mr. Stice in 2025 excludes the compensation awarded for his services as a director of the board of directors of Viper, which consisted of $68,880 in cash.</w:t>
      </w:r>
    </w:p>
    <w:p>
      <w:pPr>
        <w:spacing w:after="0" w:line="136"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0" w:name="page71"/>
    <w:bookmarkEnd w:id="7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ind w:left="340" w:right="1040" w:hanging="336"/>
        <w:spacing w:after="0" w:line="291" w:lineRule="auto"/>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2025 GRANTS OF PLAN-BASED AWARDS UNDER DIAMONDBACK’S EQUITY</w:t>
      </w: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INCENTIVE PLAN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gridSpan w:val="6"/>
            <w:vMerge w:val="restart"/>
          </w:tcPr>
          <w:p>
            <w:pPr>
              <w:jc w:val="right"/>
              <w:ind w:right="580"/>
              <w:spacing w:after="0"/>
              <w:rPr>
                <w:sz w:val="20"/>
                <w:szCs w:val="20"/>
                <w:color w:val="auto"/>
              </w:rPr>
            </w:pPr>
            <w:r>
              <w:rPr>
                <w:rFonts w:ascii="Arial" w:cs="Arial" w:eastAsia="Arial" w:hAnsi="Arial"/>
                <w:sz w:val="15"/>
                <w:szCs w:val="15"/>
                <w:b w:val="1"/>
                <w:bCs w:val="1"/>
                <w:color w:val="auto"/>
              </w:rPr>
              <w:t>Estimated Future Payouts Under</w:t>
            </w:r>
          </w:p>
        </w:tc>
        <w:tc>
          <w:tcPr>
            <w:tcW w:w="2920" w:type="dxa"/>
            <w:vAlign w:val="bottom"/>
            <w:gridSpan w:val="4"/>
            <w:vMerge w:val="restart"/>
          </w:tcPr>
          <w:p>
            <w:pPr>
              <w:jc w:val="right"/>
              <w:ind w:right="320"/>
              <w:spacing w:after="0"/>
              <w:rPr>
                <w:sz w:val="20"/>
                <w:szCs w:val="20"/>
                <w:color w:val="auto"/>
              </w:rPr>
            </w:pPr>
            <w:r>
              <w:rPr>
                <w:rFonts w:ascii="Arial" w:cs="Arial" w:eastAsia="Arial" w:hAnsi="Arial"/>
                <w:sz w:val="15"/>
                <w:szCs w:val="15"/>
                <w:b w:val="1"/>
                <w:bCs w:val="1"/>
                <w:color w:val="auto"/>
              </w:rPr>
              <w:t>Estimated Future Payouts Under</w:t>
            </w:r>
          </w:p>
        </w:tc>
        <w:tc>
          <w:tcPr>
            <w:tcW w:w="1380" w:type="dxa"/>
            <w:vAlign w:val="bottom"/>
          </w:tcPr>
          <w:p>
            <w:pPr>
              <w:jc w:val="right"/>
              <w:ind w:right="25"/>
              <w:spacing w:after="0"/>
              <w:rPr>
                <w:sz w:val="20"/>
                <w:szCs w:val="20"/>
                <w:color w:val="auto"/>
              </w:rPr>
            </w:pPr>
            <w:r>
              <w:rPr>
                <w:rFonts w:ascii="Arial" w:cs="Arial" w:eastAsia="Arial" w:hAnsi="Arial"/>
                <w:sz w:val="15"/>
                <w:szCs w:val="15"/>
                <w:b w:val="1"/>
                <w:bCs w:val="1"/>
                <w:color w:val="auto"/>
              </w:rPr>
              <w:t>All Other Stock</w:t>
            </w:r>
          </w:p>
        </w:tc>
        <w:tc>
          <w:tcPr>
            <w:tcW w:w="1000" w:type="dxa"/>
            <w:vAlign w:val="bottom"/>
            <w:gridSpan w:val="2"/>
          </w:tcPr>
          <w:p>
            <w:pPr>
              <w:jc w:val="right"/>
              <w:spacing w:after="0"/>
              <w:rPr>
                <w:sz w:val="20"/>
                <w:szCs w:val="20"/>
                <w:color w:val="auto"/>
              </w:rPr>
            </w:pPr>
            <w:r>
              <w:rPr>
                <w:rFonts w:ascii="Arial" w:cs="Arial" w:eastAsia="Arial" w:hAnsi="Arial"/>
                <w:sz w:val="15"/>
                <w:szCs w:val="15"/>
                <w:b w:val="1"/>
                <w:bCs w:val="1"/>
                <w:color w:val="auto"/>
              </w:rPr>
              <w:t>Grant Date</w:t>
            </w:r>
          </w:p>
        </w:tc>
        <w:tc>
          <w:tcPr>
            <w:tcW w:w="0" w:type="dxa"/>
            <w:vAlign w:val="bottom"/>
          </w:tcPr>
          <w:p>
            <w:pPr>
              <w:spacing w:after="0"/>
              <w:rPr>
                <w:sz w:val="1"/>
                <w:szCs w:val="1"/>
                <w:color w:val="auto"/>
              </w:rPr>
            </w:pPr>
          </w:p>
        </w:tc>
      </w:tr>
      <w:tr>
        <w:trPr>
          <w:trHeight w:val="75"/>
        </w:trPr>
        <w:tc>
          <w:tcPr>
            <w:tcW w:w="1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40" w:type="dxa"/>
            <w:vAlign w:val="bottom"/>
            <w:gridSpan w:val="6"/>
            <w:vMerge w:val="continue"/>
          </w:tcPr>
          <w:p>
            <w:pPr>
              <w:spacing w:after="0"/>
              <w:rPr>
                <w:sz w:val="6"/>
                <w:szCs w:val="6"/>
                <w:color w:val="auto"/>
              </w:rPr>
            </w:pPr>
          </w:p>
        </w:tc>
        <w:tc>
          <w:tcPr>
            <w:tcW w:w="2920" w:type="dxa"/>
            <w:vAlign w:val="bottom"/>
            <w:gridSpan w:val="4"/>
            <w:vMerge w:val="continue"/>
          </w:tcPr>
          <w:p>
            <w:pPr>
              <w:spacing w:after="0"/>
              <w:rPr>
                <w:sz w:val="6"/>
                <w:szCs w:val="6"/>
                <w:color w:val="auto"/>
              </w:rPr>
            </w:pPr>
          </w:p>
        </w:tc>
        <w:tc>
          <w:tcPr>
            <w:tcW w:w="1380" w:type="dxa"/>
            <w:vAlign w:val="bottom"/>
            <w:vMerge w:val="restart"/>
          </w:tcPr>
          <w:p>
            <w:pPr>
              <w:jc w:val="right"/>
              <w:ind w:right="25"/>
              <w:spacing w:after="0"/>
              <w:rPr>
                <w:sz w:val="20"/>
                <w:szCs w:val="20"/>
                <w:color w:val="auto"/>
              </w:rPr>
            </w:pPr>
            <w:r>
              <w:rPr>
                <w:rFonts w:ascii="Arial" w:cs="Arial" w:eastAsia="Arial" w:hAnsi="Arial"/>
                <w:sz w:val="15"/>
                <w:szCs w:val="15"/>
                <w:b w:val="1"/>
                <w:bCs w:val="1"/>
                <w:color w:val="auto"/>
              </w:rPr>
              <w:t>Awards: Number</w:t>
            </w:r>
          </w:p>
        </w:tc>
        <w:tc>
          <w:tcPr>
            <w:tcW w:w="18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101"/>
        </w:trPr>
        <w:tc>
          <w:tcPr>
            <w:tcW w:w="1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5"/>
            <w:vMerge w:val="restart"/>
          </w:tcPr>
          <w:p>
            <w:pPr>
              <w:jc w:val="right"/>
              <w:ind w:right="204"/>
              <w:spacing w:after="0" w:line="207" w:lineRule="exact"/>
              <w:rPr>
                <w:sz w:val="20"/>
                <w:szCs w:val="20"/>
                <w:color w:val="auto"/>
              </w:rPr>
            </w:pPr>
            <w:r>
              <w:rPr>
                <w:rFonts w:ascii="Arial" w:cs="Arial" w:eastAsia="Arial" w:hAnsi="Arial"/>
                <w:sz w:val="15"/>
                <w:szCs w:val="15"/>
                <w:b w:val="1"/>
                <w:bCs w:val="1"/>
                <w:color w:val="auto"/>
              </w:rPr>
              <w:t>Non-Equity Incentive Plan Awards</w:t>
            </w:r>
            <w:r>
              <w:rPr>
                <w:rFonts w:ascii="Arial" w:cs="Arial" w:eastAsia="Arial" w:hAnsi="Arial"/>
                <w:sz w:val="24"/>
                <w:szCs w:val="24"/>
                <w:b w:val="1"/>
                <w:bCs w:val="1"/>
                <w:color w:val="auto"/>
                <w:vertAlign w:val="superscript"/>
              </w:rPr>
              <w:t>(1)</w:t>
            </w:r>
          </w:p>
        </w:tc>
        <w:tc>
          <w:tcPr>
            <w:tcW w:w="160" w:type="dxa"/>
            <w:vAlign w:val="bottom"/>
          </w:tcPr>
          <w:p>
            <w:pPr>
              <w:spacing w:after="0"/>
              <w:rPr>
                <w:sz w:val="8"/>
                <w:szCs w:val="8"/>
                <w:color w:val="auto"/>
              </w:rPr>
            </w:pPr>
          </w:p>
        </w:tc>
        <w:tc>
          <w:tcPr>
            <w:tcW w:w="2840" w:type="dxa"/>
            <w:vAlign w:val="bottom"/>
            <w:gridSpan w:val="3"/>
            <w:vMerge w:val="restart"/>
          </w:tcPr>
          <w:p>
            <w:pPr>
              <w:jc w:val="right"/>
              <w:ind w:right="204"/>
              <w:spacing w:after="0" w:line="207" w:lineRule="exact"/>
              <w:rPr>
                <w:sz w:val="20"/>
                <w:szCs w:val="20"/>
                <w:color w:val="auto"/>
              </w:rPr>
            </w:pPr>
            <w:r>
              <w:rPr>
                <w:rFonts w:ascii="Arial" w:cs="Arial" w:eastAsia="Arial" w:hAnsi="Arial"/>
                <w:sz w:val="15"/>
                <w:szCs w:val="15"/>
                <w:b w:val="1"/>
                <w:bCs w:val="1"/>
                <w:color w:val="auto"/>
              </w:rPr>
              <w:t>Equity Incentive Plan Awards</w:t>
            </w:r>
            <w:r>
              <w:rPr>
                <w:rFonts w:ascii="Arial" w:cs="Arial" w:eastAsia="Arial" w:hAnsi="Arial"/>
                <w:sz w:val="24"/>
                <w:szCs w:val="24"/>
                <w:b w:val="1"/>
                <w:bCs w:val="1"/>
                <w:color w:val="auto"/>
                <w:vertAlign w:val="superscript"/>
              </w:rPr>
              <w:t>(2)</w:t>
            </w:r>
          </w:p>
        </w:tc>
        <w:tc>
          <w:tcPr>
            <w:tcW w:w="8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26F2A"/>
            </w:tcBorders>
          </w:tcPr>
          <w:p>
            <w:pPr>
              <w:spacing w:after="0"/>
              <w:rPr>
                <w:sz w:val="10"/>
                <w:szCs w:val="10"/>
                <w:color w:val="auto"/>
              </w:rPr>
            </w:pPr>
          </w:p>
        </w:tc>
        <w:tc>
          <w:tcPr>
            <w:tcW w:w="3080" w:type="dxa"/>
            <w:vAlign w:val="bottom"/>
            <w:tcBorders>
              <w:bottom w:val="single" w:sz="8" w:color="A26F2A"/>
            </w:tcBorders>
            <w:gridSpan w:val="5"/>
            <w:vMerge w:val="continue"/>
          </w:tcPr>
          <w:p>
            <w:pPr>
              <w:spacing w:after="0"/>
              <w:rPr>
                <w:sz w:val="10"/>
                <w:szCs w:val="10"/>
                <w:color w:val="auto"/>
              </w:rPr>
            </w:pPr>
          </w:p>
        </w:tc>
        <w:tc>
          <w:tcPr>
            <w:tcW w:w="160" w:type="dxa"/>
            <w:vAlign w:val="bottom"/>
            <w:vMerge w:val="restart"/>
          </w:tcPr>
          <w:p>
            <w:pPr>
              <w:spacing w:after="0"/>
              <w:rPr>
                <w:sz w:val="10"/>
                <w:szCs w:val="10"/>
                <w:color w:val="auto"/>
              </w:rPr>
            </w:pPr>
          </w:p>
        </w:tc>
        <w:tc>
          <w:tcPr>
            <w:tcW w:w="2840" w:type="dxa"/>
            <w:vAlign w:val="bottom"/>
            <w:tcBorders>
              <w:bottom w:val="single" w:sz="8" w:color="A26F2A"/>
            </w:tcBorders>
            <w:gridSpan w:val="3"/>
            <w:vMerge w:val="continue"/>
          </w:tcPr>
          <w:p>
            <w:pPr>
              <w:spacing w:after="0"/>
              <w:rPr>
                <w:sz w:val="10"/>
                <w:szCs w:val="10"/>
                <w:color w:val="auto"/>
              </w:rPr>
            </w:pPr>
          </w:p>
        </w:tc>
        <w:tc>
          <w:tcPr>
            <w:tcW w:w="80" w:type="dxa"/>
            <w:vAlign w:val="bottom"/>
            <w:vMerge w:val="restart"/>
          </w:tcPr>
          <w:p>
            <w:pPr>
              <w:spacing w:after="0"/>
              <w:rPr>
                <w:sz w:val="10"/>
                <w:szCs w:val="10"/>
                <w:color w:val="auto"/>
              </w:rPr>
            </w:pPr>
          </w:p>
        </w:tc>
        <w:tc>
          <w:tcPr>
            <w:tcW w:w="1380" w:type="dxa"/>
            <w:vAlign w:val="bottom"/>
            <w:vMerge w:val="restart"/>
          </w:tcPr>
          <w:p>
            <w:pPr>
              <w:jc w:val="right"/>
              <w:ind w:right="25"/>
              <w:spacing w:after="0"/>
              <w:rPr>
                <w:sz w:val="20"/>
                <w:szCs w:val="20"/>
                <w:color w:val="auto"/>
              </w:rPr>
            </w:pPr>
            <w:r>
              <w:rPr>
                <w:rFonts w:ascii="Arial" w:cs="Arial" w:eastAsia="Arial" w:hAnsi="Arial"/>
                <w:sz w:val="15"/>
                <w:szCs w:val="15"/>
                <w:b w:val="1"/>
                <w:bCs w:val="1"/>
                <w:color w:val="auto"/>
              </w:rPr>
              <w:t>of Shares of</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of Stock</w:t>
            </w: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gridSpan w:val="5"/>
          </w:tcPr>
          <w:p>
            <w:pPr>
              <w:spacing w:after="0"/>
              <w:rPr>
                <w:sz w:val="2"/>
                <w:szCs w:val="2"/>
                <w:color w:val="auto"/>
              </w:rPr>
            </w:pPr>
          </w:p>
        </w:tc>
        <w:tc>
          <w:tcPr>
            <w:tcW w:w="160" w:type="dxa"/>
            <w:vAlign w:val="bottom"/>
            <w:vMerge w:val="continue"/>
          </w:tcPr>
          <w:p>
            <w:pPr>
              <w:spacing w:after="0"/>
              <w:rPr>
                <w:sz w:val="2"/>
                <w:szCs w:val="2"/>
                <w:color w:val="auto"/>
              </w:rPr>
            </w:pPr>
          </w:p>
        </w:tc>
        <w:tc>
          <w:tcPr>
            <w:tcW w:w="2840" w:type="dxa"/>
            <w:vAlign w:val="bottom"/>
            <w:gridSpan w:val="3"/>
          </w:tcPr>
          <w:p>
            <w:pPr>
              <w:spacing w:after="0"/>
              <w:rPr>
                <w:sz w:val="2"/>
                <w:szCs w:val="2"/>
                <w:color w:val="auto"/>
              </w:rPr>
            </w:pPr>
          </w:p>
        </w:tc>
        <w:tc>
          <w:tcPr>
            <w:tcW w:w="8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7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Grant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05"/>
              <w:spacing w:after="0"/>
              <w:rPr>
                <w:sz w:val="20"/>
                <w:szCs w:val="20"/>
                <w:color w:val="auto"/>
              </w:rPr>
            </w:pPr>
            <w:r>
              <w:rPr>
                <w:rFonts w:ascii="Arial" w:cs="Arial" w:eastAsia="Arial" w:hAnsi="Arial"/>
                <w:sz w:val="15"/>
                <w:szCs w:val="15"/>
                <w:b w:val="1"/>
                <w:bCs w:val="1"/>
                <w:color w:val="auto"/>
              </w:rPr>
              <w:t>Threshold</w:t>
            </w:r>
          </w:p>
        </w:tc>
        <w:tc>
          <w:tcPr>
            <w:tcW w:w="280" w:type="dxa"/>
            <w:vAlign w:val="bottom"/>
          </w:tcPr>
          <w:p>
            <w:pPr>
              <w:spacing w:after="0"/>
              <w:rPr>
                <w:sz w:val="16"/>
                <w:szCs w:val="16"/>
                <w:color w:val="auto"/>
              </w:rPr>
            </w:pPr>
          </w:p>
        </w:tc>
        <w:tc>
          <w:tcPr>
            <w:tcW w:w="860" w:type="dxa"/>
            <w:vAlign w:val="bottom"/>
          </w:tcPr>
          <w:p>
            <w:pPr>
              <w:jc w:val="right"/>
              <w:ind w:right="104"/>
              <w:spacing w:after="0"/>
              <w:rPr>
                <w:sz w:val="20"/>
                <w:szCs w:val="20"/>
                <w:color w:val="auto"/>
              </w:rPr>
            </w:pPr>
            <w:r>
              <w:rPr>
                <w:rFonts w:ascii="Arial" w:cs="Arial" w:eastAsia="Arial" w:hAnsi="Arial"/>
                <w:sz w:val="15"/>
                <w:szCs w:val="15"/>
                <w:b w:val="1"/>
                <w:bCs w:val="1"/>
                <w:color w:val="auto"/>
              </w:rPr>
              <w:t>Target</w:t>
            </w:r>
          </w:p>
        </w:tc>
        <w:tc>
          <w:tcPr>
            <w:tcW w:w="2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Maximum</w:t>
            </w:r>
          </w:p>
        </w:tc>
        <w:tc>
          <w:tcPr>
            <w:tcW w:w="1040" w:type="dxa"/>
            <w:vAlign w:val="bottom"/>
          </w:tcPr>
          <w:p>
            <w:pPr>
              <w:jc w:val="right"/>
              <w:ind w:right="124"/>
              <w:spacing w:after="0"/>
              <w:rPr>
                <w:sz w:val="20"/>
                <w:szCs w:val="20"/>
                <w:color w:val="auto"/>
              </w:rPr>
            </w:pPr>
            <w:r>
              <w:rPr>
                <w:rFonts w:ascii="Arial" w:cs="Arial" w:eastAsia="Arial" w:hAnsi="Arial"/>
                <w:sz w:val="15"/>
                <w:szCs w:val="15"/>
                <w:b w:val="1"/>
                <w:bCs w:val="1"/>
                <w:color w:val="auto"/>
              </w:rPr>
              <w:t>Threshold</w:t>
            </w:r>
          </w:p>
        </w:tc>
        <w:tc>
          <w:tcPr>
            <w:tcW w:w="900" w:type="dxa"/>
            <w:vAlign w:val="bottom"/>
          </w:tcPr>
          <w:p>
            <w:pPr>
              <w:jc w:val="right"/>
              <w:ind w:right="144"/>
              <w:spacing w:after="0"/>
              <w:rPr>
                <w:sz w:val="20"/>
                <w:szCs w:val="20"/>
                <w:color w:val="auto"/>
              </w:rPr>
            </w:pPr>
            <w:r>
              <w:rPr>
                <w:rFonts w:ascii="Arial" w:cs="Arial" w:eastAsia="Arial" w:hAnsi="Arial"/>
                <w:sz w:val="15"/>
                <w:szCs w:val="15"/>
                <w:b w:val="1"/>
                <w:bCs w:val="1"/>
                <w:color w:val="auto"/>
              </w:rPr>
              <w:t>Target</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Maximum</w:t>
            </w:r>
          </w:p>
        </w:tc>
        <w:tc>
          <w:tcPr>
            <w:tcW w:w="1380" w:type="dxa"/>
            <w:vAlign w:val="bottom"/>
          </w:tcPr>
          <w:p>
            <w:pPr>
              <w:jc w:val="right"/>
              <w:ind w:right="25"/>
              <w:spacing w:after="0" w:line="190" w:lineRule="exact"/>
              <w:rPr>
                <w:sz w:val="20"/>
                <w:szCs w:val="20"/>
                <w:color w:val="auto"/>
              </w:rPr>
            </w:pPr>
            <w:r>
              <w:rPr>
                <w:rFonts w:ascii="Arial" w:cs="Arial" w:eastAsia="Arial" w:hAnsi="Arial"/>
                <w:sz w:val="13"/>
                <w:szCs w:val="13"/>
                <w:b w:val="1"/>
                <w:bCs w:val="1"/>
                <w:color w:val="auto"/>
              </w:rPr>
              <w:t>Stock or Units</w:t>
            </w:r>
            <w:r>
              <w:rPr>
                <w:rFonts w:ascii="Arial" w:cs="Arial" w:eastAsia="Arial" w:hAnsi="Arial"/>
                <w:sz w:val="21"/>
                <w:szCs w:val="21"/>
                <w:b w:val="1"/>
                <w:bCs w:val="1"/>
                <w:color w:val="auto"/>
                <w:vertAlign w:val="superscript"/>
              </w:rPr>
              <w:t>(3)</w:t>
            </w:r>
          </w:p>
        </w:tc>
        <w:tc>
          <w:tcPr>
            <w:tcW w:w="1000" w:type="dxa"/>
            <w:vAlign w:val="bottom"/>
            <w:gridSpan w:val="2"/>
          </w:tcPr>
          <w:p>
            <w:pPr>
              <w:jc w:val="right"/>
              <w:spacing w:after="0"/>
              <w:rPr>
                <w:sz w:val="20"/>
                <w:szCs w:val="20"/>
                <w:color w:val="auto"/>
              </w:rPr>
            </w:pPr>
            <w:r>
              <w:rPr>
                <w:rFonts w:ascii="Arial" w:cs="Arial" w:eastAsia="Arial" w:hAnsi="Arial"/>
                <w:sz w:val="15"/>
                <w:szCs w:val="15"/>
                <w:b w:val="1"/>
                <w:bCs w:val="1"/>
                <w:color w:val="auto"/>
              </w:rPr>
              <w:t>and Option</w:t>
            </w:r>
          </w:p>
        </w:tc>
        <w:tc>
          <w:tcPr>
            <w:tcW w:w="0" w:type="dxa"/>
            <w:vAlign w:val="bottom"/>
          </w:tcPr>
          <w:p>
            <w:pPr>
              <w:spacing w:after="0"/>
              <w:rPr>
                <w:sz w:val="1"/>
                <w:szCs w:val="1"/>
                <w:color w:val="auto"/>
              </w:rPr>
            </w:pPr>
          </w:p>
        </w:tc>
      </w:tr>
      <w:tr>
        <w:trPr>
          <w:trHeight w:val="220"/>
        </w:trPr>
        <w:tc>
          <w:tcPr>
            <w:tcW w:w="176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Name</w:t>
            </w:r>
          </w:p>
        </w:tc>
        <w:tc>
          <w:tcPr>
            <w:tcW w:w="800" w:type="dxa"/>
            <w:vAlign w:val="bottom"/>
            <w:tcBorders>
              <w:bottom w:val="single" w:sz="8" w:color="A26F2A"/>
            </w:tcBorders>
          </w:tcPr>
          <w:p>
            <w:pPr>
              <w:jc w:val="right"/>
              <w:spacing w:after="0"/>
              <w:rPr>
                <w:sz w:val="20"/>
                <w:szCs w:val="20"/>
                <w:color w:val="auto"/>
              </w:rPr>
            </w:pPr>
            <w:r>
              <w:rPr>
                <w:rFonts w:ascii="Arial" w:cs="Arial" w:eastAsia="Arial" w:hAnsi="Arial"/>
                <w:sz w:val="15"/>
                <w:szCs w:val="15"/>
                <w:b w:val="1"/>
                <w:bCs w:val="1"/>
                <w:color w:val="auto"/>
              </w:rPr>
              <w:t>Date</w:t>
            </w:r>
          </w:p>
        </w:tc>
        <w:tc>
          <w:tcPr>
            <w:tcW w:w="40" w:type="dxa"/>
            <w:vAlign w:val="bottom"/>
            <w:tcBorders>
              <w:bottom w:val="single" w:sz="8" w:color="A26F2A"/>
            </w:tcBorders>
          </w:tcPr>
          <w:p>
            <w:pPr>
              <w:spacing w:after="0"/>
              <w:rPr>
                <w:sz w:val="19"/>
                <w:szCs w:val="19"/>
                <w:color w:val="auto"/>
              </w:rPr>
            </w:pPr>
          </w:p>
        </w:tc>
        <w:tc>
          <w:tcPr>
            <w:tcW w:w="100" w:type="dxa"/>
            <w:vAlign w:val="bottom"/>
            <w:tcBorders>
              <w:bottom w:val="single" w:sz="8" w:color="A26F2A"/>
            </w:tcBorders>
          </w:tcPr>
          <w:p>
            <w:pPr>
              <w:spacing w:after="0"/>
              <w:rPr>
                <w:sz w:val="19"/>
                <w:szCs w:val="19"/>
                <w:color w:val="auto"/>
              </w:rPr>
            </w:pPr>
          </w:p>
        </w:tc>
        <w:tc>
          <w:tcPr>
            <w:tcW w:w="940" w:type="dxa"/>
            <w:vAlign w:val="bottom"/>
            <w:tcBorders>
              <w:bottom w:val="single" w:sz="8" w:color="A26F2A"/>
            </w:tcBorders>
          </w:tcPr>
          <w:p>
            <w:pPr>
              <w:jc w:val="right"/>
              <w:ind w:right="105"/>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26F2A"/>
            </w:tcBorders>
          </w:tcPr>
          <w:p>
            <w:pPr>
              <w:spacing w:after="0"/>
              <w:rPr>
                <w:sz w:val="19"/>
                <w:szCs w:val="19"/>
                <w:color w:val="auto"/>
              </w:rPr>
            </w:pPr>
          </w:p>
        </w:tc>
        <w:tc>
          <w:tcPr>
            <w:tcW w:w="860" w:type="dxa"/>
            <w:vAlign w:val="bottom"/>
            <w:tcBorders>
              <w:bottom w:val="single" w:sz="8" w:color="A26F2A"/>
            </w:tcBorders>
          </w:tcPr>
          <w:p>
            <w:pPr>
              <w:jc w:val="right"/>
              <w:ind w:right="10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26F2A"/>
            </w:tcBorders>
          </w:tcPr>
          <w:p>
            <w:pPr>
              <w:spacing w:after="0"/>
              <w:rPr>
                <w:sz w:val="19"/>
                <w:szCs w:val="19"/>
                <w:color w:val="auto"/>
              </w:rPr>
            </w:pPr>
          </w:p>
        </w:tc>
        <w:tc>
          <w:tcPr>
            <w:tcW w:w="880" w:type="dxa"/>
            <w:vAlign w:val="bottom"/>
            <w:tcBorders>
              <w:bottom w:val="single" w:sz="8" w:color="A26F2A"/>
            </w:tcBorders>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26F2A"/>
            </w:tcBorders>
          </w:tcPr>
          <w:p>
            <w:pPr>
              <w:jc w:val="right"/>
              <w:ind w:right="124"/>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26F2A"/>
            </w:tcBorders>
          </w:tcPr>
          <w:p>
            <w:pPr>
              <w:jc w:val="right"/>
              <w:ind w:right="144"/>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26F2A"/>
            </w:tcBorders>
            <w:gridSpan w:val="2"/>
          </w:tcPr>
          <w:p>
            <w:pPr>
              <w:jc w:val="right"/>
              <w:ind w:right="80"/>
              <w:spacing w:after="0"/>
              <w:rPr>
                <w:sz w:val="20"/>
                <w:szCs w:val="20"/>
                <w:color w:val="auto"/>
              </w:rPr>
            </w:pPr>
            <w:r>
              <w:rPr>
                <w:rFonts w:ascii="Arial" w:cs="Arial" w:eastAsia="Arial" w:hAnsi="Arial"/>
                <w:sz w:val="15"/>
                <w:szCs w:val="15"/>
                <w:b w:val="1"/>
                <w:bCs w:val="1"/>
                <w:color w:val="auto"/>
              </w:rPr>
              <w:t>(#)</w:t>
            </w:r>
          </w:p>
        </w:tc>
        <w:tc>
          <w:tcPr>
            <w:tcW w:w="1380" w:type="dxa"/>
            <w:vAlign w:val="bottom"/>
            <w:tcBorders>
              <w:bottom w:val="single" w:sz="8" w:color="A26F2A"/>
            </w:tcBorders>
          </w:tcPr>
          <w:p>
            <w:pPr>
              <w:jc w:val="right"/>
              <w:ind w:right="25"/>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A26F2A"/>
            </w:tcBorders>
          </w:tcPr>
          <w:p>
            <w:pPr>
              <w:spacing w:after="0"/>
              <w:rPr>
                <w:sz w:val="19"/>
                <w:szCs w:val="19"/>
                <w:color w:val="auto"/>
              </w:rPr>
            </w:pPr>
          </w:p>
        </w:tc>
        <w:tc>
          <w:tcPr>
            <w:tcW w:w="820" w:type="dxa"/>
            <w:vAlign w:val="bottom"/>
            <w:tcBorders>
              <w:bottom w:val="single" w:sz="8" w:color="A26F2A"/>
            </w:tcBorders>
          </w:tcPr>
          <w:p>
            <w:pPr>
              <w:jc w:val="right"/>
              <w:spacing w:after="0" w:line="214"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4"/>
                <w:szCs w:val="24"/>
                <w:b w:val="1"/>
                <w:bCs w:val="1"/>
                <w:color w:val="auto"/>
                <w:vertAlign w:val="superscript"/>
              </w:rPr>
              <w:t>(4)</w:t>
            </w:r>
          </w:p>
        </w:tc>
        <w:tc>
          <w:tcPr>
            <w:tcW w:w="0" w:type="dxa"/>
            <w:vAlign w:val="bottom"/>
          </w:tcPr>
          <w:p>
            <w:pPr>
              <w:spacing w:after="0"/>
              <w:rPr>
                <w:sz w:val="1"/>
                <w:szCs w:val="1"/>
                <w:color w:val="auto"/>
              </w:rPr>
            </w:pPr>
          </w:p>
        </w:tc>
      </w:tr>
      <w:tr>
        <w:trPr>
          <w:trHeight w:val="189"/>
        </w:trPr>
        <w:tc>
          <w:tcPr>
            <w:tcW w:w="1760" w:type="dxa"/>
            <w:vAlign w:val="bottom"/>
          </w:tcPr>
          <w:p>
            <w:pPr>
              <w:ind w:left="60"/>
              <w:spacing w:after="0"/>
              <w:rPr>
                <w:sz w:val="20"/>
                <w:szCs w:val="20"/>
                <w:color w:val="auto"/>
              </w:rPr>
            </w:pPr>
            <w:r>
              <w:rPr>
                <w:rFonts w:ascii="Arial" w:cs="Arial" w:eastAsia="Arial" w:hAnsi="Arial"/>
                <w:sz w:val="15"/>
                <w:szCs w:val="15"/>
                <w:b w:val="1"/>
                <w:bCs w:val="1"/>
                <w:color w:val="auto"/>
              </w:rPr>
              <w:t>Travis D. Stice</w:t>
            </w:r>
          </w:p>
        </w:tc>
        <w:tc>
          <w:tcPr>
            <w:tcW w:w="80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3/1/2025</w:t>
            </w:r>
          </w:p>
        </w:tc>
        <w:tc>
          <w:tcPr>
            <w:tcW w:w="140" w:type="dxa"/>
            <w:vAlign w:val="bottom"/>
            <w:tcBorders>
              <w:bottom w:val="single" w:sz="8" w:color="A8A9AC"/>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8A9AC"/>
            </w:tcBorders>
          </w:tcPr>
          <w:p>
            <w:pPr>
              <w:jc w:val="right"/>
              <w:ind w:right="105"/>
              <w:spacing w:after="0"/>
              <w:rPr>
                <w:sz w:val="20"/>
                <w:szCs w:val="20"/>
                <w:color w:val="auto"/>
              </w:rPr>
            </w:pPr>
            <w:r>
              <w:rPr>
                <w:rFonts w:ascii="Arial" w:cs="Arial" w:eastAsia="Arial" w:hAnsi="Arial"/>
                <w:sz w:val="15"/>
                <w:szCs w:val="15"/>
                <w:color w:val="auto"/>
              </w:rPr>
              <w:t>846,450</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w w:val="98"/>
              </w:rPr>
              <w:t>1,692,900</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gridSpan w:val="2"/>
          </w:tcPr>
          <w:p>
            <w:pPr>
              <w:jc w:val="right"/>
              <w:ind w:right="160"/>
              <w:spacing w:after="0"/>
              <w:rPr>
                <w:sz w:val="20"/>
                <w:szCs w:val="20"/>
                <w:color w:val="auto"/>
              </w:rPr>
            </w:pPr>
            <w:r>
              <w:rPr>
                <w:rFonts w:ascii="Arial" w:cs="Arial" w:eastAsia="Arial" w:hAnsi="Arial"/>
                <w:sz w:val="15"/>
                <w:szCs w:val="15"/>
                <w:color w:val="auto"/>
              </w:rPr>
              <w:t>3,385,800</w:t>
            </w:r>
          </w:p>
        </w:tc>
        <w:tc>
          <w:tcPr>
            <w:tcW w:w="1040" w:type="dxa"/>
            <w:vAlign w:val="bottom"/>
            <w:tcBorders>
              <w:bottom w:val="single" w:sz="8" w:color="A8A9AC"/>
            </w:tcBorders>
          </w:tcPr>
          <w:p>
            <w:pPr>
              <w:spacing w:after="0"/>
              <w:rPr>
                <w:sz w:val="16"/>
                <w:szCs w:val="16"/>
                <w:color w:val="auto"/>
              </w:rPr>
            </w:pPr>
          </w:p>
        </w:tc>
        <w:tc>
          <w:tcPr>
            <w:tcW w:w="900" w:type="dxa"/>
            <w:vAlign w:val="bottom"/>
            <w:tcBorders>
              <w:bottom w:val="single" w:sz="8" w:color="A8A9AC"/>
            </w:tcBorders>
          </w:tcPr>
          <w:p>
            <w:pPr>
              <w:spacing w:after="0"/>
              <w:rPr>
                <w:sz w:val="16"/>
                <w:szCs w:val="16"/>
                <w:color w:val="auto"/>
              </w:rPr>
            </w:pPr>
          </w:p>
        </w:tc>
        <w:tc>
          <w:tcPr>
            <w:tcW w:w="900" w:type="dxa"/>
            <w:vAlign w:val="bottom"/>
            <w:tcBorders>
              <w:bottom w:val="single" w:sz="8" w:color="A8A9AC"/>
            </w:tcBorders>
          </w:tcPr>
          <w:p>
            <w:pPr>
              <w:spacing w:after="0"/>
              <w:rPr>
                <w:sz w:val="16"/>
                <w:szCs w:val="16"/>
                <w:color w:val="auto"/>
              </w:rPr>
            </w:pPr>
          </w:p>
        </w:tc>
        <w:tc>
          <w:tcPr>
            <w:tcW w:w="80" w:type="dxa"/>
            <w:vAlign w:val="bottom"/>
            <w:tcBorders>
              <w:bottom w:val="single" w:sz="8" w:color="A8A9AC"/>
            </w:tcBorders>
          </w:tcPr>
          <w:p>
            <w:pPr>
              <w:spacing w:after="0"/>
              <w:rPr>
                <w:sz w:val="16"/>
                <w:szCs w:val="16"/>
                <w:color w:val="auto"/>
              </w:rPr>
            </w:pPr>
          </w:p>
        </w:tc>
        <w:tc>
          <w:tcPr>
            <w:tcW w:w="1380" w:type="dxa"/>
            <w:vAlign w:val="bottom"/>
            <w:tcBorders>
              <w:bottom w:val="single" w:sz="8" w:color="A8A9AC"/>
            </w:tcBorders>
          </w:tcPr>
          <w:p>
            <w:pPr>
              <w:spacing w:after="0"/>
              <w:rPr>
                <w:sz w:val="16"/>
                <w:szCs w:val="16"/>
                <w:color w:val="auto"/>
              </w:rPr>
            </w:pPr>
          </w:p>
        </w:tc>
        <w:tc>
          <w:tcPr>
            <w:tcW w:w="180" w:type="dxa"/>
            <w:vAlign w:val="bottom"/>
            <w:tcBorders>
              <w:bottom w:val="single" w:sz="8" w:color="A8A9AC"/>
            </w:tcBorders>
          </w:tcPr>
          <w:p>
            <w:pPr>
              <w:spacing w:after="0"/>
              <w:rPr>
                <w:sz w:val="16"/>
                <w:szCs w:val="16"/>
                <w:color w:val="auto"/>
              </w:rPr>
            </w:pPr>
          </w:p>
        </w:tc>
        <w:tc>
          <w:tcPr>
            <w:tcW w:w="820" w:type="dxa"/>
            <w:vAlign w:val="bottom"/>
            <w:tcBorders>
              <w:bottom w:val="single" w:sz="8" w:color="A8A9AC"/>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80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3/1/2025</w:t>
            </w:r>
          </w:p>
        </w:tc>
        <w:tc>
          <w:tcPr>
            <w:tcW w:w="40" w:type="dxa"/>
            <w:vAlign w:val="bottom"/>
            <w:tcBorders>
              <w:bottom w:val="single" w:sz="8" w:color="A8A9AC"/>
            </w:tcBorders>
          </w:tcPr>
          <w:p>
            <w:pPr>
              <w:spacing w:after="0"/>
              <w:rPr>
                <w:sz w:val="14"/>
                <w:szCs w:val="14"/>
                <w:color w:val="auto"/>
              </w:rPr>
            </w:pPr>
          </w:p>
        </w:tc>
        <w:tc>
          <w:tcPr>
            <w:tcW w:w="100" w:type="dxa"/>
            <w:vAlign w:val="bottom"/>
            <w:tcBorders>
              <w:bottom w:val="single" w:sz="8" w:color="A8A9AC"/>
            </w:tcBorders>
          </w:tcPr>
          <w:p>
            <w:pPr>
              <w:spacing w:after="0"/>
              <w:rPr>
                <w:sz w:val="14"/>
                <w:szCs w:val="14"/>
                <w:color w:val="auto"/>
              </w:rPr>
            </w:pPr>
          </w:p>
        </w:tc>
        <w:tc>
          <w:tcPr>
            <w:tcW w:w="940" w:type="dxa"/>
            <w:vAlign w:val="bottom"/>
            <w:tcBorders>
              <w:bottom w:val="single" w:sz="8" w:color="A8A9AC"/>
            </w:tcBorders>
          </w:tcPr>
          <w:p>
            <w:pPr>
              <w:spacing w:after="0"/>
              <w:rPr>
                <w:sz w:val="14"/>
                <w:szCs w:val="14"/>
                <w:color w:val="auto"/>
              </w:rPr>
            </w:pPr>
          </w:p>
        </w:tc>
        <w:tc>
          <w:tcPr>
            <w:tcW w:w="280" w:type="dxa"/>
            <w:vAlign w:val="bottom"/>
            <w:tcBorders>
              <w:bottom w:val="single" w:sz="8" w:color="A8A9AC"/>
            </w:tcBorders>
          </w:tcPr>
          <w:p>
            <w:pPr>
              <w:spacing w:after="0"/>
              <w:rPr>
                <w:sz w:val="14"/>
                <w:szCs w:val="14"/>
                <w:color w:val="auto"/>
              </w:rPr>
            </w:pPr>
          </w:p>
        </w:tc>
        <w:tc>
          <w:tcPr>
            <w:tcW w:w="860" w:type="dxa"/>
            <w:vAlign w:val="bottom"/>
            <w:tcBorders>
              <w:bottom w:val="single" w:sz="8" w:color="A8A9AC"/>
            </w:tcBorders>
          </w:tcPr>
          <w:p>
            <w:pPr>
              <w:spacing w:after="0"/>
              <w:rPr>
                <w:sz w:val="14"/>
                <w:szCs w:val="14"/>
                <w:color w:val="auto"/>
              </w:rPr>
            </w:pPr>
          </w:p>
        </w:tc>
        <w:tc>
          <w:tcPr>
            <w:tcW w:w="280" w:type="dxa"/>
            <w:vAlign w:val="bottom"/>
            <w:tcBorders>
              <w:bottom w:val="single" w:sz="8" w:color="A8A9AC"/>
            </w:tcBorders>
          </w:tcPr>
          <w:p>
            <w:pPr>
              <w:spacing w:after="0"/>
              <w:rPr>
                <w:sz w:val="14"/>
                <w:szCs w:val="14"/>
                <w:color w:val="auto"/>
              </w:rPr>
            </w:pPr>
          </w:p>
        </w:tc>
        <w:tc>
          <w:tcPr>
            <w:tcW w:w="720" w:type="dxa"/>
            <w:vAlign w:val="bottom"/>
            <w:tcBorders>
              <w:bottom w:val="single" w:sz="8" w:color="A8A9AC"/>
            </w:tcBorders>
          </w:tcPr>
          <w:p>
            <w:pPr>
              <w:spacing w:after="0"/>
              <w:rPr>
                <w:sz w:val="14"/>
                <w:szCs w:val="14"/>
                <w:color w:val="auto"/>
              </w:rPr>
            </w:pPr>
          </w:p>
        </w:tc>
        <w:tc>
          <w:tcPr>
            <w:tcW w:w="160" w:type="dxa"/>
            <w:vAlign w:val="bottom"/>
            <w:tcBorders>
              <w:bottom w:val="single" w:sz="8" w:color="A8A9AC"/>
            </w:tcBorders>
          </w:tcPr>
          <w:p>
            <w:pPr>
              <w:spacing w:after="0"/>
              <w:rPr>
                <w:sz w:val="14"/>
                <w:szCs w:val="14"/>
                <w:color w:val="auto"/>
              </w:rPr>
            </w:pPr>
          </w:p>
        </w:tc>
        <w:tc>
          <w:tcPr>
            <w:tcW w:w="104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25,282</w:t>
            </w:r>
          </w:p>
        </w:tc>
        <w:tc>
          <w:tcPr>
            <w:tcW w:w="900" w:type="dxa"/>
            <w:vAlign w:val="bottom"/>
            <w:tcBorders>
              <w:bottom w:val="single" w:sz="8" w:color="A8A9AC"/>
            </w:tcBorders>
          </w:tcPr>
          <w:p>
            <w:pPr>
              <w:jc w:val="right"/>
              <w:ind w:right="144"/>
              <w:spacing w:after="0" w:line="169" w:lineRule="exact"/>
              <w:rPr>
                <w:sz w:val="20"/>
                <w:szCs w:val="20"/>
                <w:color w:val="auto"/>
              </w:rPr>
            </w:pPr>
            <w:r>
              <w:rPr>
                <w:rFonts w:ascii="Arial" w:cs="Arial" w:eastAsia="Arial" w:hAnsi="Arial"/>
                <w:sz w:val="15"/>
                <w:szCs w:val="15"/>
                <w:color w:val="auto"/>
              </w:rPr>
              <w:t>50,564</w:t>
            </w:r>
          </w:p>
        </w:tc>
        <w:tc>
          <w:tcPr>
            <w:tcW w:w="90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126,410</w:t>
            </w:r>
          </w:p>
        </w:tc>
        <w:tc>
          <w:tcPr>
            <w:tcW w:w="80" w:type="dxa"/>
            <w:vAlign w:val="bottom"/>
            <w:tcBorders>
              <w:bottom w:val="single" w:sz="8" w:color="A8A9AC"/>
            </w:tcBorders>
          </w:tcPr>
          <w:p>
            <w:pPr>
              <w:spacing w:after="0"/>
              <w:rPr>
                <w:sz w:val="14"/>
                <w:szCs w:val="14"/>
                <w:color w:val="auto"/>
              </w:rPr>
            </w:pPr>
          </w:p>
        </w:tc>
        <w:tc>
          <w:tcPr>
            <w:tcW w:w="1380" w:type="dxa"/>
            <w:vAlign w:val="bottom"/>
            <w:tcBorders>
              <w:bottom w:val="single" w:sz="8" w:color="A8A9AC"/>
            </w:tcBorders>
          </w:tcPr>
          <w:p>
            <w:pPr>
              <w:spacing w:after="0"/>
              <w:rPr>
                <w:sz w:val="14"/>
                <w:szCs w:val="14"/>
                <w:color w:val="auto"/>
              </w:rPr>
            </w:pP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w w:val="98"/>
              </w:rPr>
              <w:t>11,242,400</w:t>
            </w:r>
          </w:p>
        </w:tc>
        <w:tc>
          <w:tcPr>
            <w:tcW w:w="0" w:type="dxa"/>
            <w:vAlign w:val="bottom"/>
          </w:tcPr>
          <w:p>
            <w:pPr>
              <w:spacing w:after="0"/>
              <w:rPr>
                <w:sz w:val="1"/>
                <w:szCs w:val="1"/>
                <w:color w:val="auto"/>
              </w:rPr>
            </w:pPr>
          </w:p>
        </w:tc>
      </w:tr>
      <w:tr>
        <w:trPr>
          <w:trHeight w:val="169"/>
        </w:trPr>
        <w:tc>
          <w:tcPr>
            <w:tcW w:w="1760" w:type="dxa"/>
            <w:vAlign w:val="bottom"/>
            <w:tcBorders>
              <w:bottom w:val="single" w:sz="8" w:color="A26F2A"/>
            </w:tcBorders>
          </w:tcPr>
          <w:p>
            <w:pPr>
              <w:spacing w:after="0"/>
              <w:rPr>
                <w:sz w:val="14"/>
                <w:szCs w:val="14"/>
                <w:color w:val="auto"/>
              </w:rPr>
            </w:pPr>
          </w:p>
        </w:tc>
        <w:tc>
          <w:tcPr>
            <w:tcW w:w="80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3/1/2025</w:t>
            </w:r>
          </w:p>
        </w:tc>
        <w:tc>
          <w:tcPr>
            <w:tcW w:w="40" w:type="dxa"/>
            <w:vAlign w:val="bottom"/>
            <w:tcBorders>
              <w:bottom w:val="single" w:sz="8" w:color="A26F2A"/>
            </w:tcBorders>
          </w:tcPr>
          <w:p>
            <w:pPr>
              <w:spacing w:after="0"/>
              <w:rPr>
                <w:sz w:val="14"/>
                <w:szCs w:val="14"/>
                <w:color w:val="auto"/>
              </w:rPr>
            </w:pPr>
          </w:p>
        </w:tc>
        <w:tc>
          <w:tcPr>
            <w:tcW w:w="100" w:type="dxa"/>
            <w:vAlign w:val="bottom"/>
            <w:tcBorders>
              <w:bottom w:val="single" w:sz="8" w:color="A26F2A"/>
            </w:tcBorders>
          </w:tcPr>
          <w:p>
            <w:pPr>
              <w:spacing w:after="0"/>
              <w:rPr>
                <w:sz w:val="14"/>
                <w:szCs w:val="14"/>
                <w:color w:val="auto"/>
              </w:rPr>
            </w:pPr>
          </w:p>
        </w:tc>
        <w:tc>
          <w:tcPr>
            <w:tcW w:w="940" w:type="dxa"/>
            <w:vAlign w:val="bottom"/>
            <w:tcBorders>
              <w:bottom w:val="single" w:sz="8" w:color="A26F2A"/>
            </w:tcBorders>
          </w:tcPr>
          <w:p>
            <w:pPr>
              <w:spacing w:after="0"/>
              <w:rPr>
                <w:sz w:val="14"/>
                <w:szCs w:val="14"/>
                <w:color w:val="auto"/>
              </w:rPr>
            </w:pPr>
          </w:p>
        </w:tc>
        <w:tc>
          <w:tcPr>
            <w:tcW w:w="280" w:type="dxa"/>
            <w:vAlign w:val="bottom"/>
            <w:tcBorders>
              <w:bottom w:val="single" w:sz="8" w:color="A26F2A"/>
            </w:tcBorders>
          </w:tcPr>
          <w:p>
            <w:pPr>
              <w:spacing w:after="0"/>
              <w:rPr>
                <w:sz w:val="14"/>
                <w:szCs w:val="14"/>
                <w:color w:val="auto"/>
              </w:rPr>
            </w:pPr>
          </w:p>
        </w:tc>
        <w:tc>
          <w:tcPr>
            <w:tcW w:w="860" w:type="dxa"/>
            <w:vAlign w:val="bottom"/>
            <w:tcBorders>
              <w:bottom w:val="single" w:sz="8" w:color="A26F2A"/>
            </w:tcBorders>
          </w:tcPr>
          <w:p>
            <w:pPr>
              <w:spacing w:after="0"/>
              <w:rPr>
                <w:sz w:val="14"/>
                <w:szCs w:val="14"/>
                <w:color w:val="auto"/>
              </w:rPr>
            </w:pPr>
          </w:p>
        </w:tc>
        <w:tc>
          <w:tcPr>
            <w:tcW w:w="280" w:type="dxa"/>
            <w:vAlign w:val="bottom"/>
            <w:tcBorders>
              <w:bottom w:val="single" w:sz="8" w:color="A26F2A"/>
            </w:tcBorders>
          </w:tcPr>
          <w:p>
            <w:pPr>
              <w:spacing w:after="0"/>
              <w:rPr>
                <w:sz w:val="14"/>
                <w:szCs w:val="14"/>
                <w:color w:val="auto"/>
              </w:rPr>
            </w:pPr>
          </w:p>
        </w:tc>
        <w:tc>
          <w:tcPr>
            <w:tcW w:w="720" w:type="dxa"/>
            <w:vAlign w:val="bottom"/>
            <w:tcBorders>
              <w:bottom w:val="single" w:sz="8" w:color="A26F2A"/>
            </w:tcBorders>
          </w:tcPr>
          <w:p>
            <w:pPr>
              <w:spacing w:after="0"/>
              <w:rPr>
                <w:sz w:val="14"/>
                <w:szCs w:val="14"/>
                <w:color w:val="auto"/>
              </w:rPr>
            </w:pPr>
          </w:p>
        </w:tc>
        <w:tc>
          <w:tcPr>
            <w:tcW w:w="160" w:type="dxa"/>
            <w:vAlign w:val="bottom"/>
            <w:tcBorders>
              <w:bottom w:val="single" w:sz="8" w:color="A26F2A"/>
            </w:tcBorders>
          </w:tcPr>
          <w:p>
            <w:pPr>
              <w:spacing w:after="0"/>
              <w:rPr>
                <w:sz w:val="14"/>
                <w:szCs w:val="14"/>
                <w:color w:val="auto"/>
              </w:rPr>
            </w:pPr>
          </w:p>
        </w:tc>
        <w:tc>
          <w:tcPr>
            <w:tcW w:w="1040" w:type="dxa"/>
            <w:vAlign w:val="bottom"/>
            <w:tcBorders>
              <w:bottom w:val="single" w:sz="8" w:color="A26F2A"/>
            </w:tcBorders>
          </w:tcPr>
          <w:p>
            <w:pPr>
              <w:spacing w:after="0"/>
              <w:rPr>
                <w:sz w:val="14"/>
                <w:szCs w:val="14"/>
                <w:color w:val="auto"/>
              </w:rPr>
            </w:pPr>
          </w:p>
        </w:tc>
        <w:tc>
          <w:tcPr>
            <w:tcW w:w="900" w:type="dxa"/>
            <w:vAlign w:val="bottom"/>
            <w:tcBorders>
              <w:bottom w:val="single" w:sz="8" w:color="A26F2A"/>
            </w:tcBorders>
          </w:tcPr>
          <w:p>
            <w:pPr>
              <w:spacing w:after="0"/>
              <w:rPr>
                <w:sz w:val="14"/>
                <w:szCs w:val="14"/>
                <w:color w:val="auto"/>
              </w:rPr>
            </w:pPr>
          </w:p>
        </w:tc>
        <w:tc>
          <w:tcPr>
            <w:tcW w:w="900" w:type="dxa"/>
            <w:vAlign w:val="bottom"/>
            <w:tcBorders>
              <w:bottom w:val="single" w:sz="8" w:color="A26F2A"/>
            </w:tcBorders>
          </w:tcPr>
          <w:p>
            <w:pPr>
              <w:spacing w:after="0"/>
              <w:rPr>
                <w:sz w:val="14"/>
                <w:szCs w:val="14"/>
                <w:color w:val="auto"/>
              </w:rPr>
            </w:pPr>
          </w:p>
        </w:tc>
        <w:tc>
          <w:tcPr>
            <w:tcW w:w="80" w:type="dxa"/>
            <w:vAlign w:val="bottom"/>
            <w:tcBorders>
              <w:bottom w:val="single" w:sz="8" w:color="A26F2A"/>
            </w:tcBorders>
          </w:tcPr>
          <w:p>
            <w:pPr>
              <w:spacing w:after="0"/>
              <w:rPr>
                <w:sz w:val="14"/>
                <w:szCs w:val="14"/>
                <w:color w:val="auto"/>
              </w:rPr>
            </w:pPr>
          </w:p>
        </w:tc>
        <w:tc>
          <w:tcPr>
            <w:tcW w:w="1380" w:type="dxa"/>
            <w:vAlign w:val="bottom"/>
            <w:tcBorders>
              <w:bottom w:val="single" w:sz="8" w:color="A26F2A"/>
            </w:tcBorders>
          </w:tcPr>
          <w:p>
            <w:pPr>
              <w:jc w:val="right"/>
              <w:ind w:right="25"/>
              <w:spacing w:after="0" w:line="169" w:lineRule="exact"/>
              <w:rPr>
                <w:sz w:val="20"/>
                <w:szCs w:val="20"/>
                <w:color w:val="auto"/>
              </w:rPr>
            </w:pPr>
            <w:r>
              <w:rPr>
                <w:rFonts w:ascii="Arial" w:cs="Arial" w:eastAsia="Arial" w:hAnsi="Arial"/>
                <w:sz w:val="15"/>
                <w:szCs w:val="15"/>
                <w:color w:val="auto"/>
              </w:rPr>
              <w:t>33,709</w:t>
            </w:r>
          </w:p>
        </w:tc>
        <w:tc>
          <w:tcPr>
            <w:tcW w:w="1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5,358,383</w:t>
            </w:r>
          </w:p>
        </w:tc>
        <w:tc>
          <w:tcPr>
            <w:tcW w:w="0" w:type="dxa"/>
            <w:vAlign w:val="bottom"/>
          </w:tcPr>
          <w:p>
            <w:pPr>
              <w:spacing w:after="0"/>
              <w:rPr>
                <w:sz w:val="1"/>
                <w:szCs w:val="1"/>
                <w:color w:val="auto"/>
              </w:rPr>
            </w:pPr>
          </w:p>
        </w:tc>
      </w:tr>
      <w:tr>
        <w:trPr>
          <w:trHeight w:val="182"/>
        </w:trPr>
        <w:tc>
          <w:tcPr>
            <w:tcW w:w="1760" w:type="dxa"/>
            <w:vAlign w:val="bottom"/>
          </w:tcPr>
          <w:p>
            <w:pPr>
              <w:ind w:left="60"/>
              <w:spacing w:after="0"/>
              <w:rPr>
                <w:sz w:val="20"/>
                <w:szCs w:val="20"/>
                <w:color w:val="auto"/>
              </w:rPr>
            </w:pPr>
            <w:r>
              <w:rPr>
                <w:rFonts w:ascii="Arial" w:cs="Arial" w:eastAsia="Arial" w:hAnsi="Arial"/>
                <w:sz w:val="15"/>
                <w:szCs w:val="15"/>
                <w:b w:val="1"/>
                <w:bCs w:val="1"/>
                <w:color w:val="auto"/>
              </w:rPr>
              <w:t>Kaes Van’t Hof</w:t>
            </w:r>
          </w:p>
        </w:tc>
        <w:tc>
          <w:tcPr>
            <w:tcW w:w="80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3/1/2025</w:t>
            </w:r>
          </w:p>
        </w:tc>
        <w:tc>
          <w:tcPr>
            <w:tcW w:w="140" w:type="dxa"/>
            <w:vAlign w:val="bottom"/>
            <w:tcBorders>
              <w:bottom w:val="single" w:sz="8" w:color="A8A9AC"/>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8A9AC"/>
            </w:tcBorders>
          </w:tcPr>
          <w:p>
            <w:pPr>
              <w:jc w:val="right"/>
              <w:ind w:right="105"/>
              <w:spacing w:after="0"/>
              <w:rPr>
                <w:sz w:val="20"/>
                <w:szCs w:val="20"/>
                <w:color w:val="auto"/>
              </w:rPr>
            </w:pPr>
            <w:r>
              <w:rPr>
                <w:rFonts w:ascii="Arial" w:cs="Arial" w:eastAsia="Arial" w:hAnsi="Arial"/>
                <w:sz w:val="15"/>
                <w:szCs w:val="15"/>
                <w:color w:val="auto"/>
              </w:rPr>
              <w:t>832,125</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w w:val="98"/>
              </w:rPr>
              <w:t>1,664,250</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gridSpan w:val="2"/>
          </w:tcPr>
          <w:p>
            <w:pPr>
              <w:jc w:val="right"/>
              <w:ind w:right="160"/>
              <w:spacing w:after="0"/>
              <w:rPr>
                <w:sz w:val="20"/>
                <w:szCs w:val="20"/>
                <w:color w:val="auto"/>
              </w:rPr>
            </w:pPr>
            <w:r>
              <w:rPr>
                <w:rFonts w:ascii="Arial" w:cs="Arial" w:eastAsia="Arial" w:hAnsi="Arial"/>
                <w:sz w:val="15"/>
                <w:szCs w:val="15"/>
                <w:color w:val="auto"/>
              </w:rPr>
              <w:t>3,328,500</w:t>
            </w:r>
          </w:p>
        </w:tc>
        <w:tc>
          <w:tcPr>
            <w:tcW w:w="1040" w:type="dxa"/>
            <w:vAlign w:val="bottom"/>
            <w:tcBorders>
              <w:bottom w:val="single" w:sz="8" w:color="A8A9AC"/>
            </w:tcBorders>
          </w:tcPr>
          <w:p>
            <w:pPr>
              <w:spacing w:after="0"/>
              <w:rPr>
                <w:sz w:val="15"/>
                <w:szCs w:val="15"/>
                <w:color w:val="auto"/>
              </w:rPr>
            </w:pPr>
          </w:p>
        </w:tc>
        <w:tc>
          <w:tcPr>
            <w:tcW w:w="900" w:type="dxa"/>
            <w:vAlign w:val="bottom"/>
            <w:tcBorders>
              <w:bottom w:val="single" w:sz="8" w:color="A8A9AC"/>
            </w:tcBorders>
          </w:tcPr>
          <w:p>
            <w:pPr>
              <w:spacing w:after="0"/>
              <w:rPr>
                <w:sz w:val="15"/>
                <w:szCs w:val="15"/>
                <w:color w:val="auto"/>
              </w:rPr>
            </w:pPr>
          </w:p>
        </w:tc>
        <w:tc>
          <w:tcPr>
            <w:tcW w:w="900" w:type="dxa"/>
            <w:vAlign w:val="bottom"/>
            <w:tcBorders>
              <w:bottom w:val="single" w:sz="8" w:color="A8A9AC"/>
            </w:tcBorders>
          </w:tcPr>
          <w:p>
            <w:pPr>
              <w:spacing w:after="0"/>
              <w:rPr>
                <w:sz w:val="15"/>
                <w:szCs w:val="15"/>
                <w:color w:val="auto"/>
              </w:rPr>
            </w:pPr>
          </w:p>
        </w:tc>
        <w:tc>
          <w:tcPr>
            <w:tcW w:w="80" w:type="dxa"/>
            <w:vAlign w:val="bottom"/>
            <w:tcBorders>
              <w:bottom w:val="single" w:sz="8" w:color="A8A9AC"/>
            </w:tcBorders>
          </w:tcPr>
          <w:p>
            <w:pPr>
              <w:spacing w:after="0"/>
              <w:rPr>
                <w:sz w:val="15"/>
                <w:szCs w:val="15"/>
                <w:color w:val="auto"/>
              </w:rPr>
            </w:pPr>
          </w:p>
        </w:tc>
        <w:tc>
          <w:tcPr>
            <w:tcW w:w="1380" w:type="dxa"/>
            <w:vAlign w:val="bottom"/>
            <w:tcBorders>
              <w:bottom w:val="single" w:sz="8" w:color="A8A9AC"/>
            </w:tcBorders>
          </w:tcPr>
          <w:p>
            <w:pPr>
              <w:spacing w:after="0"/>
              <w:rPr>
                <w:sz w:val="15"/>
                <w:szCs w:val="15"/>
                <w:color w:val="auto"/>
              </w:rPr>
            </w:pPr>
          </w:p>
        </w:tc>
        <w:tc>
          <w:tcPr>
            <w:tcW w:w="180" w:type="dxa"/>
            <w:vAlign w:val="bottom"/>
            <w:tcBorders>
              <w:bottom w:val="single" w:sz="8" w:color="A8A9AC"/>
            </w:tcBorders>
          </w:tcPr>
          <w:p>
            <w:pPr>
              <w:spacing w:after="0"/>
              <w:rPr>
                <w:sz w:val="15"/>
                <w:szCs w:val="15"/>
                <w:color w:val="auto"/>
              </w:rPr>
            </w:pPr>
          </w:p>
        </w:tc>
        <w:tc>
          <w:tcPr>
            <w:tcW w:w="820" w:type="dxa"/>
            <w:vAlign w:val="bottom"/>
            <w:tcBorders>
              <w:bottom w:val="single" w:sz="8" w:color="A8A9A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80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3/1/2025</w:t>
            </w:r>
          </w:p>
        </w:tc>
        <w:tc>
          <w:tcPr>
            <w:tcW w:w="40" w:type="dxa"/>
            <w:vAlign w:val="bottom"/>
            <w:tcBorders>
              <w:bottom w:val="single" w:sz="8" w:color="A8A9AC"/>
            </w:tcBorders>
          </w:tcPr>
          <w:p>
            <w:pPr>
              <w:spacing w:after="0"/>
              <w:rPr>
                <w:sz w:val="14"/>
                <w:szCs w:val="14"/>
                <w:color w:val="auto"/>
              </w:rPr>
            </w:pPr>
          </w:p>
        </w:tc>
        <w:tc>
          <w:tcPr>
            <w:tcW w:w="100" w:type="dxa"/>
            <w:vAlign w:val="bottom"/>
            <w:tcBorders>
              <w:bottom w:val="single" w:sz="8" w:color="A8A9AC"/>
            </w:tcBorders>
          </w:tcPr>
          <w:p>
            <w:pPr>
              <w:spacing w:after="0"/>
              <w:rPr>
                <w:sz w:val="14"/>
                <w:szCs w:val="14"/>
                <w:color w:val="auto"/>
              </w:rPr>
            </w:pPr>
          </w:p>
        </w:tc>
        <w:tc>
          <w:tcPr>
            <w:tcW w:w="940" w:type="dxa"/>
            <w:vAlign w:val="bottom"/>
            <w:tcBorders>
              <w:bottom w:val="single" w:sz="8" w:color="A8A9AC"/>
            </w:tcBorders>
          </w:tcPr>
          <w:p>
            <w:pPr>
              <w:spacing w:after="0"/>
              <w:rPr>
                <w:sz w:val="14"/>
                <w:szCs w:val="14"/>
                <w:color w:val="auto"/>
              </w:rPr>
            </w:pPr>
          </w:p>
        </w:tc>
        <w:tc>
          <w:tcPr>
            <w:tcW w:w="280" w:type="dxa"/>
            <w:vAlign w:val="bottom"/>
            <w:tcBorders>
              <w:bottom w:val="single" w:sz="8" w:color="A8A9AC"/>
            </w:tcBorders>
          </w:tcPr>
          <w:p>
            <w:pPr>
              <w:spacing w:after="0"/>
              <w:rPr>
                <w:sz w:val="14"/>
                <w:szCs w:val="14"/>
                <w:color w:val="auto"/>
              </w:rPr>
            </w:pPr>
          </w:p>
        </w:tc>
        <w:tc>
          <w:tcPr>
            <w:tcW w:w="860" w:type="dxa"/>
            <w:vAlign w:val="bottom"/>
            <w:tcBorders>
              <w:bottom w:val="single" w:sz="8" w:color="A8A9AC"/>
            </w:tcBorders>
          </w:tcPr>
          <w:p>
            <w:pPr>
              <w:spacing w:after="0"/>
              <w:rPr>
                <w:sz w:val="14"/>
                <w:szCs w:val="14"/>
                <w:color w:val="auto"/>
              </w:rPr>
            </w:pPr>
          </w:p>
        </w:tc>
        <w:tc>
          <w:tcPr>
            <w:tcW w:w="280" w:type="dxa"/>
            <w:vAlign w:val="bottom"/>
            <w:tcBorders>
              <w:bottom w:val="single" w:sz="8" w:color="A8A9AC"/>
            </w:tcBorders>
          </w:tcPr>
          <w:p>
            <w:pPr>
              <w:spacing w:after="0"/>
              <w:rPr>
                <w:sz w:val="14"/>
                <w:szCs w:val="14"/>
                <w:color w:val="auto"/>
              </w:rPr>
            </w:pPr>
          </w:p>
        </w:tc>
        <w:tc>
          <w:tcPr>
            <w:tcW w:w="720" w:type="dxa"/>
            <w:vAlign w:val="bottom"/>
            <w:tcBorders>
              <w:bottom w:val="single" w:sz="8" w:color="A8A9AC"/>
            </w:tcBorders>
          </w:tcPr>
          <w:p>
            <w:pPr>
              <w:spacing w:after="0"/>
              <w:rPr>
                <w:sz w:val="14"/>
                <w:szCs w:val="14"/>
                <w:color w:val="auto"/>
              </w:rPr>
            </w:pPr>
          </w:p>
        </w:tc>
        <w:tc>
          <w:tcPr>
            <w:tcW w:w="160" w:type="dxa"/>
            <w:vAlign w:val="bottom"/>
            <w:tcBorders>
              <w:bottom w:val="single" w:sz="8" w:color="A8A9AC"/>
            </w:tcBorders>
          </w:tcPr>
          <w:p>
            <w:pPr>
              <w:spacing w:after="0"/>
              <w:rPr>
                <w:sz w:val="14"/>
                <w:szCs w:val="14"/>
                <w:color w:val="auto"/>
              </w:rPr>
            </w:pPr>
          </w:p>
        </w:tc>
        <w:tc>
          <w:tcPr>
            <w:tcW w:w="104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8,266</w:t>
            </w:r>
          </w:p>
        </w:tc>
        <w:tc>
          <w:tcPr>
            <w:tcW w:w="900" w:type="dxa"/>
            <w:vAlign w:val="bottom"/>
            <w:tcBorders>
              <w:bottom w:val="single" w:sz="8" w:color="A8A9AC"/>
            </w:tcBorders>
          </w:tcPr>
          <w:p>
            <w:pPr>
              <w:jc w:val="right"/>
              <w:ind w:right="144"/>
              <w:spacing w:after="0" w:line="169" w:lineRule="exact"/>
              <w:rPr>
                <w:sz w:val="20"/>
                <w:szCs w:val="20"/>
                <w:color w:val="auto"/>
              </w:rPr>
            </w:pPr>
            <w:r>
              <w:rPr>
                <w:rFonts w:ascii="Arial" w:cs="Arial" w:eastAsia="Arial" w:hAnsi="Arial"/>
                <w:sz w:val="15"/>
                <w:szCs w:val="15"/>
                <w:color w:val="auto"/>
              </w:rPr>
              <w:t>16,531</w:t>
            </w:r>
          </w:p>
        </w:tc>
        <w:tc>
          <w:tcPr>
            <w:tcW w:w="90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41,328</w:t>
            </w:r>
          </w:p>
        </w:tc>
        <w:tc>
          <w:tcPr>
            <w:tcW w:w="80" w:type="dxa"/>
            <w:vAlign w:val="bottom"/>
            <w:tcBorders>
              <w:bottom w:val="single" w:sz="8" w:color="A8A9AC"/>
            </w:tcBorders>
          </w:tcPr>
          <w:p>
            <w:pPr>
              <w:spacing w:after="0"/>
              <w:rPr>
                <w:sz w:val="14"/>
                <w:szCs w:val="14"/>
                <w:color w:val="auto"/>
              </w:rPr>
            </w:pPr>
          </w:p>
        </w:tc>
        <w:tc>
          <w:tcPr>
            <w:tcW w:w="1380" w:type="dxa"/>
            <w:vAlign w:val="bottom"/>
            <w:tcBorders>
              <w:bottom w:val="single" w:sz="8" w:color="A8A9AC"/>
            </w:tcBorders>
          </w:tcPr>
          <w:p>
            <w:pPr>
              <w:spacing w:after="0"/>
              <w:rPr>
                <w:sz w:val="14"/>
                <w:szCs w:val="14"/>
                <w:color w:val="auto"/>
              </w:rPr>
            </w:pP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3,675,503</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80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3/1/2025</w:t>
            </w:r>
          </w:p>
        </w:tc>
        <w:tc>
          <w:tcPr>
            <w:tcW w:w="40" w:type="dxa"/>
            <w:vAlign w:val="bottom"/>
            <w:tcBorders>
              <w:bottom w:val="single" w:sz="8" w:color="A8A9AC"/>
            </w:tcBorders>
          </w:tcPr>
          <w:p>
            <w:pPr>
              <w:spacing w:after="0"/>
              <w:rPr>
                <w:sz w:val="14"/>
                <w:szCs w:val="14"/>
                <w:color w:val="auto"/>
              </w:rPr>
            </w:pPr>
          </w:p>
        </w:tc>
        <w:tc>
          <w:tcPr>
            <w:tcW w:w="100" w:type="dxa"/>
            <w:vAlign w:val="bottom"/>
            <w:tcBorders>
              <w:bottom w:val="single" w:sz="8" w:color="A8A9AC"/>
            </w:tcBorders>
          </w:tcPr>
          <w:p>
            <w:pPr>
              <w:spacing w:after="0"/>
              <w:rPr>
                <w:sz w:val="14"/>
                <w:szCs w:val="14"/>
                <w:color w:val="auto"/>
              </w:rPr>
            </w:pPr>
          </w:p>
        </w:tc>
        <w:tc>
          <w:tcPr>
            <w:tcW w:w="940" w:type="dxa"/>
            <w:vAlign w:val="bottom"/>
            <w:tcBorders>
              <w:bottom w:val="single" w:sz="8" w:color="A8A9AC"/>
            </w:tcBorders>
          </w:tcPr>
          <w:p>
            <w:pPr>
              <w:spacing w:after="0"/>
              <w:rPr>
                <w:sz w:val="14"/>
                <w:szCs w:val="14"/>
                <w:color w:val="auto"/>
              </w:rPr>
            </w:pPr>
          </w:p>
        </w:tc>
        <w:tc>
          <w:tcPr>
            <w:tcW w:w="280" w:type="dxa"/>
            <w:vAlign w:val="bottom"/>
            <w:tcBorders>
              <w:bottom w:val="single" w:sz="8" w:color="A8A9AC"/>
            </w:tcBorders>
          </w:tcPr>
          <w:p>
            <w:pPr>
              <w:spacing w:after="0"/>
              <w:rPr>
                <w:sz w:val="14"/>
                <w:szCs w:val="14"/>
                <w:color w:val="auto"/>
              </w:rPr>
            </w:pPr>
          </w:p>
        </w:tc>
        <w:tc>
          <w:tcPr>
            <w:tcW w:w="860" w:type="dxa"/>
            <w:vAlign w:val="bottom"/>
            <w:tcBorders>
              <w:bottom w:val="single" w:sz="8" w:color="A8A9AC"/>
            </w:tcBorders>
          </w:tcPr>
          <w:p>
            <w:pPr>
              <w:spacing w:after="0"/>
              <w:rPr>
                <w:sz w:val="14"/>
                <w:szCs w:val="14"/>
                <w:color w:val="auto"/>
              </w:rPr>
            </w:pPr>
          </w:p>
        </w:tc>
        <w:tc>
          <w:tcPr>
            <w:tcW w:w="280" w:type="dxa"/>
            <w:vAlign w:val="bottom"/>
            <w:tcBorders>
              <w:bottom w:val="single" w:sz="8" w:color="A8A9AC"/>
            </w:tcBorders>
          </w:tcPr>
          <w:p>
            <w:pPr>
              <w:spacing w:after="0"/>
              <w:rPr>
                <w:sz w:val="14"/>
                <w:szCs w:val="14"/>
                <w:color w:val="auto"/>
              </w:rPr>
            </w:pPr>
          </w:p>
        </w:tc>
        <w:tc>
          <w:tcPr>
            <w:tcW w:w="720" w:type="dxa"/>
            <w:vAlign w:val="bottom"/>
            <w:tcBorders>
              <w:bottom w:val="single" w:sz="8" w:color="A8A9AC"/>
            </w:tcBorders>
          </w:tcPr>
          <w:p>
            <w:pPr>
              <w:spacing w:after="0"/>
              <w:rPr>
                <w:sz w:val="14"/>
                <w:szCs w:val="14"/>
                <w:color w:val="auto"/>
              </w:rPr>
            </w:pPr>
          </w:p>
        </w:tc>
        <w:tc>
          <w:tcPr>
            <w:tcW w:w="160" w:type="dxa"/>
            <w:vAlign w:val="bottom"/>
            <w:tcBorders>
              <w:bottom w:val="single" w:sz="8" w:color="A8A9AC"/>
            </w:tcBorders>
          </w:tcPr>
          <w:p>
            <w:pPr>
              <w:spacing w:after="0"/>
              <w:rPr>
                <w:sz w:val="14"/>
                <w:szCs w:val="14"/>
                <w:color w:val="auto"/>
              </w:rPr>
            </w:pPr>
          </w:p>
        </w:tc>
        <w:tc>
          <w:tcPr>
            <w:tcW w:w="10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spacing w:after="0"/>
              <w:rPr>
                <w:sz w:val="14"/>
                <w:szCs w:val="14"/>
                <w:color w:val="auto"/>
              </w:rPr>
            </w:pPr>
          </w:p>
        </w:tc>
        <w:tc>
          <w:tcPr>
            <w:tcW w:w="80" w:type="dxa"/>
            <w:vAlign w:val="bottom"/>
            <w:tcBorders>
              <w:bottom w:val="single" w:sz="8" w:color="A8A9AC"/>
            </w:tcBorders>
          </w:tcPr>
          <w:p>
            <w:pPr>
              <w:spacing w:after="0"/>
              <w:rPr>
                <w:sz w:val="14"/>
                <w:szCs w:val="14"/>
                <w:color w:val="auto"/>
              </w:rPr>
            </w:pPr>
          </w:p>
        </w:tc>
        <w:tc>
          <w:tcPr>
            <w:tcW w:w="1380" w:type="dxa"/>
            <w:vAlign w:val="bottom"/>
            <w:tcBorders>
              <w:bottom w:val="single" w:sz="8" w:color="A8A9AC"/>
            </w:tcBorders>
          </w:tcPr>
          <w:p>
            <w:pPr>
              <w:jc w:val="right"/>
              <w:ind w:right="25"/>
              <w:spacing w:after="0" w:line="169" w:lineRule="exact"/>
              <w:rPr>
                <w:sz w:val="20"/>
                <w:szCs w:val="20"/>
                <w:color w:val="auto"/>
              </w:rPr>
            </w:pPr>
            <w:r>
              <w:rPr>
                <w:rFonts w:ascii="Arial" w:cs="Arial" w:eastAsia="Arial" w:hAnsi="Arial"/>
                <w:sz w:val="15"/>
                <w:szCs w:val="15"/>
                <w:color w:val="auto"/>
              </w:rPr>
              <w:t>11,020</w:t>
            </w: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1,751,739</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80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5/21/2025</w:t>
            </w:r>
          </w:p>
        </w:tc>
        <w:tc>
          <w:tcPr>
            <w:tcW w:w="40" w:type="dxa"/>
            <w:vAlign w:val="bottom"/>
            <w:tcBorders>
              <w:bottom w:val="single" w:sz="8" w:color="A8A9AC"/>
            </w:tcBorders>
          </w:tcPr>
          <w:p>
            <w:pPr>
              <w:spacing w:after="0"/>
              <w:rPr>
                <w:sz w:val="14"/>
                <w:szCs w:val="14"/>
                <w:color w:val="auto"/>
              </w:rPr>
            </w:pPr>
          </w:p>
        </w:tc>
        <w:tc>
          <w:tcPr>
            <w:tcW w:w="100" w:type="dxa"/>
            <w:vAlign w:val="bottom"/>
            <w:tcBorders>
              <w:bottom w:val="single" w:sz="8" w:color="A8A9AC"/>
            </w:tcBorders>
          </w:tcPr>
          <w:p>
            <w:pPr>
              <w:spacing w:after="0"/>
              <w:rPr>
                <w:sz w:val="14"/>
                <w:szCs w:val="14"/>
                <w:color w:val="auto"/>
              </w:rPr>
            </w:pPr>
          </w:p>
        </w:tc>
        <w:tc>
          <w:tcPr>
            <w:tcW w:w="940" w:type="dxa"/>
            <w:vAlign w:val="bottom"/>
            <w:tcBorders>
              <w:bottom w:val="single" w:sz="8" w:color="A8A9AC"/>
            </w:tcBorders>
          </w:tcPr>
          <w:p>
            <w:pPr>
              <w:spacing w:after="0"/>
              <w:rPr>
                <w:sz w:val="14"/>
                <w:szCs w:val="14"/>
                <w:color w:val="auto"/>
              </w:rPr>
            </w:pPr>
          </w:p>
        </w:tc>
        <w:tc>
          <w:tcPr>
            <w:tcW w:w="280" w:type="dxa"/>
            <w:vAlign w:val="bottom"/>
            <w:tcBorders>
              <w:bottom w:val="single" w:sz="8" w:color="A8A9AC"/>
            </w:tcBorders>
          </w:tcPr>
          <w:p>
            <w:pPr>
              <w:spacing w:after="0"/>
              <w:rPr>
                <w:sz w:val="14"/>
                <w:szCs w:val="14"/>
                <w:color w:val="auto"/>
              </w:rPr>
            </w:pPr>
          </w:p>
        </w:tc>
        <w:tc>
          <w:tcPr>
            <w:tcW w:w="860" w:type="dxa"/>
            <w:vAlign w:val="bottom"/>
            <w:tcBorders>
              <w:bottom w:val="single" w:sz="8" w:color="A8A9AC"/>
            </w:tcBorders>
          </w:tcPr>
          <w:p>
            <w:pPr>
              <w:spacing w:after="0"/>
              <w:rPr>
                <w:sz w:val="14"/>
                <w:szCs w:val="14"/>
                <w:color w:val="auto"/>
              </w:rPr>
            </w:pPr>
          </w:p>
        </w:tc>
        <w:tc>
          <w:tcPr>
            <w:tcW w:w="280" w:type="dxa"/>
            <w:vAlign w:val="bottom"/>
            <w:tcBorders>
              <w:bottom w:val="single" w:sz="8" w:color="A8A9AC"/>
            </w:tcBorders>
          </w:tcPr>
          <w:p>
            <w:pPr>
              <w:spacing w:after="0"/>
              <w:rPr>
                <w:sz w:val="14"/>
                <w:szCs w:val="14"/>
                <w:color w:val="auto"/>
              </w:rPr>
            </w:pPr>
          </w:p>
        </w:tc>
        <w:tc>
          <w:tcPr>
            <w:tcW w:w="720" w:type="dxa"/>
            <w:vAlign w:val="bottom"/>
            <w:tcBorders>
              <w:bottom w:val="single" w:sz="8" w:color="A8A9AC"/>
            </w:tcBorders>
          </w:tcPr>
          <w:p>
            <w:pPr>
              <w:spacing w:after="0"/>
              <w:rPr>
                <w:sz w:val="14"/>
                <w:szCs w:val="14"/>
                <w:color w:val="auto"/>
              </w:rPr>
            </w:pPr>
          </w:p>
        </w:tc>
        <w:tc>
          <w:tcPr>
            <w:tcW w:w="160" w:type="dxa"/>
            <w:vAlign w:val="bottom"/>
            <w:tcBorders>
              <w:bottom w:val="single" w:sz="8" w:color="A8A9AC"/>
            </w:tcBorders>
          </w:tcPr>
          <w:p>
            <w:pPr>
              <w:spacing w:after="0"/>
              <w:rPr>
                <w:sz w:val="14"/>
                <w:szCs w:val="14"/>
                <w:color w:val="auto"/>
              </w:rPr>
            </w:pPr>
          </w:p>
        </w:tc>
        <w:tc>
          <w:tcPr>
            <w:tcW w:w="104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7,441</w:t>
            </w:r>
          </w:p>
        </w:tc>
        <w:tc>
          <w:tcPr>
            <w:tcW w:w="900" w:type="dxa"/>
            <w:vAlign w:val="bottom"/>
            <w:tcBorders>
              <w:bottom w:val="single" w:sz="8" w:color="A8A9AC"/>
            </w:tcBorders>
          </w:tcPr>
          <w:p>
            <w:pPr>
              <w:jc w:val="right"/>
              <w:ind w:right="144"/>
              <w:spacing w:after="0" w:line="169" w:lineRule="exact"/>
              <w:rPr>
                <w:sz w:val="20"/>
                <w:szCs w:val="20"/>
                <w:color w:val="auto"/>
              </w:rPr>
            </w:pPr>
            <w:r>
              <w:rPr>
                <w:rFonts w:ascii="Arial" w:cs="Arial" w:eastAsia="Arial" w:hAnsi="Arial"/>
                <w:sz w:val="15"/>
                <w:szCs w:val="15"/>
                <w:color w:val="auto"/>
              </w:rPr>
              <w:t>14,881</w:t>
            </w:r>
          </w:p>
        </w:tc>
        <w:tc>
          <w:tcPr>
            <w:tcW w:w="90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37,203</w:t>
            </w:r>
          </w:p>
        </w:tc>
        <w:tc>
          <w:tcPr>
            <w:tcW w:w="80" w:type="dxa"/>
            <w:vAlign w:val="bottom"/>
            <w:tcBorders>
              <w:bottom w:val="single" w:sz="8" w:color="A8A9AC"/>
            </w:tcBorders>
          </w:tcPr>
          <w:p>
            <w:pPr>
              <w:spacing w:after="0"/>
              <w:rPr>
                <w:sz w:val="14"/>
                <w:szCs w:val="14"/>
                <w:color w:val="auto"/>
              </w:rPr>
            </w:pPr>
          </w:p>
        </w:tc>
        <w:tc>
          <w:tcPr>
            <w:tcW w:w="1380" w:type="dxa"/>
            <w:vAlign w:val="bottom"/>
            <w:tcBorders>
              <w:bottom w:val="single" w:sz="8" w:color="A8A9AC"/>
            </w:tcBorders>
          </w:tcPr>
          <w:p>
            <w:pPr>
              <w:spacing w:after="0"/>
              <w:rPr>
                <w:sz w:val="14"/>
                <w:szCs w:val="14"/>
                <w:color w:val="auto"/>
              </w:rPr>
            </w:pP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2,496,288</w:t>
            </w:r>
          </w:p>
        </w:tc>
        <w:tc>
          <w:tcPr>
            <w:tcW w:w="0" w:type="dxa"/>
            <w:vAlign w:val="bottom"/>
          </w:tcPr>
          <w:p>
            <w:pPr>
              <w:spacing w:after="0"/>
              <w:rPr>
                <w:sz w:val="1"/>
                <w:szCs w:val="1"/>
                <w:color w:val="auto"/>
              </w:rPr>
            </w:pPr>
          </w:p>
        </w:tc>
      </w:tr>
      <w:tr>
        <w:trPr>
          <w:trHeight w:val="169"/>
        </w:trPr>
        <w:tc>
          <w:tcPr>
            <w:tcW w:w="1760" w:type="dxa"/>
            <w:vAlign w:val="bottom"/>
            <w:tcBorders>
              <w:bottom w:val="single" w:sz="8" w:color="A26F2A"/>
            </w:tcBorders>
          </w:tcPr>
          <w:p>
            <w:pPr>
              <w:spacing w:after="0"/>
              <w:rPr>
                <w:sz w:val="14"/>
                <w:szCs w:val="14"/>
                <w:color w:val="auto"/>
              </w:rPr>
            </w:pPr>
          </w:p>
        </w:tc>
        <w:tc>
          <w:tcPr>
            <w:tcW w:w="80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5/21/2025</w:t>
            </w:r>
          </w:p>
        </w:tc>
        <w:tc>
          <w:tcPr>
            <w:tcW w:w="40" w:type="dxa"/>
            <w:vAlign w:val="bottom"/>
            <w:tcBorders>
              <w:bottom w:val="single" w:sz="8" w:color="A26F2A"/>
            </w:tcBorders>
          </w:tcPr>
          <w:p>
            <w:pPr>
              <w:spacing w:after="0"/>
              <w:rPr>
                <w:sz w:val="14"/>
                <w:szCs w:val="14"/>
                <w:color w:val="auto"/>
              </w:rPr>
            </w:pPr>
          </w:p>
        </w:tc>
        <w:tc>
          <w:tcPr>
            <w:tcW w:w="100" w:type="dxa"/>
            <w:vAlign w:val="bottom"/>
            <w:tcBorders>
              <w:bottom w:val="single" w:sz="8" w:color="A26F2A"/>
            </w:tcBorders>
          </w:tcPr>
          <w:p>
            <w:pPr>
              <w:spacing w:after="0"/>
              <w:rPr>
                <w:sz w:val="14"/>
                <w:szCs w:val="14"/>
                <w:color w:val="auto"/>
              </w:rPr>
            </w:pPr>
          </w:p>
        </w:tc>
        <w:tc>
          <w:tcPr>
            <w:tcW w:w="940" w:type="dxa"/>
            <w:vAlign w:val="bottom"/>
            <w:tcBorders>
              <w:bottom w:val="single" w:sz="8" w:color="A26F2A"/>
            </w:tcBorders>
          </w:tcPr>
          <w:p>
            <w:pPr>
              <w:spacing w:after="0"/>
              <w:rPr>
                <w:sz w:val="14"/>
                <w:szCs w:val="14"/>
                <w:color w:val="auto"/>
              </w:rPr>
            </w:pPr>
          </w:p>
        </w:tc>
        <w:tc>
          <w:tcPr>
            <w:tcW w:w="280" w:type="dxa"/>
            <w:vAlign w:val="bottom"/>
            <w:tcBorders>
              <w:bottom w:val="single" w:sz="8" w:color="A26F2A"/>
            </w:tcBorders>
          </w:tcPr>
          <w:p>
            <w:pPr>
              <w:spacing w:after="0"/>
              <w:rPr>
                <w:sz w:val="14"/>
                <w:szCs w:val="14"/>
                <w:color w:val="auto"/>
              </w:rPr>
            </w:pPr>
          </w:p>
        </w:tc>
        <w:tc>
          <w:tcPr>
            <w:tcW w:w="860" w:type="dxa"/>
            <w:vAlign w:val="bottom"/>
            <w:tcBorders>
              <w:bottom w:val="single" w:sz="8" w:color="A26F2A"/>
            </w:tcBorders>
          </w:tcPr>
          <w:p>
            <w:pPr>
              <w:spacing w:after="0"/>
              <w:rPr>
                <w:sz w:val="14"/>
                <w:szCs w:val="14"/>
                <w:color w:val="auto"/>
              </w:rPr>
            </w:pPr>
          </w:p>
        </w:tc>
        <w:tc>
          <w:tcPr>
            <w:tcW w:w="280" w:type="dxa"/>
            <w:vAlign w:val="bottom"/>
            <w:tcBorders>
              <w:bottom w:val="single" w:sz="8" w:color="A26F2A"/>
            </w:tcBorders>
          </w:tcPr>
          <w:p>
            <w:pPr>
              <w:spacing w:after="0"/>
              <w:rPr>
                <w:sz w:val="14"/>
                <w:szCs w:val="14"/>
                <w:color w:val="auto"/>
              </w:rPr>
            </w:pPr>
          </w:p>
        </w:tc>
        <w:tc>
          <w:tcPr>
            <w:tcW w:w="720" w:type="dxa"/>
            <w:vAlign w:val="bottom"/>
            <w:tcBorders>
              <w:bottom w:val="single" w:sz="8" w:color="A26F2A"/>
            </w:tcBorders>
          </w:tcPr>
          <w:p>
            <w:pPr>
              <w:spacing w:after="0"/>
              <w:rPr>
                <w:sz w:val="14"/>
                <w:szCs w:val="14"/>
                <w:color w:val="auto"/>
              </w:rPr>
            </w:pPr>
          </w:p>
        </w:tc>
        <w:tc>
          <w:tcPr>
            <w:tcW w:w="160" w:type="dxa"/>
            <w:vAlign w:val="bottom"/>
            <w:tcBorders>
              <w:bottom w:val="single" w:sz="8" w:color="A26F2A"/>
            </w:tcBorders>
          </w:tcPr>
          <w:p>
            <w:pPr>
              <w:spacing w:after="0"/>
              <w:rPr>
                <w:sz w:val="14"/>
                <w:szCs w:val="14"/>
                <w:color w:val="auto"/>
              </w:rPr>
            </w:pPr>
          </w:p>
        </w:tc>
        <w:tc>
          <w:tcPr>
            <w:tcW w:w="1040" w:type="dxa"/>
            <w:vAlign w:val="bottom"/>
            <w:tcBorders>
              <w:bottom w:val="single" w:sz="8" w:color="A26F2A"/>
            </w:tcBorders>
          </w:tcPr>
          <w:p>
            <w:pPr>
              <w:spacing w:after="0"/>
              <w:rPr>
                <w:sz w:val="14"/>
                <w:szCs w:val="14"/>
                <w:color w:val="auto"/>
              </w:rPr>
            </w:pPr>
          </w:p>
        </w:tc>
        <w:tc>
          <w:tcPr>
            <w:tcW w:w="900" w:type="dxa"/>
            <w:vAlign w:val="bottom"/>
            <w:tcBorders>
              <w:bottom w:val="single" w:sz="8" w:color="A26F2A"/>
            </w:tcBorders>
          </w:tcPr>
          <w:p>
            <w:pPr>
              <w:spacing w:after="0"/>
              <w:rPr>
                <w:sz w:val="14"/>
                <w:szCs w:val="14"/>
                <w:color w:val="auto"/>
              </w:rPr>
            </w:pPr>
          </w:p>
        </w:tc>
        <w:tc>
          <w:tcPr>
            <w:tcW w:w="900" w:type="dxa"/>
            <w:vAlign w:val="bottom"/>
            <w:tcBorders>
              <w:bottom w:val="single" w:sz="8" w:color="A26F2A"/>
            </w:tcBorders>
          </w:tcPr>
          <w:p>
            <w:pPr>
              <w:spacing w:after="0"/>
              <w:rPr>
                <w:sz w:val="14"/>
                <w:szCs w:val="14"/>
                <w:color w:val="auto"/>
              </w:rPr>
            </w:pPr>
          </w:p>
        </w:tc>
        <w:tc>
          <w:tcPr>
            <w:tcW w:w="80" w:type="dxa"/>
            <w:vAlign w:val="bottom"/>
            <w:tcBorders>
              <w:bottom w:val="single" w:sz="8" w:color="A26F2A"/>
            </w:tcBorders>
          </w:tcPr>
          <w:p>
            <w:pPr>
              <w:spacing w:after="0"/>
              <w:rPr>
                <w:sz w:val="14"/>
                <w:szCs w:val="14"/>
                <w:color w:val="auto"/>
              </w:rPr>
            </w:pPr>
          </w:p>
        </w:tc>
        <w:tc>
          <w:tcPr>
            <w:tcW w:w="1380" w:type="dxa"/>
            <w:vAlign w:val="bottom"/>
            <w:tcBorders>
              <w:bottom w:val="single" w:sz="8" w:color="A26F2A"/>
            </w:tcBorders>
          </w:tcPr>
          <w:p>
            <w:pPr>
              <w:jc w:val="right"/>
              <w:ind w:right="25"/>
              <w:spacing w:after="0" w:line="169" w:lineRule="exact"/>
              <w:rPr>
                <w:sz w:val="20"/>
                <w:szCs w:val="20"/>
                <w:color w:val="auto"/>
              </w:rPr>
            </w:pPr>
            <w:r>
              <w:rPr>
                <w:rFonts w:ascii="Arial" w:cs="Arial" w:eastAsia="Arial" w:hAnsi="Arial"/>
                <w:sz w:val="15"/>
                <w:szCs w:val="15"/>
                <w:color w:val="auto"/>
              </w:rPr>
              <w:t>9,921</w:t>
            </w:r>
          </w:p>
        </w:tc>
        <w:tc>
          <w:tcPr>
            <w:tcW w:w="1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1,352,332</w:t>
            </w:r>
          </w:p>
        </w:tc>
        <w:tc>
          <w:tcPr>
            <w:tcW w:w="0" w:type="dxa"/>
            <w:vAlign w:val="bottom"/>
          </w:tcPr>
          <w:p>
            <w:pPr>
              <w:spacing w:after="0"/>
              <w:rPr>
                <w:sz w:val="1"/>
                <w:szCs w:val="1"/>
                <w:color w:val="auto"/>
              </w:rPr>
            </w:pPr>
          </w:p>
        </w:tc>
      </w:tr>
      <w:tr>
        <w:trPr>
          <w:trHeight w:val="169"/>
        </w:trPr>
        <w:tc>
          <w:tcPr>
            <w:tcW w:w="176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Jere W. Thompson III</w:t>
            </w:r>
          </w:p>
        </w:tc>
        <w:tc>
          <w:tcPr>
            <w:tcW w:w="80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3/1/2025</w:t>
            </w:r>
          </w:p>
        </w:tc>
        <w:tc>
          <w:tcPr>
            <w:tcW w:w="140" w:type="dxa"/>
            <w:vAlign w:val="bottom"/>
            <w:tcBorders>
              <w:bottom w:val="single" w:sz="8" w:color="A8A9AC"/>
            </w:tcBorders>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8A9AC"/>
            </w:tcBorders>
          </w:tcPr>
          <w:p>
            <w:pPr>
              <w:jc w:val="right"/>
              <w:ind w:right="105"/>
              <w:spacing w:after="0" w:line="169" w:lineRule="exact"/>
              <w:rPr>
                <w:sz w:val="20"/>
                <w:szCs w:val="20"/>
                <w:color w:val="auto"/>
              </w:rPr>
            </w:pPr>
            <w:r>
              <w:rPr>
                <w:rFonts w:ascii="Arial" w:cs="Arial" w:eastAsia="Arial" w:hAnsi="Arial"/>
                <w:sz w:val="15"/>
                <w:szCs w:val="15"/>
                <w:color w:val="auto"/>
              </w:rPr>
              <w:t>247,500</w:t>
            </w:r>
          </w:p>
        </w:tc>
        <w:tc>
          <w:tcPr>
            <w:tcW w:w="2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495,000</w:t>
            </w:r>
          </w:p>
        </w:tc>
        <w:tc>
          <w:tcPr>
            <w:tcW w:w="2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990,000</w:t>
            </w:r>
          </w:p>
        </w:tc>
        <w:tc>
          <w:tcPr>
            <w:tcW w:w="160" w:type="dxa"/>
            <w:vAlign w:val="bottom"/>
            <w:tcBorders>
              <w:bottom w:val="single" w:sz="8" w:color="A8A9AC"/>
            </w:tcBorders>
          </w:tcPr>
          <w:p>
            <w:pPr>
              <w:spacing w:after="0"/>
              <w:rPr>
                <w:sz w:val="14"/>
                <w:szCs w:val="14"/>
                <w:color w:val="auto"/>
              </w:rPr>
            </w:pPr>
          </w:p>
        </w:tc>
        <w:tc>
          <w:tcPr>
            <w:tcW w:w="10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spacing w:after="0"/>
              <w:rPr>
                <w:sz w:val="14"/>
                <w:szCs w:val="14"/>
                <w:color w:val="auto"/>
              </w:rPr>
            </w:pPr>
          </w:p>
        </w:tc>
        <w:tc>
          <w:tcPr>
            <w:tcW w:w="80" w:type="dxa"/>
            <w:vAlign w:val="bottom"/>
            <w:tcBorders>
              <w:bottom w:val="single" w:sz="8" w:color="A8A9AC"/>
            </w:tcBorders>
          </w:tcPr>
          <w:p>
            <w:pPr>
              <w:spacing w:after="0"/>
              <w:rPr>
                <w:sz w:val="14"/>
                <w:szCs w:val="14"/>
                <w:color w:val="auto"/>
              </w:rPr>
            </w:pPr>
          </w:p>
        </w:tc>
        <w:tc>
          <w:tcPr>
            <w:tcW w:w="1380" w:type="dxa"/>
            <w:vAlign w:val="bottom"/>
            <w:tcBorders>
              <w:bottom w:val="single" w:sz="8" w:color="A8A9AC"/>
            </w:tcBorders>
          </w:tcPr>
          <w:p>
            <w:pPr>
              <w:spacing w:after="0"/>
              <w:rPr>
                <w:sz w:val="14"/>
                <w:szCs w:val="14"/>
                <w:color w:val="auto"/>
              </w:rPr>
            </w:pPr>
          </w:p>
        </w:tc>
        <w:tc>
          <w:tcPr>
            <w:tcW w:w="18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80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3/1/2025</w:t>
            </w:r>
          </w:p>
        </w:tc>
        <w:tc>
          <w:tcPr>
            <w:tcW w:w="40" w:type="dxa"/>
            <w:vAlign w:val="bottom"/>
            <w:tcBorders>
              <w:bottom w:val="single" w:sz="8" w:color="A8A9AC"/>
            </w:tcBorders>
          </w:tcPr>
          <w:p>
            <w:pPr>
              <w:spacing w:after="0"/>
              <w:rPr>
                <w:sz w:val="14"/>
                <w:szCs w:val="14"/>
                <w:color w:val="auto"/>
              </w:rPr>
            </w:pPr>
          </w:p>
        </w:tc>
        <w:tc>
          <w:tcPr>
            <w:tcW w:w="100" w:type="dxa"/>
            <w:vAlign w:val="bottom"/>
            <w:tcBorders>
              <w:bottom w:val="single" w:sz="8" w:color="A8A9AC"/>
            </w:tcBorders>
          </w:tcPr>
          <w:p>
            <w:pPr>
              <w:spacing w:after="0"/>
              <w:rPr>
                <w:sz w:val="14"/>
                <w:szCs w:val="14"/>
                <w:color w:val="auto"/>
              </w:rPr>
            </w:pPr>
          </w:p>
        </w:tc>
        <w:tc>
          <w:tcPr>
            <w:tcW w:w="940" w:type="dxa"/>
            <w:vAlign w:val="bottom"/>
            <w:tcBorders>
              <w:bottom w:val="single" w:sz="8" w:color="A8A9AC"/>
            </w:tcBorders>
          </w:tcPr>
          <w:p>
            <w:pPr>
              <w:spacing w:after="0"/>
              <w:rPr>
                <w:sz w:val="14"/>
                <w:szCs w:val="14"/>
                <w:color w:val="auto"/>
              </w:rPr>
            </w:pPr>
          </w:p>
        </w:tc>
        <w:tc>
          <w:tcPr>
            <w:tcW w:w="280" w:type="dxa"/>
            <w:vAlign w:val="bottom"/>
            <w:tcBorders>
              <w:bottom w:val="single" w:sz="8" w:color="A8A9AC"/>
            </w:tcBorders>
          </w:tcPr>
          <w:p>
            <w:pPr>
              <w:spacing w:after="0"/>
              <w:rPr>
                <w:sz w:val="14"/>
                <w:szCs w:val="14"/>
                <w:color w:val="auto"/>
              </w:rPr>
            </w:pPr>
          </w:p>
        </w:tc>
        <w:tc>
          <w:tcPr>
            <w:tcW w:w="860" w:type="dxa"/>
            <w:vAlign w:val="bottom"/>
            <w:tcBorders>
              <w:bottom w:val="single" w:sz="8" w:color="A8A9AC"/>
            </w:tcBorders>
          </w:tcPr>
          <w:p>
            <w:pPr>
              <w:spacing w:after="0"/>
              <w:rPr>
                <w:sz w:val="14"/>
                <w:szCs w:val="14"/>
                <w:color w:val="auto"/>
              </w:rPr>
            </w:pPr>
          </w:p>
        </w:tc>
        <w:tc>
          <w:tcPr>
            <w:tcW w:w="280" w:type="dxa"/>
            <w:vAlign w:val="bottom"/>
            <w:tcBorders>
              <w:bottom w:val="single" w:sz="8" w:color="A8A9AC"/>
            </w:tcBorders>
          </w:tcPr>
          <w:p>
            <w:pPr>
              <w:spacing w:after="0"/>
              <w:rPr>
                <w:sz w:val="14"/>
                <w:szCs w:val="14"/>
                <w:color w:val="auto"/>
              </w:rPr>
            </w:pPr>
          </w:p>
        </w:tc>
        <w:tc>
          <w:tcPr>
            <w:tcW w:w="720" w:type="dxa"/>
            <w:vAlign w:val="bottom"/>
            <w:tcBorders>
              <w:bottom w:val="single" w:sz="8" w:color="A8A9AC"/>
            </w:tcBorders>
          </w:tcPr>
          <w:p>
            <w:pPr>
              <w:spacing w:after="0"/>
              <w:rPr>
                <w:sz w:val="14"/>
                <w:szCs w:val="14"/>
                <w:color w:val="auto"/>
              </w:rPr>
            </w:pPr>
          </w:p>
        </w:tc>
        <w:tc>
          <w:tcPr>
            <w:tcW w:w="160" w:type="dxa"/>
            <w:vAlign w:val="bottom"/>
            <w:tcBorders>
              <w:bottom w:val="single" w:sz="8" w:color="A8A9AC"/>
            </w:tcBorders>
          </w:tcPr>
          <w:p>
            <w:pPr>
              <w:spacing w:after="0"/>
              <w:rPr>
                <w:sz w:val="14"/>
                <w:szCs w:val="14"/>
                <w:color w:val="auto"/>
              </w:rPr>
            </w:pPr>
          </w:p>
        </w:tc>
        <w:tc>
          <w:tcPr>
            <w:tcW w:w="104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4,084</w:t>
            </w:r>
          </w:p>
        </w:tc>
        <w:tc>
          <w:tcPr>
            <w:tcW w:w="900" w:type="dxa"/>
            <w:vAlign w:val="bottom"/>
            <w:tcBorders>
              <w:bottom w:val="single" w:sz="8" w:color="A8A9AC"/>
            </w:tcBorders>
          </w:tcPr>
          <w:p>
            <w:pPr>
              <w:jc w:val="right"/>
              <w:ind w:right="144"/>
              <w:spacing w:after="0" w:line="169" w:lineRule="exact"/>
              <w:rPr>
                <w:sz w:val="20"/>
                <w:szCs w:val="20"/>
                <w:color w:val="auto"/>
              </w:rPr>
            </w:pPr>
            <w:r>
              <w:rPr>
                <w:rFonts w:ascii="Arial" w:cs="Arial" w:eastAsia="Arial" w:hAnsi="Arial"/>
                <w:sz w:val="15"/>
                <w:szCs w:val="15"/>
                <w:color w:val="auto"/>
              </w:rPr>
              <w:t>8,168</w:t>
            </w:r>
          </w:p>
        </w:tc>
        <w:tc>
          <w:tcPr>
            <w:tcW w:w="90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20,420</w:t>
            </w:r>
          </w:p>
        </w:tc>
        <w:tc>
          <w:tcPr>
            <w:tcW w:w="80" w:type="dxa"/>
            <w:vAlign w:val="bottom"/>
            <w:tcBorders>
              <w:bottom w:val="single" w:sz="8" w:color="A8A9AC"/>
            </w:tcBorders>
          </w:tcPr>
          <w:p>
            <w:pPr>
              <w:spacing w:after="0"/>
              <w:rPr>
                <w:sz w:val="14"/>
                <w:szCs w:val="14"/>
                <w:color w:val="auto"/>
              </w:rPr>
            </w:pPr>
          </w:p>
        </w:tc>
        <w:tc>
          <w:tcPr>
            <w:tcW w:w="1380" w:type="dxa"/>
            <w:vAlign w:val="bottom"/>
            <w:tcBorders>
              <w:bottom w:val="single" w:sz="8" w:color="A8A9AC"/>
            </w:tcBorders>
          </w:tcPr>
          <w:p>
            <w:pPr>
              <w:spacing w:after="0"/>
              <w:rPr>
                <w:sz w:val="14"/>
                <w:szCs w:val="14"/>
                <w:color w:val="auto"/>
              </w:rPr>
            </w:pP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1,816,073</w:t>
            </w:r>
          </w:p>
        </w:tc>
        <w:tc>
          <w:tcPr>
            <w:tcW w:w="0" w:type="dxa"/>
            <w:vAlign w:val="bottom"/>
          </w:tcPr>
          <w:p>
            <w:pPr>
              <w:spacing w:after="0"/>
              <w:rPr>
                <w:sz w:val="1"/>
                <w:szCs w:val="1"/>
                <w:color w:val="auto"/>
              </w:rPr>
            </w:pPr>
          </w:p>
        </w:tc>
      </w:tr>
      <w:tr>
        <w:trPr>
          <w:trHeight w:val="169"/>
        </w:trPr>
        <w:tc>
          <w:tcPr>
            <w:tcW w:w="1760" w:type="dxa"/>
            <w:vAlign w:val="bottom"/>
            <w:tcBorders>
              <w:bottom w:val="single" w:sz="8" w:color="A26F2A"/>
            </w:tcBorders>
          </w:tcPr>
          <w:p>
            <w:pPr>
              <w:spacing w:after="0"/>
              <w:rPr>
                <w:sz w:val="14"/>
                <w:szCs w:val="14"/>
                <w:color w:val="auto"/>
              </w:rPr>
            </w:pPr>
          </w:p>
        </w:tc>
        <w:tc>
          <w:tcPr>
            <w:tcW w:w="80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3/1/2025</w:t>
            </w:r>
          </w:p>
        </w:tc>
        <w:tc>
          <w:tcPr>
            <w:tcW w:w="40" w:type="dxa"/>
            <w:vAlign w:val="bottom"/>
            <w:tcBorders>
              <w:bottom w:val="single" w:sz="8" w:color="A26F2A"/>
            </w:tcBorders>
          </w:tcPr>
          <w:p>
            <w:pPr>
              <w:spacing w:after="0"/>
              <w:rPr>
                <w:sz w:val="14"/>
                <w:szCs w:val="14"/>
                <w:color w:val="auto"/>
              </w:rPr>
            </w:pPr>
          </w:p>
        </w:tc>
        <w:tc>
          <w:tcPr>
            <w:tcW w:w="100" w:type="dxa"/>
            <w:vAlign w:val="bottom"/>
            <w:tcBorders>
              <w:bottom w:val="single" w:sz="8" w:color="A26F2A"/>
            </w:tcBorders>
          </w:tcPr>
          <w:p>
            <w:pPr>
              <w:spacing w:after="0"/>
              <w:rPr>
                <w:sz w:val="14"/>
                <w:szCs w:val="14"/>
                <w:color w:val="auto"/>
              </w:rPr>
            </w:pPr>
          </w:p>
        </w:tc>
        <w:tc>
          <w:tcPr>
            <w:tcW w:w="940" w:type="dxa"/>
            <w:vAlign w:val="bottom"/>
            <w:tcBorders>
              <w:bottom w:val="single" w:sz="8" w:color="A26F2A"/>
            </w:tcBorders>
          </w:tcPr>
          <w:p>
            <w:pPr>
              <w:spacing w:after="0"/>
              <w:rPr>
                <w:sz w:val="14"/>
                <w:szCs w:val="14"/>
                <w:color w:val="auto"/>
              </w:rPr>
            </w:pPr>
          </w:p>
        </w:tc>
        <w:tc>
          <w:tcPr>
            <w:tcW w:w="280" w:type="dxa"/>
            <w:vAlign w:val="bottom"/>
            <w:tcBorders>
              <w:bottom w:val="single" w:sz="8" w:color="A26F2A"/>
            </w:tcBorders>
          </w:tcPr>
          <w:p>
            <w:pPr>
              <w:spacing w:after="0"/>
              <w:rPr>
                <w:sz w:val="14"/>
                <w:szCs w:val="14"/>
                <w:color w:val="auto"/>
              </w:rPr>
            </w:pPr>
          </w:p>
        </w:tc>
        <w:tc>
          <w:tcPr>
            <w:tcW w:w="860" w:type="dxa"/>
            <w:vAlign w:val="bottom"/>
            <w:tcBorders>
              <w:bottom w:val="single" w:sz="8" w:color="A26F2A"/>
            </w:tcBorders>
          </w:tcPr>
          <w:p>
            <w:pPr>
              <w:spacing w:after="0"/>
              <w:rPr>
                <w:sz w:val="14"/>
                <w:szCs w:val="14"/>
                <w:color w:val="auto"/>
              </w:rPr>
            </w:pPr>
          </w:p>
        </w:tc>
        <w:tc>
          <w:tcPr>
            <w:tcW w:w="280" w:type="dxa"/>
            <w:vAlign w:val="bottom"/>
            <w:tcBorders>
              <w:bottom w:val="single" w:sz="8" w:color="A26F2A"/>
            </w:tcBorders>
          </w:tcPr>
          <w:p>
            <w:pPr>
              <w:spacing w:after="0"/>
              <w:rPr>
                <w:sz w:val="14"/>
                <w:szCs w:val="14"/>
                <w:color w:val="auto"/>
              </w:rPr>
            </w:pPr>
          </w:p>
        </w:tc>
        <w:tc>
          <w:tcPr>
            <w:tcW w:w="720" w:type="dxa"/>
            <w:vAlign w:val="bottom"/>
            <w:tcBorders>
              <w:bottom w:val="single" w:sz="8" w:color="A26F2A"/>
            </w:tcBorders>
          </w:tcPr>
          <w:p>
            <w:pPr>
              <w:spacing w:after="0"/>
              <w:rPr>
                <w:sz w:val="14"/>
                <w:szCs w:val="14"/>
                <w:color w:val="auto"/>
              </w:rPr>
            </w:pPr>
          </w:p>
        </w:tc>
        <w:tc>
          <w:tcPr>
            <w:tcW w:w="160" w:type="dxa"/>
            <w:vAlign w:val="bottom"/>
            <w:tcBorders>
              <w:bottom w:val="single" w:sz="8" w:color="A26F2A"/>
            </w:tcBorders>
          </w:tcPr>
          <w:p>
            <w:pPr>
              <w:spacing w:after="0"/>
              <w:rPr>
                <w:sz w:val="14"/>
                <w:szCs w:val="14"/>
                <w:color w:val="auto"/>
              </w:rPr>
            </w:pPr>
          </w:p>
        </w:tc>
        <w:tc>
          <w:tcPr>
            <w:tcW w:w="1040" w:type="dxa"/>
            <w:vAlign w:val="bottom"/>
            <w:tcBorders>
              <w:bottom w:val="single" w:sz="8" w:color="A26F2A"/>
            </w:tcBorders>
          </w:tcPr>
          <w:p>
            <w:pPr>
              <w:spacing w:after="0"/>
              <w:rPr>
                <w:sz w:val="14"/>
                <w:szCs w:val="14"/>
                <w:color w:val="auto"/>
              </w:rPr>
            </w:pPr>
          </w:p>
        </w:tc>
        <w:tc>
          <w:tcPr>
            <w:tcW w:w="900" w:type="dxa"/>
            <w:vAlign w:val="bottom"/>
            <w:tcBorders>
              <w:bottom w:val="single" w:sz="8" w:color="A26F2A"/>
            </w:tcBorders>
          </w:tcPr>
          <w:p>
            <w:pPr>
              <w:spacing w:after="0"/>
              <w:rPr>
                <w:sz w:val="14"/>
                <w:szCs w:val="14"/>
                <w:color w:val="auto"/>
              </w:rPr>
            </w:pPr>
          </w:p>
        </w:tc>
        <w:tc>
          <w:tcPr>
            <w:tcW w:w="900" w:type="dxa"/>
            <w:vAlign w:val="bottom"/>
            <w:tcBorders>
              <w:bottom w:val="single" w:sz="8" w:color="A26F2A"/>
            </w:tcBorders>
          </w:tcPr>
          <w:p>
            <w:pPr>
              <w:spacing w:after="0"/>
              <w:rPr>
                <w:sz w:val="14"/>
                <w:szCs w:val="14"/>
                <w:color w:val="auto"/>
              </w:rPr>
            </w:pPr>
          </w:p>
        </w:tc>
        <w:tc>
          <w:tcPr>
            <w:tcW w:w="80" w:type="dxa"/>
            <w:vAlign w:val="bottom"/>
            <w:tcBorders>
              <w:bottom w:val="single" w:sz="8" w:color="A26F2A"/>
            </w:tcBorders>
          </w:tcPr>
          <w:p>
            <w:pPr>
              <w:spacing w:after="0"/>
              <w:rPr>
                <w:sz w:val="14"/>
                <w:szCs w:val="14"/>
                <w:color w:val="auto"/>
              </w:rPr>
            </w:pPr>
          </w:p>
        </w:tc>
        <w:tc>
          <w:tcPr>
            <w:tcW w:w="1380" w:type="dxa"/>
            <w:vAlign w:val="bottom"/>
            <w:tcBorders>
              <w:bottom w:val="single" w:sz="8" w:color="A26F2A"/>
            </w:tcBorders>
          </w:tcPr>
          <w:p>
            <w:pPr>
              <w:jc w:val="right"/>
              <w:ind w:right="25"/>
              <w:spacing w:after="0" w:line="169" w:lineRule="exact"/>
              <w:rPr>
                <w:sz w:val="20"/>
                <w:szCs w:val="20"/>
                <w:color w:val="auto"/>
              </w:rPr>
            </w:pPr>
            <w:r>
              <w:rPr>
                <w:rFonts w:ascii="Arial" w:cs="Arial" w:eastAsia="Arial" w:hAnsi="Arial"/>
                <w:sz w:val="15"/>
                <w:szCs w:val="15"/>
                <w:color w:val="auto"/>
              </w:rPr>
              <w:t>5,445</w:t>
            </w:r>
          </w:p>
        </w:tc>
        <w:tc>
          <w:tcPr>
            <w:tcW w:w="1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865,537</w:t>
            </w:r>
          </w:p>
        </w:tc>
        <w:tc>
          <w:tcPr>
            <w:tcW w:w="0" w:type="dxa"/>
            <w:vAlign w:val="bottom"/>
          </w:tcPr>
          <w:p>
            <w:pPr>
              <w:spacing w:after="0"/>
              <w:rPr>
                <w:sz w:val="1"/>
                <w:szCs w:val="1"/>
                <w:color w:val="auto"/>
              </w:rPr>
            </w:pPr>
          </w:p>
        </w:tc>
      </w:tr>
      <w:tr>
        <w:trPr>
          <w:trHeight w:val="182"/>
        </w:trPr>
        <w:tc>
          <w:tcPr>
            <w:tcW w:w="1760" w:type="dxa"/>
            <w:vAlign w:val="bottom"/>
          </w:tcPr>
          <w:p>
            <w:pPr>
              <w:ind w:left="60"/>
              <w:spacing w:after="0"/>
              <w:rPr>
                <w:sz w:val="20"/>
                <w:szCs w:val="20"/>
                <w:color w:val="auto"/>
              </w:rPr>
            </w:pPr>
            <w:r>
              <w:rPr>
                <w:rFonts w:ascii="Arial" w:cs="Arial" w:eastAsia="Arial" w:hAnsi="Arial"/>
                <w:sz w:val="15"/>
                <w:szCs w:val="15"/>
                <w:b w:val="1"/>
                <w:bCs w:val="1"/>
                <w:color w:val="auto"/>
              </w:rPr>
              <w:t>Teresa L. Dick</w:t>
            </w:r>
          </w:p>
        </w:tc>
        <w:tc>
          <w:tcPr>
            <w:tcW w:w="80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3/1/2025</w:t>
            </w:r>
          </w:p>
        </w:tc>
        <w:tc>
          <w:tcPr>
            <w:tcW w:w="140" w:type="dxa"/>
            <w:vAlign w:val="bottom"/>
            <w:tcBorders>
              <w:bottom w:val="single" w:sz="8" w:color="A8A9AC"/>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8A9AC"/>
            </w:tcBorders>
          </w:tcPr>
          <w:p>
            <w:pPr>
              <w:jc w:val="right"/>
              <w:ind w:right="105"/>
              <w:spacing w:after="0"/>
              <w:rPr>
                <w:sz w:val="20"/>
                <w:szCs w:val="20"/>
                <w:color w:val="auto"/>
              </w:rPr>
            </w:pPr>
            <w:r>
              <w:rPr>
                <w:rFonts w:ascii="Arial" w:cs="Arial" w:eastAsia="Arial" w:hAnsi="Arial"/>
                <w:sz w:val="15"/>
                <w:szCs w:val="15"/>
                <w:color w:val="auto"/>
              </w:rPr>
              <w:t>247,500</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495,000</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990,000</w:t>
            </w:r>
          </w:p>
        </w:tc>
        <w:tc>
          <w:tcPr>
            <w:tcW w:w="160" w:type="dxa"/>
            <w:vAlign w:val="bottom"/>
            <w:tcBorders>
              <w:bottom w:val="single" w:sz="8" w:color="A8A9AC"/>
            </w:tcBorders>
          </w:tcPr>
          <w:p>
            <w:pPr>
              <w:spacing w:after="0"/>
              <w:rPr>
                <w:sz w:val="15"/>
                <w:szCs w:val="15"/>
                <w:color w:val="auto"/>
              </w:rPr>
            </w:pPr>
          </w:p>
        </w:tc>
        <w:tc>
          <w:tcPr>
            <w:tcW w:w="1040" w:type="dxa"/>
            <w:vAlign w:val="bottom"/>
            <w:tcBorders>
              <w:bottom w:val="single" w:sz="8" w:color="A8A9AC"/>
            </w:tcBorders>
          </w:tcPr>
          <w:p>
            <w:pPr>
              <w:spacing w:after="0"/>
              <w:rPr>
                <w:sz w:val="15"/>
                <w:szCs w:val="15"/>
                <w:color w:val="auto"/>
              </w:rPr>
            </w:pPr>
          </w:p>
        </w:tc>
        <w:tc>
          <w:tcPr>
            <w:tcW w:w="900" w:type="dxa"/>
            <w:vAlign w:val="bottom"/>
            <w:tcBorders>
              <w:bottom w:val="single" w:sz="8" w:color="A8A9AC"/>
            </w:tcBorders>
          </w:tcPr>
          <w:p>
            <w:pPr>
              <w:spacing w:after="0"/>
              <w:rPr>
                <w:sz w:val="15"/>
                <w:szCs w:val="15"/>
                <w:color w:val="auto"/>
              </w:rPr>
            </w:pPr>
          </w:p>
        </w:tc>
        <w:tc>
          <w:tcPr>
            <w:tcW w:w="900" w:type="dxa"/>
            <w:vAlign w:val="bottom"/>
            <w:tcBorders>
              <w:bottom w:val="single" w:sz="8" w:color="A8A9AC"/>
            </w:tcBorders>
          </w:tcPr>
          <w:p>
            <w:pPr>
              <w:spacing w:after="0"/>
              <w:rPr>
                <w:sz w:val="15"/>
                <w:szCs w:val="15"/>
                <w:color w:val="auto"/>
              </w:rPr>
            </w:pPr>
          </w:p>
        </w:tc>
        <w:tc>
          <w:tcPr>
            <w:tcW w:w="80" w:type="dxa"/>
            <w:vAlign w:val="bottom"/>
            <w:tcBorders>
              <w:bottom w:val="single" w:sz="8" w:color="A8A9AC"/>
            </w:tcBorders>
          </w:tcPr>
          <w:p>
            <w:pPr>
              <w:spacing w:after="0"/>
              <w:rPr>
                <w:sz w:val="15"/>
                <w:szCs w:val="15"/>
                <w:color w:val="auto"/>
              </w:rPr>
            </w:pPr>
          </w:p>
        </w:tc>
        <w:tc>
          <w:tcPr>
            <w:tcW w:w="1380" w:type="dxa"/>
            <w:vAlign w:val="bottom"/>
            <w:tcBorders>
              <w:bottom w:val="single" w:sz="8" w:color="A8A9AC"/>
            </w:tcBorders>
          </w:tcPr>
          <w:p>
            <w:pPr>
              <w:spacing w:after="0"/>
              <w:rPr>
                <w:sz w:val="15"/>
                <w:szCs w:val="15"/>
                <w:color w:val="auto"/>
              </w:rPr>
            </w:pPr>
          </w:p>
        </w:tc>
        <w:tc>
          <w:tcPr>
            <w:tcW w:w="180" w:type="dxa"/>
            <w:vAlign w:val="bottom"/>
            <w:tcBorders>
              <w:bottom w:val="single" w:sz="8" w:color="A8A9AC"/>
            </w:tcBorders>
          </w:tcPr>
          <w:p>
            <w:pPr>
              <w:spacing w:after="0"/>
              <w:rPr>
                <w:sz w:val="15"/>
                <w:szCs w:val="15"/>
                <w:color w:val="auto"/>
              </w:rPr>
            </w:pPr>
          </w:p>
        </w:tc>
        <w:tc>
          <w:tcPr>
            <w:tcW w:w="820" w:type="dxa"/>
            <w:vAlign w:val="bottom"/>
            <w:tcBorders>
              <w:bottom w:val="single" w:sz="8" w:color="A8A9A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80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3/1/2025</w:t>
            </w:r>
          </w:p>
        </w:tc>
        <w:tc>
          <w:tcPr>
            <w:tcW w:w="40" w:type="dxa"/>
            <w:vAlign w:val="bottom"/>
            <w:tcBorders>
              <w:bottom w:val="single" w:sz="8" w:color="A8A9AC"/>
            </w:tcBorders>
          </w:tcPr>
          <w:p>
            <w:pPr>
              <w:spacing w:after="0"/>
              <w:rPr>
                <w:sz w:val="14"/>
                <w:szCs w:val="14"/>
                <w:color w:val="auto"/>
              </w:rPr>
            </w:pPr>
          </w:p>
        </w:tc>
        <w:tc>
          <w:tcPr>
            <w:tcW w:w="100" w:type="dxa"/>
            <w:vAlign w:val="bottom"/>
            <w:tcBorders>
              <w:bottom w:val="single" w:sz="8" w:color="A8A9AC"/>
            </w:tcBorders>
          </w:tcPr>
          <w:p>
            <w:pPr>
              <w:spacing w:after="0"/>
              <w:rPr>
                <w:sz w:val="14"/>
                <w:szCs w:val="14"/>
                <w:color w:val="auto"/>
              </w:rPr>
            </w:pPr>
          </w:p>
        </w:tc>
        <w:tc>
          <w:tcPr>
            <w:tcW w:w="940" w:type="dxa"/>
            <w:vAlign w:val="bottom"/>
            <w:tcBorders>
              <w:bottom w:val="single" w:sz="8" w:color="A8A9AC"/>
            </w:tcBorders>
          </w:tcPr>
          <w:p>
            <w:pPr>
              <w:spacing w:after="0"/>
              <w:rPr>
                <w:sz w:val="14"/>
                <w:szCs w:val="14"/>
                <w:color w:val="auto"/>
              </w:rPr>
            </w:pPr>
          </w:p>
        </w:tc>
        <w:tc>
          <w:tcPr>
            <w:tcW w:w="280" w:type="dxa"/>
            <w:vAlign w:val="bottom"/>
            <w:tcBorders>
              <w:bottom w:val="single" w:sz="8" w:color="A8A9AC"/>
            </w:tcBorders>
          </w:tcPr>
          <w:p>
            <w:pPr>
              <w:spacing w:after="0"/>
              <w:rPr>
                <w:sz w:val="14"/>
                <w:szCs w:val="14"/>
                <w:color w:val="auto"/>
              </w:rPr>
            </w:pPr>
          </w:p>
        </w:tc>
        <w:tc>
          <w:tcPr>
            <w:tcW w:w="860" w:type="dxa"/>
            <w:vAlign w:val="bottom"/>
            <w:tcBorders>
              <w:bottom w:val="single" w:sz="8" w:color="A8A9AC"/>
            </w:tcBorders>
          </w:tcPr>
          <w:p>
            <w:pPr>
              <w:spacing w:after="0"/>
              <w:rPr>
                <w:sz w:val="14"/>
                <w:szCs w:val="14"/>
                <w:color w:val="auto"/>
              </w:rPr>
            </w:pPr>
          </w:p>
        </w:tc>
        <w:tc>
          <w:tcPr>
            <w:tcW w:w="280" w:type="dxa"/>
            <w:vAlign w:val="bottom"/>
            <w:tcBorders>
              <w:bottom w:val="single" w:sz="8" w:color="A8A9AC"/>
            </w:tcBorders>
          </w:tcPr>
          <w:p>
            <w:pPr>
              <w:spacing w:after="0"/>
              <w:rPr>
                <w:sz w:val="14"/>
                <w:szCs w:val="14"/>
                <w:color w:val="auto"/>
              </w:rPr>
            </w:pPr>
          </w:p>
        </w:tc>
        <w:tc>
          <w:tcPr>
            <w:tcW w:w="720" w:type="dxa"/>
            <w:vAlign w:val="bottom"/>
            <w:tcBorders>
              <w:bottom w:val="single" w:sz="8" w:color="A8A9AC"/>
            </w:tcBorders>
          </w:tcPr>
          <w:p>
            <w:pPr>
              <w:spacing w:after="0"/>
              <w:rPr>
                <w:sz w:val="14"/>
                <w:szCs w:val="14"/>
                <w:color w:val="auto"/>
              </w:rPr>
            </w:pPr>
          </w:p>
        </w:tc>
        <w:tc>
          <w:tcPr>
            <w:tcW w:w="160" w:type="dxa"/>
            <w:vAlign w:val="bottom"/>
            <w:tcBorders>
              <w:bottom w:val="single" w:sz="8" w:color="A8A9AC"/>
            </w:tcBorders>
          </w:tcPr>
          <w:p>
            <w:pPr>
              <w:spacing w:after="0"/>
              <w:rPr>
                <w:sz w:val="14"/>
                <w:szCs w:val="14"/>
                <w:color w:val="auto"/>
              </w:rPr>
            </w:pPr>
          </w:p>
        </w:tc>
        <w:tc>
          <w:tcPr>
            <w:tcW w:w="104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4,182</w:t>
            </w:r>
          </w:p>
        </w:tc>
        <w:tc>
          <w:tcPr>
            <w:tcW w:w="900" w:type="dxa"/>
            <w:vAlign w:val="bottom"/>
            <w:tcBorders>
              <w:bottom w:val="single" w:sz="8" w:color="A8A9AC"/>
            </w:tcBorders>
          </w:tcPr>
          <w:p>
            <w:pPr>
              <w:jc w:val="right"/>
              <w:ind w:right="144"/>
              <w:spacing w:after="0" w:line="169" w:lineRule="exact"/>
              <w:rPr>
                <w:sz w:val="20"/>
                <w:szCs w:val="20"/>
                <w:color w:val="auto"/>
              </w:rPr>
            </w:pPr>
            <w:r>
              <w:rPr>
                <w:rFonts w:ascii="Arial" w:cs="Arial" w:eastAsia="Arial" w:hAnsi="Arial"/>
                <w:sz w:val="15"/>
                <w:szCs w:val="15"/>
                <w:color w:val="auto"/>
              </w:rPr>
              <w:t>8,363</w:t>
            </w:r>
          </w:p>
        </w:tc>
        <w:tc>
          <w:tcPr>
            <w:tcW w:w="90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20,908</w:t>
            </w:r>
          </w:p>
        </w:tc>
        <w:tc>
          <w:tcPr>
            <w:tcW w:w="80" w:type="dxa"/>
            <w:vAlign w:val="bottom"/>
            <w:tcBorders>
              <w:bottom w:val="single" w:sz="8" w:color="A8A9AC"/>
            </w:tcBorders>
          </w:tcPr>
          <w:p>
            <w:pPr>
              <w:spacing w:after="0"/>
              <w:rPr>
                <w:sz w:val="14"/>
                <w:szCs w:val="14"/>
                <w:color w:val="auto"/>
              </w:rPr>
            </w:pPr>
          </w:p>
        </w:tc>
        <w:tc>
          <w:tcPr>
            <w:tcW w:w="1380" w:type="dxa"/>
            <w:vAlign w:val="bottom"/>
            <w:tcBorders>
              <w:bottom w:val="single" w:sz="8" w:color="A8A9AC"/>
            </w:tcBorders>
          </w:tcPr>
          <w:p>
            <w:pPr>
              <w:spacing w:after="0"/>
              <w:rPr>
                <w:sz w:val="14"/>
                <w:szCs w:val="14"/>
                <w:color w:val="auto"/>
              </w:rPr>
            </w:pP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1,859,429</w:t>
            </w:r>
          </w:p>
        </w:tc>
        <w:tc>
          <w:tcPr>
            <w:tcW w:w="0" w:type="dxa"/>
            <w:vAlign w:val="bottom"/>
          </w:tcPr>
          <w:p>
            <w:pPr>
              <w:spacing w:after="0"/>
              <w:rPr>
                <w:sz w:val="1"/>
                <w:szCs w:val="1"/>
                <w:color w:val="auto"/>
              </w:rPr>
            </w:pPr>
          </w:p>
        </w:tc>
      </w:tr>
      <w:tr>
        <w:trPr>
          <w:trHeight w:val="169"/>
        </w:trPr>
        <w:tc>
          <w:tcPr>
            <w:tcW w:w="1760" w:type="dxa"/>
            <w:vAlign w:val="bottom"/>
            <w:tcBorders>
              <w:bottom w:val="single" w:sz="8" w:color="A26F2A"/>
            </w:tcBorders>
          </w:tcPr>
          <w:p>
            <w:pPr>
              <w:spacing w:after="0"/>
              <w:rPr>
                <w:sz w:val="14"/>
                <w:szCs w:val="14"/>
                <w:color w:val="auto"/>
              </w:rPr>
            </w:pPr>
          </w:p>
        </w:tc>
        <w:tc>
          <w:tcPr>
            <w:tcW w:w="80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3/1/2025</w:t>
            </w:r>
          </w:p>
        </w:tc>
        <w:tc>
          <w:tcPr>
            <w:tcW w:w="40" w:type="dxa"/>
            <w:vAlign w:val="bottom"/>
            <w:tcBorders>
              <w:bottom w:val="single" w:sz="8" w:color="A26F2A"/>
            </w:tcBorders>
          </w:tcPr>
          <w:p>
            <w:pPr>
              <w:spacing w:after="0"/>
              <w:rPr>
                <w:sz w:val="14"/>
                <w:szCs w:val="14"/>
                <w:color w:val="auto"/>
              </w:rPr>
            </w:pPr>
          </w:p>
        </w:tc>
        <w:tc>
          <w:tcPr>
            <w:tcW w:w="100" w:type="dxa"/>
            <w:vAlign w:val="bottom"/>
            <w:tcBorders>
              <w:bottom w:val="single" w:sz="8" w:color="A26F2A"/>
            </w:tcBorders>
          </w:tcPr>
          <w:p>
            <w:pPr>
              <w:spacing w:after="0"/>
              <w:rPr>
                <w:sz w:val="14"/>
                <w:szCs w:val="14"/>
                <w:color w:val="auto"/>
              </w:rPr>
            </w:pPr>
          </w:p>
        </w:tc>
        <w:tc>
          <w:tcPr>
            <w:tcW w:w="940" w:type="dxa"/>
            <w:vAlign w:val="bottom"/>
            <w:tcBorders>
              <w:bottom w:val="single" w:sz="8" w:color="A26F2A"/>
            </w:tcBorders>
          </w:tcPr>
          <w:p>
            <w:pPr>
              <w:spacing w:after="0"/>
              <w:rPr>
                <w:sz w:val="14"/>
                <w:szCs w:val="14"/>
                <w:color w:val="auto"/>
              </w:rPr>
            </w:pPr>
          </w:p>
        </w:tc>
        <w:tc>
          <w:tcPr>
            <w:tcW w:w="280" w:type="dxa"/>
            <w:vAlign w:val="bottom"/>
            <w:tcBorders>
              <w:bottom w:val="single" w:sz="8" w:color="A26F2A"/>
            </w:tcBorders>
          </w:tcPr>
          <w:p>
            <w:pPr>
              <w:spacing w:after="0"/>
              <w:rPr>
                <w:sz w:val="14"/>
                <w:szCs w:val="14"/>
                <w:color w:val="auto"/>
              </w:rPr>
            </w:pPr>
          </w:p>
        </w:tc>
        <w:tc>
          <w:tcPr>
            <w:tcW w:w="860" w:type="dxa"/>
            <w:vAlign w:val="bottom"/>
            <w:tcBorders>
              <w:bottom w:val="single" w:sz="8" w:color="A26F2A"/>
            </w:tcBorders>
          </w:tcPr>
          <w:p>
            <w:pPr>
              <w:spacing w:after="0"/>
              <w:rPr>
                <w:sz w:val="14"/>
                <w:szCs w:val="14"/>
                <w:color w:val="auto"/>
              </w:rPr>
            </w:pPr>
          </w:p>
        </w:tc>
        <w:tc>
          <w:tcPr>
            <w:tcW w:w="280" w:type="dxa"/>
            <w:vAlign w:val="bottom"/>
            <w:tcBorders>
              <w:bottom w:val="single" w:sz="8" w:color="A26F2A"/>
            </w:tcBorders>
          </w:tcPr>
          <w:p>
            <w:pPr>
              <w:spacing w:after="0"/>
              <w:rPr>
                <w:sz w:val="14"/>
                <w:szCs w:val="14"/>
                <w:color w:val="auto"/>
              </w:rPr>
            </w:pPr>
          </w:p>
        </w:tc>
        <w:tc>
          <w:tcPr>
            <w:tcW w:w="720" w:type="dxa"/>
            <w:vAlign w:val="bottom"/>
            <w:tcBorders>
              <w:bottom w:val="single" w:sz="8" w:color="A26F2A"/>
            </w:tcBorders>
          </w:tcPr>
          <w:p>
            <w:pPr>
              <w:spacing w:after="0"/>
              <w:rPr>
                <w:sz w:val="14"/>
                <w:szCs w:val="14"/>
                <w:color w:val="auto"/>
              </w:rPr>
            </w:pPr>
          </w:p>
        </w:tc>
        <w:tc>
          <w:tcPr>
            <w:tcW w:w="160" w:type="dxa"/>
            <w:vAlign w:val="bottom"/>
            <w:tcBorders>
              <w:bottom w:val="single" w:sz="8" w:color="A26F2A"/>
            </w:tcBorders>
          </w:tcPr>
          <w:p>
            <w:pPr>
              <w:spacing w:after="0"/>
              <w:rPr>
                <w:sz w:val="14"/>
                <w:szCs w:val="14"/>
                <w:color w:val="auto"/>
              </w:rPr>
            </w:pPr>
          </w:p>
        </w:tc>
        <w:tc>
          <w:tcPr>
            <w:tcW w:w="1040" w:type="dxa"/>
            <w:vAlign w:val="bottom"/>
            <w:tcBorders>
              <w:bottom w:val="single" w:sz="8" w:color="A26F2A"/>
            </w:tcBorders>
          </w:tcPr>
          <w:p>
            <w:pPr>
              <w:spacing w:after="0"/>
              <w:rPr>
                <w:sz w:val="14"/>
                <w:szCs w:val="14"/>
                <w:color w:val="auto"/>
              </w:rPr>
            </w:pPr>
          </w:p>
        </w:tc>
        <w:tc>
          <w:tcPr>
            <w:tcW w:w="900" w:type="dxa"/>
            <w:vAlign w:val="bottom"/>
            <w:tcBorders>
              <w:bottom w:val="single" w:sz="8" w:color="A26F2A"/>
            </w:tcBorders>
          </w:tcPr>
          <w:p>
            <w:pPr>
              <w:spacing w:after="0"/>
              <w:rPr>
                <w:sz w:val="14"/>
                <w:szCs w:val="14"/>
                <w:color w:val="auto"/>
              </w:rPr>
            </w:pPr>
          </w:p>
        </w:tc>
        <w:tc>
          <w:tcPr>
            <w:tcW w:w="900" w:type="dxa"/>
            <w:vAlign w:val="bottom"/>
            <w:tcBorders>
              <w:bottom w:val="single" w:sz="8" w:color="A26F2A"/>
            </w:tcBorders>
          </w:tcPr>
          <w:p>
            <w:pPr>
              <w:spacing w:after="0"/>
              <w:rPr>
                <w:sz w:val="14"/>
                <w:szCs w:val="14"/>
                <w:color w:val="auto"/>
              </w:rPr>
            </w:pPr>
          </w:p>
        </w:tc>
        <w:tc>
          <w:tcPr>
            <w:tcW w:w="80" w:type="dxa"/>
            <w:vAlign w:val="bottom"/>
            <w:tcBorders>
              <w:bottom w:val="single" w:sz="8" w:color="A26F2A"/>
            </w:tcBorders>
          </w:tcPr>
          <w:p>
            <w:pPr>
              <w:spacing w:after="0"/>
              <w:rPr>
                <w:sz w:val="14"/>
                <w:szCs w:val="14"/>
                <w:color w:val="auto"/>
              </w:rPr>
            </w:pPr>
          </w:p>
        </w:tc>
        <w:tc>
          <w:tcPr>
            <w:tcW w:w="1380" w:type="dxa"/>
            <w:vAlign w:val="bottom"/>
            <w:tcBorders>
              <w:bottom w:val="single" w:sz="8" w:color="A26F2A"/>
            </w:tcBorders>
          </w:tcPr>
          <w:p>
            <w:pPr>
              <w:jc w:val="right"/>
              <w:ind w:right="25"/>
              <w:spacing w:after="0" w:line="169" w:lineRule="exact"/>
              <w:rPr>
                <w:sz w:val="20"/>
                <w:szCs w:val="20"/>
                <w:color w:val="auto"/>
              </w:rPr>
            </w:pPr>
            <w:r>
              <w:rPr>
                <w:rFonts w:ascii="Arial" w:cs="Arial" w:eastAsia="Arial" w:hAnsi="Arial"/>
                <w:sz w:val="15"/>
                <w:szCs w:val="15"/>
                <w:color w:val="auto"/>
              </w:rPr>
              <w:t>5,575</w:t>
            </w:r>
          </w:p>
        </w:tc>
        <w:tc>
          <w:tcPr>
            <w:tcW w:w="1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886,202</w:t>
            </w:r>
          </w:p>
        </w:tc>
        <w:tc>
          <w:tcPr>
            <w:tcW w:w="0" w:type="dxa"/>
            <w:vAlign w:val="bottom"/>
          </w:tcPr>
          <w:p>
            <w:pPr>
              <w:spacing w:after="0"/>
              <w:rPr>
                <w:sz w:val="1"/>
                <w:szCs w:val="1"/>
                <w:color w:val="auto"/>
              </w:rPr>
            </w:pPr>
          </w:p>
        </w:tc>
      </w:tr>
      <w:tr>
        <w:trPr>
          <w:trHeight w:val="182"/>
        </w:trPr>
        <w:tc>
          <w:tcPr>
            <w:tcW w:w="1760" w:type="dxa"/>
            <w:vAlign w:val="bottom"/>
          </w:tcPr>
          <w:p>
            <w:pPr>
              <w:ind w:left="60"/>
              <w:spacing w:after="0"/>
              <w:rPr>
                <w:sz w:val="20"/>
                <w:szCs w:val="20"/>
                <w:color w:val="auto"/>
              </w:rPr>
            </w:pPr>
            <w:r>
              <w:rPr>
                <w:rFonts w:ascii="Arial" w:cs="Arial" w:eastAsia="Arial" w:hAnsi="Arial"/>
                <w:sz w:val="15"/>
                <w:szCs w:val="15"/>
                <w:b w:val="1"/>
                <w:bCs w:val="1"/>
                <w:color w:val="auto"/>
              </w:rPr>
              <w:t>Daniel N. Wesson</w:t>
            </w:r>
          </w:p>
        </w:tc>
        <w:tc>
          <w:tcPr>
            <w:tcW w:w="80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3/1/2025</w:t>
            </w:r>
          </w:p>
        </w:tc>
        <w:tc>
          <w:tcPr>
            <w:tcW w:w="140" w:type="dxa"/>
            <w:vAlign w:val="bottom"/>
            <w:tcBorders>
              <w:bottom w:val="single" w:sz="8" w:color="A8A9AC"/>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8A9AC"/>
            </w:tcBorders>
          </w:tcPr>
          <w:p>
            <w:pPr>
              <w:jc w:val="right"/>
              <w:ind w:right="105"/>
              <w:spacing w:after="0"/>
              <w:rPr>
                <w:sz w:val="20"/>
                <w:szCs w:val="20"/>
                <w:color w:val="auto"/>
              </w:rPr>
            </w:pPr>
            <w:r>
              <w:rPr>
                <w:rFonts w:ascii="Arial" w:cs="Arial" w:eastAsia="Arial" w:hAnsi="Arial"/>
                <w:sz w:val="15"/>
                <w:szCs w:val="15"/>
                <w:color w:val="auto"/>
              </w:rPr>
              <w:t>350,000</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700,000</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gridSpan w:val="2"/>
          </w:tcPr>
          <w:p>
            <w:pPr>
              <w:jc w:val="right"/>
              <w:ind w:right="160"/>
              <w:spacing w:after="0"/>
              <w:rPr>
                <w:sz w:val="20"/>
                <w:szCs w:val="20"/>
                <w:color w:val="auto"/>
              </w:rPr>
            </w:pPr>
            <w:r>
              <w:rPr>
                <w:rFonts w:ascii="Arial" w:cs="Arial" w:eastAsia="Arial" w:hAnsi="Arial"/>
                <w:sz w:val="15"/>
                <w:szCs w:val="15"/>
                <w:color w:val="auto"/>
              </w:rPr>
              <w:t>1,400,000</w:t>
            </w:r>
          </w:p>
        </w:tc>
        <w:tc>
          <w:tcPr>
            <w:tcW w:w="1040" w:type="dxa"/>
            <w:vAlign w:val="bottom"/>
            <w:tcBorders>
              <w:bottom w:val="single" w:sz="8" w:color="A8A9AC"/>
            </w:tcBorders>
          </w:tcPr>
          <w:p>
            <w:pPr>
              <w:spacing w:after="0"/>
              <w:rPr>
                <w:sz w:val="15"/>
                <w:szCs w:val="15"/>
                <w:color w:val="auto"/>
              </w:rPr>
            </w:pPr>
          </w:p>
        </w:tc>
        <w:tc>
          <w:tcPr>
            <w:tcW w:w="900" w:type="dxa"/>
            <w:vAlign w:val="bottom"/>
            <w:tcBorders>
              <w:bottom w:val="single" w:sz="8" w:color="A8A9AC"/>
            </w:tcBorders>
          </w:tcPr>
          <w:p>
            <w:pPr>
              <w:spacing w:after="0"/>
              <w:rPr>
                <w:sz w:val="15"/>
                <w:szCs w:val="15"/>
                <w:color w:val="auto"/>
              </w:rPr>
            </w:pPr>
          </w:p>
        </w:tc>
        <w:tc>
          <w:tcPr>
            <w:tcW w:w="900" w:type="dxa"/>
            <w:vAlign w:val="bottom"/>
            <w:tcBorders>
              <w:bottom w:val="single" w:sz="8" w:color="A8A9AC"/>
            </w:tcBorders>
          </w:tcPr>
          <w:p>
            <w:pPr>
              <w:spacing w:after="0"/>
              <w:rPr>
                <w:sz w:val="15"/>
                <w:szCs w:val="15"/>
                <w:color w:val="auto"/>
              </w:rPr>
            </w:pPr>
          </w:p>
        </w:tc>
        <w:tc>
          <w:tcPr>
            <w:tcW w:w="80" w:type="dxa"/>
            <w:vAlign w:val="bottom"/>
            <w:tcBorders>
              <w:bottom w:val="single" w:sz="8" w:color="A8A9AC"/>
            </w:tcBorders>
          </w:tcPr>
          <w:p>
            <w:pPr>
              <w:spacing w:after="0"/>
              <w:rPr>
                <w:sz w:val="15"/>
                <w:szCs w:val="15"/>
                <w:color w:val="auto"/>
              </w:rPr>
            </w:pPr>
          </w:p>
        </w:tc>
        <w:tc>
          <w:tcPr>
            <w:tcW w:w="1380" w:type="dxa"/>
            <w:vAlign w:val="bottom"/>
            <w:tcBorders>
              <w:bottom w:val="single" w:sz="8" w:color="A8A9AC"/>
            </w:tcBorders>
          </w:tcPr>
          <w:p>
            <w:pPr>
              <w:spacing w:after="0"/>
              <w:rPr>
                <w:sz w:val="15"/>
                <w:szCs w:val="15"/>
                <w:color w:val="auto"/>
              </w:rPr>
            </w:pPr>
          </w:p>
        </w:tc>
        <w:tc>
          <w:tcPr>
            <w:tcW w:w="180" w:type="dxa"/>
            <w:vAlign w:val="bottom"/>
            <w:tcBorders>
              <w:bottom w:val="single" w:sz="8" w:color="A8A9AC"/>
            </w:tcBorders>
          </w:tcPr>
          <w:p>
            <w:pPr>
              <w:spacing w:after="0"/>
              <w:rPr>
                <w:sz w:val="15"/>
                <w:szCs w:val="15"/>
                <w:color w:val="auto"/>
              </w:rPr>
            </w:pPr>
          </w:p>
        </w:tc>
        <w:tc>
          <w:tcPr>
            <w:tcW w:w="820" w:type="dxa"/>
            <w:vAlign w:val="bottom"/>
            <w:tcBorders>
              <w:bottom w:val="single" w:sz="8" w:color="A8A9A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80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3/1/2025</w:t>
            </w:r>
          </w:p>
        </w:tc>
        <w:tc>
          <w:tcPr>
            <w:tcW w:w="40" w:type="dxa"/>
            <w:vAlign w:val="bottom"/>
            <w:tcBorders>
              <w:bottom w:val="single" w:sz="8" w:color="A8A9AC"/>
            </w:tcBorders>
          </w:tcPr>
          <w:p>
            <w:pPr>
              <w:spacing w:after="0"/>
              <w:rPr>
                <w:sz w:val="14"/>
                <w:szCs w:val="14"/>
                <w:color w:val="auto"/>
              </w:rPr>
            </w:pPr>
          </w:p>
        </w:tc>
        <w:tc>
          <w:tcPr>
            <w:tcW w:w="100" w:type="dxa"/>
            <w:vAlign w:val="bottom"/>
            <w:tcBorders>
              <w:bottom w:val="single" w:sz="8" w:color="A8A9AC"/>
            </w:tcBorders>
          </w:tcPr>
          <w:p>
            <w:pPr>
              <w:spacing w:after="0"/>
              <w:rPr>
                <w:sz w:val="14"/>
                <w:szCs w:val="14"/>
                <w:color w:val="auto"/>
              </w:rPr>
            </w:pPr>
          </w:p>
        </w:tc>
        <w:tc>
          <w:tcPr>
            <w:tcW w:w="940" w:type="dxa"/>
            <w:vAlign w:val="bottom"/>
            <w:tcBorders>
              <w:bottom w:val="single" w:sz="8" w:color="A8A9AC"/>
            </w:tcBorders>
          </w:tcPr>
          <w:p>
            <w:pPr>
              <w:spacing w:after="0"/>
              <w:rPr>
                <w:sz w:val="14"/>
                <w:szCs w:val="14"/>
                <w:color w:val="auto"/>
              </w:rPr>
            </w:pPr>
          </w:p>
        </w:tc>
        <w:tc>
          <w:tcPr>
            <w:tcW w:w="280" w:type="dxa"/>
            <w:vAlign w:val="bottom"/>
            <w:tcBorders>
              <w:bottom w:val="single" w:sz="8" w:color="A8A9AC"/>
            </w:tcBorders>
          </w:tcPr>
          <w:p>
            <w:pPr>
              <w:spacing w:after="0"/>
              <w:rPr>
                <w:sz w:val="14"/>
                <w:szCs w:val="14"/>
                <w:color w:val="auto"/>
              </w:rPr>
            </w:pPr>
          </w:p>
        </w:tc>
        <w:tc>
          <w:tcPr>
            <w:tcW w:w="860" w:type="dxa"/>
            <w:vAlign w:val="bottom"/>
            <w:tcBorders>
              <w:bottom w:val="single" w:sz="8" w:color="A8A9AC"/>
            </w:tcBorders>
          </w:tcPr>
          <w:p>
            <w:pPr>
              <w:spacing w:after="0"/>
              <w:rPr>
                <w:sz w:val="14"/>
                <w:szCs w:val="14"/>
                <w:color w:val="auto"/>
              </w:rPr>
            </w:pPr>
          </w:p>
        </w:tc>
        <w:tc>
          <w:tcPr>
            <w:tcW w:w="280" w:type="dxa"/>
            <w:vAlign w:val="bottom"/>
            <w:tcBorders>
              <w:bottom w:val="single" w:sz="8" w:color="A8A9AC"/>
            </w:tcBorders>
          </w:tcPr>
          <w:p>
            <w:pPr>
              <w:spacing w:after="0"/>
              <w:rPr>
                <w:sz w:val="14"/>
                <w:szCs w:val="14"/>
                <w:color w:val="auto"/>
              </w:rPr>
            </w:pPr>
          </w:p>
        </w:tc>
        <w:tc>
          <w:tcPr>
            <w:tcW w:w="720" w:type="dxa"/>
            <w:vAlign w:val="bottom"/>
            <w:tcBorders>
              <w:bottom w:val="single" w:sz="8" w:color="A8A9AC"/>
            </w:tcBorders>
          </w:tcPr>
          <w:p>
            <w:pPr>
              <w:spacing w:after="0"/>
              <w:rPr>
                <w:sz w:val="14"/>
                <w:szCs w:val="14"/>
                <w:color w:val="auto"/>
              </w:rPr>
            </w:pPr>
          </w:p>
        </w:tc>
        <w:tc>
          <w:tcPr>
            <w:tcW w:w="160" w:type="dxa"/>
            <w:vAlign w:val="bottom"/>
            <w:tcBorders>
              <w:bottom w:val="single" w:sz="8" w:color="A8A9AC"/>
            </w:tcBorders>
          </w:tcPr>
          <w:p>
            <w:pPr>
              <w:spacing w:after="0"/>
              <w:rPr>
                <w:sz w:val="14"/>
                <w:szCs w:val="14"/>
                <w:color w:val="auto"/>
              </w:rPr>
            </w:pPr>
          </w:p>
        </w:tc>
        <w:tc>
          <w:tcPr>
            <w:tcW w:w="104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7,974</w:t>
            </w:r>
          </w:p>
        </w:tc>
        <w:tc>
          <w:tcPr>
            <w:tcW w:w="900" w:type="dxa"/>
            <w:vAlign w:val="bottom"/>
            <w:tcBorders>
              <w:bottom w:val="single" w:sz="8" w:color="A8A9AC"/>
            </w:tcBorders>
          </w:tcPr>
          <w:p>
            <w:pPr>
              <w:jc w:val="right"/>
              <w:ind w:right="144"/>
              <w:spacing w:after="0" w:line="169" w:lineRule="exact"/>
              <w:rPr>
                <w:sz w:val="20"/>
                <w:szCs w:val="20"/>
                <w:color w:val="auto"/>
              </w:rPr>
            </w:pPr>
            <w:r>
              <w:rPr>
                <w:rFonts w:ascii="Arial" w:cs="Arial" w:eastAsia="Arial" w:hAnsi="Arial"/>
                <w:sz w:val="15"/>
                <w:szCs w:val="15"/>
                <w:color w:val="auto"/>
              </w:rPr>
              <w:t>15,948</w:t>
            </w:r>
          </w:p>
        </w:tc>
        <w:tc>
          <w:tcPr>
            <w:tcW w:w="90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39,870</w:t>
            </w:r>
          </w:p>
        </w:tc>
        <w:tc>
          <w:tcPr>
            <w:tcW w:w="80" w:type="dxa"/>
            <w:vAlign w:val="bottom"/>
            <w:tcBorders>
              <w:bottom w:val="single" w:sz="8" w:color="A8A9AC"/>
            </w:tcBorders>
          </w:tcPr>
          <w:p>
            <w:pPr>
              <w:spacing w:after="0"/>
              <w:rPr>
                <w:sz w:val="14"/>
                <w:szCs w:val="14"/>
                <w:color w:val="auto"/>
              </w:rPr>
            </w:pPr>
          </w:p>
        </w:tc>
        <w:tc>
          <w:tcPr>
            <w:tcW w:w="1380" w:type="dxa"/>
            <w:vAlign w:val="bottom"/>
            <w:tcBorders>
              <w:bottom w:val="single" w:sz="8" w:color="A8A9AC"/>
            </w:tcBorders>
          </w:tcPr>
          <w:p>
            <w:pPr>
              <w:spacing w:after="0"/>
              <w:rPr>
                <w:sz w:val="14"/>
                <w:szCs w:val="14"/>
                <w:color w:val="auto"/>
              </w:rPr>
            </w:pP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3,545,878</w:t>
            </w:r>
          </w:p>
        </w:tc>
        <w:tc>
          <w:tcPr>
            <w:tcW w:w="0" w:type="dxa"/>
            <w:vAlign w:val="bottom"/>
          </w:tcPr>
          <w:p>
            <w:pPr>
              <w:spacing w:after="0"/>
              <w:rPr>
                <w:sz w:val="1"/>
                <w:szCs w:val="1"/>
                <w:color w:val="auto"/>
              </w:rPr>
            </w:pPr>
          </w:p>
        </w:tc>
      </w:tr>
      <w:tr>
        <w:trPr>
          <w:trHeight w:val="169"/>
        </w:trPr>
        <w:tc>
          <w:tcPr>
            <w:tcW w:w="1760" w:type="dxa"/>
            <w:vAlign w:val="bottom"/>
            <w:tcBorders>
              <w:bottom w:val="single" w:sz="8" w:color="A26F2A"/>
            </w:tcBorders>
          </w:tcPr>
          <w:p>
            <w:pPr>
              <w:spacing w:after="0"/>
              <w:rPr>
                <w:sz w:val="14"/>
                <w:szCs w:val="14"/>
                <w:color w:val="auto"/>
              </w:rPr>
            </w:pPr>
          </w:p>
        </w:tc>
        <w:tc>
          <w:tcPr>
            <w:tcW w:w="80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3/1/2025</w:t>
            </w:r>
          </w:p>
        </w:tc>
        <w:tc>
          <w:tcPr>
            <w:tcW w:w="40" w:type="dxa"/>
            <w:vAlign w:val="bottom"/>
            <w:tcBorders>
              <w:bottom w:val="single" w:sz="8" w:color="A26F2A"/>
            </w:tcBorders>
          </w:tcPr>
          <w:p>
            <w:pPr>
              <w:spacing w:after="0"/>
              <w:rPr>
                <w:sz w:val="14"/>
                <w:szCs w:val="14"/>
                <w:color w:val="auto"/>
              </w:rPr>
            </w:pPr>
          </w:p>
        </w:tc>
        <w:tc>
          <w:tcPr>
            <w:tcW w:w="100" w:type="dxa"/>
            <w:vAlign w:val="bottom"/>
            <w:tcBorders>
              <w:bottom w:val="single" w:sz="8" w:color="A26F2A"/>
            </w:tcBorders>
          </w:tcPr>
          <w:p>
            <w:pPr>
              <w:spacing w:after="0"/>
              <w:rPr>
                <w:sz w:val="14"/>
                <w:szCs w:val="14"/>
                <w:color w:val="auto"/>
              </w:rPr>
            </w:pPr>
          </w:p>
        </w:tc>
        <w:tc>
          <w:tcPr>
            <w:tcW w:w="940" w:type="dxa"/>
            <w:vAlign w:val="bottom"/>
            <w:tcBorders>
              <w:bottom w:val="single" w:sz="8" w:color="A26F2A"/>
            </w:tcBorders>
          </w:tcPr>
          <w:p>
            <w:pPr>
              <w:spacing w:after="0"/>
              <w:rPr>
                <w:sz w:val="14"/>
                <w:szCs w:val="14"/>
                <w:color w:val="auto"/>
              </w:rPr>
            </w:pPr>
          </w:p>
        </w:tc>
        <w:tc>
          <w:tcPr>
            <w:tcW w:w="280" w:type="dxa"/>
            <w:vAlign w:val="bottom"/>
            <w:tcBorders>
              <w:bottom w:val="single" w:sz="8" w:color="A26F2A"/>
            </w:tcBorders>
          </w:tcPr>
          <w:p>
            <w:pPr>
              <w:spacing w:after="0"/>
              <w:rPr>
                <w:sz w:val="14"/>
                <w:szCs w:val="14"/>
                <w:color w:val="auto"/>
              </w:rPr>
            </w:pPr>
          </w:p>
        </w:tc>
        <w:tc>
          <w:tcPr>
            <w:tcW w:w="860" w:type="dxa"/>
            <w:vAlign w:val="bottom"/>
            <w:tcBorders>
              <w:bottom w:val="single" w:sz="8" w:color="A26F2A"/>
            </w:tcBorders>
          </w:tcPr>
          <w:p>
            <w:pPr>
              <w:spacing w:after="0"/>
              <w:rPr>
                <w:sz w:val="14"/>
                <w:szCs w:val="14"/>
                <w:color w:val="auto"/>
              </w:rPr>
            </w:pPr>
          </w:p>
        </w:tc>
        <w:tc>
          <w:tcPr>
            <w:tcW w:w="280" w:type="dxa"/>
            <w:vAlign w:val="bottom"/>
            <w:tcBorders>
              <w:bottom w:val="single" w:sz="8" w:color="A26F2A"/>
            </w:tcBorders>
          </w:tcPr>
          <w:p>
            <w:pPr>
              <w:spacing w:after="0"/>
              <w:rPr>
                <w:sz w:val="14"/>
                <w:szCs w:val="14"/>
                <w:color w:val="auto"/>
              </w:rPr>
            </w:pPr>
          </w:p>
        </w:tc>
        <w:tc>
          <w:tcPr>
            <w:tcW w:w="720" w:type="dxa"/>
            <w:vAlign w:val="bottom"/>
            <w:tcBorders>
              <w:bottom w:val="single" w:sz="8" w:color="A26F2A"/>
            </w:tcBorders>
          </w:tcPr>
          <w:p>
            <w:pPr>
              <w:spacing w:after="0"/>
              <w:rPr>
                <w:sz w:val="14"/>
                <w:szCs w:val="14"/>
                <w:color w:val="auto"/>
              </w:rPr>
            </w:pPr>
          </w:p>
        </w:tc>
        <w:tc>
          <w:tcPr>
            <w:tcW w:w="160" w:type="dxa"/>
            <w:vAlign w:val="bottom"/>
            <w:tcBorders>
              <w:bottom w:val="single" w:sz="8" w:color="A26F2A"/>
            </w:tcBorders>
          </w:tcPr>
          <w:p>
            <w:pPr>
              <w:spacing w:after="0"/>
              <w:rPr>
                <w:sz w:val="14"/>
                <w:szCs w:val="14"/>
                <w:color w:val="auto"/>
              </w:rPr>
            </w:pPr>
          </w:p>
        </w:tc>
        <w:tc>
          <w:tcPr>
            <w:tcW w:w="1040" w:type="dxa"/>
            <w:vAlign w:val="bottom"/>
            <w:tcBorders>
              <w:bottom w:val="single" w:sz="8" w:color="A26F2A"/>
            </w:tcBorders>
          </w:tcPr>
          <w:p>
            <w:pPr>
              <w:spacing w:after="0"/>
              <w:rPr>
                <w:sz w:val="14"/>
                <w:szCs w:val="14"/>
                <w:color w:val="auto"/>
              </w:rPr>
            </w:pPr>
          </w:p>
        </w:tc>
        <w:tc>
          <w:tcPr>
            <w:tcW w:w="900" w:type="dxa"/>
            <w:vAlign w:val="bottom"/>
            <w:tcBorders>
              <w:bottom w:val="single" w:sz="8" w:color="A26F2A"/>
            </w:tcBorders>
          </w:tcPr>
          <w:p>
            <w:pPr>
              <w:spacing w:after="0"/>
              <w:rPr>
                <w:sz w:val="14"/>
                <w:szCs w:val="14"/>
                <w:color w:val="auto"/>
              </w:rPr>
            </w:pPr>
          </w:p>
        </w:tc>
        <w:tc>
          <w:tcPr>
            <w:tcW w:w="900" w:type="dxa"/>
            <w:vAlign w:val="bottom"/>
            <w:tcBorders>
              <w:bottom w:val="single" w:sz="8" w:color="A26F2A"/>
            </w:tcBorders>
          </w:tcPr>
          <w:p>
            <w:pPr>
              <w:spacing w:after="0"/>
              <w:rPr>
                <w:sz w:val="14"/>
                <w:szCs w:val="14"/>
                <w:color w:val="auto"/>
              </w:rPr>
            </w:pPr>
          </w:p>
        </w:tc>
        <w:tc>
          <w:tcPr>
            <w:tcW w:w="80" w:type="dxa"/>
            <w:vAlign w:val="bottom"/>
            <w:tcBorders>
              <w:bottom w:val="single" w:sz="8" w:color="A26F2A"/>
            </w:tcBorders>
          </w:tcPr>
          <w:p>
            <w:pPr>
              <w:spacing w:after="0"/>
              <w:rPr>
                <w:sz w:val="14"/>
                <w:szCs w:val="14"/>
                <w:color w:val="auto"/>
              </w:rPr>
            </w:pPr>
          </w:p>
        </w:tc>
        <w:tc>
          <w:tcPr>
            <w:tcW w:w="1380" w:type="dxa"/>
            <w:vAlign w:val="bottom"/>
            <w:tcBorders>
              <w:bottom w:val="single" w:sz="8" w:color="A26F2A"/>
            </w:tcBorders>
          </w:tcPr>
          <w:p>
            <w:pPr>
              <w:jc w:val="right"/>
              <w:ind w:right="25"/>
              <w:spacing w:after="0" w:line="169" w:lineRule="exact"/>
              <w:rPr>
                <w:sz w:val="20"/>
                <w:szCs w:val="20"/>
                <w:color w:val="auto"/>
              </w:rPr>
            </w:pPr>
            <w:r>
              <w:rPr>
                <w:rFonts w:ascii="Arial" w:cs="Arial" w:eastAsia="Arial" w:hAnsi="Arial"/>
                <w:sz w:val="15"/>
                <w:szCs w:val="15"/>
                <w:color w:val="auto"/>
              </w:rPr>
              <w:t>10,631</w:t>
            </w:r>
          </w:p>
        </w:tc>
        <w:tc>
          <w:tcPr>
            <w:tcW w:w="1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1,689,904</w:t>
            </w:r>
          </w:p>
        </w:tc>
        <w:tc>
          <w:tcPr>
            <w:tcW w:w="0" w:type="dxa"/>
            <w:vAlign w:val="bottom"/>
          </w:tcPr>
          <w:p>
            <w:pPr>
              <w:spacing w:after="0"/>
              <w:rPr>
                <w:sz w:val="1"/>
                <w:szCs w:val="1"/>
                <w:color w:val="auto"/>
              </w:rPr>
            </w:pPr>
          </w:p>
        </w:tc>
      </w:tr>
      <w:tr>
        <w:trPr>
          <w:trHeight w:val="182"/>
        </w:trPr>
        <w:tc>
          <w:tcPr>
            <w:tcW w:w="1760" w:type="dxa"/>
            <w:vAlign w:val="bottom"/>
          </w:tcPr>
          <w:p>
            <w:pPr>
              <w:ind w:left="60"/>
              <w:spacing w:after="0"/>
              <w:rPr>
                <w:sz w:val="20"/>
                <w:szCs w:val="20"/>
                <w:color w:val="auto"/>
              </w:rPr>
            </w:pPr>
            <w:r>
              <w:rPr>
                <w:rFonts w:ascii="Arial" w:cs="Arial" w:eastAsia="Arial" w:hAnsi="Arial"/>
                <w:sz w:val="15"/>
                <w:szCs w:val="15"/>
                <w:b w:val="1"/>
                <w:bCs w:val="1"/>
                <w:color w:val="auto"/>
              </w:rPr>
              <w:t>Matt Zmigrosky</w:t>
            </w:r>
          </w:p>
        </w:tc>
        <w:tc>
          <w:tcPr>
            <w:tcW w:w="80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3/1/2025</w:t>
            </w:r>
          </w:p>
        </w:tc>
        <w:tc>
          <w:tcPr>
            <w:tcW w:w="140" w:type="dxa"/>
            <w:vAlign w:val="bottom"/>
            <w:tcBorders>
              <w:bottom w:val="single" w:sz="8" w:color="A8A9AC"/>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8A9AC"/>
            </w:tcBorders>
          </w:tcPr>
          <w:p>
            <w:pPr>
              <w:jc w:val="right"/>
              <w:ind w:right="105"/>
              <w:spacing w:after="0"/>
              <w:rPr>
                <w:sz w:val="20"/>
                <w:szCs w:val="20"/>
                <w:color w:val="auto"/>
              </w:rPr>
            </w:pPr>
            <w:r>
              <w:rPr>
                <w:rFonts w:ascii="Arial" w:cs="Arial" w:eastAsia="Arial" w:hAnsi="Arial"/>
                <w:sz w:val="15"/>
                <w:szCs w:val="15"/>
                <w:color w:val="auto"/>
              </w:rPr>
              <w:t>315,000</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630,000</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gridSpan w:val="2"/>
          </w:tcPr>
          <w:p>
            <w:pPr>
              <w:jc w:val="right"/>
              <w:ind w:right="160"/>
              <w:spacing w:after="0"/>
              <w:rPr>
                <w:sz w:val="20"/>
                <w:szCs w:val="20"/>
                <w:color w:val="auto"/>
              </w:rPr>
            </w:pPr>
            <w:r>
              <w:rPr>
                <w:rFonts w:ascii="Arial" w:cs="Arial" w:eastAsia="Arial" w:hAnsi="Arial"/>
                <w:sz w:val="15"/>
                <w:szCs w:val="15"/>
                <w:color w:val="auto"/>
              </w:rPr>
              <w:t>1,260,000</w:t>
            </w:r>
          </w:p>
        </w:tc>
        <w:tc>
          <w:tcPr>
            <w:tcW w:w="1040" w:type="dxa"/>
            <w:vAlign w:val="bottom"/>
            <w:tcBorders>
              <w:bottom w:val="single" w:sz="8" w:color="A8A9AC"/>
            </w:tcBorders>
          </w:tcPr>
          <w:p>
            <w:pPr>
              <w:spacing w:after="0"/>
              <w:rPr>
                <w:sz w:val="15"/>
                <w:szCs w:val="15"/>
                <w:color w:val="auto"/>
              </w:rPr>
            </w:pPr>
          </w:p>
        </w:tc>
        <w:tc>
          <w:tcPr>
            <w:tcW w:w="900" w:type="dxa"/>
            <w:vAlign w:val="bottom"/>
            <w:tcBorders>
              <w:bottom w:val="single" w:sz="8" w:color="A8A9AC"/>
            </w:tcBorders>
          </w:tcPr>
          <w:p>
            <w:pPr>
              <w:spacing w:after="0"/>
              <w:rPr>
                <w:sz w:val="15"/>
                <w:szCs w:val="15"/>
                <w:color w:val="auto"/>
              </w:rPr>
            </w:pPr>
          </w:p>
        </w:tc>
        <w:tc>
          <w:tcPr>
            <w:tcW w:w="900" w:type="dxa"/>
            <w:vAlign w:val="bottom"/>
            <w:tcBorders>
              <w:bottom w:val="single" w:sz="8" w:color="A8A9AC"/>
            </w:tcBorders>
          </w:tcPr>
          <w:p>
            <w:pPr>
              <w:spacing w:after="0"/>
              <w:rPr>
                <w:sz w:val="15"/>
                <w:szCs w:val="15"/>
                <w:color w:val="auto"/>
              </w:rPr>
            </w:pPr>
          </w:p>
        </w:tc>
        <w:tc>
          <w:tcPr>
            <w:tcW w:w="80" w:type="dxa"/>
            <w:vAlign w:val="bottom"/>
            <w:tcBorders>
              <w:bottom w:val="single" w:sz="8" w:color="A8A9AC"/>
            </w:tcBorders>
          </w:tcPr>
          <w:p>
            <w:pPr>
              <w:spacing w:after="0"/>
              <w:rPr>
                <w:sz w:val="15"/>
                <w:szCs w:val="15"/>
                <w:color w:val="auto"/>
              </w:rPr>
            </w:pPr>
          </w:p>
        </w:tc>
        <w:tc>
          <w:tcPr>
            <w:tcW w:w="1380" w:type="dxa"/>
            <w:vAlign w:val="bottom"/>
            <w:tcBorders>
              <w:bottom w:val="single" w:sz="8" w:color="A8A9AC"/>
            </w:tcBorders>
          </w:tcPr>
          <w:p>
            <w:pPr>
              <w:spacing w:after="0"/>
              <w:rPr>
                <w:sz w:val="15"/>
                <w:szCs w:val="15"/>
                <w:color w:val="auto"/>
              </w:rPr>
            </w:pPr>
          </w:p>
        </w:tc>
        <w:tc>
          <w:tcPr>
            <w:tcW w:w="180" w:type="dxa"/>
            <w:vAlign w:val="bottom"/>
            <w:tcBorders>
              <w:bottom w:val="single" w:sz="8" w:color="A8A9AC"/>
            </w:tcBorders>
          </w:tcPr>
          <w:p>
            <w:pPr>
              <w:spacing w:after="0"/>
              <w:rPr>
                <w:sz w:val="15"/>
                <w:szCs w:val="15"/>
                <w:color w:val="auto"/>
              </w:rPr>
            </w:pPr>
          </w:p>
        </w:tc>
        <w:tc>
          <w:tcPr>
            <w:tcW w:w="820" w:type="dxa"/>
            <w:vAlign w:val="bottom"/>
            <w:tcBorders>
              <w:bottom w:val="single" w:sz="8" w:color="A8A9A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80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3/1/2025</w:t>
            </w:r>
          </w:p>
        </w:tc>
        <w:tc>
          <w:tcPr>
            <w:tcW w:w="40" w:type="dxa"/>
            <w:vAlign w:val="bottom"/>
            <w:tcBorders>
              <w:bottom w:val="single" w:sz="8" w:color="A8A9AC"/>
            </w:tcBorders>
          </w:tcPr>
          <w:p>
            <w:pPr>
              <w:spacing w:after="0"/>
              <w:rPr>
                <w:sz w:val="14"/>
                <w:szCs w:val="14"/>
                <w:color w:val="auto"/>
              </w:rPr>
            </w:pPr>
          </w:p>
        </w:tc>
        <w:tc>
          <w:tcPr>
            <w:tcW w:w="100" w:type="dxa"/>
            <w:vAlign w:val="bottom"/>
            <w:tcBorders>
              <w:bottom w:val="single" w:sz="8" w:color="A8A9AC"/>
            </w:tcBorders>
          </w:tcPr>
          <w:p>
            <w:pPr>
              <w:spacing w:after="0"/>
              <w:rPr>
                <w:sz w:val="14"/>
                <w:szCs w:val="14"/>
                <w:color w:val="auto"/>
              </w:rPr>
            </w:pPr>
          </w:p>
        </w:tc>
        <w:tc>
          <w:tcPr>
            <w:tcW w:w="940" w:type="dxa"/>
            <w:vAlign w:val="bottom"/>
            <w:tcBorders>
              <w:bottom w:val="single" w:sz="8" w:color="A8A9AC"/>
            </w:tcBorders>
          </w:tcPr>
          <w:p>
            <w:pPr>
              <w:spacing w:after="0"/>
              <w:rPr>
                <w:sz w:val="14"/>
                <w:szCs w:val="14"/>
                <w:color w:val="auto"/>
              </w:rPr>
            </w:pPr>
          </w:p>
        </w:tc>
        <w:tc>
          <w:tcPr>
            <w:tcW w:w="280" w:type="dxa"/>
            <w:vAlign w:val="bottom"/>
            <w:tcBorders>
              <w:bottom w:val="single" w:sz="8" w:color="A8A9AC"/>
            </w:tcBorders>
          </w:tcPr>
          <w:p>
            <w:pPr>
              <w:spacing w:after="0"/>
              <w:rPr>
                <w:sz w:val="14"/>
                <w:szCs w:val="14"/>
                <w:color w:val="auto"/>
              </w:rPr>
            </w:pPr>
          </w:p>
        </w:tc>
        <w:tc>
          <w:tcPr>
            <w:tcW w:w="860" w:type="dxa"/>
            <w:vAlign w:val="bottom"/>
            <w:tcBorders>
              <w:bottom w:val="single" w:sz="8" w:color="A8A9AC"/>
            </w:tcBorders>
          </w:tcPr>
          <w:p>
            <w:pPr>
              <w:spacing w:after="0"/>
              <w:rPr>
                <w:sz w:val="14"/>
                <w:szCs w:val="14"/>
                <w:color w:val="auto"/>
              </w:rPr>
            </w:pPr>
          </w:p>
        </w:tc>
        <w:tc>
          <w:tcPr>
            <w:tcW w:w="280" w:type="dxa"/>
            <w:vAlign w:val="bottom"/>
            <w:tcBorders>
              <w:bottom w:val="single" w:sz="8" w:color="A8A9AC"/>
            </w:tcBorders>
          </w:tcPr>
          <w:p>
            <w:pPr>
              <w:spacing w:after="0"/>
              <w:rPr>
                <w:sz w:val="14"/>
                <w:szCs w:val="14"/>
                <w:color w:val="auto"/>
              </w:rPr>
            </w:pPr>
          </w:p>
        </w:tc>
        <w:tc>
          <w:tcPr>
            <w:tcW w:w="720" w:type="dxa"/>
            <w:vAlign w:val="bottom"/>
            <w:tcBorders>
              <w:bottom w:val="single" w:sz="8" w:color="A8A9AC"/>
            </w:tcBorders>
          </w:tcPr>
          <w:p>
            <w:pPr>
              <w:spacing w:after="0"/>
              <w:rPr>
                <w:sz w:val="14"/>
                <w:szCs w:val="14"/>
                <w:color w:val="auto"/>
              </w:rPr>
            </w:pPr>
          </w:p>
        </w:tc>
        <w:tc>
          <w:tcPr>
            <w:tcW w:w="160" w:type="dxa"/>
            <w:vAlign w:val="bottom"/>
            <w:tcBorders>
              <w:bottom w:val="single" w:sz="8" w:color="A8A9AC"/>
            </w:tcBorders>
          </w:tcPr>
          <w:p>
            <w:pPr>
              <w:spacing w:after="0"/>
              <w:rPr>
                <w:sz w:val="14"/>
                <w:szCs w:val="14"/>
                <w:color w:val="auto"/>
              </w:rPr>
            </w:pPr>
          </w:p>
        </w:tc>
        <w:tc>
          <w:tcPr>
            <w:tcW w:w="104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5,543</w:t>
            </w:r>
          </w:p>
        </w:tc>
        <w:tc>
          <w:tcPr>
            <w:tcW w:w="900" w:type="dxa"/>
            <w:vAlign w:val="bottom"/>
            <w:tcBorders>
              <w:bottom w:val="single" w:sz="8" w:color="A8A9AC"/>
            </w:tcBorders>
          </w:tcPr>
          <w:p>
            <w:pPr>
              <w:jc w:val="right"/>
              <w:ind w:right="144"/>
              <w:spacing w:after="0" w:line="169" w:lineRule="exact"/>
              <w:rPr>
                <w:sz w:val="20"/>
                <w:szCs w:val="20"/>
                <w:color w:val="auto"/>
              </w:rPr>
            </w:pPr>
            <w:r>
              <w:rPr>
                <w:rFonts w:ascii="Arial" w:cs="Arial" w:eastAsia="Arial" w:hAnsi="Arial"/>
                <w:sz w:val="15"/>
                <w:szCs w:val="15"/>
                <w:color w:val="auto"/>
              </w:rPr>
              <w:t>11,085</w:t>
            </w:r>
          </w:p>
        </w:tc>
        <w:tc>
          <w:tcPr>
            <w:tcW w:w="90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27,713</w:t>
            </w:r>
          </w:p>
        </w:tc>
        <w:tc>
          <w:tcPr>
            <w:tcW w:w="80" w:type="dxa"/>
            <w:vAlign w:val="bottom"/>
            <w:tcBorders>
              <w:bottom w:val="single" w:sz="8" w:color="A8A9AC"/>
            </w:tcBorders>
          </w:tcPr>
          <w:p>
            <w:pPr>
              <w:spacing w:after="0"/>
              <w:rPr>
                <w:sz w:val="14"/>
                <w:szCs w:val="14"/>
                <w:color w:val="auto"/>
              </w:rPr>
            </w:pPr>
          </w:p>
        </w:tc>
        <w:tc>
          <w:tcPr>
            <w:tcW w:w="1380" w:type="dxa"/>
            <w:vAlign w:val="bottom"/>
            <w:tcBorders>
              <w:bottom w:val="single" w:sz="8" w:color="A8A9AC"/>
            </w:tcBorders>
          </w:tcPr>
          <w:p>
            <w:pPr>
              <w:spacing w:after="0"/>
              <w:rPr>
                <w:sz w:val="14"/>
                <w:szCs w:val="14"/>
                <w:color w:val="auto"/>
              </w:rPr>
            </w:pPr>
          </w:p>
        </w:tc>
        <w:tc>
          <w:tcPr>
            <w:tcW w:w="18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2,464,639</w:t>
            </w:r>
          </w:p>
        </w:tc>
        <w:tc>
          <w:tcPr>
            <w:tcW w:w="0" w:type="dxa"/>
            <w:vAlign w:val="bottom"/>
          </w:tcPr>
          <w:p>
            <w:pPr>
              <w:spacing w:after="0"/>
              <w:rPr>
                <w:sz w:val="1"/>
                <w:szCs w:val="1"/>
                <w:color w:val="auto"/>
              </w:rPr>
            </w:pPr>
          </w:p>
        </w:tc>
      </w:tr>
      <w:tr>
        <w:trPr>
          <w:trHeight w:val="169"/>
        </w:trPr>
        <w:tc>
          <w:tcPr>
            <w:tcW w:w="1760" w:type="dxa"/>
            <w:vAlign w:val="bottom"/>
            <w:tcBorders>
              <w:bottom w:val="single" w:sz="8" w:color="A26F2A"/>
            </w:tcBorders>
          </w:tcPr>
          <w:p>
            <w:pPr>
              <w:spacing w:after="0"/>
              <w:rPr>
                <w:sz w:val="14"/>
                <w:szCs w:val="14"/>
                <w:color w:val="auto"/>
              </w:rPr>
            </w:pPr>
          </w:p>
        </w:tc>
        <w:tc>
          <w:tcPr>
            <w:tcW w:w="80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3/1/2025</w:t>
            </w:r>
          </w:p>
        </w:tc>
        <w:tc>
          <w:tcPr>
            <w:tcW w:w="40" w:type="dxa"/>
            <w:vAlign w:val="bottom"/>
            <w:tcBorders>
              <w:bottom w:val="single" w:sz="8" w:color="A26F2A"/>
            </w:tcBorders>
          </w:tcPr>
          <w:p>
            <w:pPr>
              <w:spacing w:after="0"/>
              <w:rPr>
                <w:sz w:val="14"/>
                <w:szCs w:val="14"/>
                <w:color w:val="auto"/>
              </w:rPr>
            </w:pPr>
          </w:p>
        </w:tc>
        <w:tc>
          <w:tcPr>
            <w:tcW w:w="100" w:type="dxa"/>
            <w:vAlign w:val="bottom"/>
            <w:tcBorders>
              <w:bottom w:val="single" w:sz="8" w:color="A26F2A"/>
            </w:tcBorders>
          </w:tcPr>
          <w:p>
            <w:pPr>
              <w:spacing w:after="0"/>
              <w:rPr>
                <w:sz w:val="14"/>
                <w:szCs w:val="14"/>
                <w:color w:val="auto"/>
              </w:rPr>
            </w:pPr>
          </w:p>
        </w:tc>
        <w:tc>
          <w:tcPr>
            <w:tcW w:w="940" w:type="dxa"/>
            <w:vAlign w:val="bottom"/>
            <w:tcBorders>
              <w:bottom w:val="single" w:sz="8" w:color="A26F2A"/>
            </w:tcBorders>
          </w:tcPr>
          <w:p>
            <w:pPr>
              <w:spacing w:after="0"/>
              <w:rPr>
                <w:sz w:val="14"/>
                <w:szCs w:val="14"/>
                <w:color w:val="auto"/>
              </w:rPr>
            </w:pPr>
          </w:p>
        </w:tc>
        <w:tc>
          <w:tcPr>
            <w:tcW w:w="280" w:type="dxa"/>
            <w:vAlign w:val="bottom"/>
            <w:tcBorders>
              <w:bottom w:val="single" w:sz="8" w:color="A26F2A"/>
            </w:tcBorders>
          </w:tcPr>
          <w:p>
            <w:pPr>
              <w:spacing w:after="0"/>
              <w:rPr>
                <w:sz w:val="14"/>
                <w:szCs w:val="14"/>
                <w:color w:val="auto"/>
              </w:rPr>
            </w:pPr>
          </w:p>
        </w:tc>
        <w:tc>
          <w:tcPr>
            <w:tcW w:w="860" w:type="dxa"/>
            <w:vAlign w:val="bottom"/>
            <w:tcBorders>
              <w:bottom w:val="single" w:sz="8" w:color="A26F2A"/>
            </w:tcBorders>
          </w:tcPr>
          <w:p>
            <w:pPr>
              <w:spacing w:after="0"/>
              <w:rPr>
                <w:sz w:val="14"/>
                <w:szCs w:val="14"/>
                <w:color w:val="auto"/>
              </w:rPr>
            </w:pPr>
          </w:p>
        </w:tc>
        <w:tc>
          <w:tcPr>
            <w:tcW w:w="280" w:type="dxa"/>
            <w:vAlign w:val="bottom"/>
            <w:tcBorders>
              <w:bottom w:val="single" w:sz="8" w:color="A26F2A"/>
            </w:tcBorders>
          </w:tcPr>
          <w:p>
            <w:pPr>
              <w:spacing w:after="0"/>
              <w:rPr>
                <w:sz w:val="14"/>
                <w:szCs w:val="14"/>
                <w:color w:val="auto"/>
              </w:rPr>
            </w:pPr>
          </w:p>
        </w:tc>
        <w:tc>
          <w:tcPr>
            <w:tcW w:w="720" w:type="dxa"/>
            <w:vAlign w:val="bottom"/>
            <w:tcBorders>
              <w:bottom w:val="single" w:sz="8" w:color="A26F2A"/>
            </w:tcBorders>
          </w:tcPr>
          <w:p>
            <w:pPr>
              <w:spacing w:after="0"/>
              <w:rPr>
                <w:sz w:val="14"/>
                <w:szCs w:val="14"/>
                <w:color w:val="auto"/>
              </w:rPr>
            </w:pPr>
          </w:p>
        </w:tc>
        <w:tc>
          <w:tcPr>
            <w:tcW w:w="160" w:type="dxa"/>
            <w:vAlign w:val="bottom"/>
            <w:tcBorders>
              <w:bottom w:val="single" w:sz="8" w:color="A26F2A"/>
            </w:tcBorders>
          </w:tcPr>
          <w:p>
            <w:pPr>
              <w:spacing w:after="0"/>
              <w:rPr>
                <w:sz w:val="14"/>
                <w:szCs w:val="14"/>
                <w:color w:val="auto"/>
              </w:rPr>
            </w:pPr>
          </w:p>
        </w:tc>
        <w:tc>
          <w:tcPr>
            <w:tcW w:w="1040" w:type="dxa"/>
            <w:vAlign w:val="bottom"/>
            <w:tcBorders>
              <w:bottom w:val="single" w:sz="8" w:color="A26F2A"/>
            </w:tcBorders>
          </w:tcPr>
          <w:p>
            <w:pPr>
              <w:spacing w:after="0"/>
              <w:rPr>
                <w:sz w:val="14"/>
                <w:szCs w:val="14"/>
                <w:color w:val="auto"/>
              </w:rPr>
            </w:pPr>
          </w:p>
        </w:tc>
        <w:tc>
          <w:tcPr>
            <w:tcW w:w="900" w:type="dxa"/>
            <w:vAlign w:val="bottom"/>
            <w:tcBorders>
              <w:bottom w:val="single" w:sz="8" w:color="A26F2A"/>
            </w:tcBorders>
          </w:tcPr>
          <w:p>
            <w:pPr>
              <w:spacing w:after="0"/>
              <w:rPr>
                <w:sz w:val="14"/>
                <w:szCs w:val="14"/>
                <w:color w:val="auto"/>
              </w:rPr>
            </w:pPr>
          </w:p>
        </w:tc>
        <w:tc>
          <w:tcPr>
            <w:tcW w:w="900" w:type="dxa"/>
            <w:vAlign w:val="bottom"/>
            <w:tcBorders>
              <w:bottom w:val="single" w:sz="8" w:color="A26F2A"/>
            </w:tcBorders>
          </w:tcPr>
          <w:p>
            <w:pPr>
              <w:spacing w:after="0"/>
              <w:rPr>
                <w:sz w:val="14"/>
                <w:szCs w:val="14"/>
                <w:color w:val="auto"/>
              </w:rPr>
            </w:pPr>
          </w:p>
        </w:tc>
        <w:tc>
          <w:tcPr>
            <w:tcW w:w="80" w:type="dxa"/>
            <w:vAlign w:val="bottom"/>
            <w:tcBorders>
              <w:bottom w:val="single" w:sz="8" w:color="A26F2A"/>
            </w:tcBorders>
          </w:tcPr>
          <w:p>
            <w:pPr>
              <w:spacing w:after="0"/>
              <w:rPr>
                <w:sz w:val="14"/>
                <w:szCs w:val="14"/>
                <w:color w:val="auto"/>
              </w:rPr>
            </w:pPr>
          </w:p>
        </w:tc>
        <w:tc>
          <w:tcPr>
            <w:tcW w:w="1380" w:type="dxa"/>
            <w:vAlign w:val="bottom"/>
            <w:tcBorders>
              <w:bottom w:val="single" w:sz="8" w:color="A26F2A"/>
            </w:tcBorders>
          </w:tcPr>
          <w:p>
            <w:pPr>
              <w:jc w:val="right"/>
              <w:ind w:right="25"/>
              <w:spacing w:after="0" w:line="169" w:lineRule="exact"/>
              <w:rPr>
                <w:sz w:val="20"/>
                <w:szCs w:val="20"/>
                <w:color w:val="auto"/>
              </w:rPr>
            </w:pPr>
            <w:r>
              <w:rPr>
                <w:rFonts w:ascii="Arial" w:cs="Arial" w:eastAsia="Arial" w:hAnsi="Arial"/>
                <w:sz w:val="15"/>
                <w:szCs w:val="15"/>
                <w:color w:val="auto"/>
              </w:rPr>
              <w:t>7,390</w:t>
            </w:r>
          </w:p>
        </w:tc>
        <w:tc>
          <w:tcPr>
            <w:tcW w:w="1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1,174,714</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00" w:hanging="299"/>
        <w:spacing w:after="0" w:line="285" w:lineRule="auto"/>
        <w:tabs>
          <w:tab w:leader="none" w:pos="300" w:val="left"/>
        </w:tabs>
        <w:numPr>
          <w:ilvl w:val="0"/>
          <w:numId w:val="98"/>
        </w:numPr>
        <w:rPr>
          <w:rFonts w:ascii="Arial" w:cs="Arial" w:eastAsia="Arial" w:hAnsi="Arial"/>
          <w:sz w:val="13"/>
          <w:szCs w:val="13"/>
          <w:i w:val="1"/>
          <w:iCs w:val="1"/>
          <w:color w:val="auto"/>
        </w:rPr>
      </w:pPr>
      <w:r>
        <w:rPr>
          <w:rFonts w:ascii="Arial" w:cs="Arial" w:eastAsia="Arial" w:hAnsi="Arial"/>
          <w:sz w:val="13"/>
          <w:szCs w:val="13"/>
          <w:i w:val="1"/>
          <w:iCs w:val="1"/>
          <w:color w:val="auto"/>
        </w:rPr>
        <w:t>Reflects performance-based annual incentive cash bonuses granted under the Annual Incentive Plan for 2025. No non-equity incentive plan awards are paid under the Annual Incentive Plan for performance below the pre-determined thresholds.</w:t>
      </w:r>
    </w:p>
    <w:p>
      <w:pPr>
        <w:spacing w:after="0" w:line="10" w:lineRule="exact"/>
        <w:rPr>
          <w:rFonts w:ascii="Arial" w:cs="Arial" w:eastAsia="Arial" w:hAnsi="Arial"/>
          <w:sz w:val="13"/>
          <w:szCs w:val="13"/>
          <w:i w:val="1"/>
          <w:iCs w:val="1"/>
          <w:color w:val="auto"/>
        </w:rPr>
      </w:pPr>
    </w:p>
    <w:p>
      <w:pPr>
        <w:jc w:val="both"/>
        <w:ind w:left="300" w:hanging="299"/>
        <w:spacing w:after="0" w:line="248" w:lineRule="auto"/>
        <w:tabs>
          <w:tab w:leader="none" w:pos="300" w:val="left"/>
        </w:tabs>
        <w:numPr>
          <w:ilvl w:val="0"/>
          <w:numId w:val="98"/>
        </w:numPr>
        <w:rPr>
          <w:rFonts w:ascii="Arial" w:cs="Arial" w:eastAsia="Arial" w:hAnsi="Arial"/>
          <w:sz w:val="13"/>
          <w:szCs w:val="13"/>
          <w:i w:val="1"/>
          <w:iCs w:val="1"/>
          <w:color w:val="auto"/>
        </w:rPr>
      </w:pPr>
      <w:r>
        <w:rPr>
          <w:rFonts w:ascii="Arial" w:cs="Arial" w:eastAsia="Arial" w:hAnsi="Arial"/>
          <w:sz w:val="13"/>
          <w:szCs w:val="13"/>
          <w:i w:val="1"/>
          <w:iCs w:val="1"/>
          <w:color w:val="auto"/>
        </w:rPr>
        <w:t>For each NEO, these amounts represent the performance-based restricted stock units granted under the Equity Incentive Plan, which awards are subject to the satisfaction of certain relative TSR performance conditions compared to the Company’s TSR performance peer group for the three-year performance period commencing on January 1, 2025 and ending on December 31, 2027, as certified by the compensation committee, and continuous service requirements. The number of restricted stock units that will vest is based on the achievement of a pre-established threshold, target or maximum relative TSR goal, as compared to the Company’s peers, as modified by the absolute TSR modifier. The TSR is calculated over the performance period by dividing (1) the sum of (a) the cumulative value of dividends received during the performance period, assuming reinvestment, plus (b) the difference between the average stock price for the month of December 2027 compared to the average stock price for the month of December 2024; by (2) the average stock price for the month of December 2024 ending immediately prior to the beginning of the performance period. No awards vest if the relative TSR for the applicable performance period is below the threshold percentile. The absolute TSR modifier reduces payouts upon negative performance period TSR, pays at target upon achieving a performance period annual TSR of zero to 15%, and increases payouts upon achieving a performance period annual TSR of greater than 15%.</w:t>
      </w:r>
    </w:p>
    <w:p>
      <w:pPr>
        <w:spacing w:after="0" w:line="35" w:lineRule="exact"/>
        <w:rPr>
          <w:rFonts w:ascii="Arial" w:cs="Arial" w:eastAsia="Arial" w:hAnsi="Arial"/>
          <w:sz w:val="13"/>
          <w:szCs w:val="13"/>
          <w:i w:val="1"/>
          <w:iCs w:val="1"/>
          <w:color w:val="auto"/>
        </w:rPr>
      </w:pPr>
    </w:p>
    <w:p>
      <w:pPr>
        <w:jc w:val="both"/>
        <w:ind w:left="300" w:hanging="299"/>
        <w:spacing w:after="0" w:line="272" w:lineRule="auto"/>
        <w:tabs>
          <w:tab w:leader="none" w:pos="300" w:val="left"/>
        </w:tabs>
        <w:numPr>
          <w:ilvl w:val="0"/>
          <w:numId w:val="9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time-based restricted stock units granted to (i) each NEO under the Equity Incentive Plan on March 1, 2025, vesting in three equal annual installments beginning on the date of grant, and (ii) Mr. Van’t Hof on May 21, 2025, vesting in three equal annual installments beginning on May 21, 2025. All of these awards are subject to continuous service requirements.</w:t>
      </w:r>
    </w:p>
    <w:p>
      <w:pPr>
        <w:spacing w:after="0" w:line="178" w:lineRule="exact"/>
        <w:rPr>
          <w:rFonts w:ascii="Arial" w:cs="Arial" w:eastAsia="Arial" w:hAnsi="Arial"/>
          <w:sz w:val="13"/>
          <w:szCs w:val="13"/>
          <w:i w:val="1"/>
          <w:iCs w:val="1"/>
          <w:color w:val="auto"/>
        </w:rPr>
      </w:pPr>
    </w:p>
    <w:p>
      <w:pPr>
        <w:jc w:val="both"/>
        <w:ind w:left="300" w:hanging="299"/>
        <w:spacing w:after="0" w:line="264" w:lineRule="auto"/>
        <w:tabs>
          <w:tab w:leader="none" w:pos="300" w:val="left"/>
        </w:tabs>
        <w:numPr>
          <w:ilvl w:val="0"/>
          <w:numId w:val="98"/>
        </w:numPr>
        <w:rPr>
          <w:rFonts w:ascii="Arial" w:cs="Arial" w:eastAsia="Arial" w:hAnsi="Arial"/>
          <w:sz w:val="13"/>
          <w:szCs w:val="13"/>
          <w:i w:val="1"/>
          <w:iCs w:val="1"/>
          <w:color w:val="auto"/>
        </w:rPr>
      </w:pPr>
      <w:r>
        <w:rPr>
          <w:rFonts w:ascii="Arial" w:cs="Arial" w:eastAsia="Arial" w:hAnsi="Arial"/>
          <w:sz w:val="13"/>
          <w:szCs w:val="13"/>
          <w:i w:val="1"/>
          <w:iCs w:val="1"/>
          <w:color w:val="auto"/>
        </w:rPr>
        <w:t>The amounts shown reflect the grant date fair value of restricted stock units granted, determined in accordance with FASB ASC Topic 718. See Note 10 to our consolidated financial statements for the fiscal year ended December 31, 2025, included in our Annual Report on Form 10-K, filed with the SEC on February 25, 2026, regarding assumptions underlying valuations of equity awards for 2025.</w:t>
      </w:r>
    </w:p>
    <w:p>
      <w:pPr>
        <w:spacing w:after="0" w:line="133"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1" w:name="page72"/>
    <w:bookmarkEnd w:id="7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2025 GRANTS OF PLAN-BASED AWARDS UNDER THE VIPER LTIP</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200" w:type="dxa"/>
            <w:vAlign w:val="bottom"/>
            <w:gridSpan w:val="2"/>
          </w:tcPr>
          <w:p>
            <w:pPr>
              <w:jc w:val="right"/>
              <w:spacing w:after="0"/>
              <w:rPr>
                <w:sz w:val="20"/>
                <w:szCs w:val="20"/>
                <w:color w:val="auto"/>
              </w:rPr>
            </w:pPr>
            <w:r>
              <w:rPr>
                <w:rFonts w:ascii="Arial" w:cs="Arial" w:eastAsia="Arial" w:hAnsi="Arial"/>
                <w:sz w:val="15"/>
                <w:szCs w:val="15"/>
                <w:b w:val="1"/>
                <w:bCs w:val="1"/>
                <w:color w:val="auto"/>
              </w:rPr>
              <w:t>Estimated Future Payouts Under</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200" w:type="dxa"/>
            <w:vAlign w:val="bottom"/>
            <w:tcBorders>
              <w:bottom w:val="single" w:sz="8" w:color="A26F2A"/>
            </w:tcBorders>
            <w:gridSpan w:val="2"/>
          </w:tcPr>
          <w:p>
            <w:pPr>
              <w:jc w:val="right"/>
              <w:ind w:right="24"/>
              <w:spacing w:after="0" w:line="227" w:lineRule="exact"/>
              <w:rPr>
                <w:sz w:val="20"/>
                <w:szCs w:val="20"/>
                <w:color w:val="auto"/>
              </w:rPr>
            </w:pPr>
            <w:r>
              <w:rPr>
                <w:rFonts w:ascii="Arial" w:cs="Arial" w:eastAsia="Arial" w:hAnsi="Arial"/>
                <w:sz w:val="15"/>
                <w:szCs w:val="15"/>
                <w:b w:val="1"/>
                <w:bCs w:val="1"/>
                <w:color w:val="auto"/>
              </w:rPr>
              <w:t>Equity Incentive Plan Awards</w:t>
            </w:r>
            <w:r>
              <w:rPr>
                <w:rFonts w:ascii="Arial" w:cs="Arial" w:eastAsia="Arial" w:hAnsi="Arial"/>
                <w:sz w:val="25"/>
                <w:szCs w:val="25"/>
                <w:b w:val="1"/>
                <w:bCs w:val="1"/>
                <w:color w:val="auto"/>
                <w:vertAlign w:val="superscript"/>
              </w:rPr>
              <w:t>(1)</w:t>
            </w:r>
          </w:p>
        </w:tc>
        <w:tc>
          <w:tcPr>
            <w:tcW w:w="740" w:type="dxa"/>
            <w:vAlign w:val="bottom"/>
            <w:tcBorders>
              <w:bottom w:val="single" w:sz="8" w:color="A26F2A"/>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vMerge w:val="restart"/>
          </w:tcPr>
          <w:p>
            <w:pPr>
              <w:jc w:val="right"/>
              <w:ind w:right="5"/>
              <w:spacing w:after="0"/>
              <w:rPr>
                <w:sz w:val="20"/>
                <w:szCs w:val="20"/>
                <w:color w:val="auto"/>
              </w:rPr>
            </w:pPr>
            <w:r>
              <w:rPr>
                <w:rFonts w:ascii="Arial" w:cs="Arial" w:eastAsia="Arial" w:hAnsi="Arial"/>
                <w:sz w:val="15"/>
                <w:szCs w:val="15"/>
                <w:b w:val="1"/>
                <w:bCs w:val="1"/>
                <w:color w:val="auto"/>
              </w:rPr>
              <w:t>Grant Date Fair Value</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2360" w:type="dxa"/>
            <w:vAlign w:val="bottom"/>
          </w:tcPr>
          <w:p>
            <w:pPr>
              <w:jc w:val="right"/>
              <w:ind w:right="124"/>
              <w:spacing w:after="0"/>
              <w:rPr>
                <w:sz w:val="20"/>
                <w:szCs w:val="20"/>
                <w:color w:val="auto"/>
              </w:rPr>
            </w:pPr>
            <w:r>
              <w:rPr>
                <w:rFonts w:ascii="Arial" w:cs="Arial" w:eastAsia="Arial" w:hAnsi="Arial"/>
                <w:sz w:val="15"/>
                <w:szCs w:val="15"/>
                <w:b w:val="1"/>
                <w:bCs w:val="1"/>
                <w:color w:val="auto"/>
              </w:rPr>
              <w:t>Grant</w:t>
            </w:r>
          </w:p>
        </w:tc>
        <w:tc>
          <w:tcPr>
            <w:tcW w:w="1640" w:type="dxa"/>
            <w:vAlign w:val="bottom"/>
          </w:tcPr>
          <w:p>
            <w:pPr>
              <w:jc w:val="right"/>
              <w:ind w:right="384"/>
              <w:spacing w:after="0"/>
              <w:rPr>
                <w:sz w:val="20"/>
                <w:szCs w:val="20"/>
                <w:color w:val="auto"/>
              </w:rPr>
            </w:pPr>
            <w:r>
              <w:rPr>
                <w:rFonts w:ascii="Arial" w:cs="Arial" w:eastAsia="Arial" w:hAnsi="Arial"/>
                <w:sz w:val="15"/>
                <w:szCs w:val="15"/>
                <w:b w:val="1"/>
                <w:bCs w:val="1"/>
                <w:color w:val="auto"/>
              </w:rPr>
              <w:t>Threshold</w:t>
            </w:r>
          </w:p>
        </w:tc>
        <w:tc>
          <w:tcPr>
            <w:tcW w:w="1560" w:type="dxa"/>
            <w:vAlign w:val="bottom"/>
          </w:tcPr>
          <w:p>
            <w:pPr>
              <w:jc w:val="right"/>
              <w:ind w:right="584"/>
              <w:spacing w:after="0"/>
              <w:rPr>
                <w:sz w:val="20"/>
                <w:szCs w:val="20"/>
                <w:color w:val="auto"/>
              </w:rPr>
            </w:pPr>
            <w:r>
              <w:rPr>
                <w:rFonts w:ascii="Arial" w:cs="Arial" w:eastAsia="Arial" w:hAnsi="Arial"/>
                <w:sz w:val="15"/>
                <w:szCs w:val="15"/>
                <w:b w:val="1"/>
                <w:bCs w:val="1"/>
                <w:color w:val="auto"/>
              </w:rPr>
              <w:t>Target</w:t>
            </w:r>
          </w:p>
        </w:tc>
        <w:tc>
          <w:tcPr>
            <w:tcW w:w="840" w:type="dxa"/>
            <w:vAlign w:val="bottom"/>
            <w:gridSpan w:val="2"/>
          </w:tcPr>
          <w:p>
            <w:pPr>
              <w:ind w:left="40"/>
              <w:spacing w:after="0"/>
              <w:rPr>
                <w:sz w:val="20"/>
                <w:szCs w:val="20"/>
                <w:color w:val="auto"/>
              </w:rPr>
            </w:pPr>
            <w:r>
              <w:rPr>
                <w:rFonts w:ascii="Arial" w:cs="Arial" w:eastAsia="Arial" w:hAnsi="Arial"/>
                <w:sz w:val="15"/>
                <w:szCs w:val="15"/>
                <w:b w:val="1"/>
                <w:bCs w:val="1"/>
                <w:color w:val="auto"/>
              </w:rPr>
              <w:t>Maximum</w:t>
            </w:r>
          </w:p>
        </w:tc>
        <w:tc>
          <w:tcPr>
            <w:tcW w:w="1720" w:type="dxa"/>
            <w:vAlign w:val="bottom"/>
            <w:gridSpan w:val="2"/>
          </w:tcPr>
          <w:p>
            <w:pPr>
              <w:jc w:val="right"/>
              <w:ind w:right="25"/>
              <w:spacing w:after="0"/>
              <w:rPr>
                <w:sz w:val="20"/>
                <w:szCs w:val="20"/>
                <w:color w:val="auto"/>
              </w:rPr>
            </w:pPr>
            <w:r>
              <w:rPr>
                <w:rFonts w:ascii="Arial" w:cs="Arial" w:eastAsia="Arial" w:hAnsi="Arial"/>
                <w:sz w:val="15"/>
                <w:szCs w:val="15"/>
                <w:b w:val="1"/>
                <w:bCs w:val="1"/>
                <w:color w:val="auto"/>
              </w:rPr>
              <w:t>of Stock and Option</w:t>
            </w:r>
          </w:p>
        </w:tc>
        <w:tc>
          <w:tcPr>
            <w:tcW w:w="0" w:type="dxa"/>
            <w:vAlign w:val="bottom"/>
          </w:tcPr>
          <w:p>
            <w:pPr>
              <w:spacing w:after="0"/>
              <w:rPr>
                <w:sz w:val="1"/>
                <w:szCs w:val="1"/>
                <w:color w:val="auto"/>
              </w:rPr>
            </w:pPr>
          </w:p>
        </w:tc>
      </w:tr>
      <w:tr>
        <w:trPr>
          <w:trHeight w:val="220"/>
        </w:trPr>
        <w:tc>
          <w:tcPr>
            <w:tcW w:w="312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Name</w:t>
            </w:r>
          </w:p>
        </w:tc>
        <w:tc>
          <w:tcPr>
            <w:tcW w:w="2360" w:type="dxa"/>
            <w:vAlign w:val="bottom"/>
            <w:tcBorders>
              <w:bottom w:val="single" w:sz="8" w:color="A26F2A"/>
            </w:tcBorders>
          </w:tcPr>
          <w:p>
            <w:pPr>
              <w:jc w:val="right"/>
              <w:ind w:right="124"/>
              <w:spacing w:after="0"/>
              <w:rPr>
                <w:sz w:val="20"/>
                <w:szCs w:val="20"/>
                <w:color w:val="auto"/>
              </w:rPr>
            </w:pPr>
            <w:r>
              <w:rPr>
                <w:rFonts w:ascii="Arial" w:cs="Arial" w:eastAsia="Arial" w:hAnsi="Arial"/>
                <w:sz w:val="15"/>
                <w:szCs w:val="15"/>
                <w:b w:val="1"/>
                <w:bCs w:val="1"/>
                <w:color w:val="auto"/>
              </w:rPr>
              <w:t>Date</w:t>
            </w:r>
          </w:p>
        </w:tc>
        <w:tc>
          <w:tcPr>
            <w:tcW w:w="1640" w:type="dxa"/>
            <w:vAlign w:val="bottom"/>
            <w:tcBorders>
              <w:bottom w:val="single" w:sz="8" w:color="A26F2A"/>
            </w:tcBorders>
          </w:tcPr>
          <w:p>
            <w:pPr>
              <w:jc w:val="right"/>
              <w:ind w:right="384"/>
              <w:spacing w:after="0"/>
              <w:rPr>
                <w:sz w:val="20"/>
                <w:szCs w:val="20"/>
                <w:color w:val="auto"/>
              </w:rPr>
            </w:pPr>
            <w:r>
              <w:rPr>
                <w:rFonts w:ascii="Arial" w:cs="Arial" w:eastAsia="Arial" w:hAnsi="Arial"/>
                <w:sz w:val="15"/>
                <w:szCs w:val="15"/>
                <w:b w:val="1"/>
                <w:bCs w:val="1"/>
                <w:color w:val="auto"/>
              </w:rPr>
              <w:t>(#)</w:t>
            </w:r>
          </w:p>
        </w:tc>
        <w:tc>
          <w:tcPr>
            <w:tcW w:w="1560" w:type="dxa"/>
            <w:vAlign w:val="bottom"/>
            <w:tcBorders>
              <w:bottom w:val="single" w:sz="8" w:color="A26F2A"/>
            </w:tcBorders>
          </w:tcPr>
          <w:p>
            <w:pPr>
              <w:jc w:val="right"/>
              <w:ind w:right="58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26F2A"/>
            </w:tcBorders>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26F2A"/>
            </w:tcBorders>
          </w:tcPr>
          <w:p>
            <w:pPr>
              <w:spacing w:after="0"/>
              <w:rPr>
                <w:sz w:val="19"/>
                <w:szCs w:val="19"/>
                <w:color w:val="auto"/>
              </w:rPr>
            </w:pPr>
          </w:p>
        </w:tc>
        <w:tc>
          <w:tcPr>
            <w:tcW w:w="1000" w:type="dxa"/>
            <w:vAlign w:val="bottom"/>
            <w:tcBorders>
              <w:bottom w:val="single" w:sz="8" w:color="A26F2A"/>
            </w:tcBorders>
          </w:tcPr>
          <w:p>
            <w:pPr>
              <w:jc w:val="right"/>
              <w:ind w:right="25"/>
              <w:spacing w:after="0" w:line="214"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4"/>
                <w:szCs w:val="24"/>
                <w:b w:val="1"/>
                <w:bCs w:val="1"/>
                <w:color w:val="auto"/>
                <w:vertAlign w:val="superscript"/>
              </w:rPr>
              <w:t>(2)</w:t>
            </w:r>
          </w:p>
        </w:tc>
        <w:tc>
          <w:tcPr>
            <w:tcW w:w="0" w:type="dxa"/>
            <w:vAlign w:val="bottom"/>
          </w:tcPr>
          <w:p>
            <w:pPr>
              <w:spacing w:after="0"/>
              <w:rPr>
                <w:sz w:val="1"/>
                <w:szCs w:val="1"/>
                <w:color w:val="auto"/>
              </w:rPr>
            </w:pPr>
          </w:p>
        </w:tc>
      </w:tr>
      <w:tr>
        <w:trPr>
          <w:trHeight w:val="177"/>
        </w:trPr>
        <w:tc>
          <w:tcPr>
            <w:tcW w:w="312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Kaes Van’t Hof</w:t>
            </w:r>
          </w:p>
        </w:tc>
        <w:tc>
          <w:tcPr>
            <w:tcW w:w="2360" w:type="dxa"/>
            <w:vAlign w:val="bottom"/>
            <w:tcBorders>
              <w:bottom w:val="single" w:sz="8" w:color="A8A9AC"/>
            </w:tcBorders>
          </w:tcPr>
          <w:p>
            <w:pPr>
              <w:jc w:val="right"/>
              <w:ind w:right="124"/>
              <w:spacing w:after="0"/>
              <w:rPr>
                <w:sz w:val="20"/>
                <w:szCs w:val="20"/>
                <w:color w:val="auto"/>
              </w:rPr>
            </w:pPr>
            <w:r>
              <w:rPr>
                <w:rFonts w:ascii="Arial" w:cs="Arial" w:eastAsia="Arial" w:hAnsi="Arial"/>
                <w:sz w:val="15"/>
                <w:szCs w:val="15"/>
                <w:color w:val="auto"/>
              </w:rPr>
              <w:t>3/1/2025</w:t>
            </w:r>
          </w:p>
        </w:tc>
        <w:tc>
          <w:tcPr>
            <w:tcW w:w="1640" w:type="dxa"/>
            <w:vAlign w:val="bottom"/>
            <w:tcBorders>
              <w:bottom w:val="single" w:sz="8" w:color="A8A9AC"/>
            </w:tcBorders>
          </w:tcPr>
          <w:p>
            <w:pPr>
              <w:jc w:val="right"/>
              <w:ind w:right="384"/>
              <w:spacing w:after="0"/>
              <w:rPr>
                <w:sz w:val="20"/>
                <w:szCs w:val="20"/>
                <w:color w:val="auto"/>
              </w:rPr>
            </w:pPr>
            <w:r>
              <w:rPr>
                <w:rFonts w:ascii="Arial" w:cs="Arial" w:eastAsia="Arial" w:hAnsi="Arial"/>
                <w:sz w:val="15"/>
                <w:szCs w:val="15"/>
                <w:color w:val="auto"/>
              </w:rPr>
              <w:t>13,537</w:t>
            </w:r>
          </w:p>
        </w:tc>
        <w:tc>
          <w:tcPr>
            <w:tcW w:w="1560" w:type="dxa"/>
            <w:vAlign w:val="bottom"/>
            <w:tcBorders>
              <w:bottom w:val="single" w:sz="8" w:color="A8A9AC"/>
            </w:tcBorders>
          </w:tcPr>
          <w:p>
            <w:pPr>
              <w:jc w:val="right"/>
              <w:ind w:right="584"/>
              <w:spacing w:after="0"/>
              <w:rPr>
                <w:sz w:val="20"/>
                <w:szCs w:val="20"/>
                <w:color w:val="auto"/>
              </w:rPr>
            </w:pPr>
            <w:r>
              <w:rPr>
                <w:rFonts w:ascii="Arial" w:cs="Arial" w:eastAsia="Arial" w:hAnsi="Arial"/>
                <w:sz w:val="15"/>
                <w:szCs w:val="15"/>
                <w:color w:val="auto"/>
              </w:rPr>
              <w:t>27,074</w:t>
            </w:r>
          </w:p>
        </w:tc>
        <w:tc>
          <w:tcPr>
            <w:tcW w:w="7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67,685</w:t>
            </w:r>
          </w:p>
        </w:tc>
        <w:tc>
          <w:tcPr>
            <w:tcW w:w="100" w:type="dxa"/>
            <w:vAlign w:val="bottom"/>
            <w:tcBorders>
              <w:bottom w:val="single" w:sz="8" w:color="A8A9AC"/>
            </w:tcBorders>
          </w:tcPr>
          <w:p>
            <w:pPr>
              <w:spacing w:after="0"/>
              <w:rPr>
                <w:sz w:val="15"/>
                <w:szCs w:val="15"/>
                <w:color w:val="auto"/>
              </w:rPr>
            </w:pPr>
          </w:p>
        </w:tc>
        <w:tc>
          <w:tcPr>
            <w:tcW w:w="720" w:type="dxa"/>
            <w:vAlign w:val="bottom"/>
            <w:tcBorders>
              <w:bottom w:val="single" w:sz="8" w:color="A8A9AC"/>
            </w:tcBorders>
          </w:tcPr>
          <w:p>
            <w:pPr>
              <w:jc w:val="right"/>
              <w:ind w:right="12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8A9AC"/>
            </w:tcBorders>
          </w:tcPr>
          <w:p>
            <w:pPr>
              <w:jc w:val="right"/>
              <w:ind w:right="25"/>
              <w:spacing w:after="0"/>
              <w:rPr>
                <w:sz w:val="20"/>
                <w:szCs w:val="20"/>
                <w:color w:val="auto"/>
              </w:rPr>
            </w:pPr>
            <w:r>
              <w:rPr>
                <w:rFonts w:ascii="Arial" w:cs="Arial" w:eastAsia="Arial" w:hAnsi="Arial"/>
                <w:sz w:val="15"/>
                <w:szCs w:val="15"/>
                <w:color w:val="auto"/>
              </w:rPr>
              <w:t>1,825,600</w:t>
            </w:r>
          </w:p>
        </w:tc>
        <w:tc>
          <w:tcPr>
            <w:tcW w:w="0" w:type="dxa"/>
            <w:vAlign w:val="bottom"/>
          </w:tcPr>
          <w:p>
            <w:pPr>
              <w:spacing w:after="0"/>
              <w:rPr>
                <w:sz w:val="1"/>
                <w:szCs w:val="1"/>
                <w:color w:val="auto"/>
              </w:rPr>
            </w:pPr>
          </w:p>
        </w:tc>
      </w:tr>
      <w:tr>
        <w:trPr>
          <w:trHeight w:val="169"/>
        </w:trPr>
        <w:tc>
          <w:tcPr>
            <w:tcW w:w="312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Jere W. Thompson III</w:t>
            </w:r>
          </w:p>
        </w:tc>
        <w:tc>
          <w:tcPr>
            <w:tcW w:w="236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3/1/2025</w:t>
            </w:r>
          </w:p>
        </w:tc>
        <w:tc>
          <w:tcPr>
            <w:tcW w:w="1640" w:type="dxa"/>
            <w:vAlign w:val="bottom"/>
            <w:tcBorders>
              <w:bottom w:val="single" w:sz="8" w:color="A8A9AC"/>
            </w:tcBorders>
          </w:tcPr>
          <w:p>
            <w:pPr>
              <w:jc w:val="right"/>
              <w:ind w:right="384"/>
              <w:spacing w:after="0" w:line="169" w:lineRule="exact"/>
              <w:rPr>
                <w:sz w:val="20"/>
                <w:szCs w:val="20"/>
                <w:color w:val="auto"/>
              </w:rPr>
            </w:pPr>
            <w:r>
              <w:rPr>
                <w:rFonts w:ascii="Arial" w:cs="Arial" w:eastAsia="Arial" w:hAnsi="Arial"/>
                <w:sz w:val="15"/>
                <w:szCs w:val="15"/>
                <w:color w:val="auto"/>
              </w:rPr>
              <w:t>4,332</w:t>
            </w:r>
          </w:p>
        </w:tc>
        <w:tc>
          <w:tcPr>
            <w:tcW w:w="1560" w:type="dxa"/>
            <w:vAlign w:val="bottom"/>
            <w:tcBorders>
              <w:bottom w:val="single" w:sz="8" w:color="A8A9AC"/>
            </w:tcBorders>
          </w:tcPr>
          <w:p>
            <w:pPr>
              <w:jc w:val="right"/>
              <w:ind w:right="584"/>
              <w:spacing w:after="0" w:line="169" w:lineRule="exact"/>
              <w:rPr>
                <w:sz w:val="20"/>
                <w:szCs w:val="20"/>
                <w:color w:val="auto"/>
              </w:rPr>
            </w:pPr>
            <w:r>
              <w:rPr>
                <w:rFonts w:ascii="Arial" w:cs="Arial" w:eastAsia="Arial" w:hAnsi="Arial"/>
                <w:sz w:val="15"/>
                <w:szCs w:val="15"/>
                <w:color w:val="auto"/>
              </w:rPr>
              <w:t>8,664</w:t>
            </w:r>
          </w:p>
        </w:tc>
        <w:tc>
          <w:tcPr>
            <w:tcW w:w="74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21,660</w:t>
            </w:r>
          </w:p>
        </w:tc>
        <w:tc>
          <w:tcPr>
            <w:tcW w:w="100" w:type="dxa"/>
            <w:vAlign w:val="bottom"/>
            <w:tcBorders>
              <w:bottom w:val="single" w:sz="8" w:color="A8A9AC"/>
            </w:tcBorders>
          </w:tcPr>
          <w:p>
            <w:pPr>
              <w:spacing w:after="0"/>
              <w:rPr>
                <w:sz w:val="14"/>
                <w:szCs w:val="14"/>
                <w:color w:val="auto"/>
              </w:rPr>
            </w:pPr>
          </w:p>
        </w:tc>
        <w:tc>
          <w:tcPr>
            <w:tcW w:w="72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8A9AC"/>
            </w:tcBorders>
          </w:tcPr>
          <w:p>
            <w:pPr>
              <w:jc w:val="right"/>
              <w:ind w:right="25"/>
              <w:spacing w:after="0" w:line="169" w:lineRule="exact"/>
              <w:rPr>
                <w:sz w:val="20"/>
                <w:szCs w:val="20"/>
                <w:color w:val="auto"/>
              </w:rPr>
            </w:pPr>
            <w:r>
              <w:rPr>
                <w:rFonts w:ascii="Arial" w:cs="Arial" w:eastAsia="Arial" w:hAnsi="Arial"/>
                <w:sz w:val="15"/>
                <w:szCs w:val="15"/>
                <w:color w:val="auto"/>
              </w:rPr>
              <w:t>584,214</w:t>
            </w:r>
          </w:p>
        </w:tc>
        <w:tc>
          <w:tcPr>
            <w:tcW w:w="0" w:type="dxa"/>
            <w:vAlign w:val="bottom"/>
          </w:tcPr>
          <w:p>
            <w:pPr>
              <w:spacing w:after="0"/>
              <w:rPr>
                <w:sz w:val="1"/>
                <w:szCs w:val="1"/>
                <w:color w:val="auto"/>
              </w:rPr>
            </w:pPr>
          </w:p>
        </w:tc>
      </w:tr>
      <w:tr>
        <w:trPr>
          <w:trHeight w:val="169"/>
        </w:trPr>
        <w:tc>
          <w:tcPr>
            <w:tcW w:w="312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Teresa L. Dick</w:t>
            </w:r>
          </w:p>
        </w:tc>
        <w:tc>
          <w:tcPr>
            <w:tcW w:w="236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3/1/2025</w:t>
            </w:r>
          </w:p>
        </w:tc>
        <w:tc>
          <w:tcPr>
            <w:tcW w:w="1640" w:type="dxa"/>
            <w:vAlign w:val="bottom"/>
            <w:tcBorders>
              <w:bottom w:val="single" w:sz="8" w:color="A8A9AC"/>
            </w:tcBorders>
          </w:tcPr>
          <w:p>
            <w:pPr>
              <w:jc w:val="right"/>
              <w:ind w:right="384"/>
              <w:spacing w:after="0" w:line="169" w:lineRule="exact"/>
              <w:rPr>
                <w:sz w:val="20"/>
                <w:szCs w:val="20"/>
                <w:color w:val="auto"/>
              </w:rPr>
            </w:pPr>
            <w:r>
              <w:rPr>
                <w:rFonts w:ascii="Arial" w:cs="Arial" w:eastAsia="Arial" w:hAnsi="Arial"/>
                <w:sz w:val="15"/>
                <w:szCs w:val="15"/>
                <w:color w:val="auto"/>
              </w:rPr>
              <w:t>2,708</w:t>
            </w:r>
          </w:p>
        </w:tc>
        <w:tc>
          <w:tcPr>
            <w:tcW w:w="1560" w:type="dxa"/>
            <w:vAlign w:val="bottom"/>
            <w:tcBorders>
              <w:bottom w:val="single" w:sz="8" w:color="A8A9AC"/>
            </w:tcBorders>
          </w:tcPr>
          <w:p>
            <w:pPr>
              <w:jc w:val="right"/>
              <w:ind w:right="584"/>
              <w:spacing w:after="0" w:line="169" w:lineRule="exact"/>
              <w:rPr>
                <w:sz w:val="20"/>
                <w:szCs w:val="20"/>
                <w:color w:val="auto"/>
              </w:rPr>
            </w:pPr>
            <w:r>
              <w:rPr>
                <w:rFonts w:ascii="Arial" w:cs="Arial" w:eastAsia="Arial" w:hAnsi="Arial"/>
                <w:sz w:val="15"/>
                <w:szCs w:val="15"/>
                <w:color w:val="auto"/>
              </w:rPr>
              <w:t>5,415</w:t>
            </w:r>
          </w:p>
        </w:tc>
        <w:tc>
          <w:tcPr>
            <w:tcW w:w="74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13,538</w:t>
            </w:r>
          </w:p>
        </w:tc>
        <w:tc>
          <w:tcPr>
            <w:tcW w:w="100" w:type="dxa"/>
            <w:vAlign w:val="bottom"/>
            <w:tcBorders>
              <w:bottom w:val="single" w:sz="8" w:color="A8A9AC"/>
            </w:tcBorders>
          </w:tcPr>
          <w:p>
            <w:pPr>
              <w:spacing w:after="0"/>
              <w:rPr>
                <w:sz w:val="14"/>
                <w:szCs w:val="14"/>
                <w:color w:val="auto"/>
              </w:rPr>
            </w:pPr>
          </w:p>
        </w:tc>
        <w:tc>
          <w:tcPr>
            <w:tcW w:w="72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8A9AC"/>
            </w:tcBorders>
          </w:tcPr>
          <w:p>
            <w:pPr>
              <w:jc w:val="right"/>
              <w:ind w:right="25"/>
              <w:spacing w:after="0" w:line="169" w:lineRule="exact"/>
              <w:rPr>
                <w:sz w:val="20"/>
                <w:szCs w:val="20"/>
                <w:color w:val="auto"/>
              </w:rPr>
            </w:pPr>
            <w:r>
              <w:rPr>
                <w:rFonts w:ascii="Arial" w:cs="Arial" w:eastAsia="Arial" w:hAnsi="Arial"/>
                <w:sz w:val="15"/>
                <w:szCs w:val="15"/>
                <w:color w:val="auto"/>
              </w:rPr>
              <w:t>365,133</w:t>
            </w:r>
          </w:p>
        </w:tc>
        <w:tc>
          <w:tcPr>
            <w:tcW w:w="0" w:type="dxa"/>
            <w:vAlign w:val="bottom"/>
          </w:tcPr>
          <w:p>
            <w:pPr>
              <w:spacing w:after="0"/>
              <w:rPr>
                <w:sz w:val="1"/>
                <w:szCs w:val="1"/>
                <w:color w:val="auto"/>
              </w:rPr>
            </w:pPr>
          </w:p>
        </w:tc>
      </w:tr>
      <w:tr>
        <w:trPr>
          <w:trHeight w:val="169"/>
        </w:trPr>
        <w:tc>
          <w:tcPr>
            <w:tcW w:w="312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Daniel N. Wesson</w:t>
            </w:r>
          </w:p>
        </w:tc>
        <w:tc>
          <w:tcPr>
            <w:tcW w:w="236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3/1/2025</w:t>
            </w:r>
          </w:p>
        </w:tc>
        <w:tc>
          <w:tcPr>
            <w:tcW w:w="1640" w:type="dxa"/>
            <w:vAlign w:val="bottom"/>
            <w:tcBorders>
              <w:bottom w:val="single" w:sz="8" w:color="A8A9AC"/>
            </w:tcBorders>
          </w:tcPr>
          <w:p>
            <w:pPr>
              <w:jc w:val="right"/>
              <w:ind w:right="384"/>
              <w:spacing w:after="0" w:line="169" w:lineRule="exact"/>
              <w:rPr>
                <w:sz w:val="20"/>
                <w:szCs w:val="20"/>
                <w:color w:val="auto"/>
              </w:rPr>
            </w:pPr>
            <w:r>
              <w:rPr>
                <w:rFonts w:ascii="Arial" w:cs="Arial" w:eastAsia="Arial" w:hAnsi="Arial"/>
                <w:sz w:val="15"/>
                <w:szCs w:val="15"/>
                <w:color w:val="auto"/>
              </w:rPr>
              <w:t>4,332</w:t>
            </w:r>
          </w:p>
        </w:tc>
        <w:tc>
          <w:tcPr>
            <w:tcW w:w="1560" w:type="dxa"/>
            <w:vAlign w:val="bottom"/>
            <w:tcBorders>
              <w:bottom w:val="single" w:sz="8" w:color="A8A9AC"/>
            </w:tcBorders>
          </w:tcPr>
          <w:p>
            <w:pPr>
              <w:jc w:val="right"/>
              <w:ind w:right="584"/>
              <w:spacing w:after="0" w:line="169" w:lineRule="exact"/>
              <w:rPr>
                <w:sz w:val="20"/>
                <w:szCs w:val="20"/>
                <w:color w:val="auto"/>
              </w:rPr>
            </w:pPr>
            <w:r>
              <w:rPr>
                <w:rFonts w:ascii="Arial" w:cs="Arial" w:eastAsia="Arial" w:hAnsi="Arial"/>
                <w:sz w:val="15"/>
                <w:szCs w:val="15"/>
                <w:color w:val="auto"/>
              </w:rPr>
              <w:t>8,664</w:t>
            </w:r>
          </w:p>
        </w:tc>
        <w:tc>
          <w:tcPr>
            <w:tcW w:w="74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21,660</w:t>
            </w:r>
          </w:p>
        </w:tc>
        <w:tc>
          <w:tcPr>
            <w:tcW w:w="100" w:type="dxa"/>
            <w:vAlign w:val="bottom"/>
            <w:tcBorders>
              <w:bottom w:val="single" w:sz="8" w:color="A8A9AC"/>
            </w:tcBorders>
          </w:tcPr>
          <w:p>
            <w:pPr>
              <w:spacing w:after="0"/>
              <w:rPr>
                <w:sz w:val="14"/>
                <w:szCs w:val="14"/>
                <w:color w:val="auto"/>
              </w:rPr>
            </w:pPr>
          </w:p>
        </w:tc>
        <w:tc>
          <w:tcPr>
            <w:tcW w:w="72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8A9AC"/>
            </w:tcBorders>
          </w:tcPr>
          <w:p>
            <w:pPr>
              <w:jc w:val="right"/>
              <w:ind w:right="25"/>
              <w:spacing w:after="0" w:line="169" w:lineRule="exact"/>
              <w:rPr>
                <w:sz w:val="20"/>
                <w:szCs w:val="20"/>
                <w:color w:val="auto"/>
              </w:rPr>
            </w:pPr>
            <w:r>
              <w:rPr>
                <w:rFonts w:ascii="Arial" w:cs="Arial" w:eastAsia="Arial" w:hAnsi="Arial"/>
                <w:sz w:val="15"/>
                <w:szCs w:val="15"/>
                <w:color w:val="auto"/>
              </w:rPr>
              <w:t>584,214</w:t>
            </w:r>
          </w:p>
        </w:tc>
        <w:tc>
          <w:tcPr>
            <w:tcW w:w="0" w:type="dxa"/>
            <w:vAlign w:val="bottom"/>
          </w:tcPr>
          <w:p>
            <w:pPr>
              <w:spacing w:after="0"/>
              <w:rPr>
                <w:sz w:val="1"/>
                <w:szCs w:val="1"/>
                <w:color w:val="auto"/>
              </w:rPr>
            </w:pPr>
          </w:p>
        </w:tc>
      </w:tr>
      <w:tr>
        <w:trPr>
          <w:trHeight w:val="169"/>
        </w:trPr>
        <w:tc>
          <w:tcPr>
            <w:tcW w:w="3120" w:type="dxa"/>
            <w:vAlign w:val="bottom"/>
            <w:tcBorders>
              <w:bottom w:val="single" w:sz="8" w:color="A26F2A"/>
            </w:tcBorders>
          </w:tcPr>
          <w:p>
            <w:pPr>
              <w:ind w:left="60"/>
              <w:spacing w:after="0" w:line="169" w:lineRule="exact"/>
              <w:rPr>
                <w:sz w:val="20"/>
                <w:szCs w:val="20"/>
                <w:color w:val="auto"/>
              </w:rPr>
            </w:pPr>
            <w:r>
              <w:rPr>
                <w:rFonts w:ascii="Arial" w:cs="Arial" w:eastAsia="Arial" w:hAnsi="Arial"/>
                <w:sz w:val="15"/>
                <w:szCs w:val="15"/>
                <w:b w:val="1"/>
                <w:bCs w:val="1"/>
                <w:color w:val="auto"/>
              </w:rPr>
              <w:t>Matt Zmigrosky</w:t>
            </w:r>
          </w:p>
        </w:tc>
        <w:tc>
          <w:tcPr>
            <w:tcW w:w="2360" w:type="dxa"/>
            <w:vAlign w:val="bottom"/>
            <w:tcBorders>
              <w:bottom w:val="single" w:sz="8" w:color="A26F2A"/>
            </w:tcBorders>
          </w:tcPr>
          <w:p>
            <w:pPr>
              <w:jc w:val="right"/>
              <w:ind w:right="124"/>
              <w:spacing w:after="0" w:line="169" w:lineRule="exact"/>
              <w:rPr>
                <w:sz w:val="20"/>
                <w:szCs w:val="20"/>
                <w:color w:val="auto"/>
              </w:rPr>
            </w:pPr>
            <w:r>
              <w:rPr>
                <w:rFonts w:ascii="Arial" w:cs="Arial" w:eastAsia="Arial" w:hAnsi="Arial"/>
                <w:sz w:val="15"/>
                <w:szCs w:val="15"/>
                <w:color w:val="auto"/>
              </w:rPr>
              <w:t>3/1/2025</w:t>
            </w:r>
          </w:p>
        </w:tc>
        <w:tc>
          <w:tcPr>
            <w:tcW w:w="1640" w:type="dxa"/>
            <w:vAlign w:val="bottom"/>
            <w:tcBorders>
              <w:bottom w:val="single" w:sz="8" w:color="A26F2A"/>
            </w:tcBorders>
          </w:tcPr>
          <w:p>
            <w:pPr>
              <w:jc w:val="right"/>
              <w:ind w:right="384"/>
              <w:spacing w:after="0" w:line="169" w:lineRule="exact"/>
              <w:rPr>
                <w:sz w:val="20"/>
                <w:szCs w:val="20"/>
                <w:color w:val="auto"/>
              </w:rPr>
            </w:pPr>
            <w:r>
              <w:rPr>
                <w:rFonts w:ascii="Arial" w:cs="Arial" w:eastAsia="Arial" w:hAnsi="Arial"/>
                <w:sz w:val="15"/>
                <w:szCs w:val="15"/>
                <w:color w:val="auto"/>
              </w:rPr>
              <w:t>4,332</w:t>
            </w:r>
          </w:p>
        </w:tc>
        <w:tc>
          <w:tcPr>
            <w:tcW w:w="1560" w:type="dxa"/>
            <w:vAlign w:val="bottom"/>
            <w:tcBorders>
              <w:bottom w:val="single" w:sz="8" w:color="A26F2A"/>
            </w:tcBorders>
          </w:tcPr>
          <w:p>
            <w:pPr>
              <w:jc w:val="right"/>
              <w:ind w:right="584"/>
              <w:spacing w:after="0" w:line="169" w:lineRule="exact"/>
              <w:rPr>
                <w:sz w:val="20"/>
                <w:szCs w:val="20"/>
                <w:color w:val="auto"/>
              </w:rPr>
            </w:pPr>
            <w:r>
              <w:rPr>
                <w:rFonts w:ascii="Arial" w:cs="Arial" w:eastAsia="Arial" w:hAnsi="Arial"/>
                <w:sz w:val="15"/>
                <w:szCs w:val="15"/>
                <w:color w:val="auto"/>
              </w:rPr>
              <w:t>8,664</w:t>
            </w:r>
          </w:p>
        </w:tc>
        <w:tc>
          <w:tcPr>
            <w:tcW w:w="74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21,660</w:t>
            </w:r>
          </w:p>
        </w:tc>
        <w:tc>
          <w:tcPr>
            <w:tcW w:w="100" w:type="dxa"/>
            <w:vAlign w:val="bottom"/>
            <w:tcBorders>
              <w:bottom w:val="single" w:sz="8" w:color="A26F2A"/>
            </w:tcBorders>
          </w:tcPr>
          <w:p>
            <w:pPr>
              <w:spacing w:after="0"/>
              <w:rPr>
                <w:sz w:val="14"/>
                <w:szCs w:val="14"/>
                <w:color w:val="auto"/>
              </w:rPr>
            </w:pPr>
          </w:p>
        </w:tc>
        <w:tc>
          <w:tcPr>
            <w:tcW w:w="720" w:type="dxa"/>
            <w:vAlign w:val="bottom"/>
            <w:tcBorders>
              <w:bottom w:val="single" w:sz="8" w:color="A26F2A"/>
            </w:tcBorders>
          </w:tcPr>
          <w:p>
            <w:pPr>
              <w:jc w:val="right"/>
              <w:ind w:right="124"/>
              <w:spacing w:after="0" w:line="169"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26F2A"/>
            </w:tcBorders>
          </w:tcPr>
          <w:p>
            <w:pPr>
              <w:jc w:val="right"/>
              <w:ind w:right="25"/>
              <w:spacing w:after="0" w:line="169" w:lineRule="exact"/>
              <w:rPr>
                <w:sz w:val="20"/>
                <w:szCs w:val="20"/>
                <w:color w:val="auto"/>
              </w:rPr>
            </w:pPr>
            <w:r>
              <w:rPr>
                <w:rFonts w:ascii="Arial" w:cs="Arial" w:eastAsia="Arial" w:hAnsi="Arial"/>
                <w:sz w:val="15"/>
                <w:szCs w:val="15"/>
                <w:color w:val="auto"/>
              </w:rPr>
              <w:t>584,214</w:t>
            </w: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300" w:hanging="299"/>
        <w:spacing w:after="0" w:line="249" w:lineRule="auto"/>
        <w:tabs>
          <w:tab w:leader="none" w:pos="300" w:val="left"/>
        </w:tabs>
        <w:numPr>
          <w:ilvl w:val="0"/>
          <w:numId w:val="100"/>
        </w:numPr>
        <w:rPr>
          <w:rFonts w:ascii="Arial" w:cs="Arial" w:eastAsia="Arial" w:hAnsi="Arial"/>
          <w:sz w:val="13"/>
          <w:szCs w:val="13"/>
          <w:i w:val="1"/>
          <w:iCs w:val="1"/>
          <w:color w:val="auto"/>
        </w:rPr>
      </w:pPr>
      <w:r>
        <w:rPr>
          <w:rFonts w:ascii="Arial" w:cs="Arial" w:eastAsia="Arial" w:hAnsi="Arial"/>
          <w:sz w:val="13"/>
          <w:szCs w:val="13"/>
          <w:i w:val="1"/>
          <w:iCs w:val="1"/>
          <w:color w:val="auto"/>
        </w:rPr>
        <w:t>For each NEO, these amounts represent the performance-based restricted stock units granted under the Viper LTIP, which awards are subject to the satisfaction of certain relative TSR performance conditions compared to Viper’s TSR performance peer group for the three-year performance period commencing on January 1, 2025 and ending on December 31, 2027, as certified by Viper’s compensation committee, and continuous service requirements. The number of restricted stock units that will vest is based on the achievement of a pre-established threshold, target or maximum relative TSR goal, as compared to Viper’s peers, as modified by the absolute TSR modifier. The TSR is calculated over the performance period by dividing (1) the sum of (a) the cumulative value of dividends received during the performance period, assuming reinvestment, plus (b) the difference between the average stock price for the month of December 2027 compared to the average stock price for the month of December 2024; by (2) the average stock price for the month of December 2024. No awards vest if the relative TSR for the applicable performance period is below the threshold percentile. The absolute TSR modifier reduces payouts upon negative performance period TSR, pays at target upon achieving a performance period annual TSR of zero to 15%, and increases payouts upon achieving a performance period annual TSR of greater than 15%.</w:t>
      </w:r>
    </w:p>
    <w:p>
      <w:pPr>
        <w:spacing w:after="0" w:line="34" w:lineRule="exact"/>
        <w:rPr>
          <w:rFonts w:ascii="Arial" w:cs="Arial" w:eastAsia="Arial" w:hAnsi="Arial"/>
          <w:sz w:val="13"/>
          <w:szCs w:val="13"/>
          <w:i w:val="1"/>
          <w:iCs w:val="1"/>
          <w:color w:val="auto"/>
        </w:rPr>
      </w:pPr>
    </w:p>
    <w:p>
      <w:pPr>
        <w:ind w:left="300" w:hanging="299"/>
        <w:spacing w:after="0"/>
        <w:tabs>
          <w:tab w:leader="none" w:pos="300" w:val="left"/>
        </w:tabs>
        <w:numPr>
          <w:ilvl w:val="0"/>
          <w:numId w:val="100"/>
        </w:numPr>
        <w:rPr>
          <w:rFonts w:ascii="Arial" w:cs="Arial" w:eastAsia="Arial" w:hAnsi="Arial"/>
          <w:sz w:val="13"/>
          <w:szCs w:val="13"/>
          <w:i w:val="1"/>
          <w:iCs w:val="1"/>
          <w:color w:val="auto"/>
        </w:rPr>
      </w:pPr>
      <w:r>
        <w:rPr>
          <w:rFonts w:ascii="Arial" w:cs="Arial" w:eastAsia="Arial" w:hAnsi="Arial"/>
          <w:sz w:val="13"/>
          <w:szCs w:val="13"/>
          <w:i w:val="1"/>
          <w:iCs w:val="1"/>
          <w:color w:val="auto"/>
        </w:rPr>
        <w:t>The amounts shown reflect the grant date fair value of the performance-based restricted stock units granted, determined in accordance with FASB ASC Topic 718.</w:t>
      </w:r>
    </w:p>
    <w:p>
      <w:pPr>
        <w:spacing w:after="0" w:line="174"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2" w:name="page73"/>
    <w:bookmarkEnd w:id="7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ind w:left="340" w:right="1960" w:hanging="336"/>
        <w:spacing w:after="0" w:line="291" w:lineRule="auto"/>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OUTSTANDING EQUITY AWARDS AT FISCAL 2025 YEAR-END UNDER</w:t>
      </w: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DIAMONDBACK’S EQUITY INCENTIVE PLAN</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concerning equity awards outstanding for our NEOs at December 31, 2025 under Diamondback’s Equity Incentive Plan: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80" w:type="dxa"/>
            <w:vAlign w:val="bottom"/>
          </w:tcPr>
          <w:p>
            <w:pPr>
              <w:spacing w:after="0"/>
              <w:rPr>
                <w:sz w:val="16"/>
                <w:szCs w:val="16"/>
                <w:color w:val="auto"/>
              </w:rPr>
            </w:pPr>
          </w:p>
        </w:tc>
        <w:tc>
          <w:tcPr>
            <w:tcW w:w="2200" w:type="dxa"/>
            <w:vAlign w:val="bottom"/>
            <w:gridSpan w:val="2"/>
          </w:tcPr>
          <w:p>
            <w:pPr>
              <w:jc w:val="right"/>
              <w:ind w:right="406"/>
              <w:spacing w:after="0"/>
              <w:rPr>
                <w:sz w:val="20"/>
                <w:szCs w:val="20"/>
                <w:color w:val="auto"/>
              </w:rPr>
            </w:pPr>
            <w:r>
              <w:rPr>
                <w:rFonts w:ascii="Arial" w:cs="Arial" w:eastAsia="Arial" w:hAnsi="Arial"/>
                <w:sz w:val="15"/>
                <w:szCs w:val="15"/>
                <w:b w:val="1"/>
                <w:bCs w:val="1"/>
                <w:color w:val="auto"/>
              </w:rPr>
              <w:t>Number of Shares or</w:t>
            </w:r>
          </w:p>
        </w:tc>
        <w:tc>
          <w:tcPr>
            <w:tcW w:w="1980" w:type="dxa"/>
            <w:vAlign w:val="bottom"/>
            <w:gridSpan w:val="2"/>
          </w:tcPr>
          <w:p>
            <w:pPr>
              <w:jc w:val="right"/>
              <w:spacing w:after="0"/>
              <w:rPr>
                <w:sz w:val="20"/>
                <w:szCs w:val="20"/>
                <w:color w:val="auto"/>
              </w:rPr>
            </w:pPr>
            <w:r>
              <w:rPr>
                <w:rFonts w:ascii="Arial" w:cs="Arial" w:eastAsia="Arial" w:hAnsi="Arial"/>
                <w:sz w:val="15"/>
                <w:szCs w:val="15"/>
                <w:b w:val="1"/>
                <w:bCs w:val="1"/>
                <w:color w:val="auto"/>
              </w:rPr>
              <w:t>Market Value of Shares</w:t>
            </w:r>
          </w:p>
        </w:tc>
        <w:tc>
          <w:tcPr>
            <w:tcW w:w="2720" w:type="dxa"/>
            <w:vAlign w:val="bottom"/>
          </w:tcPr>
          <w:p>
            <w:pPr>
              <w:jc w:val="right"/>
              <w:ind w:right="406"/>
              <w:spacing w:after="0"/>
              <w:rPr>
                <w:sz w:val="20"/>
                <w:szCs w:val="20"/>
                <w:color w:val="auto"/>
              </w:rPr>
            </w:pPr>
            <w:r>
              <w:rPr>
                <w:rFonts w:ascii="Arial" w:cs="Arial" w:eastAsia="Arial" w:hAnsi="Arial"/>
                <w:sz w:val="15"/>
                <w:szCs w:val="15"/>
                <w:b w:val="1"/>
                <w:bCs w:val="1"/>
                <w:color w:val="auto"/>
              </w:rPr>
              <w:t>Equity Incentive Plan Awards:</w:t>
            </w:r>
          </w:p>
        </w:tc>
        <w:tc>
          <w:tcPr>
            <w:tcW w:w="2560" w:type="dxa"/>
            <w:vAlign w:val="bottom"/>
            <w:gridSpan w:val="2"/>
          </w:tcPr>
          <w:p>
            <w:pPr>
              <w:jc w:val="right"/>
              <w:spacing w:after="0"/>
              <w:rPr>
                <w:sz w:val="20"/>
                <w:szCs w:val="20"/>
                <w:color w:val="auto"/>
              </w:rPr>
            </w:pPr>
            <w:r>
              <w:rPr>
                <w:rFonts w:ascii="Arial" w:cs="Arial" w:eastAsia="Arial" w:hAnsi="Arial"/>
                <w:sz w:val="15"/>
                <w:szCs w:val="15"/>
                <w:b w:val="1"/>
                <w:bCs w:val="1"/>
                <w:color w:val="auto"/>
              </w:rPr>
              <w:t>Equity Incentive Plan Awards:</w:t>
            </w:r>
          </w:p>
        </w:tc>
      </w:tr>
      <w:tr>
        <w:trPr>
          <w:trHeight w:val="177"/>
        </w:trPr>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tcPr>
          <w:p>
            <w:pPr>
              <w:jc w:val="right"/>
              <w:ind w:right="406"/>
              <w:spacing w:after="0"/>
              <w:rPr>
                <w:sz w:val="20"/>
                <w:szCs w:val="20"/>
                <w:color w:val="auto"/>
              </w:rPr>
            </w:pPr>
            <w:r>
              <w:rPr>
                <w:rFonts w:ascii="Arial" w:cs="Arial" w:eastAsia="Arial" w:hAnsi="Arial"/>
                <w:sz w:val="15"/>
                <w:szCs w:val="15"/>
                <w:b w:val="1"/>
                <w:bCs w:val="1"/>
                <w:color w:val="auto"/>
              </w:rPr>
              <w:t>Units of Stock That</w:t>
            </w:r>
          </w:p>
        </w:tc>
        <w:tc>
          <w:tcPr>
            <w:tcW w:w="1980" w:type="dxa"/>
            <w:vAlign w:val="bottom"/>
            <w:gridSpan w:val="2"/>
          </w:tcPr>
          <w:p>
            <w:pPr>
              <w:jc w:val="right"/>
              <w:spacing w:after="0"/>
              <w:rPr>
                <w:sz w:val="20"/>
                <w:szCs w:val="20"/>
                <w:color w:val="auto"/>
              </w:rPr>
            </w:pPr>
            <w:r>
              <w:rPr>
                <w:rFonts w:ascii="Arial" w:cs="Arial" w:eastAsia="Arial" w:hAnsi="Arial"/>
                <w:sz w:val="15"/>
                <w:szCs w:val="15"/>
                <w:b w:val="1"/>
                <w:bCs w:val="1"/>
                <w:color w:val="auto"/>
              </w:rPr>
              <w:t>or Units of Stock That</w:t>
            </w:r>
          </w:p>
        </w:tc>
        <w:tc>
          <w:tcPr>
            <w:tcW w:w="2720" w:type="dxa"/>
            <w:vAlign w:val="bottom"/>
          </w:tcPr>
          <w:p>
            <w:pPr>
              <w:jc w:val="right"/>
              <w:ind w:right="406"/>
              <w:spacing w:after="0"/>
              <w:rPr>
                <w:sz w:val="20"/>
                <w:szCs w:val="20"/>
                <w:color w:val="auto"/>
              </w:rPr>
            </w:pPr>
            <w:r>
              <w:rPr>
                <w:rFonts w:ascii="Arial" w:cs="Arial" w:eastAsia="Arial" w:hAnsi="Arial"/>
                <w:sz w:val="15"/>
                <w:szCs w:val="15"/>
                <w:b w:val="1"/>
                <w:bCs w:val="1"/>
                <w:color w:val="auto"/>
              </w:rPr>
              <w:t>Number of Unearned Shares</w:t>
            </w:r>
          </w:p>
        </w:tc>
        <w:tc>
          <w:tcPr>
            <w:tcW w:w="58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5"/>
                <w:szCs w:val="15"/>
                <w:b w:val="1"/>
                <w:bCs w:val="1"/>
                <w:color w:val="auto"/>
              </w:rPr>
              <w:t>Market or Payout Value of</w:t>
            </w:r>
          </w:p>
        </w:tc>
      </w:tr>
      <w:tr>
        <w:trPr>
          <w:trHeight w:val="177"/>
        </w:trPr>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tcPr>
          <w:p>
            <w:pPr>
              <w:jc w:val="right"/>
              <w:ind w:right="406"/>
              <w:spacing w:after="0"/>
              <w:rPr>
                <w:sz w:val="20"/>
                <w:szCs w:val="20"/>
                <w:color w:val="auto"/>
              </w:rPr>
            </w:pPr>
            <w:r>
              <w:rPr>
                <w:rFonts w:ascii="Arial" w:cs="Arial" w:eastAsia="Arial" w:hAnsi="Arial"/>
                <w:sz w:val="15"/>
                <w:szCs w:val="15"/>
                <w:b w:val="1"/>
                <w:bCs w:val="1"/>
                <w:color w:val="auto"/>
              </w:rPr>
              <w:t>Have Not Vested</w:t>
            </w:r>
          </w:p>
        </w:tc>
        <w:tc>
          <w:tcPr>
            <w:tcW w:w="5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Have Not Vested</w:t>
            </w:r>
          </w:p>
        </w:tc>
        <w:tc>
          <w:tcPr>
            <w:tcW w:w="2720" w:type="dxa"/>
            <w:vAlign w:val="bottom"/>
          </w:tcPr>
          <w:p>
            <w:pPr>
              <w:jc w:val="right"/>
              <w:ind w:right="406"/>
              <w:spacing w:after="0"/>
              <w:rPr>
                <w:sz w:val="20"/>
                <w:szCs w:val="20"/>
                <w:color w:val="auto"/>
              </w:rPr>
            </w:pPr>
            <w:r>
              <w:rPr>
                <w:rFonts w:ascii="Arial" w:cs="Arial" w:eastAsia="Arial" w:hAnsi="Arial"/>
                <w:sz w:val="15"/>
                <w:szCs w:val="15"/>
                <w:b w:val="1"/>
                <w:bCs w:val="1"/>
                <w:color w:val="auto"/>
              </w:rPr>
              <w:t>or Units of Stock That Have</w:t>
            </w:r>
          </w:p>
        </w:tc>
        <w:tc>
          <w:tcPr>
            <w:tcW w:w="2560" w:type="dxa"/>
            <w:vAlign w:val="bottom"/>
            <w:gridSpan w:val="2"/>
          </w:tcPr>
          <w:p>
            <w:pPr>
              <w:jc w:val="right"/>
              <w:spacing w:after="0"/>
              <w:rPr>
                <w:sz w:val="20"/>
                <w:szCs w:val="20"/>
                <w:color w:val="auto"/>
              </w:rPr>
            </w:pPr>
            <w:r>
              <w:rPr>
                <w:rFonts w:ascii="Arial" w:cs="Arial" w:eastAsia="Arial" w:hAnsi="Arial"/>
                <w:sz w:val="15"/>
                <w:szCs w:val="15"/>
                <w:b w:val="1"/>
                <w:bCs w:val="1"/>
                <w:color w:val="auto"/>
              </w:rPr>
              <w:t>Unearned Shares or Units of</w:t>
            </w:r>
          </w:p>
        </w:tc>
      </w:tr>
      <w:tr>
        <w:trPr>
          <w:trHeight w:val="220"/>
        </w:trPr>
        <w:tc>
          <w:tcPr>
            <w:tcW w:w="178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Name</w:t>
            </w:r>
          </w:p>
        </w:tc>
        <w:tc>
          <w:tcPr>
            <w:tcW w:w="2200" w:type="dxa"/>
            <w:vAlign w:val="bottom"/>
            <w:tcBorders>
              <w:bottom w:val="single" w:sz="8" w:color="A26F2A"/>
            </w:tcBorders>
            <w:gridSpan w:val="2"/>
          </w:tcPr>
          <w:p>
            <w:pPr>
              <w:jc w:val="right"/>
              <w:ind w:right="406"/>
              <w:spacing w:after="0"/>
              <w:rPr>
                <w:sz w:val="20"/>
                <w:szCs w:val="20"/>
                <w:color w:val="auto"/>
              </w:rPr>
            </w:pPr>
            <w:r>
              <w:rPr>
                <w:rFonts w:ascii="Arial" w:cs="Arial" w:eastAsia="Arial" w:hAnsi="Arial"/>
                <w:sz w:val="15"/>
                <w:szCs w:val="15"/>
                <w:b w:val="1"/>
                <w:bCs w:val="1"/>
                <w:color w:val="auto"/>
              </w:rPr>
              <w:t>(#)</w:t>
            </w:r>
          </w:p>
        </w:tc>
        <w:tc>
          <w:tcPr>
            <w:tcW w:w="560" w:type="dxa"/>
            <w:vAlign w:val="bottom"/>
            <w:tcBorders>
              <w:bottom w:val="single" w:sz="8" w:color="A26F2A"/>
            </w:tcBorders>
          </w:tcPr>
          <w:p>
            <w:pPr>
              <w:spacing w:after="0"/>
              <w:rPr>
                <w:sz w:val="19"/>
                <w:szCs w:val="19"/>
                <w:color w:val="auto"/>
              </w:rPr>
            </w:pPr>
          </w:p>
        </w:tc>
        <w:tc>
          <w:tcPr>
            <w:tcW w:w="1420" w:type="dxa"/>
            <w:vAlign w:val="bottom"/>
            <w:tcBorders>
              <w:bottom w:val="single" w:sz="8" w:color="A26F2A"/>
            </w:tcBorders>
          </w:tcPr>
          <w:p>
            <w:pPr>
              <w:jc w:val="right"/>
              <w:spacing w:after="0" w:line="214"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1"/>
                <w:szCs w:val="11"/>
                <w:b w:val="1"/>
                <w:bCs w:val="1"/>
                <w:color w:val="auto"/>
              </w:rPr>
              <w:t>(1)</w:t>
            </w:r>
          </w:p>
        </w:tc>
        <w:tc>
          <w:tcPr>
            <w:tcW w:w="2720" w:type="dxa"/>
            <w:vAlign w:val="bottom"/>
            <w:tcBorders>
              <w:bottom w:val="single" w:sz="8" w:color="A26F2A"/>
            </w:tcBorders>
          </w:tcPr>
          <w:p>
            <w:pPr>
              <w:jc w:val="right"/>
              <w:ind w:right="406"/>
              <w:spacing w:after="0"/>
              <w:rPr>
                <w:sz w:val="20"/>
                <w:szCs w:val="20"/>
                <w:color w:val="auto"/>
              </w:rPr>
            </w:pPr>
            <w:r>
              <w:rPr>
                <w:rFonts w:ascii="Arial" w:cs="Arial" w:eastAsia="Arial" w:hAnsi="Arial"/>
                <w:sz w:val="15"/>
                <w:szCs w:val="15"/>
                <w:b w:val="1"/>
                <w:bCs w:val="1"/>
                <w:color w:val="auto"/>
              </w:rPr>
              <w:t>Not Vested</w:t>
            </w:r>
          </w:p>
        </w:tc>
        <w:tc>
          <w:tcPr>
            <w:tcW w:w="2560" w:type="dxa"/>
            <w:vAlign w:val="bottom"/>
            <w:tcBorders>
              <w:bottom w:val="single" w:sz="8" w:color="A26F2A"/>
            </w:tcBorders>
            <w:gridSpan w:val="2"/>
          </w:tcPr>
          <w:p>
            <w:pPr>
              <w:jc w:val="right"/>
              <w:spacing w:after="0" w:line="214" w:lineRule="exact"/>
              <w:rPr>
                <w:sz w:val="20"/>
                <w:szCs w:val="20"/>
                <w:color w:val="auto"/>
              </w:rPr>
            </w:pPr>
            <w:r>
              <w:rPr>
                <w:rFonts w:ascii="Arial" w:cs="Arial" w:eastAsia="Arial" w:hAnsi="Arial"/>
                <w:sz w:val="15"/>
                <w:szCs w:val="15"/>
                <w:b w:val="1"/>
                <w:bCs w:val="1"/>
                <w:color w:val="auto"/>
              </w:rPr>
              <w:t>Stock That Have Not Vested</w:t>
            </w:r>
            <w:r>
              <w:rPr>
                <w:rFonts w:ascii="Arial" w:cs="Arial" w:eastAsia="Arial" w:hAnsi="Arial"/>
                <w:sz w:val="24"/>
                <w:szCs w:val="24"/>
                <w:b w:val="1"/>
                <w:bCs w:val="1"/>
                <w:color w:val="auto"/>
                <w:vertAlign w:val="superscript"/>
              </w:rPr>
              <w:t>(1)</w:t>
            </w:r>
          </w:p>
        </w:tc>
      </w:tr>
      <w:tr>
        <w:trPr>
          <w:trHeight w:val="189"/>
        </w:trPr>
        <w:tc>
          <w:tcPr>
            <w:tcW w:w="1780" w:type="dxa"/>
            <w:vAlign w:val="bottom"/>
          </w:tcPr>
          <w:p>
            <w:pPr>
              <w:ind w:left="60"/>
              <w:spacing w:after="0"/>
              <w:rPr>
                <w:sz w:val="20"/>
                <w:szCs w:val="20"/>
                <w:color w:val="auto"/>
              </w:rPr>
            </w:pPr>
            <w:r>
              <w:rPr>
                <w:rFonts w:ascii="Arial" w:cs="Arial" w:eastAsia="Arial" w:hAnsi="Arial"/>
                <w:sz w:val="15"/>
                <w:szCs w:val="15"/>
                <w:b w:val="1"/>
                <w:bCs w:val="1"/>
                <w:color w:val="auto"/>
              </w:rPr>
              <w:t>Travis D. Stice</w:t>
            </w:r>
          </w:p>
        </w:tc>
        <w:tc>
          <w:tcPr>
            <w:tcW w:w="220" w:type="dxa"/>
            <w:vAlign w:val="bottom"/>
          </w:tcPr>
          <w:p>
            <w:pPr>
              <w:spacing w:after="0"/>
              <w:rPr>
                <w:sz w:val="16"/>
                <w:szCs w:val="16"/>
                <w:color w:val="auto"/>
              </w:rPr>
            </w:pPr>
          </w:p>
        </w:tc>
        <w:tc>
          <w:tcPr>
            <w:tcW w:w="1980" w:type="dxa"/>
            <w:vAlign w:val="bottom"/>
            <w:tcBorders>
              <w:bottom w:val="single" w:sz="8" w:color="A8A9AC"/>
            </w:tcBorders>
          </w:tcPr>
          <w:p>
            <w:pPr>
              <w:spacing w:after="0"/>
              <w:rPr>
                <w:sz w:val="16"/>
                <w:szCs w:val="16"/>
                <w:color w:val="auto"/>
              </w:rPr>
            </w:pPr>
          </w:p>
        </w:tc>
        <w:tc>
          <w:tcPr>
            <w:tcW w:w="560" w:type="dxa"/>
            <w:vAlign w:val="bottom"/>
            <w:tcBorders>
              <w:bottom w:val="single" w:sz="8" w:color="A8A9AC"/>
            </w:tcBorders>
          </w:tcPr>
          <w:p>
            <w:pPr>
              <w:spacing w:after="0"/>
              <w:rPr>
                <w:sz w:val="16"/>
                <w:szCs w:val="16"/>
                <w:color w:val="auto"/>
              </w:rPr>
            </w:pPr>
          </w:p>
        </w:tc>
        <w:tc>
          <w:tcPr>
            <w:tcW w:w="1420" w:type="dxa"/>
            <w:vAlign w:val="bottom"/>
            <w:tcBorders>
              <w:bottom w:val="single" w:sz="8" w:color="A8A9AC"/>
            </w:tcBorders>
          </w:tcPr>
          <w:p>
            <w:pPr>
              <w:spacing w:after="0"/>
              <w:rPr>
                <w:sz w:val="16"/>
                <w:szCs w:val="16"/>
                <w:color w:val="auto"/>
              </w:rPr>
            </w:pPr>
          </w:p>
        </w:tc>
        <w:tc>
          <w:tcPr>
            <w:tcW w:w="2720" w:type="dxa"/>
            <w:vAlign w:val="bottom"/>
            <w:tcBorders>
              <w:bottom w:val="single" w:sz="8" w:color="A8A9AC"/>
            </w:tcBorders>
          </w:tcPr>
          <w:p>
            <w:pPr>
              <w:spacing w:after="0"/>
              <w:rPr>
                <w:sz w:val="16"/>
                <w:szCs w:val="16"/>
                <w:color w:val="auto"/>
              </w:rPr>
            </w:pPr>
          </w:p>
        </w:tc>
        <w:tc>
          <w:tcPr>
            <w:tcW w:w="580" w:type="dxa"/>
            <w:vAlign w:val="bottom"/>
            <w:tcBorders>
              <w:bottom w:val="single" w:sz="8" w:color="A8A9AC"/>
            </w:tcBorders>
          </w:tcPr>
          <w:p>
            <w:pPr>
              <w:spacing w:after="0"/>
              <w:rPr>
                <w:sz w:val="16"/>
                <w:szCs w:val="16"/>
                <w:color w:val="auto"/>
              </w:rPr>
            </w:pPr>
          </w:p>
        </w:tc>
        <w:tc>
          <w:tcPr>
            <w:tcW w:w="1980" w:type="dxa"/>
            <w:vAlign w:val="bottom"/>
            <w:tcBorders>
              <w:bottom w:val="single" w:sz="8" w:color="A8A9AC"/>
            </w:tcBorders>
          </w:tcPr>
          <w:p>
            <w:pPr>
              <w:spacing w:after="0"/>
              <w:rPr>
                <w:sz w:val="16"/>
                <w:szCs w:val="16"/>
                <w:color w:val="auto"/>
              </w:rPr>
            </w:pPr>
          </w:p>
        </w:tc>
      </w:tr>
      <w:tr>
        <w:trPr>
          <w:trHeight w:val="207"/>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Borders>
              <w:bottom w:val="single" w:sz="8" w:color="A8A9AC"/>
            </w:tcBorders>
          </w:tcPr>
          <w:p>
            <w:pPr>
              <w:jc w:val="right"/>
              <w:ind w:right="246"/>
              <w:spacing w:after="0" w:line="207" w:lineRule="exact"/>
              <w:rPr>
                <w:sz w:val="20"/>
                <w:szCs w:val="20"/>
                <w:color w:val="auto"/>
              </w:rPr>
            </w:pPr>
            <w:r>
              <w:rPr>
                <w:rFonts w:ascii="Arial" w:cs="Arial" w:eastAsia="Arial" w:hAnsi="Arial"/>
                <w:sz w:val="15"/>
                <w:szCs w:val="15"/>
                <w:color w:val="auto"/>
              </w:rPr>
              <w:t>7,320</w:t>
            </w:r>
            <w:r>
              <w:rPr>
                <w:rFonts w:ascii="Arial" w:cs="Arial" w:eastAsia="Arial" w:hAnsi="Arial"/>
                <w:sz w:val="24"/>
                <w:szCs w:val="24"/>
                <w:color w:val="auto"/>
                <w:vertAlign w:val="superscript"/>
              </w:rPr>
              <w:t>(2)</w:t>
            </w:r>
          </w:p>
        </w:tc>
        <w:tc>
          <w:tcPr>
            <w:tcW w:w="5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1,100,416</w:t>
            </w:r>
          </w:p>
        </w:tc>
        <w:tc>
          <w:tcPr>
            <w:tcW w:w="2720" w:type="dxa"/>
            <w:vAlign w:val="bottom"/>
            <w:tcBorders>
              <w:bottom w:val="single" w:sz="8" w:color="A8A9AC"/>
            </w:tcBorders>
          </w:tcPr>
          <w:p>
            <w:pPr>
              <w:jc w:val="right"/>
              <w:ind w:right="266"/>
              <w:spacing w:after="0" w:line="207" w:lineRule="exact"/>
              <w:rPr>
                <w:sz w:val="20"/>
                <w:szCs w:val="20"/>
                <w:color w:val="auto"/>
              </w:rPr>
            </w:pPr>
            <w:r>
              <w:rPr>
                <w:rFonts w:ascii="Arial" w:cs="Arial" w:eastAsia="Arial" w:hAnsi="Arial"/>
                <w:sz w:val="15"/>
                <w:szCs w:val="15"/>
                <w:color w:val="auto"/>
              </w:rPr>
              <w:t>65,886</w:t>
            </w:r>
            <w:r>
              <w:rPr>
                <w:rFonts w:ascii="Arial" w:cs="Arial" w:eastAsia="Arial" w:hAnsi="Arial"/>
                <w:sz w:val="24"/>
                <w:szCs w:val="24"/>
                <w:color w:val="auto"/>
                <w:vertAlign w:val="superscript"/>
              </w:rPr>
              <w:t>(3)</w:t>
            </w:r>
          </w:p>
        </w:tc>
        <w:tc>
          <w:tcPr>
            <w:tcW w:w="5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9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9,904,642</w:t>
            </w:r>
          </w:p>
        </w:tc>
      </w:tr>
      <w:tr>
        <w:trPr>
          <w:trHeight w:val="207"/>
        </w:trPr>
        <w:tc>
          <w:tcPr>
            <w:tcW w:w="1780" w:type="dxa"/>
            <w:vAlign w:val="bottom"/>
            <w:tcBorders>
              <w:bottom w:val="single" w:sz="8" w:color="A26F2A"/>
            </w:tcBorders>
          </w:tcPr>
          <w:p>
            <w:pPr>
              <w:spacing w:after="0"/>
              <w:rPr>
                <w:sz w:val="18"/>
                <w:szCs w:val="18"/>
                <w:color w:val="auto"/>
              </w:rPr>
            </w:pPr>
          </w:p>
        </w:tc>
        <w:tc>
          <w:tcPr>
            <w:tcW w:w="220" w:type="dxa"/>
            <w:vAlign w:val="bottom"/>
            <w:tcBorders>
              <w:bottom w:val="single" w:sz="8" w:color="A26F2A"/>
            </w:tcBorders>
          </w:tcPr>
          <w:p>
            <w:pPr>
              <w:spacing w:after="0"/>
              <w:rPr>
                <w:sz w:val="18"/>
                <w:szCs w:val="18"/>
                <w:color w:val="auto"/>
              </w:rPr>
            </w:pPr>
          </w:p>
        </w:tc>
        <w:tc>
          <w:tcPr>
            <w:tcW w:w="1980" w:type="dxa"/>
            <w:vAlign w:val="bottom"/>
            <w:tcBorders>
              <w:bottom w:val="single" w:sz="8" w:color="A26F2A"/>
            </w:tcBorders>
          </w:tcPr>
          <w:p>
            <w:pPr>
              <w:jc w:val="right"/>
              <w:ind w:right="246"/>
              <w:spacing w:after="0" w:line="207" w:lineRule="exact"/>
              <w:rPr>
                <w:sz w:val="20"/>
                <w:szCs w:val="20"/>
                <w:color w:val="auto"/>
              </w:rPr>
            </w:pPr>
            <w:r>
              <w:rPr>
                <w:rFonts w:ascii="Arial" w:cs="Arial" w:eastAsia="Arial" w:hAnsi="Arial"/>
                <w:sz w:val="15"/>
                <w:szCs w:val="15"/>
                <w:color w:val="auto"/>
              </w:rPr>
              <w:t>22,472</w:t>
            </w:r>
            <w:r>
              <w:rPr>
                <w:rFonts w:ascii="Arial" w:cs="Arial" w:eastAsia="Arial" w:hAnsi="Arial"/>
                <w:sz w:val="24"/>
                <w:szCs w:val="24"/>
                <w:color w:val="auto"/>
                <w:vertAlign w:val="superscript"/>
              </w:rPr>
              <w:t>(2)</w:t>
            </w:r>
          </w:p>
        </w:tc>
        <w:tc>
          <w:tcPr>
            <w:tcW w:w="560" w:type="dxa"/>
            <w:vAlign w:val="bottom"/>
            <w:tcBorders>
              <w:bottom w:val="single" w:sz="8" w:color="A26F2A"/>
            </w:tcBorders>
          </w:tcPr>
          <w:p>
            <w:pPr>
              <w:jc w:val="right"/>
              <w:ind w:right="10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3,378,216</w:t>
            </w:r>
          </w:p>
        </w:tc>
        <w:tc>
          <w:tcPr>
            <w:tcW w:w="2720" w:type="dxa"/>
            <w:vAlign w:val="bottom"/>
            <w:tcBorders>
              <w:bottom w:val="single" w:sz="8" w:color="A26F2A"/>
            </w:tcBorders>
          </w:tcPr>
          <w:p>
            <w:pPr>
              <w:jc w:val="right"/>
              <w:ind w:right="266"/>
              <w:spacing w:after="0" w:line="207" w:lineRule="exact"/>
              <w:rPr>
                <w:sz w:val="20"/>
                <w:szCs w:val="20"/>
                <w:color w:val="auto"/>
              </w:rPr>
            </w:pPr>
            <w:r>
              <w:rPr>
                <w:rFonts w:ascii="Arial" w:cs="Arial" w:eastAsia="Arial" w:hAnsi="Arial"/>
                <w:sz w:val="15"/>
                <w:szCs w:val="15"/>
                <w:color w:val="auto"/>
              </w:rPr>
              <w:t>50,564</w:t>
            </w:r>
            <w:r>
              <w:rPr>
                <w:rFonts w:ascii="Arial" w:cs="Arial" w:eastAsia="Arial" w:hAnsi="Arial"/>
                <w:sz w:val="24"/>
                <w:szCs w:val="24"/>
                <w:color w:val="auto"/>
                <w:vertAlign w:val="superscript"/>
              </w:rPr>
              <w:t>(4)</w:t>
            </w:r>
          </w:p>
        </w:tc>
        <w:tc>
          <w:tcPr>
            <w:tcW w:w="580" w:type="dxa"/>
            <w:vAlign w:val="bottom"/>
            <w:tcBorders>
              <w:bottom w:val="single" w:sz="8" w:color="A26F2A"/>
            </w:tcBorders>
          </w:tcPr>
          <w:p>
            <w:pPr>
              <w:jc w:val="right"/>
              <w:ind w:right="4"/>
              <w:spacing w:after="0"/>
              <w:rPr>
                <w:sz w:val="20"/>
                <w:szCs w:val="20"/>
                <w:color w:val="auto"/>
              </w:rPr>
            </w:pPr>
            <w:r>
              <w:rPr>
                <w:rFonts w:ascii="Arial" w:cs="Arial" w:eastAsia="Arial" w:hAnsi="Arial"/>
                <w:sz w:val="15"/>
                <w:szCs w:val="15"/>
                <w:color w:val="auto"/>
              </w:rPr>
              <w:t>$</w:t>
            </w:r>
          </w:p>
        </w:tc>
        <w:tc>
          <w:tcPr>
            <w:tcW w:w="198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7,601,286</w:t>
            </w:r>
          </w:p>
        </w:tc>
      </w:tr>
      <w:tr>
        <w:trPr>
          <w:trHeight w:val="182"/>
        </w:trPr>
        <w:tc>
          <w:tcPr>
            <w:tcW w:w="1780" w:type="dxa"/>
            <w:vAlign w:val="bottom"/>
          </w:tcPr>
          <w:p>
            <w:pPr>
              <w:ind w:left="60"/>
              <w:spacing w:after="0"/>
              <w:rPr>
                <w:sz w:val="20"/>
                <w:szCs w:val="20"/>
                <w:color w:val="auto"/>
              </w:rPr>
            </w:pPr>
            <w:r>
              <w:rPr>
                <w:rFonts w:ascii="Arial" w:cs="Arial" w:eastAsia="Arial" w:hAnsi="Arial"/>
                <w:sz w:val="15"/>
                <w:szCs w:val="15"/>
                <w:b w:val="1"/>
                <w:bCs w:val="1"/>
                <w:color w:val="auto"/>
              </w:rPr>
              <w:t>Kaes Van’t Hof</w:t>
            </w:r>
          </w:p>
        </w:tc>
        <w:tc>
          <w:tcPr>
            <w:tcW w:w="220" w:type="dxa"/>
            <w:vAlign w:val="bottom"/>
          </w:tcPr>
          <w:p>
            <w:pPr>
              <w:spacing w:after="0"/>
              <w:rPr>
                <w:sz w:val="15"/>
                <w:szCs w:val="15"/>
                <w:color w:val="auto"/>
              </w:rPr>
            </w:pPr>
          </w:p>
        </w:tc>
        <w:tc>
          <w:tcPr>
            <w:tcW w:w="1980" w:type="dxa"/>
            <w:vAlign w:val="bottom"/>
            <w:tcBorders>
              <w:bottom w:val="single" w:sz="8" w:color="A8A9AC"/>
            </w:tcBorders>
          </w:tcPr>
          <w:p>
            <w:pPr>
              <w:spacing w:after="0"/>
              <w:rPr>
                <w:sz w:val="15"/>
                <w:szCs w:val="15"/>
                <w:color w:val="auto"/>
              </w:rPr>
            </w:pPr>
          </w:p>
        </w:tc>
        <w:tc>
          <w:tcPr>
            <w:tcW w:w="560" w:type="dxa"/>
            <w:vAlign w:val="bottom"/>
            <w:tcBorders>
              <w:bottom w:val="single" w:sz="8" w:color="A8A9AC"/>
            </w:tcBorders>
          </w:tcPr>
          <w:p>
            <w:pPr>
              <w:spacing w:after="0"/>
              <w:rPr>
                <w:sz w:val="15"/>
                <w:szCs w:val="15"/>
                <w:color w:val="auto"/>
              </w:rPr>
            </w:pPr>
          </w:p>
        </w:tc>
        <w:tc>
          <w:tcPr>
            <w:tcW w:w="1420" w:type="dxa"/>
            <w:vAlign w:val="bottom"/>
            <w:tcBorders>
              <w:bottom w:val="single" w:sz="8" w:color="A8A9AC"/>
            </w:tcBorders>
          </w:tcPr>
          <w:p>
            <w:pPr>
              <w:spacing w:after="0"/>
              <w:rPr>
                <w:sz w:val="15"/>
                <w:szCs w:val="15"/>
                <w:color w:val="auto"/>
              </w:rPr>
            </w:pPr>
          </w:p>
        </w:tc>
        <w:tc>
          <w:tcPr>
            <w:tcW w:w="2720" w:type="dxa"/>
            <w:vAlign w:val="bottom"/>
            <w:tcBorders>
              <w:bottom w:val="single" w:sz="8" w:color="A8A9AC"/>
            </w:tcBorders>
          </w:tcPr>
          <w:p>
            <w:pPr>
              <w:spacing w:after="0"/>
              <w:rPr>
                <w:sz w:val="15"/>
                <w:szCs w:val="15"/>
                <w:color w:val="auto"/>
              </w:rPr>
            </w:pPr>
          </w:p>
        </w:tc>
        <w:tc>
          <w:tcPr>
            <w:tcW w:w="580" w:type="dxa"/>
            <w:vAlign w:val="bottom"/>
            <w:tcBorders>
              <w:bottom w:val="single" w:sz="8" w:color="A8A9AC"/>
            </w:tcBorders>
          </w:tcPr>
          <w:p>
            <w:pPr>
              <w:spacing w:after="0"/>
              <w:rPr>
                <w:sz w:val="15"/>
                <w:szCs w:val="15"/>
                <w:color w:val="auto"/>
              </w:rPr>
            </w:pPr>
          </w:p>
        </w:tc>
        <w:tc>
          <w:tcPr>
            <w:tcW w:w="1980" w:type="dxa"/>
            <w:vAlign w:val="bottom"/>
            <w:tcBorders>
              <w:bottom w:val="single" w:sz="8" w:color="A8A9AC"/>
            </w:tcBorders>
          </w:tcPr>
          <w:p>
            <w:pPr>
              <w:spacing w:after="0"/>
              <w:rPr>
                <w:sz w:val="15"/>
                <w:szCs w:val="15"/>
                <w:color w:val="auto"/>
              </w:rPr>
            </w:pPr>
          </w:p>
        </w:tc>
      </w:tr>
      <w:tr>
        <w:trPr>
          <w:trHeight w:val="207"/>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Borders>
              <w:bottom w:val="single" w:sz="8" w:color="A8A9AC"/>
            </w:tcBorders>
          </w:tcPr>
          <w:p>
            <w:pPr>
              <w:jc w:val="right"/>
              <w:ind w:right="246"/>
              <w:spacing w:after="0" w:line="207" w:lineRule="exact"/>
              <w:rPr>
                <w:sz w:val="20"/>
                <w:szCs w:val="20"/>
                <w:color w:val="auto"/>
              </w:rPr>
            </w:pPr>
            <w:r>
              <w:rPr>
                <w:rFonts w:ascii="Arial" w:cs="Arial" w:eastAsia="Arial" w:hAnsi="Arial"/>
                <w:sz w:val="15"/>
                <w:szCs w:val="15"/>
                <w:color w:val="auto"/>
              </w:rPr>
              <w:t>3,003</w:t>
            </w:r>
            <w:r>
              <w:rPr>
                <w:rFonts w:ascii="Arial" w:cs="Arial" w:eastAsia="Arial" w:hAnsi="Arial"/>
                <w:sz w:val="24"/>
                <w:szCs w:val="24"/>
                <w:color w:val="auto"/>
                <w:vertAlign w:val="superscript"/>
              </w:rPr>
              <w:t>(5)</w:t>
            </w:r>
          </w:p>
        </w:tc>
        <w:tc>
          <w:tcPr>
            <w:tcW w:w="5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451,441</w:t>
            </w:r>
          </w:p>
        </w:tc>
        <w:tc>
          <w:tcPr>
            <w:tcW w:w="2720" w:type="dxa"/>
            <w:vAlign w:val="bottom"/>
            <w:tcBorders>
              <w:bottom w:val="single" w:sz="8" w:color="A8A9AC"/>
            </w:tcBorders>
          </w:tcPr>
          <w:p>
            <w:pPr>
              <w:jc w:val="right"/>
              <w:ind w:right="266"/>
              <w:spacing w:after="0" w:line="207" w:lineRule="exact"/>
              <w:rPr>
                <w:sz w:val="20"/>
                <w:szCs w:val="20"/>
                <w:color w:val="auto"/>
              </w:rPr>
            </w:pPr>
            <w:r>
              <w:rPr>
                <w:rFonts w:ascii="Arial" w:cs="Arial" w:eastAsia="Arial" w:hAnsi="Arial"/>
                <w:sz w:val="15"/>
                <w:szCs w:val="15"/>
                <w:color w:val="auto"/>
              </w:rPr>
              <w:t>27,030</w:t>
            </w:r>
            <w:r>
              <w:rPr>
                <w:rFonts w:ascii="Arial" w:cs="Arial" w:eastAsia="Arial" w:hAnsi="Arial"/>
                <w:sz w:val="24"/>
                <w:szCs w:val="24"/>
                <w:color w:val="auto"/>
                <w:vertAlign w:val="superscript"/>
              </w:rPr>
              <w:t>(3)</w:t>
            </w:r>
          </w:p>
        </w:tc>
        <w:tc>
          <w:tcPr>
            <w:tcW w:w="580" w:type="dxa"/>
            <w:vAlign w:val="bottom"/>
            <w:tcBorders>
              <w:bottom w:val="single" w:sz="8" w:color="A8A9AC"/>
            </w:tcBorders>
          </w:tcPr>
          <w:p>
            <w:pPr>
              <w:jc w:val="right"/>
              <w:ind w:right="4"/>
              <w:spacing w:after="0"/>
              <w:rPr>
                <w:sz w:val="20"/>
                <w:szCs w:val="20"/>
                <w:color w:val="auto"/>
              </w:rPr>
            </w:pPr>
            <w:r>
              <w:rPr>
                <w:rFonts w:ascii="Arial" w:cs="Arial" w:eastAsia="Arial" w:hAnsi="Arial"/>
                <w:sz w:val="15"/>
                <w:szCs w:val="15"/>
                <w:color w:val="auto"/>
              </w:rPr>
              <w:t>$</w:t>
            </w:r>
          </w:p>
        </w:tc>
        <w:tc>
          <w:tcPr>
            <w:tcW w:w="19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4,063,420</w:t>
            </w:r>
          </w:p>
        </w:tc>
      </w:tr>
      <w:tr>
        <w:trPr>
          <w:trHeight w:val="207"/>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Borders>
              <w:bottom w:val="single" w:sz="8" w:color="A8A9AC"/>
            </w:tcBorders>
          </w:tcPr>
          <w:p>
            <w:pPr>
              <w:jc w:val="right"/>
              <w:ind w:right="246"/>
              <w:spacing w:after="0" w:line="207" w:lineRule="exact"/>
              <w:rPr>
                <w:sz w:val="20"/>
                <w:szCs w:val="20"/>
                <w:color w:val="auto"/>
              </w:rPr>
            </w:pPr>
            <w:r>
              <w:rPr>
                <w:rFonts w:ascii="Arial" w:cs="Arial" w:eastAsia="Arial" w:hAnsi="Arial"/>
                <w:sz w:val="15"/>
                <w:szCs w:val="15"/>
                <w:color w:val="auto"/>
              </w:rPr>
              <w:t>7,346</w:t>
            </w:r>
            <w:r>
              <w:rPr>
                <w:rFonts w:ascii="Arial" w:cs="Arial" w:eastAsia="Arial" w:hAnsi="Arial"/>
                <w:sz w:val="24"/>
                <w:szCs w:val="24"/>
                <w:color w:val="auto"/>
                <w:vertAlign w:val="superscript"/>
              </w:rPr>
              <w:t>(5)</w:t>
            </w:r>
          </w:p>
        </w:tc>
        <w:tc>
          <w:tcPr>
            <w:tcW w:w="5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1,104,324</w:t>
            </w:r>
          </w:p>
        </w:tc>
        <w:tc>
          <w:tcPr>
            <w:tcW w:w="2720" w:type="dxa"/>
            <w:vAlign w:val="bottom"/>
            <w:tcBorders>
              <w:bottom w:val="single" w:sz="8" w:color="A8A9AC"/>
            </w:tcBorders>
          </w:tcPr>
          <w:p>
            <w:pPr>
              <w:jc w:val="right"/>
              <w:ind w:right="266"/>
              <w:spacing w:after="0" w:line="207" w:lineRule="exact"/>
              <w:rPr>
                <w:sz w:val="20"/>
                <w:szCs w:val="20"/>
                <w:color w:val="auto"/>
              </w:rPr>
            </w:pPr>
            <w:r>
              <w:rPr>
                <w:rFonts w:ascii="Arial" w:cs="Arial" w:eastAsia="Arial" w:hAnsi="Arial"/>
                <w:sz w:val="15"/>
                <w:szCs w:val="15"/>
                <w:color w:val="auto"/>
              </w:rPr>
              <w:t>16,531</w:t>
            </w:r>
            <w:r>
              <w:rPr>
                <w:rFonts w:ascii="Arial" w:cs="Arial" w:eastAsia="Arial" w:hAnsi="Arial"/>
                <w:sz w:val="24"/>
                <w:szCs w:val="24"/>
                <w:color w:val="auto"/>
                <w:vertAlign w:val="superscript"/>
              </w:rPr>
              <w:t>(4)</w:t>
            </w:r>
          </w:p>
        </w:tc>
        <w:tc>
          <w:tcPr>
            <w:tcW w:w="580" w:type="dxa"/>
            <w:vAlign w:val="bottom"/>
            <w:tcBorders>
              <w:bottom w:val="single" w:sz="8" w:color="A8A9AC"/>
            </w:tcBorders>
          </w:tcPr>
          <w:p>
            <w:pPr>
              <w:jc w:val="right"/>
              <w:ind w:right="4"/>
              <w:spacing w:after="0"/>
              <w:rPr>
                <w:sz w:val="20"/>
                <w:szCs w:val="20"/>
                <w:color w:val="auto"/>
              </w:rPr>
            </w:pPr>
            <w:r>
              <w:rPr>
                <w:rFonts w:ascii="Arial" w:cs="Arial" w:eastAsia="Arial" w:hAnsi="Arial"/>
                <w:sz w:val="15"/>
                <w:szCs w:val="15"/>
                <w:color w:val="auto"/>
              </w:rPr>
              <w:t>$</w:t>
            </w:r>
          </w:p>
        </w:tc>
        <w:tc>
          <w:tcPr>
            <w:tcW w:w="19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2,485,105</w:t>
            </w:r>
          </w:p>
        </w:tc>
      </w:tr>
      <w:tr>
        <w:trPr>
          <w:trHeight w:val="207"/>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Borders>
              <w:bottom w:val="single" w:sz="8" w:color="A8A9AC"/>
            </w:tcBorders>
          </w:tcPr>
          <w:p>
            <w:pPr>
              <w:jc w:val="right"/>
              <w:ind w:right="246"/>
              <w:spacing w:after="0" w:line="207" w:lineRule="exact"/>
              <w:rPr>
                <w:sz w:val="20"/>
                <w:szCs w:val="20"/>
                <w:color w:val="auto"/>
              </w:rPr>
            </w:pPr>
            <w:r>
              <w:rPr>
                <w:rFonts w:ascii="Arial" w:cs="Arial" w:eastAsia="Arial" w:hAnsi="Arial"/>
                <w:sz w:val="15"/>
                <w:szCs w:val="15"/>
                <w:color w:val="auto"/>
              </w:rPr>
              <w:t>6,614</w:t>
            </w:r>
            <w:r>
              <w:rPr>
                <w:rFonts w:ascii="Arial" w:cs="Arial" w:eastAsia="Arial" w:hAnsi="Arial"/>
                <w:sz w:val="24"/>
                <w:szCs w:val="24"/>
                <w:color w:val="auto"/>
                <w:vertAlign w:val="superscript"/>
              </w:rPr>
              <w:t>(5)</w:t>
            </w:r>
          </w:p>
        </w:tc>
        <w:tc>
          <w:tcPr>
            <w:tcW w:w="5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994,283</w:t>
            </w:r>
          </w:p>
        </w:tc>
        <w:tc>
          <w:tcPr>
            <w:tcW w:w="2720" w:type="dxa"/>
            <w:vAlign w:val="bottom"/>
            <w:tcBorders>
              <w:bottom w:val="single" w:sz="8" w:color="A8A9AC"/>
            </w:tcBorders>
          </w:tcPr>
          <w:p>
            <w:pPr>
              <w:jc w:val="right"/>
              <w:ind w:right="266"/>
              <w:spacing w:after="0" w:line="207" w:lineRule="exact"/>
              <w:rPr>
                <w:sz w:val="20"/>
                <w:szCs w:val="20"/>
                <w:color w:val="auto"/>
              </w:rPr>
            </w:pPr>
            <w:r>
              <w:rPr>
                <w:rFonts w:ascii="Arial" w:cs="Arial" w:eastAsia="Arial" w:hAnsi="Arial"/>
                <w:sz w:val="15"/>
                <w:szCs w:val="15"/>
                <w:color w:val="auto"/>
              </w:rPr>
              <w:t>14,881</w:t>
            </w:r>
            <w:r>
              <w:rPr>
                <w:rFonts w:ascii="Arial" w:cs="Arial" w:eastAsia="Arial" w:hAnsi="Arial"/>
                <w:sz w:val="24"/>
                <w:szCs w:val="24"/>
                <w:color w:val="auto"/>
                <w:vertAlign w:val="superscript"/>
              </w:rPr>
              <w:t>(4)</w:t>
            </w:r>
          </w:p>
        </w:tc>
        <w:tc>
          <w:tcPr>
            <w:tcW w:w="580" w:type="dxa"/>
            <w:vAlign w:val="bottom"/>
            <w:tcBorders>
              <w:bottom w:val="single" w:sz="8" w:color="A8A9AC"/>
            </w:tcBorders>
          </w:tcPr>
          <w:p>
            <w:pPr>
              <w:jc w:val="right"/>
              <w:ind w:right="4"/>
              <w:spacing w:after="0"/>
              <w:rPr>
                <w:sz w:val="20"/>
                <w:szCs w:val="20"/>
                <w:color w:val="auto"/>
              </w:rPr>
            </w:pPr>
            <w:r>
              <w:rPr>
                <w:rFonts w:ascii="Arial" w:cs="Arial" w:eastAsia="Arial" w:hAnsi="Arial"/>
                <w:sz w:val="15"/>
                <w:szCs w:val="15"/>
                <w:color w:val="auto"/>
              </w:rPr>
              <w:t>$</w:t>
            </w:r>
          </w:p>
        </w:tc>
        <w:tc>
          <w:tcPr>
            <w:tcW w:w="19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2,237,061</w:t>
            </w:r>
          </w:p>
        </w:tc>
      </w:tr>
      <w:tr>
        <w:trPr>
          <w:trHeight w:val="207"/>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Borders>
              <w:bottom w:val="single" w:sz="8" w:color="A8A9AC"/>
            </w:tcBorders>
          </w:tcPr>
          <w:p>
            <w:pPr>
              <w:jc w:val="right"/>
              <w:ind w:right="246"/>
              <w:spacing w:after="0" w:line="207" w:lineRule="exact"/>
              <w:rPr>
                <w:sz w:val="20"/>
                <w:szCs w:val="20"/>
                <w:color w:val="auto"/>
              </w:rPr>
            </w:pPr>
            <w:r>
              <w:rPr>
                <w:rFonts w:ascii="Arial" w:cs="Arial" w:eastAsia="Arial" w:hAnsi="Arial"/>
                <w:sz w:val="15"/>
                <w:szCs w:val="15"/>
                <w:color w:val="auto"/>
              </w:rPr>
              <w:t>7,032</w:t>
            </w:r>
            <w:r>
              <w:rPr>
                <w:rFonts w:ascii="Arial" w:cs="Arial" w:eastAsia="Arial" w:hAnsi="Arial"/>
                <w:sz w:val="24"/>
                <w:szCs w:val="24"/>
                <w:color w:val="auto"/>
                <w:vertAlign w:val="superscript"/>
              </w:rPr>
              <w:t>(6)</w:t>
            </w:r>
          </w:p>
        </w:tc>
        <w:tc>
          <w:tcPr>
            <w:tcW w:w="5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1,057,121</w:t>
            </w:r>
          </w:p>
        </w:tc>
        <w:tc>
          <w:tcPr>
            <w:tcW w:w="2720" w:type="dxa"/>
            <w:vAlign w:val="bottom"/>
            <w:tcBorders>
              <w:bottom w:val="single" w:sz="8" w:color="A8A9AC"/>
            </w:tcBorders>
          </w:tcPr>
          <w:p>
            <w:pPr>
              <w:spacing w:after="0"/>
              <w:rPr>
                <w:sz w:val="18"/>
                <w:szCs w:val="18"/>
                <w:color w:val="auto"/>
              </w:rPr>
            </w:pPr>
          </w:p>
        </w:tc>
        <w:tc>
          <w:tcPr>
            <w:tcW w:w="580" w:type="dxa"/>
            <w:vAlign w:val="bottom"/>
            <w:tcBorders>
              <w:bottom w:val="single" w:sz="8" w:color="A8A9AC"/>
            </w:tcBorders>
          </w:tcPr>
          <w:p>
            <w:pPr>
              <w:spacing w:after="0"/>
              <w:rPr>
                <w:sz w:val="18"/>
                <w:szCs w:val="18"/>
                <w:color w:val="auto"/>
              </w:rPr>
            </w:pPr>
          </w:p>
        </w:tc>
        <w:tc>
          <w:tcPr>
            <w:tcW w:w="1980" w:type="dxa"/>
            <w:vAlign w:val="bottom"/>
            <w:tcBorders>
              <w:bottom w:val="single" w:sz="8" w:color="A8A9AC"/>
            </w:tcBorders>
          </w:tcPr>
          <w:p>
            <w:pPr>
              <w:spacing w:after="0"/>
              <w:rPr>
                <w:sz w:val="18"/>
                <w:szCs w:val="18"/>
                <w:color w:val="auto"/>
              </w:rPr>
            </w:pPr>
          </w:p>
        </w:tc>
      </w:tr>
      <w:tr>
        <w:trPr>
          <w:trHeight w:val="207"/>
        </w:trPr>
        <w:tc>
          <w:tcPr>
            <w:tcW w:w="1780" w:type="dxa"/>
            <w:vAlign w:val="bottom"/>
            <w:tcBorders>
              <w:bottom w:val="single" w:sz="8" w:color="A26F2A"/>
            </w:tcBorders>
          </w:tcPr>
          <w:p>
            <w:pPr>
              <w:spacing w:after="0"/>
              <w:rPr>
                <w:sz w:val="18"/>
                <w:szCs w:val="18"/>
                <w:color w:val="auto"/>
              </w:rPr>
            </w:pPr>
          </w:p>
        </w:tc>
        <w:tc>
          <w:tcPr>
            <w:tcW w:w="220" w:type="dxa"/>
            <w:vAlign w:val="bottom"/>
            <w:tcBorders>
              <w:bottom w:val="single" w:sz="8" w:color="A26F2A"/>
            </w:tcBorders>
          </w:tcPr>
          <w:p>
            <w:pPr>
              <w:spacing w:after="0"/>
              <w:rPr>
                <w:sz w:val="18"/>
                <w:szCs w:val="18"/>
                <w:color w:val="auto"/>
              </w:rPr>
            </w:pPr>
          </w:p>
        </w:tc>
        <w:tc>
          <w:tcPr>
            <w:tcW w:w="1980" w:type="dxa"/>
            <w:vAlign w:val="bottom"/>
            <w:tcBorders>
              <w:bottom w:val="single" w:sz="8" w:color="A26F2A"/>
            </w:tcBorders>
          </w:tcPr>
          <w:p>
            <w:pPr>
              <w:jc w:val="right"/>
              <w:ind w:right="246"/>
              <w:spacing w:after="0" w:line="207" w:lineRule="exact"/>
              <w:rPr>
                <w:sz w:val="20"/>
                <w:szCs w:val="20"/>
                <w:color w:val="auto"/>
              </w:rPr>
            </w:pPr>
            <w:r>
              <w:rPr>
                <w:rFonts w:ascii="Arial" w:cs="Arial" w:eastAsia="Arial" w:hAnsi="Arial"/>
                <w:sz w:val="15"/>
                <w:szCs w:val="15"/>
                <w:color w:val="auto"/>
              </w:rPr>
              <w:t>10,547</w:t>
            </w:r>
            <w:r>
              <w:rPr>
                <w:rFonts w:ascii="Arial" w:cs="Arial" w:eastAsia="Arial" w:hAnsi="Arial"/>
                <w:sz w:val="24"/>
                <w:szCs w:val="24"/>
                <w:color w:val="auto"/>
                <w:vertAlign w:val="superscript"/>
              </w:rPr>
              <w:t>(7)</w:t>
            </w:r>
          </w:p>
        </w:tc>
        <w:tc>
          <w:tcPr>
            <w:tcW w:w="560" w:type="dxa"/>
            <w:vAlign w:val="bottom"/>
            <w:tcBorders>
              <w:bottom w:val="single" w:sz="8" w:color="A26F2A"/>
            </w:tcBorders>
          </w:tcPr>
          <w:p>
            <w:pPr>
              <w:jc w:val="right"/>
              <w:ind w:right="10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1,585,531</w:t>
            </w:r>
          </w:p>
        </w:tc>
        <w:tc>
          <w:tcPr>
            <w:tcW w:w="2720" w:type="dxa"/>
            <w:vAlign w:val="bottom"/>
            <w:tcBorders>
              <w:bottom w:val="single" w:sz="8" w:color="A26F2A"/>
            </w:tcBorders>
          </w:tcPr>
          <w:p>
            <w:pPr>
              <w:spacing w:after="0"/>
              <w:rPr>
                <w:sz w:val="18"/>
                <w:szCs w:val="18"/>
                <w:color w:val="auto"/>
              </w:rPr>
            </w:pPr>
          </w:p>
        </w:tc>
        <w:tc>
          <w:tcPr>
            <w:tcW w:w="580" w:type="dxa"/>
            <w:vAlign w:val="bottom"/>
            <w:tcBorders>
              <w:bottom w:val="single" w:sz="8" w:color="A26F2A"/>
            </w:tcBorders>
          </w:tcPr>
          <w:p>
            <w:pPr>
              <w:spacing w:after="0"/>
              <w:rPr>
                <w:sz w:val="18"/>
                <w:szCs w:val="18"/>
                <w:color w:val="auto"/>
              </w:rPr>
            </w:pPr>
          </w:p>
        </w:tc>
        <w:tc>
          <w:tcPr>
            <w:tcW w:w="1980" w:type="dxa"/>
            <w:vAlign w:val="bottom"/>
            <w:tcBorders>
              <w:bottom w:val="single" w:sz="8" w:color="A26F2A"/>
            </w:tcBorders>
          </w:tcPr>
          <w:p>
            <w:pPr>
              <w:spacing w:after="0"/>
              <w:rPr>
                <w:sz w:val="18"/>
                <w:szCs w:val="18"/>
                <w:color w:val="auto"/>
              </w:rPr>
            </w:pPr>
          </w:p>
        </w:tc>
      </w:tr>
      <w:tr>
        <w:trPr>
          <w:trHeight w:val="182"/>
        </w:trPr>
        <w:tc>
          <w:tcPr>
            <w:tcW w:w="1780" w:type="dxa"/>
            <w:vAlign w:val="bottom"/>
          </w:tcPr>
          <w:p>
            <w:pPr>
              <w:ind w:left="60"/>
              <w:spacing w:after="0"/>
              <w:rPr>
                <w:sz w:val="20"/>
                <w:szCs w:val="20"/>
                <w:color w:val="auto"/>
              </w:rPr>
            </w:pPr>
            <w:r>
              <w:rPr>
                <w:rFonts w:ascii="Arial" w:cs="Arial" w:eastAsia="Arial" w:hAnsi="Arial"/>
                <w:sz w:val="15"/>
                <w:szCs w:val="15"/>
                <w:b w:val="1"/>
                <w:bCs w:val="1"/>
                <w:color w:val="auto"/>
              </w:rPr>
              <w:t>Jere W. Thompson III</w:t>
            </w:r>
          </w:p>
        </w:tc>
        <w:tc>
          <w:tcPr>
            <w:tcW w:w="220" w:type="dxa"/>
            <w:vAlign w:val="bottom"/>
          </w:tcPr>
          <w:p>
            <w:pPr>
              <w:spacing w:after="0"/>
              <w:rPr>
                <w:sz w:val="15"/>
                <w:szCs w:val="15"/>
                <w:color w:val="auto"/>
              </w:rPr>
            </w:pPr>
          </w:p>
        </w:tc>
        <w:tc>
          <w:tcPr>
            <w:tcW w:w="1980" w:type="dxa"/>
            <w:vAlign w:val="bottom"/>
            <w:tcBorders>
              <w:bottom w:val="single" w:sz="8" w:color="A8A9AC"/>
            </w:tcBorders>
          </w:tcPr>
          <w:p>
            <w:pPr>
              <w:spacing w:after="0"/>
              <w:rPr>
                <w:sz w:val="15"/>
                <w:szCs w:val="15"/>
                <w:color w:val="auto"/>
              </w:rPr>
            </w:pPr>
          </w:p>
        </w:tc>
        <w:tc>
          <w:tcPr>
            <w:tcW w:w="560" w:type="dxa"/>
            <w:vAlign w:val="bottom"/>
            <w:tcBorders>
              <w:bottom w:val="single" w:sz="8" w:color="A8A9AC"/>
            </w:tcBorders>
          </w:tcPr>
          <w:p>
            <w:pPr>
              <w:spacing w:after="0"/>
              <w:rPr>
                <w:sz w:val="15"/>
                <w:szCs w:val="15"/>
                <w:color w:val="auto"/>
              </w:rPr>
            </w:pPr>
          </w:p>
        </w:tc>
        <w:tc>
          <w:tcPr>
            <w:tcW w:w="1420" w:type="dxa"/>
            <w:vAlign w:val="bottom"/>
            <w:tcBorders>
              <w:bottom w:val="single" w:sz="8" w:color="A8A9AC"/>
            </w:tcBorders>
          </w:tcPr>
          <w:p>
            <w:pPr>
              <w:spacing w:after="0"/>
              <w:rPr>
                <w:sz w:val="15"/>
                <w:szCs w:val="15"/>
                <w:color w:val="auto"/>
              </w:rPr>
            </w:pPr>
          </w:p>
        </w:tc>
        <w:tc>
          <w:tcPr>
            <w:tcW w:w="2720" w:type="dxa"/>
            <w:vAlign w:val="bottom"/>
            <w:tcBorders>
              <w:bottom w:val="single" w:sz="8" w:color="A8A9AC"/>
            </w:tcBorders>
          </w:tcPr>
          <w:p>
            <w:pPr>
              <w:spacing w:after="0"/>
              <w:rPr>
                <w:sz w:val="15"/>
                <w:szCs w:val="15"/>
                <w:color w:val="auto"/>
              </w:rPr>
            </w:pPr>
          </w:p>
        </w:tc>
        <w:tc>
          <w:tcPr>
            <w:tcW w:w="580" w:type="dxa"/>
            <w:vAlign w:val="bottom"/>
            <w:tcBorders>
              <w:bottom w:val="single" w:sz="8" w:color="A8A9AC"/>
            </w:tcBorders>
          </w:tcPr>
          <w:p>
            <w:pPr>
              <w:spacing w:after="0"/>
              <w:rPr>
                <w:sz w:val="15"/>
                <w:szCs w:val="15"/>
                <w:color w:val="auto"/>
              </w:rPr>
            </w:pPr>
          </w:p>
        </w:tc>
        <w:tc>
          <w:tcPr>
            <w:tcW w:w="1980" w:type="dxa"/>
            <w:vAlign w:val="bottom"/>
            <w:tcBorders>
              <w:bottom w:val="single" w:sz="8" w:color="A8A9AC"/>
            </w:tcBorders>
          </w:tcPr>
          <w:p>
            <w:pPr>
              <w:spacing w:after="0"/>
              <w:rPr>
                <w:sz w:val="15"/>
                <w:szCs w:val="15"/>
                <w:color w:val="auto"/>
              </w:rPr>
            </w:pPr>
          </w:p>
        </w:tc>
      </w:tr>
      <w:tr>
        <w:trPr>
          <w:trHeight w:val="207"/>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Borders>
              <w:bottom w:val="single" w:sz="8" w:color="A8A9AC"/>
            </w:tcBorders>
          </w:tcPr>
          <w:p>
            <w:pPr>
              <w:jc w:val="right"/>
              <w:ind w:right="246"/>
              <w:spacing w:after="0" w:line="207" w:lineRule="exact"/>
              <w:rPr>
                <w:sz w:val="20"/>
                <w:szCs w:val="20"/>
                <w:color w:val="auto"/>
              </w:rPr>
            </w:pPr>
            <w:r>
              <w:rPr>
                <w:rFonts w:ascii="Arial" w:cs="Arial" w:eastAsia="Arial" w:hAnsi="Arial"/>
                <w:sz w:val="15"/>
                <w:szCs w:val="15"/>
                <w:color w:val="auto"/>
              </w:rPr>
              <w:t>1,314</w:t>
            </w:r>
            <w:r>
              <w:rPr>
                <w:rFonts w:ascii="Arial" w:cs="Arial" w:eastAsia="Arial" w:hAnsi="Arial"/>
                <w:sz w:val="24"/>
                <w:szCs w:val="24"/>
                <w:color w:val="auto"/>
                <w:vertAlign w:val="superscript"/>
              </w:rPr>
              <w:t>(8)</w:t>
            </w:r>
          </w:p>
        </w:tc>
        <w:tc>
          <w:tcPr>
            <w:tcW w:w="5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197,534</w:t>
            </w:r>
          </w:p>
        </w:tc>
        <w:tc>
          <w:tcPr>
            <w:tcW w:w="2720" w:type="dxa"/>
            <w:vAlign w:val="bottom"/>
            <w:tcBorders>
              <w:bottom w:val="single" w:sz="8" w:color="A8A9AC"/>
            </w:tcBorders>
          </w:tcPr>
          <w:p>
            <w:pPr>
              <w:jc w:val="right"/>
              <w:ind w:right="266"/>
              <w:spacing w:after="0" w:line="207" w:lineRule="exact"/>
              <w:rPr>
                <w:sz w:val="20"/>
                <w:szCs w:val="20"/>
                <w:color w:val="auto"/>
              </w:rPr>
            </w:pPr>
            <w:r>
              <w:rPr>
                <w:rFonts w:ascii="Arial" w:cs="Arial" w:eastAsia="Arial" w:hAnsi="Arial"/>
                <w:sz w:val="15"/>
                <w:szCs w:val="15"/>
                <w:color w:val="auto"/>
              </w:rPr>
              <w:t>11,826</w:t>
            </w:r>
            <w:r>
              <w:rPr>
                <w:rFonts w:ascii="Arial" w:cs="Arial" w:eastAsia="Arial" w:hAnsi="Arial"/>
                <w:sz w:val="24"/>
                <w:szCs w:val="24"/>
                <w:color w:val="auto"/>
                <w:vertAlign w:val="superscript"/>
              </w:rPr>
              <w:t>(3)</w:t>
            </w:r>
          </w:p>
        </w:tc>
        <w:tc>
          <w:tcPr>
            <w:tcW w:w="580" w:type="dxa"/>
            <w:vAlign w:val="bottom"/>
            <w:tcBorders>
              <w:bottom w:val="single" w:sz="8" w:color="A8A9AC"/>
            </w:tcBorders>
          </w:tcPr>
          <w:p>
            <w:pPr>
              <w:jc w:val="right"/>
              <w:ind w:right="4"/>
              <w:spacing w:after="0"/>
              <w:rPr>
                <w:sz w:val="20"/>
                <w:szCs w:val="20"/>
                <w:color w:val="auto"/>
              </w:rPr>
            </w:pPr>
            <w:r>
              <w:rPr>
                <w:rFonts w:ascii="Arial" w:cs="Arial" w:eastAsia="Arial" w:hAnsi="Arial"/>
                <w:sz w:val="15"/>
                <w:szCs w:val="15"/>
                <w:color w:val="auto"/>
              </w:rPr>
              <w:t>$</w:t>
            </w:r>
          </w:p>
        </w:tc>
        <w:tc>
          <w:tcPr>
            <w:tcW w:w="19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1,777,803</w:t>
            </w:r>
          </w:p>
        </w:tc>
      </w:tr>
      <w:tr>
        <w:trPr>
          <w:trHeight w:val="207"/>
        </w:trPr>
        <w:tc>
          <w:tcPr>
            <w:tcW w:w="1780" w:type="dxa"/>
            <w:vAlign w:val="bottom"/>
            <w:tcBorders>
              <w:bottom w:val="single" w:sz="8" w:color="A26F2A"/>
            </w:tcBorders>
          </w:tcPr>
          <w:p>
            <w:pPr>
              <w:spacing w:after="0"/>
              <w:rPr>
                <w:sz w:val="18"/>
                <w:szCs w:val="18"/>
                <w:color w:val="auto"/>
              </w:rPr>
            </w:pPr>
          </w:p>
        </w:tc>
        <w:tc>
          <w:tcPr>
            <w:tcW w:w="220" w:type="dxa"/>
            <w:vAlign w:val="bottom"/>
            <w:tcBorders>
              <w:bottom w:val="single" w:sz="8" w:color="A26F2A"/>
            </w:tcBorders>
          </w:tcPr>
          <w:p>
            <w:pPr>
              <w:spacing w:after="0"/>
              <w:rPr>
                <w:sz w:val="18"/>
                <w:szCs w:val="18"/>
                <w:color w:val="auto"/>
              </w:rPr>
            </w:pPr>
          </w:p>
        </w:tc>
        <w:tc>
          <w:tcPr>
            <w:tcW w:w="1980" w:type="dxa"/>
            <w:vAlign w:val="bottom"/>
            <w:tcBorders>
              <w:bottom w:val="single" w:sz="8" w:color="A26F2A"/>
            </w:tcBorders>
          </w:tcPr>
          <w:p>
            <w:pPr>
              <w:jc w:val="right"/>
              <w:ind w:right="246"/>
              <w:spacing w:after="0" w:line="207" w:lineRule="exact"/>
              <w:rPr>
                <w:sz w:val="20"/>
                <w:szCs w:val="20"/>
                <w:color w:val="auto"/>
              </w:rPr>
            </w:pPr>
            <w:r>
              <w:rPr>
                <w:rFonts w:ascii="Arial" w:cs="Arial" w:eastAsia="Arial" w:hAnsi="Arial"/>
                <w:sz w:val="15"/>
                <w:szCs w:val="15"/>
                <w:color w:val="auto"/>
              </w:rPr>
              <w:t>3,630</w:t>
            </w:r>
            <w:r>
              <w:rPr>
                <w:rFonts w:ascii="Arial" w:cs="Arial" w:eastAsia="Arial" w:hAnsi="Arial"/>
                <w:sz w:val="24"/>
                <w:szCs w:val="24"/>
                <w:color w:val="auto"/>
                <w:vertAlign w:val="superscript"/>
              </w:rPr>
              <w:t>(8)</w:t>
            </w:r>
          </w:p>
        </w:tc>
        <w:tc>
          <w:tcPr>
            <w:tcW w:w="560" w:type="dxa"/>
            <w:vAlign w:val="bottom"/>
            <w:tcBorders>
              <w:bottom w:val="single" w:sz="8" w:color="A26F2A"/>
            </w:tcBorders>
          </w:tcPr>
          <w:p>
            <w:pPr>
              <w:jc w:val="right"/>
              <w:ind w:right="10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545,698</w:t>
            </w:r>
          </w:p>
        </w:tc>
        <w:tc>
          <w:tcPr>
            <w:tcW w:w="2720" w:type="dxa"/>
            <w:vAlign w:val="bottom"/>
            <w:tcBorders>
              <w:bottom w:val="single" w:sz="8" w:color="A26F2A"/>
            </w:tcBorders>
          </w:tcPr>
          <w:p>
            <w:pPr>
              <w:jc w:val="right"/>
              <w:ind w:right="266"/>
              <w:spacing w:after="0" w:line="207" w:lineRule="exact"/>
              <w:rPr>
                <w:sz w:val="20"/>
                <w:szCs w:val="20"/>
                <w:color w:val="auto"/>
              </w:rPr>
            </w:pPr>
            <w:r>
              <w:rPr>
                <w:rFonts w:ascii="Arial" w:cs="Arial" w:eastAsia="Arial" w:hAnsi="Arial"/>
                <w:sz w:val="15"/>
                <w:szCs w:val="15"/>
                <w:color w:val="auto"/>
              </w:rPr>
              <w:t>8,168</w:t>
            </w:r>
            <w:r>
              <w:rPr>
                <w:rFonts w:ascii="Arial" w:cs="Arial" w:eastAsia="Arial" w:hAnsi="Arial"/>
                <w:sz w:val="24"/>
                <w:szCs w:val="24"/>
                <w:color w:val="auto"/>
                <w:vertAlign w:val="superscript"/>
              </w:rPr>
              <w:t>(4)</w:t>
            </w:r>
          </w:p>
        </w:tc>
        <w:tc>
          <w:tcPr>
            <w:tcW w:w="580" w:type="dxa"/>
            <w:vAlign w:val="bottom"/>
            <w:tcBorders>
              <w:bottom w:val="single" w:sz="8" w:color="A26F2A"/>
            </w:tcBorders>
          </w:tcPr>
          <w:p>
            <w:pPr>
              <w:jc w:val="right"/>
              <w:ind w:right="4"/>
              <w:spacing w:after="0"/>
              <w:rPr>
                <w:sz w:val="20"/>
                <w:szCs w:val="20"/>
                <w:color w:val="auto"/>
              </w:rPr>
            </w:pPr>
            <w:r>
              <w:rPr>
                <w:rFonts w:ascii="Arial" w:cs="Arial" w:eastAsia="Arial" w:hAnsi="Arial"/>
                <w:sz w:val="15"/>
                <w:szCs w:val="15"/>
                <w:color w:val="auto"/>
              </w:rPr>
              <w:t>$</w:t>
            </w:r>
          </w:p>
        </w:tc>
        <w:tc>
          <w:tcPr>
            <w:tcW w:w="198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1,227,895</w:t>
            </w:r>
          </w:p>
        </w:tc>
      </w:tr>
      <w:tr>
        <w:trPr>
          <w:trHeight w:val="182"/>
        </w:trPr>
        <w:tc>
          <w:tcPr>
            <w:tcW w:w="1780" w:type="dxa"/>
            <w:vAlign w:val="bottom"/>
          </w:tcPr>
          <w:p>
            <w:pPr>
              <w:ind w:left="60"/>
              <w:spacing w:after="0"/>
              <w:rPr>
                <w:sz w:val="20"/>
                <w:szCs w:val="20"/>
                <w:color w:val="auto"/>
              </w:rPr>
            </w:pPr>
            <w:r>
              <w:rPr>
                <w:rFonts w:ascii="Arial" w:cs="Arial" w:eastAsia="Arial" w:hAnsi="Arial"/>
                <w:sz w:val="15"/>
                <w:szCs w:val="15"/>
                <w:b w:val="1"/>
                <w:bCs w:val="1"/>
                <w:color w:val="auto"/>
              </w:rPr>
              <w:t>Teresa L. Dick</w:t>
            </w:r>
          </w:p>
        </w:tc>
        <w:tc>
          <w:tcPr>
            <w:tcW w:w="220" w:type="dxa"/>
            <w:vAlign w:val="bottom"/>
          </w:tcPr>
          <w:p>
            <w:pPr>
              <w:spacing w:after="0"/>
              <w:rPr>
                <w:sz w:val="15"/>
                <w:szCs w:val="15"/>
                <w:color w:val="auto"/>
              </w:rPr>
            </w:pPr>
          </w:p>
        </w:tc>
        <w:tc>
          <w:tcPr>
            <w:tcW w:w="1980" w:type="dxa"/>
            <w:vAlign w:val="bottom"/>
            <w:tcBorders>
              <w:bottom w:val="single" w:sz="8" w:color="A8A9AC"/>
            </w:tcBorders>
          </w:tcPr>
          <w:p>
            <w:pPr>
              <w:spacing w:after="0"/>
              <w:rPr>
                <w:sz w:val="15"/>
                <w:szCs w:val="15"/>
                <w:color w:val="auto"/>
              </w:rPr>
            </w:pPr>
          </w:p>
        </w:tc>
        <w:tc>
          <w:tcPr>
            <w:tcW w:w="560" w:type="dxa"/>
            <w:vAlign w:val="bottom"/>
            <w:tcBorders>
              <w:bottom w:val="single" w:sz="8" w:color="A8A9AC"/>
            </w:tcBorders>
          </w:tcPr>
          <w:p>
            <w:pPr>
              <w:spacing w:after="0"/>
              <w:rPr>
                <w:sz w:val="15"/>
                <w:szCs w:val="15"/>
                <w:color w:val="auto"/>
              </w:rPr>
            </w:pPr>
          </w:p>
        </w:tc>
        <w:tc>
          <w:tcPr>
            <w:tcW w:w="1420" w:type="dxa"/>
            <w:vAlign w:val="bottom"/>
            <w:tcBorders>
              <w:bottom w:val="single" w:sz="8" w:color="A8A9AC"/>
            </w:tcBorders>
          </w:tcPr>
          <w:p>
            <w:pPr>
              <w:spacing w:after="0"/>
              <w:rPr>
                <w:sz w:val="15"/>
                <w:szCs w:val="15"/>
                <w:color w:val="auto"/>
              </w:rPr>
            </w:pPr>
          </w:p>
        </w:tc>
        <w:tc>
          <w:tcPr>
            <w:tcW w:w="2720" w:type="dxa"/>
            <w:vAlign w:val="bottom"/>
            <w:tcBorders>
              <w:bottom w:val="single" w:sz="8" w:color="A8A9AC"/>
            </w:tcBorders>
          </w:tcPr>
          <w:p>
            <w:pPr>
              <w:spacing w:after="0"/>
              <w:rPr>
                <w:sz w:val="15"/>
                <w:szCs w:val="15"/>
                <w:color w:val="auto"/>
              </w:rPr>
            </w:pPr>
          </w:p>
        </w:tc>
        <w:tc>
          <w:tcPr>
            <w:tcW w:w="580" w:type="dxa"/>
            <w:vAlign w:val="bottom"/>
            <w:tcBorders>
              <w:bottom w:val="single" w:sz="8" w:color="A8A9AC"/>
            </w:tcBorders>
          </w:tcPr>
          <w:p>
            <w:pPr>
              <w:spacing w:after="0"/>
              <w:rPr>
                <w:sz w:val="15"/>
                <w:szCs w:val="15"/>
                <w:color w:val="auto"/>
              </w:rPr>
            </w:pPr>
          </w:p>
        </w:tc>
        <w:tc>
          <w:tcPr>
            <w:tcW w:w="1980" w:type="dxa"/>
            <w:vAlign w:val="bottom"/>
            <w:tcBorders>
              <w:bottom w:val="single" w:sz="8" w:color="A8A9AC"/>
            </w:tcBorders>
          </w:tcPr>
          <w:p>
            <w:pPr>
              <w:spacing w:after="0"/>
              <w:rPr>
                <w:sz w:val="15"/>
                <w:szCs w:val="15"/>
                <w:color w:val="auto"/>
              </w:rPr>
            </w:pPr>
          </w:p>
        </w:tc>
      </w:tr>
      <w:tr>
        <w:trPr>
          <w:trHeight w:val="207"/>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Borders>
              <w:bottom w:val="single" w:sz="8" w:color="A8A9AC"/>
            </w:tcBorders>
          </w:tcPr>
          <w:p>
            <w:pPr>
              <w:jc w:val="right"/>
              <w:ind w:right="246"/>
              <w:spacing w:after="0" w:line="207" w:lineRule="exact"/>
              <w:rPr>
                <w:sz w:val="20"/>
                <w:szCs w:val="20"/>
                <w:color w:val="auto"/>
              </w:rPr>
            </w:pPr>
            <w:r>
              <w:rPr>
                <w:rFonts w:ascii="Arial" w:cs="Arial" w:eastAsia="Arial" w:hAnsi="Arial"/>
                <w:sz w:val="15"/>
                <w:szCs w:val="15"/>
                <w:color w:val="auto"/>
              </w:rPr>
              <w:t>1,539</w:t>
            </w:r>
            <w:r>
              <w:rPr>
                <w:rFonts w:ascii="Arial" w:cs="Arial" w:eastAsia="Arial" w:hAnsi="Arial"/>
                <w:sz w:val="24"/>
                <w:szCs w:val="24"/>
                <w:color w:val="auto"/>
                <w:vertAlign w:val="superscript"/>
              </w:rPr>
              <w:t>(9)</w:t>
            </w:r>
          </w:p>
        </w:tc>
        <w:tc>
          <w:tcPr>
            <w:tcW w:w="5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231,358</w:t>
            </w:r>
          </w:p>
        </w:tc>
        <w:tc>
          <w:tcPr>
            <w:tcW w:w="2720" w:type="dxa"/>
            <w:vAlign w:val="bottom"/>
            <w:tcBorders>
              <w:bottom w:val="single" w:sz="8" w:color="A8A9AC"/>
            </w:tcBorders>
          </w:tcPr>
          <w:p>
            <w:pPr>
              <w:jc w:val="right"/>
              <w:ind w:right="266"/>
              <w:spacing w:after="0" w:line="207" w:lineRule="exact"/>
              <w:rPr>
                <w:sz w:val="20"/>
                <w:szCs w:val="20"/>
                <w:color w:val="auto"/>
              </w:rPr>
            </w:pPr>
            <w:r>
              <w:rPr>
                <w:rFonts w:ascii="Arial" w:cs="Arial" w:eastAsia="Arial" w:hAnsi="Arial"/>
                <w:sz w:val="15"/>
                <w:szCs w:val="15"/>
                <w:color w:val="auto"/>
              </w:rPr>
              <w:t>13,852</w:t>
            </w:r>
            <w:r>
              <w:rPr>
                <w:rFonts w:ascii="Arial" w:cs="Arial" w:eastAsia="Arial" w:hAnsi="Arial"/>
                <w:sz w:val="24"/>
                <w:szCs w:val="24"/>
                <w:color w:val="auto"/>
                <w:vertAlign w:val="superscript"/>
              </w:rPr>
              <w:t>(3)</w:t>
            </w:r>
          </w:p>
        </w:tc>
        <w:tc>
          <w:tcPr>
            <w:tcW w:w="580" w:type="dxa"/>
            <w:vAlign w:val="bottom"/>
            <w:tcBorders>
              <w:bottom w:val="single" w:sz="8" w:color="A8A9AC"/>
            </w:tcBorders>
          </w:tcPr>
          <w:p>
            <w:pPr>
              <w:jc w:val="right"/>
              <w:ind w:right="4"/>
              <w:spacing w:after="0"/>
              <w:rPr>
                <w:sz w:val="20"/>
                <w:szCs w:val="20"/>
                <w:color w:val="auto"/>
              </w:rPr>
            </w:pPr>
            <w:r>
              <w:rPr>
                <w:rFonts w:ascii="Arial" w:cs="Arial" w:eastAsia="Arial" w:hAnsi="Arial"/>
                <w:sz w:val="15"/>
                <w:szCs w:val="15"/>
                <w:color w:val="auto"/>
              </w:rPr>
              <w:t>$</w:t>
            </w:r>
          </w:p>
        </w:tc>
        <w:tc>
          <w:tcPr>
            <w:tcW w:w="19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2,082,371</w:t>
            </w:r>
          </w:p>
        </w:tc>
      </w:tr>
      <w:tr>
        <w:trPr>
          <w:trHeight w:val="207"/>
        </w:trPr>
        <w:tc>
          <w:tcPr>
            <w:tcW w:w="1780" w:type="dxa"/>
            <w:vAlign w:val="bottom"/>
            <w:tcBorders>
              <w:bottom w:val="single" w:sz="8" w:color="A26F2A"/>
            </w:tcBorders>
          </w:tcPr>
          <w:p>
            <w:pPr>
              <w:spacing w:after="0"/>
              <w:rPr>
                <w:sz w:val="18"/>
                <w:szCs w:val="18"/>
                <w:color w:val="auto"/>
              </w:rPr>
            </w:pPr>
          </w:p>
        </w:tc>
        <w:tc>
          <w:tcPr>
            <w:tcW w:w="220" w:type="dxa"/>
            <w:vAlign w:val="bottom"/>
            <w:tcBorders>
              <w:bottom w:val="single" w:sz="8" w:color="A26F2A"/>
            </w:tcBorders>
          </w:tcPr>
          <w:p>
            <w:pPr>
              <w:spacing w:after="0"/>
              <w:rPr>
                <w:sz w:val="18"/>
                <w:szCs w:val="18"/>
                <w:color w:val="auto"/>
              </w:rPr>
            </w:pPr>
          </w:p>
        </w:tc>
        <w:tc>
          <w:tcPr>
            <w:tcW w:w="1980" w:type="dxa"/>
            <w:vAlign w:val="bottom"/>
            <w:tcBorders>
              <w:bottom w:val="single" w:sz="8" w:color="A26F2A"/>
            </w:tcBorders>
          </w:tcPr>
          <w:p>
            <w:pPr>
              <w:jc w:val="right"/>
              <w:ind w:right="246"/>
              <w:spacing w:after="0" w:line="207" w:lineRule="exact"/>
              <w:rPr>
                <w:sz w:val="20"/>
                <w:szCs w:val="20"/>
                <w:color w:val="auto"/>
              </w:rPr>
            </w:pPr>
            <w:r>
              <w:rPr>
                <w:rFonts w:ascii="Arial" w:cs="Arial" w:eastAsia="Arial" w:hAnsi="Arial"/>
                <w:sz w:val="15"/>
                <w:szCs w:val="15"/>
                <w:color w:val="auto"/>
              </w:rPr>
              <w:t>3,716</w:t>
            </w:r>
            <w:r>
              <w:rPr>
                <w:rFonts w:ascii="Arial" w:cs="Arial" w:eastAsia="Arial" w:hAnsi="Arial"/>
                <w:sz w:val="24"/>
                <w:szCs w:val="24"/>
                <w:color w:val="auto"/>
                <w:vertAlign w:val="superscript"/>
              </w:rPr>
              <w:t>(9)</w:t>
            </w:r>
          </w:p>
        </w:tc>
        <w:tc>
          <w:tcPr>
            <w:tcW w:w="560" w:type="dxa"/>
            <w:vAlign w:val="bottom"/>
            <w:tcBorders>
              <w:bottom w:val="single" w:sz="8" w:color="A26F2A"/>
            </w:tcBorders>
          </w:tcPr>
          <w:p>
            <w:pPr>
              <w:jc w:val="right"/>
              <w:ind w:right="10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558,626</w:t>
            </w:r>
          </w:p>
        </w:tc>
        <w:tc>
          <w:tcPr>
            <w:tcW w:w="2720" w:type="dxa"/>
            <w:vAlign w:val="bottom"/>
            <w:tcBorders>
              <w:bottom w:val="single" w:sz="8" w:color="A26F2A"/>
            </w:tcBorders>
          </w:tcPr>
          <w:p>
            <w:pPr>
              <w:jc w:val="right"/>
              <w:ind w:right="266"/>
              <w:spacing w:after="0" w:line="207" w:lineRule="exact"/>
              <w:rPr>
                <w:sz w:val="20"/>
                <w:szCs w:val="20"/>
                <w:color w:val="auto"/>
              </w:rPr>
            </w:pPr>
            <w:r>
              <w:rPr>
                <w:rFonts w:ascii="Arial" w:cs="Arial" w:eastAsia="Arial" w:hAnsi="Arial"/>
                <w:sz w:val="15"/>
                <w:szCs w:val="15"/>
                <w:color w:val="auto"/>
              </w:rPr>
              <w:t>8,363</w:t>
            </w:r>
            <w:r>
              <w:rPr>
                <w:rFonts w:ascii="Arial" w:cs="Arial" w:eastAsia="Arial" w:hAnsi="Arial"/>
                <w:sz w:val="24"/>
                <w:szCs w:val="24"/>
                <w:color w:val="auto"/>
                <w:vertAlign w:val="superscript"/>
              </w:rPr>
              <w:t>(4)</w:t>
            </w:r>
          </w:p>
        </w:tc>
        <w:tc>
          <w:tcPr>
            <w:tcW w:w="580" w:type="dxa"/>
            <w:vAlign w:val="bottom"/>
            <w:tcBorders>
              <w:bottom w:val="single" w:sz="8" w:color="A26F2A"/>
            </w:tcBorders>
          </w:tcPr>
          <w:p>
            <w:pPr>
              <w:jc w:val="right"/>
              <w:ind w:right="4"/>
              <w:spacing w:after="0"/>
              <w:rPr>
                <w:sz w:val="20"/>
                <w:szCs w:val="20"/>
                <w:color w:val="auto"/>
              </w:rPr>
            </w:pPr>
            <w:r>
              <w:rPr>
                <w:rFonts w:ascii="Arial" w:cs="Arial" w:eastAsia="Arial" w:hAnsi="Arial"/>
                <w:sz w:val="15"/>
                <w:szCs w:val="15"/>
                <w:color w:val="auto"/>
              </w:rPr>
              <w:t>$</w:t>
            </w:r>
          </w:p>
        </w:tc>
        <w:tc>
          <w:tcPr>
            <w:tcW w:w="198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1,257,210</w:t>
            </w:r>
          </w:p>
        </w:tc>
      </w:tr>
      <w:tr>
        <w:trPr>
          <w:trHeight w:val="182"/>
        </w:trPr>
        <w:tc>
          <w:tcPr>
            <w:tcW w:w="1780" w:type="dxa"/>
            <w:vAlign w:val="bottom"/>
          </w:tcPr>
          <w:p>
            <w:pPr>
              <w:ind w:left="60"/>
              <w:spacing w:after="0"/>
              <w:rPr>
                <w:sz w:val="20"/>
                <w:szCs w:val="20"/>
                <w:color w:val="auto"/>
              </w:rPr>
            </w:pPr>
            <w:r>
              <w:rPr>
                <w:rFonts w:ascii="Arial" w:cs="Arial" w:eastAsia="Arial" w:hAnsi="Arial"/>
                <w:sz w:val="15"/>
                <w:szCs w:val="15"/>
                <w:b w:val="1"/>
                <w:bCs w:val="1"/>
                <w:color w:val="auto"/>
              </w:rPr>
              <w:t>Daniel N. Wesson</w:t>
            </w:r>
          </w:p>
        </w:tc>
        <w:tc>
          <w:tcPr>
            <w:tcW w:w="220" w:type="dxa"/>
            <w:vAlign w:val="bottom"/>
          </w:tcPr>
          <w:p>
            <w:pPr>
              <w:spacing w:after="0"/>
              <w:rPr>
                <w:sz w:val="15"/>
                <w:szCs w:val="15"/>
                <w:color w:val="auto"/>
              </w:rPr>
            </w:pPr>
          </w:p>
        </w:tc>
        <w:tc>
          <w:tcPr>
            <w:tcW w:w="1980" w:type="dxa"/>
            <w:vAlign w:val="bottom"/>
            <w:tcBorders>
              <w:bottom w:val="single" w:sz="8" w:color="A8A9AC"/>
            </w:tcBorders>
          </w:tcPr>
          <w:p>
            <w:pPr>
              <w:spacing w:after="0"/>
              <w:rPr>
                <w:sz w:val="15"/>
                <w:szCs w:val="15"/>
                <w:color w:val="auto"/>
              </w:rPr>
            </w:pPr>
          </w:p>
        </w:tc>
        <w:tc>
          <w:tcPr>
            <w:tcW w:w="560" w:type="dxa"/>
            <w:vAlign w:val="bottom"/>
            <w:tcBorders>
              <w:bottom w:val="single" w:sz="8" w:color="A8A9AC"/>
            </w:tcBorders>
          </w:tcPr>
          <w:p>
            <w:pPr>
              <w:spacing w:after="0"/>
              <w:rPr>
                <w:sz w:val="15"/>
                <w:szCs w:val="15"/>
                <w:color w:val="auto"/>
              </w:rPr>
            </w:pPr>
          </w:p>
        </w:tc>
        <w:tc>
          <w:tcPr>
            <w:tcW w:w="1420" w:type="dxa"/>
            <w:vAlign w:val="bottom"/>
            <w:tcBorders>
              <w:bottom w:val="single" w:sz="8" w:color="A8A9AC"/>
            </w:tcBorders>
          </w:tcPr>
          <w:p>
            <w:pPr>
              <w:spacing w:after="0"/>
              <w:rPr>
                <w:sz w:val="15"/>
                <w:szCs w:val="15"/>
                <w:color w:val="auto"/>
              </w:rPr>
            </w:pPr>
          </w:p>
        </w:tc>
        <w:tc>
          <w:tcPr>
            <w:tcW w:w="2720" w:type="dxa"/>
            <w:vAlign w:val="bottom"/>
            <w:tcBorders>
              <w:bottom w:val="single" w:sz="8" w:color="A8A9AC"/>
            </w:tcBorders>
          </w:tcPr>
          <w:p>
            <w:pPr>
              <w:spacing w:after="0"/>
              <w:rPr>
                <w:sz w:val="15"/>
                <w:szCs w:val="15"/>
                <w:color w:val="auto"/>
              </w:rPr>
            </w:pPr>
          </w:p>
        </w:tc>
        <w:tc>
          <w:tcPr>
            <w:tcW w:w="580" w:type="dxa"/>
            <w:vAlign w:val="bottom"/>
            <w:tcBorders>
              <w:bottom w:val="single" w:sz="8" w:color="A8A9AC"/>
            </w:tcBorders>
          </w:tcPr>
          <w:p>
            <w:pPr>
              <w:spacing w:after="0"/>
              <w:rPr>
                <w:sz w:val="15"/>
                <w:szCs w:val="15"/>
                <w:color w:val="auto"/>
              </w:rPr>
            </w:pPr>
          </w:p>
        </w:tc>
        <w:tc>
          <w:tcPr>
            <w:tcW w:w="1980" w:type="dxa"/>
            <w:vAlign w:val="bottom"/>
            <w:tcBorders>
              <w:bottom w:val="single" w:sz="8" w:color="A8A9AC"/>
            </w:tcBorders>
          </w:tcPr>
          <w:p>
            <w:pPr>
              <w:spacing w:after="0"/>
              <w:rPr>
                <w:sz w:val="15"/>
                <w:szCs w:val="15"/>
                <w:color w:val="auto"/>
              </w:rPr>
            </w:pPr>
          </w:p>
        </w:tc>
      </w:tr>
      <w:tr>
        <w:trPr>
          <w:trHeight w:val="207"/>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Borders>
              <w:bottom w:val="single" w:sz="8" w:color="A8A9AC"/>
            </w:tcBorders>
          </w:tcPr>
          <w:p>
            <w:pPr>
              <w:jc w:val="right"/>
              <w:ind w:right="186"/>
              <w:spacing w:after="0" w:line="207" w:lineRule="exact"/>
              <w:rPr>
                <w:sz w:val="20"/>
                <w:szCs w:val="20"/>
                <w:color w:val="auto"/>
              </w:rPr>
            </w:pPr>
            <w:r>
              <w:rPr>
                <w:rFonts w:ascii="Arial" w:cs="Arial" w:eastAsia="Arial" w:hAnsi="Arial"/>
                <w:sz w:val="15"/>
                <w:szCs w:val="15"/>
                <w:color w:val="auto"/>
              </w:rPr>
              <w:t>2,627</w:t>
            </w:r>
            <w:r>
              <w:rPr>
                <w:rFonts w:ascii="Arial" w:cs="Arial" w:eastAsia="Arial" w:hAnsi="Arial"/>
                <w:sz w:val="24"/>
                <w:szCs w:val="24"/>
                <w:color w:val="auto"/>
                <w:vertAlign w:val="superscript"/>
              </w:rPr>
              <w:t>(10)</w:t>
            </w:r>
          </w:p>
        </w:tc>
        <w:tc>
          <w:tcPr>
            <w:tcW w:w="5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394,917</w:t>
            </w:r>
          </w:p>
        </w:tc>
        <w:tc>
          <w:tcPr>
            <w:tcW w:w="2720" w:type="dxa"/>
            <w:vAlign w:val="bottom"/>
            <w:tcBorders>
              <w:bottom w:val="single" w:sz="8" w:color="A8A9AC"/>
            </w:tcBorders>
          </w:tcPr>
          <w:p>
            <w:pPr>
              <w:jc w:val="right"/>
              <w:ind w:right="266"/>
              <w:spacing w:after="0" w:line="207" w:lineRule="exact"/>
              <w:rPr>
                <w:sz w:val="20"/>
                <w:szCs w:val="20"/>
                <w:color w:val="auto"/>
              </w:rPr>
            </w:pPr>
            <w:r>
              <w:rPr>
                <w:rFonts w:ascii="Arial" w:cs="Arial" w:eastAsia="Arial" w:hAnsi="Arial"/>
                <w:sz w:val="15"/>
                <w:szCs w:val="15"/>
                <w:color w:val="auto"/>
              </w:rPr>
              <w:t>23,652</w:t>
            </w:r>
            <w:r>
              <w:rPr>
                <w:rFonts w:ascii="Arial" w:cs="Arial" w:eastAsia="Arial" w:hAnsi="Arial"/>
                <w:sz w:val="24"/>
                <w:szCs w:val="24"/>
                <w:color w:val="auto"/>
                <w:vertAlign w:val="superscript"/>
              </w:rPr>
              <w:t>(3)</w:t>
            </w:r>
          </w:p>
        </w:tc>
        <w:tc>
          <w:tcPr>
            <w:tcW w:w="580" w:type="dxa"/>
            <w:vAlign w:val="bottom"/>
            <w:tcBorders>
              <w:bottom w:val="single" w:sz="8" w:color="A8A9AC"/>
            </w:tcBorders>
          </w:tcPr>
          <w:p>
            <w:pPr>
              <w:jc w:val="right"/>
              <w:ind w:right="4"/>
              <w:spacing w:after="0"/>
              <w:rPr>
                <w:sz w:val="20"/>
                <w:szCs w:val="20"/>
                <w:color w:val="auto"/>
              </w:rPr>
            </w:pPr>
            <w:r>
              <w:rPr>
                <w:rFonts w:ascii="Arial" w:cs="Arial" w:eastAsia="Arial" w:hAnsi="Arial"/>
                <w:sz w:val="15"/>
                <w:szCs w:val="15"/>
                <w:color w:val="auto"/>
              </w:rPr>
              <w:t>$</w:t>
            </w:r>
          </w:p>
        </w:tc>
        <w:tc>
          <w:tcPr>
            <w:tcW w:w="19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3,555,605</w:t>
            </w:r>
          </w:p>
        </w:tc>
      </w:tr>
      <w:tr>
        <w:trPr>
          <w:trHeight w:val="207"/>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Borders>
              <w:bottom w:val="single" w:sz="8" w:color="A8A9AC"/>
            </w:tcBorders>
          </w:tcPr>
          <w:p>
            <w:pPr>
              <w:jc w:val="right"/>
              <w:ind w:right="186"/>
              <w:spacing w:after="0" w:line="207" w:lineRule="exact"/>
              <w:rPr>
                <w:sz w:val="20"/>
                <w:szCs w:val="20"/>
                <w:color w:val="auto"/>
              </w:rPr>
            </w:pPr>
            <w:r>
              <w:rPr>
                <w:rFonts w:ascii="Arial" w:cs="Arial" w:eastAsia="Arial" w:hAnsi="Arial"/>
                <w:sz w:val="15"/>
                <w:szCs w:val="15"/>
                <w:color w:val="auto"/>
              </w:rPr>
              <w:t>7,087</w:t>
            </w:r>
            <w:r>
              <w:rPr>
                <w:rFonts w:ascii="Arial" w:cs="Arial" w:eastAsia="Arial" w:hAnsi="Arial"/>
                <w:sz w:val="24"/>
                <w:szCs w:val="24"/>
                <w:color w:val="auto"/>
                <w:vertAlign w:val="superscript"/>
              </w:rPr>
              <w:t>(10)</w:t>
            </w:r>
          </w:p>
        </w:tc>
        <w:tc>
          <w:tcPr>
            <w:tcW w:w="5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1,065,389</w:t>
            </w:r>
          </w:p>
        </w:tc>
        <w:tc>
          <w:tcPr>
            <w:tcW w:w="2720" w:type="dxa"/>
            <w:vAlign w:val="bottom"/>
            <w:tcBorders>
              <w:bottom w:val="single" w:sz="8" w:color="A8A9AC"/>
            </w:tcBorders>
          </w:tcPr>
          <w:p>
            <w:pPr>
              <w:jc w:val="right"/>
              <w:ind w:right="266"/>
              <w:spacing w:after="0" w:line="207" w:lineRule="exact"/>
              <w:rPr>
                <w:sz w:val="20"/>
                <w:szCs w:val="20"/>
                <w:color w:val="auto"/>
              </w:rPr>
            </w:pPr>
            <w:r>
              <w:rPr>
                <w:rFonts w:ascii="Arial" w:cs="Arial" w:eastAsia="Arial" w:hAnsi="Arial"/>
                <w:sz w:val="15"/>
                <w:szCs w:val="15"/>
                <w:color w:val="auto"/>
              </w:rPr>
              <w:t>15,948</w:t>
            </w:r>
            <w:r>
              <w:rPr>
                <w:rFonts w:ascii="Arial" w:cs="Arial" w:eastAsia="Arial" w:hAnsi="Arial"/>
                <w:sz w:val="24"/>
                <w:szCs w:val="24"/>
                <w:color w:val="auto"/>
                <w:vertAlign w:val="superscript"/>
              </w:rPr>
              <w:t>(4)</w:t>
            </w:r>
          </w:p>
        </w:tc>
        <w:tc>
          <w:tcPr>
            <w:tcW w:w="580" w:type="dxa"/>
            <w:vAlign w:val="bottom"/>
            <w:tcBorders>
              <w:bottom w:val="single" w:sz="8" w:color="A8A9AC"/>
            </w:tcBorders>
          </w:tcPr>
          <w:p>
            <w:pPr>
              <w:jc w:val="right"/>
              <w:ind w:right="4"/>
              <w:spacing w:after="0"/>
              <w:rPr>
                <w:sz w:val="20"/>
                <w:szCs w:val="20"/>
                <w:color w:val="auto"/>
              </w:rPr>
            </w:pPr>
            <w:r>
              <w:rPr>
                <w:rFonts w:ascii="Arial" w:cs="Arial" w:eastAsia="Arial" w:hAnsi="Arial"/>
                <w:sz w:val="15"/>
                <w:szCs w:val="15"/>
                <w:color w:val="auto"/>
              </w:rPr>
              <w:t>$</w:t>
            </w:r>
          </w:p>
        </w:tc>
        <w:tc>
          <w:tcPr>
            <w:tcW w:w="19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2,397,463</w:t>
            </w:r>
          </w:p>
        </w:tc>
      </w:tr>
      <w:tr>
        <w:trPr>
          <w:trHeight w:val="207"/>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Borders>
              <w:bottom w:val="single" w:sz="8" w:color="A8A9AC"/>
            </w:tcBorders>
          </w:tcPr>
          <w:p>
            <w:pPr>
              <w:jc w:val="right"/>
              <w:ind w:right="186"/>
              <w:spacing w:after="0" w:line="207" w:lineRule="exact"/>
              <w:rPr>
                <w:sz w:val="20"/>
                <w:szCs w:val="20"/>
                <w:color w:val="auto"/>
              </w:rPr>
            </w:pPr>
            <w:r>
              <w:rPr>
                <w:rFonts w:ascii="Arial" w:cs="Arial" w:eastAsia="Arial" w:hAnsi="Arial"/>
                <w:sz w:val="15"/>
                <w:szCs w:val="15"/>
                <w:color w:val="auto"/>
              </w:rPr>
              <w:t>5,276</w:t>
            </w:r>
            <w:r>
              <w:rPr>
                <w:rFonts w:ascii="Arial" w:cs="Arial" w:eastAsia="Arial" w:hAnsi="Arial"/>
                <w:sz w:val="24"/>
                <w:szCs w:val="24"/>
                <w:color w:val="auto"/>
                <w:vertAlign w:val="superscript"/>
              </w:rPr>
              <w:t>(11)</w:t>
            </w:r>
          </w:p>
        </w:tc>
        <w:tc>
          <w:tcPr>
            <w:tcW w:w="5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793,141</w:t>
            </w:r>
          </w:p>
        </w:tc>
        <w:tc>
          <w:tcPr>
            <w:tcW w:w="2720" w:type="dxa"/>
            <w:vAlign w:val="bottom"/>
            <w:tcBorders>
              <w:bottom w:val="single" w:sz="8" w:color="A8A9AC"/>
            </w:tcBorders>
          </w:tcPr>
          <w:p>
            <w:pPr>
              <w:spacing w:after="0"/>
              <w:rPr>
                <w:sz w:val="18"/>
                <w:szCs w:val="18"/>
                <w:color w:val="auto"/>
              </w:rPr>
            </w:pPr>
          </w:p>
        </w:tc>
        <w:tc>
          <w:tcPr>
            <w:tcW w:w="580" w:type="dxa"/>
            <w:vAlign w:val="bottom"/>
            <w:tcBorders>
              <w:bottom w:val="single" w:sz="8" w:color="A8A9AC"/>
            </w:tcBorders>
          </w:tcPr>
          <w:p>
            <w:pPr>
              <w:spacing w:after="0"/>
              <w:rPr>
                <w:sz w:val="18"/>
                <w:szCs w:val="18"/>
                <w:color w:val="auto"/>
              </w:rPr>
            </w:pPr>
          </w:p>
        </w:tc>
        <w:tc>
          <w:tcPr>
            <w:tcW w:w="1980" w:type="dxa"/>
            <w:vAlign w:val="bottom"/>
            <w:tcBorders>
              <w:bottom w:val="single" w:sz="8" w:color="A8A9AC"/>
            </w:tcBorders>
          </w:tcPr>
          <w:p>
            <w:pPr>
              <w:spacing w:after="0"/>
              <w:rPr>
                <w:sz w:val="18"/>
                <w:szCs w:val="18"/>
                <w:color w:val="auto"/>
              </w:rPr>
            </w:pPr>
          </w:p>
        </w:tc>
      </w:tr>
      <w:tr>
        <w:trPr>
          <w:trHeight w:val="207"/>
        </w:trPr>
        <w:tc>
          <w:tcPr>
            <w:tcW w:w="1780" w:type="dxa"/>
            <w:vAlign w:val="bottom"/>
            <w:tcBorders>
              <w:bottom w:val="single" w:sz="8" w:color="A26F2A"/>
            </w:tcBorders>
          </w:tcPr>
          <w:p>
            <w:pPr>
              <w:spacing w:after="0"/>
              <w:rPr>
                <w:sz w:val="18"/>
                <w:szCs w:val="18"/>
                <w:color w:val="auto"/>
              </w:rPr>
            </w:pPr>
          </w:p>
        </w:tc>
        <w:tc>
          <w:tcPr>
            <w:tcW w:w="220" w:type="dxa"/>
            <w:vAlign w:val="bottom"/>
            <w:tcBorders>
              <w:bottom w:val="single" w:sz="8" w:color="A26F2A"/>
            </w:tcBorders>
          </w:tcPr>
          <w:p>
            <w:pPr>
              <w:spacing w:after="0"/>
              <w:rPr>
                <w:sz w:val="18"/>
                <w:szCs w:val="18"/>
                <w:color w:val="auto"/>
              </w:rPr>
            </w:pPr>
          </w:p>
        </w:tc>
        <w:tc>
          <w:tcPr>
            <w:tcW w:w="1980" w:type="dxa"/>
            <w:vAlign w:val="bottom"/>
            <w:tcBorders>
              <w:bottom w:val="single" w:sz="8" w:color="A26F2A"/>
            </w:tcBorders>
          </w:tcPr>
          <w:p>
            <w:pPr>
              <w:jc w:val="right"/>
              <w:ind w:right="186"/>
              <w:spacing w:after="0" w:line="207" w:lineRule="exact"/>
              <w:rPr>
                <w:sz w:val="20"/>
                <w:szCs w:val="20"/>
                <w:color w:val="auto"/>
              </w:rPr>
            </w:pPr>
            <w:r>
              <w:rPr>
                <w:rFonts w:ascii="Arial" w:cs="Arial" w:eastAsia="Arial" w:hAnsi="Arial"/>
                <w:sz w:val="15"/>
                <w:szCs w:val="15"/>
                <w:color w:val="auto"/>
              </w:rPr>
              <w:t>7,910</w:t>
            </w:r>
            <w:r>
              <w:rPr>
                <w:rFonts w:ascii="Arial" w:cs="Arial" w:eastAsia="Arial" w:hAnsi="Arial"/>
                <w:sz w:val="24"/>
                <w:szCs w:val="24"/>
                <w:color w:val="auto"/>
                <w:vertAlign w:val="superscript"/>
              </w:rPr>
              <w:t>(12)</w:t>
            </w:r>
          </w:p>
        </w:tc>
        <w:tc>
          <w:tcPr>
            <w:tcW w:w="560" w:type="dxa"/>
            <w:vAlign w:val="bottom"/>
            <w:tcBorders>
              <w:bottom w:val="single" w:sz="8" w:color="A26F2A"/>
            </w:tcBorders>
          </w:tcPr>
          <w:p>
            <w:pPr>
              <w:jc w:val="right"/>
              <w:ind w:right="10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1,189,110</w:t>
            </w:r>
          </w:p>
        </w:tc>
        <w:tc>
          <w:tcPr>
            <w:tcW w:w="2720" w:type="dxa"/>
            <w:vAlign w:val="bottom"/>
            <w:tcBorders>
              <w:bottom w:val="single" w:sz="8" w:color="A26F2A"/>
            </w:tcBorders>
          </w:tcPr>
          <w:p>
            <w:pPr>
              <w:spacing w:after="0"/>
              <w:rPr>
                <w:sz w:val="18"/>
                <w:szCs w:val="18"/>
                <w:color w:val="auto"/>
              </w:rPr>
            </w:pPr>
          </w:p>
        </w:tc>
        <w:tc>
          <w:tcPr>
            <w:tcW w:w="580" w:type="dxa"/>
            <w:vAlign w:val="bottom"/>
            <w:tcBorders>
              <w:bottom w:val="single" w:sz="8" w:color="A26F2A"/>
            </w:tcBorders>
          </w:tcPr>
          <w:p>
            <w:pPr>
              <w:spacing w:after="0"/>
              <w:rPr>
                <w:sz w:val="18"/>
                <w:szCs w:val="18"/>
                <w:color w:val="auto"/>
              </w:rPr>
            </w:pPr>
          </w:p>
        </w:tc>
        <w:tc>
          <w:tcPr>
            <w:tcW w:w="1980" w:type="dxa"/>
            <w:vAlign w:val="bottom"/>
            <w:tcBorders>
              <w:bottom w:val="single" w:sz="8" w:color="A26F2A"/>
            </w:tcBorders>
          </w:tcPr>
          <w:p>
            <w:pPr>
              <w:spacing w:after="0"/>
              <w:rPr>
                <w:sz w:val="18"/>
                <w:szCs w:val="18"/>
                <w:color w:val="auto"/>
              </w:rPr>
            </w:pPr>
          </w:p>
        </w:tc>
      </w:tr>
      <w:tr>
        <w:trPr>
          <w:trHeight w:val="182"/>
        </w:trPr>
        <w:tc>
          <w:tcPr>
            <w:tcW w:w="1780" w:type="dxa"/>
            <w:vAlign w:val="bottom"/>
          </w:tcPr>
          <w:p>
            <w:pPr>
              <w:ind w:left="60"/>
              <w:spacing w:after="0"/>
              <w:rPr>
                <w:sz w:val="20"/>
                <w:szCs w:val="20"/>
                <w:color w:val="auto"/>
              </w:rPr>
            </w:pPr>
            <w:r>
              <w:rPr>
                <w:rFonts w:ascii="Arial" w:cs="Arial" w:eastAsia="Arial" w:hAnsi="Arial"/>
                <w:sz w:val="15"/>
                <w:szCs w:val="15"/>
                <w:b w:val="1"/>
                <w:bCs w:val="1"/>
                <w:color w:val="auto"/>
              </w:rPr>
              <w:t>Matt Zmigrosky</w:t>
            </w:r>
          </w:p>
        </w:tc>
        <w:tc>
          <w:tcPr>
            <w:tcW w:w="220" w:type="dxa"/>
            <w:vAlign w:val="bottom"/>
          </w:tcPr>
          <w:p>
            <w:pPr>
              <w:spacing w:after="0"/>
              <w:rPr>
                <w:sz w:val="15"/>
                <w:szCs w:val="15"/>
                <w:color w:val="auto"/>
              </w:rPr>
            </w:pPr>
          </w:p>
        </w:tc>
        <w:tc>
          <w:tcPr>
            <w:tcW w:w="1980" w:type="dxa"/>
            <w:vAlign w:val="bottom"/>
            <w:tcBorders>
              <w:bottom w:val="single" w:sz="8" w:color="A8A9AC"/>
            </w:tcBorders>
          </w:tcPr>
          <w:p>
            <w:pPr>
              <w:spacing w:after="0"/>
              <w:rPr>
                <w:sz w:val="15"/>
                <w:szCs w:val="15"/>
                <w:color w:val="auto"/>
              </w:rPr>
            </w:pPr>
          </w:p>
        </w:tc>
        <w:tc>
          <w:tcPr>
            <w:tcW w:w="560" w:type="dxa"/>
            <w:vAlign w:val="bottom"/>
            <w:tcBorders>
              <w:bottom w:val="single" w:sz="8" w:color="A8A9AC"/>
            </w:tcBorders>
          </w:tcPr>
          <w:p>
            <w:pPr>
              <w:spacing w:after="0"/>
              <w:rPr>
                <w:sz w:val="15"/>
                <w:szCs w:val="15"/>
                <w:color w:val="auto"/>
              </w:rPr>
            </w:pPr>
          </w:p>
        </w:tc>
        <w:tc>
          <w:tcPr>
            <w:tcW w:w="1420" w:type="dxa"/>
            <w:vAlign w:val="bottom"/>
            <w:tcBorders>
              <w:bottom w:val="single" w:sz="8" w:color="A8A9AC"/>
            </w:tcBorders>
          </w:tcPr>
          <w:p>
            <w:pPr>
              <w:spacing w:after="0"/>
              <w:rPr>
                <w:sz w:val="15"/>
                <w:szCs w:val="15"/>
                <w:color w:val="auto"/>
              </w:rPr>
            </w:pPr>
          </w:p>
        </w:tc>
        <w:tc>
          <w:tcPr>
            <w:tcW w:w="2720" w:type="dxa"/>
            <w:vAlign w:val="bottom"/>
            <w:tcBorders>
              <w:bottom w:val="single" w:sz="8" w:color="A8A9AC"/>
            </w:tcBorders>
          </w:tcPr>
          <w:p>
            <w:pPr>
              <w:spacing w:after="0"/>
              <w:rPr>
                <w:sz w:val="15"/>
                <w:szCs w:val="15"/>
                <w:color w:val="auto"/>
              </w:rPr>
            </w:pPr>
          </w:p>
        </w:tc>
        <w:tc>
          <w:tcPr>
            <w:tcW w:w="580" w:type="dxa"/>
            <w:vAlign w:val="bottom"/>
            <w:tcBorders>
              <w:bottom w:val="single" w:sz="8" w:color="A8A9AC"/>
            </w:tcBorders>
          </w:tcPr>
          <w:p>
            <w:pPr>
              <w:spacing w:after="0"/>
              <w:rPr>
                <w:sz w:val="15"/>
                <w:szCs w:val="15"/>
                <w:color w:val="auto"/>
              </w:rPr>
            </w:pPr>
          </w:p>
        </w:tc>
        <w:tc>
          <w:tcPr>
            <w:tcW w:w="1980" w:type="dxa"/>
            <w:vAlign w:val="bottom"/>
            <w:tcBorders>
              <w:bottom w:val="single" w:sz="8" w:color="A8A9AC"/>
            </w:tcBorders>
          </w:tcPr>
          <w:p>
            <w:pPr>
              <w:spacing w:after="0"/>
              <w:rPr>
                <w:sz w:val="15"/>
                <w:szCs w:val="15"/>
                <w:color w:val="auto"/>
              </w:rPr>
            </w:pPr>
          </w:p>
        </w:tc>
      </w:tr>
      <w:tr>
        <w:trPr>
          <w:trHeight w:val="207"/>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Borders>
              <w:bottom w:val="single" w:sz="8" w:color="A8A9AC"/>
            </w:tcBorders>
          </w:tcPr>
          <w:p>
            <w:pPr>
              <w:jc w:val="right"/>
              <w:ind w:right="186"/>
              <w:spacing w:after="0" w:line="207" w:lineRule="exact"/>
              <w:rPr>
                <w:sz w:val="20"/>
                <w:szCs w:val="20"/>
                <w:color w:val="auto"/>
              </w:rPr>
            </w:pPr>
            <w:r>
              <w:rPr>
                <w:rFonts w:ascii="Arial" w:cs="Arial" w:eastAsia="Arial" w:hAnsi="Arial"/>
                <w:sz w:val="15"/>
                <w:szCs w:val="15"/>
                <w:color w:val="auto"/>
              </w:rPr>
              <w:t>1,877</w:t>
            </w:r>
            <w:r>
              <w:rPr>
                <w:rFonts w:ascii="Arial" w:cs="Arial" w:eastAsia="Arial" w:hAnsi="Arial"/>
                <w:sz w:val="24"/>
                <w:szCs w:val="24"/>
                <w:color w:val="auto"/>
                <w:vertAlign w:val="superscript"/>
              </w:rPr>
              <w:t>(13)</w:t>
            </w:r>
          </w:p>
        </w:tc>
        <w:tc>
          <w:tcPr>
            <w:tcW w:w="5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282,169</w:t>
            </w:r>
          </w:p>
        </w:tc>
        <w:tc>
          <w:tcPr>
            <w:tcW w:w="2720" w:type="dxa"/>
            <w:vAlign w:val="bottom"/>
            <w:tcBorders>
              <w:bottom w:val="single" w:sz="8" w:color="A8A9AC"/>
            </w:tcBorders>
          </w:tcPr>
          <w:p>
            <w:pPr>
              <w:jc w:val="right"/>
              <w:ind w:right="266"/>
              <w:spacing w:after="0" w:line="207" w:lineRule="exact"/>
              <w:rPr>
                <w:sz w:val="20"/>
                <w:szCs w:val="20"/>
                <w:color w:val="auto"/>
              </w:rPr>
            </w:pPr>
            <w:r>
              <w:rPr>
                <w:rFonts w:ascii="Arial" w:cs="Arial" w:eastAsia="Arial" w:hAnsi="Arial"/>
                <w:sz w:val="15"/>
                <w:szCs w:val="15"/>
                <w:color w:val="auto"/>
              </w:rPr>
              <w:t>16,894</w:t>
            </w:r>
            <w:r>
              <w:rPr>
                <w:rFonts w:ascii="Arial" w:cs="Arial" w:eastAsia="Arial" w:hAnsi="Arial"/>
                <w:sz w:val="24"/>
                <w:szCs w:val="24"/>
                <w:color w:val="auto"/>
                <w:vertAlign w:val="superscript"/>
              </w:rPr>
              <w:t>(3)</w:t>
            </w:r>
          </w:p>
        </w:tc>
        <w:tc>
          <w:tcPr>
            <w:tcW w:w="580" w:type="dxa"/>
            <w:vAlign w:val="bottom"/>
            <w:tcBorders>
              <w:bottom w:val="single" w:sz="8" w:color="A8A9AC"/>
            </w:tcBorders>
          </w:tcPr>
          <w:p>
            <w:pPr>
              <w:jc w:val="right"/>
              <w:ind w:right="4"/>
              <w:spacing w:after="0"/>
              <w:rPr>
                <w:sz w:val="20"/>
                <w:szCs w:val="20"/>
                <w:color w:val="auto"/>
              </w:rPr>
            </w:pPr>
            <w:r>
              <w:rPr>
                <w:rFonts w:ascii="Arial" w:cs="Arial" w:eastAsia="Arial" w:hAnsi="Arial"/>
                <w:sz w:val="15"/>
                <w:szCs w:val="15"/>
                <w:color w:val="auto"/>
              </w:rPr>
              <w:t>$</w:t>
            </w:r>
          </w:p>
        </w:tc>
        <w:tc>
          <w:tcPr>
            <w:tcW w:w="19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2,539,675</w:t>
            </w:r>
          </w:p>
        </w:tc>
      </w:tr>
      <w:tr>
        <w:trPr>
          <w:trHeight w:val="207"/>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Borders>
              <w:bottom w:val="single" w:sz="8" w:color="A8A9AC"/>
            </w:tcBorders>
          </w:tcPr>
          <w:p>
            <w:pPr>
              <w:jc w:val="right"/>
              <w:ind w:right="186"/>
              <w:spacing w:after="0" w:line="207" w:lineRule="exact"/>
              <w:rPr>
                <w:sz w:val="20"/>
                <w:szCs w:val="20"/>
                <w:color w:val="auto"/>
              </w:rPr>
            </w:pPr>
            <w:r>
              <w:rPr>
                <w:rFonts w:ascii="Arial" w:cs="Arial" w:eastAsia="Arial" w:hAnsi="Arial"/>
                <w:sz w:val="15"/>
                <w:szCs w:val="15"/>
                <w:color w:val="auto"/>
              </w:rPr>
              <w:t>8,745</w:t>
            </w:r>
            <w:r>
              <w:rPr>
                <w:rFonts w:ascii="Arial" w:cs="Arial" w:eastAsia="Arial" w:hAnsi="Arial"/>
                <w:sz w:val="24"/>
                <w:szCs w:val="24"/>
                <w:color w:val="auto"/>
                <w:vertAlign w:val="superscript"/>
              </w:rPr>
              <w:t>(14)</w:t>
            </w:r>
          </w:p>
        </w:tc>
        <w:tc>
          <w:tcPr>
            <w:tcW w:w="5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1,314,636</w:t>
            </w:r>
          </w:p>
        </w:tc>
        <w:tc>
          <w:tcPr>
            <w:tcW w:w="2720" w:type="dxa"/>
            <w:vAlign w:val="bottom"/>
            <w:tcBorders>
              <w:bottom w:val="single" w:sz="8" w:color="A8A9AC"/>
            </w:tcBorders>
          </w:tcPr>
          <w:p>
            <w:pPr>
              <w:jc w:val="right"/>
              <w:ind w:right="266"/>
              <w:spacing w:after="0" w:line="207" w:lineRule="exact"/>
              <w:rPr>
                <w:sz w:val="20"/>
                <w:szCs w:val="20"/>
                <w:color w:val="auto"/>
              </w:rPr>
            </w:pPr>
            <w:r>
              <w:rPr>
                <w:rFonts w:ascii="Arial" w:cs="Arial" w:eastAsia="Arial" w:hAnsi="Arial"/>
                <w:sz w:val="15"/>
                <w:szCs w:val="15"/>
                <w:color w:val="auto"/>
              </w:rPr>
              <w:t>11,085</w:t>
            </w:r>
            <w:r>
              <w:rPr>
                <w:rFonts w:ascii="Arial" w:cs="Arial" w:eastAsia="Arial" w:hAnsi="Arial"/>
                <w:sz w:val="24"/>
                <w:szCs w:val="24"/>
                <w:color w:val="auto"/>
                <w:vertAlign w:val="superscript"/>
              </w:rPr>
              <w:t>(4)</w:t>
            </w:r>
          </w:p>
        </w:tc>
        <w:tc>
          <w:tcPr>
            <w:tcW w:w="580" w:type="dxa"/>
            <w:vAlign w:val="bottom"/>
            <w:tcBorders>
              <w:bottom w:val="single" w:sz="8" w:color="A8A9AC"/>
            </w:tcBorders>
          </w:tcPr>
          <w:p>
            <w:pPr>
              <w:jc w:val="right"/>
              <w:ind w:right="4"/>
              <w:spacing w:after="0"/>
              <w:rPr>
                <w:sz w:val="20"/>
                <w:szCs w:val="20"/>
                <w:color w:val="auto"/>
              </w:rPr>
            </w:pPr>
            <w:r>
              <w:rPr>
                <w:rFonts w:ascii="Arial" w:cs="Arial" w:eastAsia="Arial" w:hAnsi="Arial"/>
                <w:sz w:val="15"/>
                <w:szCs w:val="15"/>
                <w:color w:val="auto"/>
              </w:rPr>
              <w:t>$</w:t>
            </w:r>
          </w:p>
        </w:tc>
        <w:tc>
          <w:tcPr>
            <w:tcW w:w="19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1,666,408</w:t>
            </w:r>
          </w:p>
        </w:tc>
      </w:tr>
      <w:tr>
        <w:trPr>
          <w:trHeight w:val="207"/>
        </w:trPr>
        <w:tc>
          <w:tcPr>
            <w:tcW w:w="1780" w:type="dxa"/>
            <w:vAlign w:val="bottom"/>
            <w:tcBorders>
              <w:bottom w:val="single" w:sz="8" w:color="A26F2A"/>
            </w:tcBorders>
          </w:tcPr>
          <w:p>
            <w:pPr>
              <w:spacing w:after="0"/>
              <w:rPr>
                <w:sz w:val="18"/>
                <w:szCs w:val="18"/>
                <w:color w:val="auto"/>
              </w:rPr>
            </w:pPr>
          </w:p>
        </w:tc>
        <w:tc>
          <w:tcPr>
            <w:tcW w:w="220" w:type="dxa"/>
            <w:vAlign w:val="bottom"/>
            <w:tcBorders>
              <w:bottom w:val="single" w:sz="8" w:color="A26F2A"/>
            </w:tcBorders>
          </w:tcPr>
          <w:p>
            <w:pPr>
              <w:spacing w:after="0"/>
              <w:rPr>
                <w:sz w:val="18"/>
                <w:szCs w:val="18"/>
                <w:color w:val="auto"/>
              </w:rPr>
            </w:pPr>
          </w:p>
        </w:tc>
        <w:tc>
          <w:tcPr>
            <w:tcW w:w="1980" w:type="dxa"/>
            <w:vAlign w:val="bottom"/>
            <w:tcBorders>
              <w:bottom w:val="single" w:sz="8" w:color="A26F2A"/>
            </w:tcBorders>
          </w:tcPr>
          <w:p>
            <w:pPr>
              <w:jc w:val="right"/>
              <w:ind w:right="186"/>
              <w:spacing w:after="0" w:line="207" w:lineRule="exact"/>
              <w:rPr>
                <w:sz w:val="20"/>
                <w:szCs w:val="20"/>
                <w:color w:val="auto"/>
              </w:rPr>
            </w:pPr>
            <w:r>
              <w:rPr>
                <w:rFonts w:ascii="Arial" w:cs="Arial" w:eastAsia="Arial" w:hAnsi="Arial"/>
                <w:sz w:val="15"/>
                <w:szCs w:val="15"/>
                <w:color w:val="auto"/>
              </w:rPr>
              <w:t>4,926</w:t>
            </w:r>
            <w:r>
              <w:rPr>
                <w:rFonts w:ascii="Arial" w:cs="Arial" w:eastAsia="Arial" w:hAnsi="Arial"/>
                <w:sz w:val="24"/>
                <w:szCs w:val="24"/>
                <w:color w:val="auto"/>
                <w:vertAlign w:val="superscript"/>
              </w:rPr>
              <w:t>(13)</w:t>
            </w:r>
          </w:p>
        </w:tc>
        <w:tc>
          <w:tcPr>
            <w:tcW w:w="560" w:type="dxa"/>
            <w:vAlign w:val="bottom"/>
            <w:tcBorders>
              <w:bottom w:val="single" w:sz="8" w:color="A26F2A"/>
            </w:tcBorders>
          </w:tcPr>
          <w:p>
            <w:pPr>
              <w:jc w:val="right"/>
              <w:ind w:right="10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740,526</w:t>
            </w:r>
          </w:p>
        </w:tc>
        <w:tc>
          <w:tcPr>
            <w:tcW w:w="2720" w:type="dxa"/>
            <w:vAlign w:val="bottom"/>
            <w:tcBorders>
              <w:bottom w:val="single" w:sz="8" w:color="A26F2A"/>
            </w:tcBorders>
          </w:tcPr>
          <w:p>
            <w:pPr>
              <w:spacing w:after="0"/>
              <w:rPr>
                <w:sz w:val="18"/>
                <w:szCs w:val="18"/>
                <w:color w:val="auto"/>
              </w:rPr>
            </w:pPr>
          </w:p>
        </w:tc>
        <w:tc>
          <w:tcPr>
            <w:tcW w:w="580" w:type="dxa"/>
            <w:vAlign w:val="bottom"/>
            <w:tcBorders>
              <w:bottom w:val="single" w:sz="8" w:color="A26F2A"/>
            </w:tcBorders>
          </w:tcPr>
          <w:p>
            <w:pPr>
              <w:spacing w:after="0"/>
              <w:rPr>
                <w:sz w:val="18"/>
                <w:szCs w:val="18"/>
                <w:color w:val="auto"/>
              </w:rPr>
            </w:pPr>
          </w:p>
        </w:tc>
        <w:tc>
          <w:tcPr>
            <w:tcW w:w="1980" w:type="dxa"/>
            <w:vAlign w:val="bottom"/>
            <w:tcBorders>
              <w:bottom w:val="single" w:sz="8" w:color="A26F2A"/>
            </w:tcBorders>
          </w:tcPr>
          <w:p>
            <w:pPr>
              <w:spacing w:after="0"/>
              <w:rPr>
                <w:sz w:val="18"/>
                <w:szCs w:val="18"/>
                <w:color w:val="auto"/>
              </w:rPr>
            </w:pPr>
          </w:p>
        </w:tc>
      </w:tr>
    </w:tbl>
    <w:p>
      <w:pPr>
        <w:spacing w:after="0" w:line="56" w:lineRule="exact"/>
        <w:rPr>
          <w:sz w:val="20"/>
          <w:szCs w:val="20"/>
          <w:color w:val="auto"/>
        </w:rPr>
      </w:pPr>
    </w:p>
    <w:p>
      <w:pPr>
        <w:ind w:left="300" w:hanging="299"/>
        <w:spacing w:after="0" w:line="285" w:lineRule="auto"/>
        <w:tabs>
          <w:tab w:leader="none" w:pos="300" w:val="left"/>
        </w:tabs>
        <w:numPr>
          <w:ilvl w:val="0"/>
          <w:numId w:val="102"/>
        </w:numPr>
        <w:rPr>
          <w:rFonts w:ascii="Arial" w:cs="Arial" w:eastAsia="Arial" w:hAnsi="Arial"/>
          <w:sz w:val="13"/>
          <w:szCs w:val="13"/>
          <w:i w:val="1"/>
          <w:iCs w:val="1"/>
          <w:color w:val="auto"/>
        </w:rPr>
      </w:pPr>
      <w:r>
        <w:rPr>
          <w:rFonts w:ascii="Arial" w:cs="Arial" w:eastAsia="Arial" w:hAnsi="Arial"/>
          <w:sz w:val="13"/>
          <w:szCs w:val="13"/>
          <w:i w:val="1"/>
          <w:iCs w:val="1"/>
          <w:color w:val="auto"/>
        </w:rPr>
        <w:t>Market value of shares or units that have not vested is based on the closing price of $150.33 per share of our common stock on the Nasdaq Global Select Market on December 31, 2025, which was the last trading day of 2025.</w:t>
      </w:r>
    </w:p>
    <w:p>
      <w:pPr>
        <w:spacing w:after="0" w:line="10" w:lineRule="exact"/>
        <w:rPr>
          <w:rFonts w:ascii="Arial" w:cs="Arial" w:eastAsia="Arial" w:hAnsi="Arial"/>
          <w:sz w:val="13"/>
          <w:szCs w:val="13"/>
          <w:i w:val="1"/>
          <w:iCs w:val="1"/>
          <w:color w:val="auto"/>
        </w:rPr>
      </w:pPr>
    </w:p>
    <w:p>
      <w:pPr>
        <w:ind w:left="300" w:hanging="299"/>
        <w:spacing w:after="0" w:line="262" w:lineRule="auto"/>
        <w:tabs>
          <w:tab w:leader="none" w:pos="300" w:val="left"/>
        </w:tabs>
        <w:numPr>
          <w:ilvl w:val="0"/>
          <w:numId w:val="102"/>
        </w:numPr>
        <w:rPr>
          <w:rFonts w:ascii="Arial" w:cs="Arial" w:eastAsia="Arial" w:hAnsi="Arial"/>
          <w:sz w:val="13"/>
          <w:szCs w:val="13"/>
          <w:i w:val="1"/>
          <w:iCs w:val="1"/>
          <w:color w:val="auto"/>
        </w:rPr>
      </w:pPr>
      <w:r>
        <w:rPr>
          <w:rFonts w:ascii="Arial" w:cs="Arial" w:eastAsia="Arial" w:hAnsi="Arial"/>
          <w:sz w:val="13"/>
          <w:szCs w:val="13"/>
          <w:i w:val="1"/>
          <w:iCs w:val="1"/>
          <w:color w:val="auto"/>
        </w:rPr>
        <w:t>The 7,320 restricted stock units vested on March 1, 2026 and, of the 22,472 restricted stock units, 11,236 vested on March 1, 2026 and the remaining 11,236 will vest on March 1, 2027.</w:t>
      </w:r>
    </w:p>
    <w:p>
      <w:pPr>
        <w:spacing w:after="0" w:line="202" w:lineRule="exact"/>
        <w:rPr>
          <w:rFonts w:ascii="Arial" w:cs="Arial" w:eastAsia="Arial" w:hAnsi="Arial"/>
          <w:sz w:val="13"/>
          <w:szCs w:val="13"/>
          <w:i w:val="1"/>
          <w:iCs w:val="1"/>
          <w:color w:val="auto"/>
        </w:rPr>
      </w:pPr>
    </w:p>
    <w:p>
      <w:pPr>
        <w:jc w:val="both"/>
        <w:ind w:left="300" w:hanging="299"/>
        <w:spacing w:after="0" w:line="247" w:lineRule="auto"/>
        <w:tabs>
          <w:tab w:leader="none" w:pos="300" w:val="left"/>
        </w:tabs>
        <w:numPr>
          <w:ilvl w:val="0"/>
          <w:numId w:val="102"/>
        </w:numPr>
        <w:rPr>
          <w:rFonts w:ascii="Arial" w:cs="Arial" w:eastAsia="Arial" w:hAnsi="Arial"/>
          <w:sz w:val="13"/>
          <w:szCs w:val="13"/>
          <w:i w:val="1"/>
          <w:iCs w:val="1"/>
          <w:color w:val="auto"/>
        </w:rPr>
      </w:pPr>
      <w:r>
        <w:rPr>
          <w:rFonts w:ascii="Arial" w:cs="Arial" w:eastAsia="Arial" w:hAnsi="Arial"/>
          <w:sz w:val="13"/>
          <w:szCs w:val="13"/>
          <w:i w:val="1"/>
          <w:iCs w:val="1"/>
          <w:color w:val="auto"/>
        </w:rPr>
        <w:t>Reflects the number of performance-based restricted stock units granted at 200% of the target grant vesting percentage based on the performance of the awards from the grant date through December 31, 2025. These performance-based restricted stock units were granted under the Equity Incentive Plan subject to the satisfaction of certain relative TSR performance conditions as compared to our TSR performance peer group for the performance period commencing on January 1, 2024 and ending on December 31, 2026, as certified by the compensation committee, and continuous service requirements. The number of restricted stock units that will vest is based on the achievement of a pre-established threshold, target or maximum relative TSR goal, as compared to the Company’s peers, as modified by the absolute TSR modifier. The TSR is calculated over the performance period by dividing</w:t>
      </w:r>
    </w:p>
    <w:p>
      <w:pPr>
        <w:jc w:val="both"/>
        <w:ind w:left="300" w:firstLine="4"/>
        <w:spacing w:after="0" w:line="250" w:lineRule="auto"/>
        <w:tabs>
          <w:tab w:leader="none" w:pos="512" w:val="left"/>
        </w:tabs>
        <w:numPr>
          <w:ilvl w:val="1"/>
          <w:numId w:val="102"/>
        </w:numPr>
        <w:rPr>
          <w:rFonts w:ascii="Arial" w:cs="Arial" w:eastAsia="Arial" w:hAnsi="Arial"/>
          <w:sz w:val="13"/>
          <w:szCs w:val="13"/>
          <w:i w:val="1"/>
          <w:iCs w:val="1"/>
          <w:color w:val="auto"/>
        </w:rPr>
      </w:pPr>
      <w:r>
        <w:rPr>
          <w:rFonts w:ascii="Arial" w:cs="Arial" w:eastAsia="Arial" w:hAnsi="Arial"/>
          <w:sz w:val="13"/>
          <w:szCs w:val="13"/>
          <w:i w:val="1"/>
          <w:iCs w:val="1"/>
          <w:color w:val="auto"/>
        </w:rPr>
        <w:t>the sum of (a) the cumulative value of dividends received during the performance period, assuming reinvestment, plus (b) the difference between the average stock price for the month of December 2026 compared to the average stock price for the month of December 2023; by (2) the average stock price for the month of December 2023. No awards vest if the relative TSR for the applicable performance period is below the threshold percentile. The absolute TSR modifier reduces payouts upon negative performance period TSR, pays at target upon achieving a performance period annual TSR of zero to 15%, and increases payouts upon achieving a performance period annual TSR of greater than 15%.</w:t>
      </w:r>
    </w:p>
    <w:p>
      <w:pPr>
        <w:spacing w:after="0" w:line="143"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3" w:name="page74"/>
    <w:bookmarkEnd w:id="7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8" w:lineRule="exact"/>
        <w:rPr>
          <w:sz w:val="20"/>
          <w:szCs w:val="20"/>
          <w:color w:val="auto"/>
        </w:rPr>
      </w:pPr>
    </w:p>
    <w:p>
      <w:pPr>
        <w:jc w:val="both"/>
        <w:ind w:left="300" w:hanging="299"/>
        <w:spacing w:after="0" w:line="248" w:lineRule="auto"/>
        <w:tabs>
          <w:tab w:leader="none" w:pos="300" w:val="left"/>
        </w:tabs>
        <w:numPr>
          <w:ilvl w:val="0"/>
          <w:numId w:val="103"/>
        </w:numPr>
        <w:rPr>
          <w:rFonts w:ascii="Arial" w:cs="Arial" w:eastAsia="Arial" w:hAnsi="Arial"/>
          <w:sz w:val="13"/>
          <w:szCs w:val="13"/>
          <w:i w:val="1"/>
          <w:iCs w:val="1"/>
          <w:color w:val="auto"/>
        </w:rPr>
      </w:pPr>
      <w:r>
        <w:rPr>
          <w:rFonts w:ascii="Arial" w:cs="Arial" w:eastAsia="Arial" w:hAnsi="Arial"/>
          <w:sz w:val="13"/>
          <w:szCs w:val="13"/>
          <w:i w:val="1"/>
          <w:iCs w:val="1"/>
          <w:color w:val="auto"/>
        </w:rPr>
        <w:t>Reflects the target number of performance-based restricted stock units granted based on the performance of the awards from the grant date through December 31, 2025. These performance-based restricted stock units were granted under the Equity Incentive Plan subject to the satisfaction of certain relative TSR performance conditions as compared to our TSR performance peer group for the performance period commencing on January 1, 2025 and ending on December 31, 2027, as certified by the compensation committee, and continuous service requirements. The number of restricted stock units that will vest is based on the achievement of a pre-established threshold, target or maximum relative TSR goal, as compared to the Company’s peers, as modified by the absolute TSR modifier. The TSR is calculated over the performance period by dividing (1) the sum of (a) the cumulative value of dividends received during the performance period, assuming reinvestment, plus (b) the difference between the average stock price for the month of December 2027 compared to the average stock price for the month of December 2024; by (2) the average stock price for the month of December 2024. No awards vest if the relative TSR for the applicable performance period is below the threshold percentile. The absolute TSR modifier reduces payouts upon negative performance period TSR, pays at target upon achieving a performance period annual TSR of zero to 15%, and increases payouts upon achieving a performance period annual TSR of greater than 15%.</w:t>
      </w:r>
    </w:p>
    <w:p>
      <w:pPr>
        <w:spacing w:after="0" w:line="35" w:lineRule="exact"/>
        <w:rPr>
          <w:rFonts w:ascii="Arial" w:cs="Arial" w:eastAsia="Arial" w:hAnsi="Arial"/>
          <w:sz w:val="13"/>
          <w:szCs w:val="13"/>
          <w:i w:val="1"/>
          <w:iCs w:val="1"/>
          <w:color w:val="auto"/>
        </w:rPr>
      </w:pPr>
    </w:p>
    <w:p>
      <w:pPr>
        <w:ind w:left="300" w:hanging="299"/>
        <w:spacing w:after="0" w:line="285" w:lineRule="auto"/>
        <w:tabs>
          <w:tab w:leader="none" w:pos="300" w:val="left"/>
        </w:tabs>
        <w:numPr>
          <w:ilvl w:val="0"/>
          <w:numId w:val="103"/>
        </w:numPr>
        <w:rPr>
          <w:rFonts w:ascii="Arial" w:cs="Arial" w:eastAsia="Arial" w:hAnsi="Arial"/>
          <w:sz w:val="13"/>
          <w:szCs w:val="13"/>
          <w:i w:val="1"/>
          <w:iCs w:val="1"/>
          <w:color w:val="auto"/>
        </w:rPr>
      </w:pPr>
      <w:r>
        <w:rPr>
          <w:rFonts w:ascii="Arial" w:cs="Arial" w:eastAsia="Arial" w:hAnsi="Arial"/>
          <w:sz w:val="13"/>
          <w:szCs w:val="13"/>
          <w:i w:val="1"/>
          <w:iCs w:val="1"/>
          <w:color w:val="auto"/>
        </w:rPr>
        <w:t>The 3,003 restricted stock units vested on March 1, 2026 and, of the 7,346 restricted stock units, 3,673 vested on March 1, 2026 and the remaining 3,673 will vest on March 1, 2027. Of the 6,614 restricted stock units, 3,307 vested on March 1, 2026 and the remaining 3,307 will vest on March 1, 2027.</w:t>
      </w:r>
    </w:p>
    <w:p>
      <w:pPr>
        <w:spacing w:after="0" w:line="10" w:lineRule="exact"/>
        <w:rPr>
          <w:rFonts w:ascii="Arial" w:cs="Arial" w:eastAsia="Arial" w:hAnsi="Arial"/>
          <w:sz w:val="13"/>
          <w:szCs w:val="13"/>
          <w:i w:val="1"/>
          <w:iCs w:val="1"/>
          <w:color w:val="auto"/>
        </w:rPr>
      </w:pPr>
    </w:p>
    <w:p>
      <w:pPr>
        <w:ind w:left="300" w:hanging="299"/>
        <w:spacing w:after="0" w:line="285" w:lineRule="auto"/>
        <w:tabs>
          <w:tab w:leader="none" w:pos="300" w:val="left"/>
        </w:tabs>
        <w:numPr>
          <w:ilvl w:val="0"/>
          <w:numId w:val="103"/>
        </w:numPr>
        <w:rPr>
          <w:rFonts w:ascii="Arial" w:cs="Arial" w:eastAsia="Arial" w:hAnsi="Arial"/>
          <w:sz w:val="13"/>
          <w:szCs w:val="13"/>
          <w:i w:val="1"/>
          <w:iCs w:val="1"/>
          <w:color w:val="auto"/>
        </w:rPr>
      </w:pPr>
      <w:r>
        <w:rPr>
          <w:rFonts w:ascii="Arial" w:cs="Arial" w:eastAsia="Arial" w:hAnsi="Arial"/>
          <w:sz w:val="13"/>
          <w:szCs w:val="13"/>
          <w:i w:val="1"/>
          <w:iCs w:val="1"/>
          <w:color w:val="auto"/>
        </w:rPr>
        <w:t>These time-based restricted stock units were granted to Mr. Van’t Hof on March 1, 2019 under the Equity Incentive Plan as part of a one-time retention award and of the 7,032 restricted stock units, 1,758 vested on March 1, 2026 and the remaining 5,274 will vest in three remaining equal annual installments beginning on March 1, 2027.</w:t>
      </w:r>
    </w:p>
    <w:p>
      <w:pPr>
        <w:spacing w:after="0" w:line="10" w:lineRule="exact"/>
        <w:rPr>
          <w:rFonts w:ascii="Arial" w:cs="Arial" w:eastAsia="Arial" w:hAnsi="Arial"/>
          <w:sz w:val="13"/>
          <w:szCs w:val="13"/>
          <w:i w:val="1"/>
          <w:iCs w:val="1"/>
          <w:color w:val="auto"/>
        </w:rPr>
      </w:pPr>
    </w:p>
    <w:p>
      <w:pPr>
        <w:jc w:val="both"/>
        <w:ind w:left="300" w:hanging="299"/>
        <w:spacing w:after="0" w:line="257" w:lineRule="auto"/>
        <w:tabs>
          <w:tab w:leader="none" w:pos="300" w:val="left"/>
        </w:tabs>
        <w:numPr>
          <w:ilvl w:val="0"/>
          <w:numId w:val="103"/>
        </w:numPr>
        <w:rPr>
          <w:rFonts w:ascii="Arial" w:cs="Arial" w:eastAsia="Arial" w:hAnsi="Arial"/>
          <w:sz w:val="13"/>
          <w:szCs w:val="13"/>
          <w:i w:val="1"/>
          <w:iCs w:val="1"/>
          <w:color w:val="auto"/>
        </w:rPr>
      </w:pPr>
      <w:r>
        <w:rPr>
          <w:rFonts w:ascii="Arial" w:cs="Arial" w:eastAsia="Arial" w:hAnsi="Arial"/>
          <w:sz w:val="13"/>
          <w:szCs w:val="13"/>
          <w:i w:val="1"/>
          <w:iCs w:val="1"/>
          <w:color w:val="auto"/>
        </w:rPr>
        <w:t>Reflects the actual number of restricted stock units granted. These restricted stock units were granted to Mr. Van’t Hof under the Equity Incentive Plan as part of a one-time retention award subject to the satisfaction of certain relative TSR conditions as compared to our TSR performance peer group for the performance period commencing on January 1, 2019 and ending on December 31, 2021, as certified by the compensation committee, and continuous service requirements. Of the 10,547 restricted stock units, 2,636 vested on March 1, 2026 and the remaining 7,911 will vest in three remaining equal annual installments beginning on March 1, 2027.</w:t>
      </w:r>
    </w:p>
    <w:p>
      <w:pPr>
        <w:spacing w:after="0" w:line="28" w:lineRule="exact"/>
        <w:rPr>
          <w:rFonts w:ascii="Arial" w:cs="Arial" w:eastAsia="Arial" w:hAnsi="Arial"/>
          <w:sz w:val="13"/>
          <w:szCs w:val="13"/>
          <w:i w:val="1"/>
          <w:iCs w:val="1"/>
          <w:color w:val="auto"/>
        </w:rPr>
      </w:pPr>
    </w:p>
    <w:p>
      <w:pPr>
        <w:ind w:left="300" w:hanging="299"/>
        <w:spacing w:after="0"/>
        <w:tabs>
          <w:tab w:leader="none" w:pos="300" w:val="left"/>
        </w:tabs>
        <w:numPr>
          <w:ilvl w:val="0"/>
          <w:numId w:val="103"/>
        </w:numPr>
        <w:rPr>
          <w:rFonts w:ascii="Arial" w:cs="Arial" w:eastAsia="Arial" w:hAnsi="Arial"/>
          <w:sz w:val="13"/>
          <w:szCs w:val="13"/>
          <w:i w:val="1"/>
          <w:iCs w:val="1"/>
          <w:color w:val="auto"/>
        </w:rPr>
      </w:pPr>
      <w:r>
        <w:rPr>
          <w:rFonts w:ascii="Arial" w:cs="Arial" w:eastAsia="Arial" w:hAnsi="Arial"/>
          <w:sz w:val="13"/>
          <w:szCs w:val="13"/>
          <w:i w:val="1"/>
          <w:iCs w:val="1"/>
          <w:color w:val="auto"/>
        </w:rPr>
        <w:t>The 1,314 restricted stock units vested on March 1, 2026 and, of the 3,630 restricted stock units 1,815 vested on March 1, 2026 and the remaining 1,815 will vest on March 1, 2027.</w:t>
      </w:r>
    </w:p>
    <w:p>
      <w:pPr>
        <w:spacing w:after="0" w:line="65" w:lineRule="exact"/>
        <w:rPr>
          <w:rFonts w:ascii="Arial" w:cs="Arial" w:eastAsia="Arial" w:hAnsi="Arial"/>
          <w:sz w:val="13"/>
          <w:szCs w:val="13"/>
          <w:i w:val="1"/>
          <w:iCs w:val="1"/>
          <w:color w:val="auto"/>
        </w:rPr>
      </w:pPr>
    </w:p>
    <w:p>
      <w:pPr>
        <w:ind w:left="300" w:hanging="299"/>
        <w:spacing w:after="0"/>
        <w:tabs>
          <w:tab w:leader="none" w:pos="300" w:val="left"/>
        </w:tabs>
        <w:numPr>
          <w:ilvl w:val="0"/>
          <w:numId w:val="103"/>
        </w:numPr>
        <w:rPr>
          <w:rFonts w:ascii="Arial" w:cs="Arial" w:eastAsia="Arial" w:hAnsi="Arial"/>
          <w:sz w:val="13"/>
          <w:szCs w:val="13"/>
          <w:i w:val="1"/>
          <w:iCs w:val="1"/>
          <w:color w:val="auto"/>
        </w:rPr>
      </w:pPr>
      <w:r>
        <w:rPr>
          <w:rFonts w:ascii="Arial" w:cs="Arial" w:eastAsia="Arial" w:hAnsi="Arial"/>
          <w:sz w:val="13"/>
          <w:szCs w:val="13"/>
          <w:i w:val="1"/>
          <w:iCs w:val="1"/>
          <w:color w:val="auto"/>
        </w:rPr>
        <w:t>The 1,539 restricted stock units vested on March 1, 2026 and, of the 3,716 restricted stock units 1,858 vested on March 1, 2026 and the remaining 1,858 will vest on March 1, 2027.</w:t>
      </w:r>
    </w:p>
    <w:p>
      <w:pPr>
        <w:spacing w:after="0" w:line="65" w:lineRule="exact"/>
        <w:rPr>
          <w:rFonts w:ascii="Arial" w:cs="Arial" w:eastAsia="Arial" w:hAnsi="Arial"/>
          <w:sz w:val="13"/>
          <w:szCs w:val="13"/>
          <w:i w:val="1"/>
          <w:iCs w:val="1"/>
          <w:color w:val="auto"/>
        </w:rPr>
      </w:pPr>
    </w:p>
    <w:p>
      <w:pPr>
        <w:ind w:left="300" w:hanging="299"/>
        <w:spacing w:after="0"/>
        <w:tabs>
          <w:tab w:leader="none" w:pos="300" w:val="left"/>
        </w:tabs>
        <w:numPr>
          <w:ilvl w:val="0"/>
          <w:numId w:val="103"/>
        </w:numPr>
        <w:rPr>
          <w:rFonts w:ascii="Arial" w:cs="Arial" w:eastAsia="Arial" w:hAnsi="Arial"/>
          <w:sz w:val="13"/>
          <w:szCs w:val="13"/>
          <w:i w:val="1"/>
          <w:iCs w:val="1"/>
          <w:color w:val="auto"/>
        </w:rPr>
      </w:pPr>
      <w:r>
        <w:rPr>
          <w:rFonts w:ascii="Arial" w:cs="Arial" w:eastAsia="Arial" w:hAnsi="Arial"/>
          <w:sz w:val="13"/>
          <w:szCs w:val="13"/>
          <w:i w:val="1"/>
          <w:iCs w:val="1"/>
          <w:color w:val="auto"/>
        </w:rPr>
        <w:t>The 2,627 restricted stock units vested on March 1, 2026 and, of the 7,087 restricted stock units, 3,544 vested on March 1, 2026 and the remaining 3,543 will vest on March 1, 2027.</w:t>
      </w:r>
    </w:p>
    <w:p>
      <w:pPr>
        <w:spacing w:after="0" w:line="65" w:lineRule="exact"/>
        <w:rPr>
          <w:rFonts w:ascii="Arial" w:cs="Arial" w:eastAsia="Arial" w:hAnsi="Arial"/>
          <w:sz w:val="13"/>
          <w:szCs w:val="13"/>
          <w:i w:val="1"/>
          <w:iCs w:val="1"/>
          <w:color w:val="auto"/>
        </w:rPr>
      </w:pPr>
    </w:p>
    <w:p>
      <w:pPr>
        <w:ind w:left="300" w:hanging="299"/>
        <w:spacing w:after="0" w:line="285" w:lineRule="auto"/>
        <w:tabs>
          <w:tab w:leader="none" w:pos="300" w:val="left"/>
        </w:tabs>
        <w:numPr>
          <w:ilvl w:val="0"/>
          <w:numId w:val="103"/>
        </w:numPr>
        <w:rPr>
          <w:rFonts w:ascii="Arial" w:cs="Arial" w:eastAsia="Arial" w:hAnsi="Arial"/>
          <w:sz w:val="13"/>
          <w:szCs w:val="13"/>
          <w:i w:val="1"/>
          <w:iCs w:val="1"/>
          <w:color w:val="auto"/>
        </w:rPr>
      </w:pPr>
      <w:r>
        <w:rPr>
          <w:rFonts w:ascii="Arial" w:cs="Arial" w:eastAsia="Arial" w:hAnsi="Arial"/>
          <w:sz w:val="13"/>
          <w:szCs w:val="13"/>
          <w:i w:val="1"/>
          <w:iCs w:val="1"/>
          <w:color w:val="auto"/>
        </w:rPr>
        <w:t>These restricted stock units were granted to Mr. Wesson on March 1, 2019 under the Equity Incentive Plan as part of a one-time retention award. Of the 5,276 restricted stock units, 1,319 vested on March 1, 2026 and the remaining 3,957 will vest in three remaining equal annual installments beginning on March 1, 2027.</w:t>
      </w:r>
    </w:p>
    <w:p>
      <w:pPr>
        <w:spacing w:after="0" w:line="10" w:lineRule="exact"/>
        <w:rPr>
          <w:rFonts w:ascii="Arial" w:cs="Arial" w:eastAsia="Arial" w:hAnsi="Arial"/>
          <w:sz w:val="13"/>
          <w:szCs w:val="13"/>
          <w:i w:val="1"/>
          <w:iCs w:val="1"/>
          <w:color w:val="auto"/>
        </w:rPr>
      </w:pPr>
    </w:p>
    <w:p>
      <w:pPr>
        <w:jc w:val="both"/>
        <w:ind w:left="300" w:hanging="299"/>
        <w:spacing w:after="0" w:line="257" w:lineRule="auto"/>
        <w:tabs>
          <w:tab w:leader="none" w:pos="300" w:val="left"/>
        </w:tabs>
        <w:numPr>
          <w:ilvl w:val="0"/>
          <w:numId w:val="103"/>
        </w:numPr>
        <w:rPr>
          <w:rFonts w:ascii="Arial" w:cs="Arial" w:eastAsia="Arial" w:hAnsi="Arial"/>
          <w:sz w:val="13"/>
          <w:szCs w:val="13"/>
          <w:i w:val="1"/>
          <w:iCs w:val="1"/>
          <w:color w:val="auto"/>
        </w:rPr>
      </w:pPr>
      <w:r>
        <w:rPr>
          <w:rFonts w:ascii="Arial" w:cs="Arial" w:eastAsia="Arial" w:hAnsi="Arial"/>
          <w:sz w:val="13"/>
          <w:szCs w:val="13"/>
          <w:i w:val="1"/>
          <w:iCs w:val="1"/>
          <w:color w:val="auto"/>
        </w:rPr>
        <w:t>Reflects the actual number of restricted stock units granted. These restricted stock units were granted to Mr. Wesson under the Equity Incentive Plan as part of a one-time retention award subject to the satisfaction of certain relative TSR conditions as compared to our TSR performance peer group for the performance period commencing on January 1, 2019 and ending on December 31, 2021, as certified by the compensation committee, and continuous service requirements. Of the 7,910 restricted stock units, 1,977 vested on March 1, 2026 and the remaining 5,933 will vest in three remaining substantially equal annual installments beginning on March 1, 2027.</w:t>
      </w:r>
    </w:p>
    <w:p>
      <w:pPr>
        <w:spacing w:after="0" w:line="28" w:lineRule="exact"/>
        <w:rPr>
          <w:rFonts w:ascii="Arial" w:cs="Arial" w:eastAsia="Arial" w:hAnsi="Arial"/>
          <w:sz w:val="13"/>
          <w:szCs w:val="13"/>
          <w:i w:val="1"/>
          <w:iCs w:val="1"/>
          <w:color w:val="auto"/>
        </w:rPr>
      </w:pPr>
    </w:p>
    <w:p>
      <w:pPr>
        <w:ind w:left="300" w:hanging="299"/>
        <w:spacing w:after="0"/>
        <w:tabs>
          <w:tab w:leader="none" w:pos="300" w:val="left"/>
        </w:tabs>
        <w:numPr>
          <w:ilvl w:val="0"/>
          <w:numId w:val="103"/>
        </w:numPr>
        <w:rPr>
          <w:rFonts w:ascii="Arial" w:cs="Arial" w:eastAsia="Arial" w:hAnsi="Arial"/>
          <w:sz w:val="13"/>
          <w:szCs w:val="13"/>
          <w:i w:val="1"/>
          <w:iCs w:val="1"/>
          <w:color w:val="auto"/>
        </w:rPr>
      </w:pPr>
      <w:r>
        <w:rPr>
          <w:rFonts w:ascii="Arial" w:cs="Arial" w:eastAsia="Arial" w:hAnsi="Arial"/>
          <w:sz w:val="13"/>
          <w:szCs w:val="13"/>
          <w:i w:val="1"/>
          <w:iCs w:val="1"/>
          <w:color w:val="auto"/>
        </w:rPr>
        <w:t>The 1,877 restricted stock units vested on March 1, 2026 and, of the 4,926 restricted stock units, 2,463 vested on March 1, 2026 and the remaining 2,463 will vest on March 1, 2027.</w:t>
      </w:r>
    </w:p>
    <w:p>
      <w:pPr>
        <w:spacing w:after="0" w:line="65" w:lineRule="exact"/>
        <w:rPr>
          <w:rFonts w:ascii="Arial" w:cs="Arial" w:eastAsia="Arial" w:hAnsi="Arial"/>
          <w:sz w:val="13"/>
          <w:szCs w:val="13"/>
          <w:i w:val="1"/>
          <w:iCs w:val="1"/>
          <w:color w:val="auto"/>
        </w:rPr>
      </w:pPr>
    </w:p>
    <w:p>
      <w:pPr>
        <w:ind w:left="300" w:hanging="299"/>
        <w:spacing w:after="0" w:line="285" w:lineRule="auto"/>
        <w:tabs>
          <w:tab w:leader="none" w:pos="300" w:val="left"/>
        </w:tabs>
        <w:numPr>
          <w:ilvl w:val="0"/>
          <w:numId w:val="103"/>
        </w:numPr>
        <w:rPr>
          <w:rFonts w:ascii="Arial" w:cs="Arial" w:eastAsia="Arial" w:hAnsi="Arial"/>
          <w:sz w:val="13"/>
          <w:szCs w:val="13"/>
          <w:i w:val="1"/>
          <w:iCs w:val="1"/>
          <w:color w:val="auto"/>
        </w:rPr>
      </w:pPr>
      <w:r>
        <w:rPr>
          <w:rFonts w:ascii="Arial" w:cs="Arial" w:eastAsia="Arial" w:hAnsi="Arial"/>
          <w:sz w:val="13"/>
          <w:szCs w:val="13"/>
          <w:i w:val="1"/>
          <w:iCs w:val="1"/>
          <w:color w:val="auto"/>
        </w:rPr>
        <w:t>These restricted stock units were granted to Mr. Zmigrosky on September 10, 2024 under the Equity Incentive Plan as part of a one-time retention award and will vest in four substantially equal annual installments beginning on September 10, 2026.</w:t>
      </w:r>
    </w:p>
    <w:p>
      <w:pPr>
        <w:spacing w:after="0" w:line="12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4" w:name="page75"/>
    <w:bookmarkEnd w:id="7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ind w:left="340" w:right="400" w:hanging="336"/>
        <w:spacing w:after="0" w:line="291" w:lineRule="auto"/>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OUTSTANDING EQUITY AWARDS UNDER THE VIPER LTIP AT FISCAL 2025 YEAR-END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concerning equity awards outstanding for our NEOs at December 31, 2025 under the Viper LTIP:</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4860" w:type="dxa"/>
            <w:vAlign w:val="bottom"/>
            <w:gridSpan w:val="2"/>
          </w:tcPr>
          <w:p>
            <w:pPr>
              <w:jc w:val="right"/>
              <w:ind w:right="286"/>
              <w:spacing w:after="0"/>
              <w:rPr>
                <w:sz w:val="20"/>
                <w:szCs w:val="20"/>
                <w:color w:val="auto"/>
              </w:rPr>
            </w:pPr>
            <w:r>
              <w:rPr>
                <w:rFonts w:ascii="Arial" w:cs="Arial" w:eastAsia="Arial" w:hAnsi="Arial"/>
                <w:sz w:val="15"/>
                <w:szCs w:val="15"/>
                <w:b w:val="1"/>
                <w:bCs w:val="1"/>
                <w:color w:val="auto"/>
              </w:rPr>
              <w:t>Equity Incentive Plan Awards:</w:t>
            </w:r>
          </w:p>
        </w:tc>
        <w:tc>
          <w:tcPr>
            <w:tcW w:w="2460" w:type="dxa"/>
            <w:vAlign w:val="bottom"/>
            <w:gridSpan w:val="2"/>
          </w:tcPr>
          <w:p>
            <w:pPr>
              <w:ind w:left="200"/>
              <w:spacing w:after="0"/>
              <w:rPr>
                <w:sz w:val="20"/>
                <w:szCs w:val="20"/>
                <w:color w:val="auto"/>
              </w:rPr>
            </w:pPr>
            <w:r>
              <w:rPr>
                <w:rFonts w:ascii="Arial" w:cs="Arial" w:eastAsia="Arial" w:hAnsi="Arial"/>
                <w:sz w:val="15"/>
                <w:szCs w:val="15"/>
                <w:b w:val="1"/>
                <w:bCs w:val="1"/>
                <w:color w:val="auto"/>
              </w:rPr>
              <w:t>Equity Incentive Plan Awards:</w:t>
            </w:r>
          </w:p>
        </w:tc>
      </w:tr>
      <w:tr>
        <w:trPr>
          <w:trHeight w:val="177"/>
        </w:trPr>
        <w:tc>
          <w:tcPr>
            <w:tcW w:w="39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520" w:type="dxa"/>
            <w:vAlign w:val="bottom"/>
          </w:tcPr>
          <w:p>
            <w:pPr>
              <w:jc w:val="right"/>
              <w:ind w:right="286"/>
              <w:spacing w:after="0"/>
              <w:rPr>
                <w:sz w:val="20"/>
                <w:szCs w:val="20"/>
                <w:color w:val="auto"/>
              </w:rPr>
            </w:pPr>
            <w:r>
              <w:rPr>
                <w:rFonts w:ascii="Arial" w:cs="Arial" w:eastAsia="Arial" w:hAnsi="Arial"/>
                <w:sz w:val="15"/>
                <w:szCs w:val="15"/>
                <w:b w:val="1"/>
                <w:bCs w:val="1"/>
                <w:color w:val="auto"/>
              </w:rPr>
              <w:t>Number of Unearned Shares</w:t>
            </w:r>
          </w:p>
        </w:tc>
        <w:tc>
          <w:tcPr>
            <w:tcW w:w="300" w:type="dxa"/>
            <w:vAlign w:val="bottom"/>
          </w:tcPr>
          <w:p>
            <w:pPr>
              <w:spacing w:after="0"/>
              <w:rPr>
                <w:sz w:val="15"/>
                <w:szCs w:val="15"/>
                <w:color w:val="auto"/>
              </w:rPr>
            </w:pPr>
          </w:p>
        </w:tc>
        <w:tc>
          <w:tcPr>
            <w:tcW w:w="2160" w:type="dxa"/>
            <w:vAlign w:val="bottom"/>
          </w:tcPr>
          <w:p>
            <w:pPr>
              <w:jc w:val="right"/>
              <w:ind w:right="24"/>
              <w:spacing w:after="0"/>
              <w:rPr>
                <w:sz w:val="20"/>
                <w:szCs w:val="20"/>
                <w:color w:val="auto"/>
              </w:rPr>
            </w:pPr>
            <w:r>
              <w:rPr>
                <w:rFonts w:ascii="Arial" w:cs="Arial" w:eastAsia="Arial" w:hAnsi="Arial"/>
                <w:sz w:val="15"/>
                <w:szCs w:val="15"/>
                <w:b w:val="1"/>
                <w:bCs w:val="1"/>
                <w:color w:val="auto"/>
              </w:rPr>
              <w:t>Market or Payout Value of</w:t>
            </w:r>
          </w:p>
        </w:tc>
      </w:tr>
      <w:tr>
        <w:trPr>
          <w:trHeight w:val="177"/>
        </w:trPr>
        <w:tc>
          <w:tcPr>
            <w:tcW w:w="39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520" w:type="dxa"/>
            <w:vAlign w:val="bottom"/>
          </w:tcPr>
          <w:p>
            <w:pPr>
              <w:jc w:val="right"/>
              <w:ind w:right="286"/>
              <w:spacing w:after="0"/>
              <w:rPr>
                <w:sz w:val="20"/>
                <w:szCs w:val="20"/>
                <w:color w:val="auto"/>
              </w:rPr>
            </w:pPr>
            <w:r>
              <w:rPr>
                <w:rFonts w:ascii="Arial" w:cs="Arial" w:eastAsia="Arial" w:hAnsi="Arial"/>
                <w:sz w:val="15"/>
                <w:szCs w:val="15"/>
                <w:b w:val="1"/>
                <w:bCs w:val="1"/>
                <w:color w:val="auto"/>
              </w:rPr>
              <w:t>or Units of Stock That Have</w:t>
            </w:r>
          </w:p>
        </w:tc>
        <w:tc>
          <w:tcPr>
            <w:tcW w:w="300" w:type="dxa"/>
            <w:vAlign w:val="bottom"/>
          </w:tcPr>
          <w:p>
            <w:pPr>
              <w:spacing w:after="0"/>
              <w:rPr>
                <w:sz w:val="15"/>
                <w:szCs w:val="15"/>
                <w:color w:val="auto"/>
              </w:rPr>
            </w:pPr>
          </w:p>
        </w:tc>
        <w:tc>
          <w:tcPr>
            <w:tcW w:w="2160" w:type="dxa"/>
            <w:vAlign w:val="bottom"/>
          </w:tcPr>
          <w:p>
            <w:pPr>
              <w:jc w:val="right"/>
              <w:ind w:right="24"/>
              <w:spacing w:after="0"/>
              <w:rPr>
                <w:sz w:val="20"/>
                <w:szCs w:val="20"/>
                <w:color w:val="auto"/>
              </w:rPr>
            </w:pPr>
            <w:r>
              <w:rPr>
                <w:rFonts w:ascii="Arial" w:cs="Arial" w:eastAsia="Arial" w:hAnsi="Arial"/>
                <w:sz w:val="15"/>
                <w:szCs w:val="15"/>
                <w:b w:val="1"/>
                <w:bCs w:val="1"/>
                <w:color w:val="auto"/>
              </w:rPr>
              <w:t>Unearned Shares or Units of</w:t>
            </w:r>
          </w:p>
        </w:tc>
      </w:tr>
      <w:tr>
        <w:trPr>
          <w:trHeight w:val="220"/>
        </w:trPr>
        <w:tc>
          <w:tcPr>
            <w:tcW w:w="392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Name</w:t>
            </w:r>
          </w:p>
        </w:tc>
        <w:tc>
          <w:tcPr>
            <w:tcW w:w="2340" w:type="dxa"/>
            <w:vAlign w:val="bottom"/>
            <w:tcBorders>
              <w:bottom w:val="single" w:sz="8" w:color="A26F2A"/>
            </w:tcBorders>
          </w:tcPr>
          <w:p>
            <w:pPr>
              <w:spacing w:after="0"/>
              <w:rPr>
                <w:sz w:val="19"/>
                <w:szCs w:val="19"/>
                <w:color w:val="auto"/>
              </w:rPr>
            </w:pPr>
          </w:p>
        </w:tc>
        <w:tc>
          <w:tcPr>
            <w:tcW w:w="2520" w:type="dxa"/>
            <w:vAlign w:val="bottom"/>
            <w:tcBorders>
              <w:bottom w:val="single" w:sz="8" w:color="A26F2A"/>
            </w:tcBorders>
          </w:tcPr>
          <w:p>
            <w:pPr>
              <w:jc w:val="right"/>
              <w:ind w:right="286"/>
              <w:spacing w:after="0"/>
              <w:rPr>
                <w:sz w:val="20"/>
                <w:szCs w:val="20"/>
                <w:color w:val="auto"/>
              </w:rPr>
            </w:pPr>
            <w:r>
              <w:rPr>
                <w:rFonts w:ascii="Arial" w:cs="Arial" w:eastAsia="Arial" w:hAnsi="Arial"/>
                <w:sz w:val="15"/>
                <w:szCs w:val="15"/>
                <w:b w:val="1"/>
                <w:bCs w:val="1"/>
                <w:color w:val="auto"/>
              </w:rPr>
              <w:t>Not Vested</w:t>
            </w:r>
          </w:p>
        </w:tc>
        <w:tc>
          <w:tcPr>
            <w:tcW w:w="2460" w:type="dxa"/>
            <w:vAlign w:val="bottom"/>
            <w:tcBorders>
              <w:bottom w:val="single" w:sz="8" w:color="A26F2A"/>
            </w:tcBorders>
            <w:gridSpan w:val="2"/>
          </w:tcPr>
          <w:p>
            <w:pPr>
              <w:ind w:left="200"/>
              <w:spacing w:after="0" w:line="214" w:lineRule="exact"/>
              <w:rPr>
                <w:sz w:val="20"/>
                <w:szCs w:val="20"/>
                <w:color w:val="auto"/>
              </w:rPr>
            </w:pPr>
            <w:r>
              <w:rPr>
                <w:rFonts w:ascii="Arial" w:cs="Arial" w:eastAsia="Arial" w:hAnsi="Arial"/>
                <w:sz w:val="15"/>
                <w:szCs w:val="15"/>
                <w:b w:val="1"/>
                <w:bCs w:val="1"/>
                <w:color w:val="auto"/>
              </w:rPr>
              <w:t>Stock That Have Not Vested</w:t>
            </w:r>
            <w:r>
              <w:rPr>
                <w:rFonts w:ascii="Arial" w:cs="Arial" w:eastAsia="Arial" w:hAnsi="Arial"/>
                <w:sz w:val="24"/>
                <w:szCs w:val="24"/>
                <w:b w:val="1"/>
                <w:bCs w:val="1"/>
                <w:color w:val="auto"/>
                <w:vertAlign w:val="superscript"/>
              </w:rPr>
              <w:t>(1)</w:t>
            </w:r>
          </w:p>
        </w:tc>
      </w:tr>
      <w:tr>
        <w:trPr>
          <w:trHeight w:val="189"/>
        </w:trPr>
        <w:tc>
          <w:tcPr>
            <w:tcW w:w="3920" w:type="dxa"/>
            <w:vAlign w:val="bottom"/>
          </w:tcPr>
          <w:p>
            <w:pPr>
              <w:ind w:left="60"/>
              <w:spacing w:after="0"/>
              <w:rPr>
                <w:sz w:val="20"/>
                <w:szCs w:val="20"/>
                <w:color w:val="auto"/>
              </w:rPr>
            </w:pPr>
            <w:r>
              <w:rPr>
                <w:rFonts w:ascii="Arial" w:cs="Arial" w:eastAsia="Arial" w:hAnsi="Arial"/>
                <w:sz w:val="15"/>
                <w:szCs w:val="15"/>
                <w:b w:val="1"/>
                <w:bCs w:val="1"/>
                <w:color w:val="auto"/>
              </w:rPr>
              <w:t>Travis Stice</w:t>
            </w:r>
          </w:p>
        </w:tc>
        <w:tc>
          <w:tcPr>
            <w:tcW w:w="2340" w:type="dxa"/>
            <w:vAlign w:val="bottom"/>
          </w:tcPr>
          <w:p>
            <w:pPr>
              <w:spacing w:after="0"/>
              <w:rPr>
                <w:sz w:val="16"/>
                <w:szCs w:val="16"/>
                <w:color w:val="auto"/>
              </w:rPr>
            </w:pPr>
          </w:p>
        </w:tc>
        <w:tc>
          <w:tcPr>
            <w:tcW w:w="2520" w:type="dxa"/>
            <w:vAlign w:val="bottom"/>
            <w:tcBorders>
              <w:bottom w:val="single" w:sz="8" w:color="A8A9AC"/>
            </w:tcBorders>
          </w:tcPr>
          <w:p>
            <w:pPr>
              <w:spacing w:after="0"/>
              <w:rPr>
                <w:sz w:val="16"/>
                <w:szCs w:val="16"/>
                <w:color w:val="auto"/>
              </w:rPr>
            </w:pPr>
          </w:p>
        </w:tc>
        <w:tc>
          <w:tcPr>
            <w:tcW w:w="300" w:type="dxa"/>
            <w:vAlign w:val="bottom"/>
            <w:tcBorders>
              <w:bottom w:val="single" w:sz="8" w:color="A8A9AC"/>
            </w:tcBorders>
          </w:tcPr>
          <w:p>
            <w:pPr>
              <w:spacing w:after="0"/>
              <w:rPr>
                <w:sz w:val="16"/>
                <w:szCs w:val="16"/>
                <w:color w:val="auto"/>
              </w:rPr>
            </w:pPr>
          </w:p>
        </w:tc>
        <w:tc>
          <w:tcPr>
            <w:tcW w:w="2160" w:type="dxa"/>
            <w:vAlign w:val="bottom"/>
            <w:tcBorders>
              <w:bottom w:val="single" w:sz="8" w:color="A8A9AC"/>
            </w:tcBorders>
          </w:tcPr>
          <w:p>
            <w:pPr>
              <w:spacing w:after="0"/>
              <w:rPr>
                <w:sz w:val="16"/>
                <w:szCs w:val="16"/>
                <w:color w:val="auto"/>
              </w:rPr>
            </w:pPr>
          </w:p>
        </w:tc>
      </w:tr>
      <w:tr>
        <w:trPr>
          <w:trHeight w:val="207"/>
        </w:trPr>
        <w:tc>
          <w:tcPr>
            <w:tcW w:w="3920" w:type="dxa"/>
            <w:vAlign w:val="bottom"/>
            <w:tcBorders>
              <w:bottom w:val="single" w:sz="8" w:color="A26F2A"/>
            </w:tcBorders>
          </w:tcPr>
          <w:p>
            <w:pPr>
              <w:spacing w:after="0"/>
              <w:rPr>
                <w:sz w:val="18"/>
                <w:szCs w:val="18"/>
                <w:color w:val="auto"/>
              </w:rPr>
            </w:pPr>
          </w:p>
        </w:tc>
        <w:tc>
          <w:tcPr>
            <w:tcW w:w="2340" w:type="dxa"/>
            <w:vAlign w:val="bottom"/>
            <w:tcBorders>
              <w:bottom w:val="single" w:sz="8" w:color="A26F2A"/>
            </w:tcBorders>
          </w:tcPr>
          <w:p>
            <w:pPr>
              <w:spacing w:after="0"/>
              <w:rPr>
                <w:sz w:val="18"/>
                <w:szCs w:val="18"/>
                <w:color w:val="auto"/>
              </w:rPr>
            </w:pPr>
          </w:p>
        </w:tc>
        <w:tc>
          <w:tcPr>
            <w:tcW w:w="2520" w:type="dxa"/>
            <w:vAlign w:val="bottom"/>
            <w:tcBorders>
              <w:bottom w:val="single" w:sz="8" w:color="A26F2A"/>
            </w:tcBorders>
          </w:tcPr>
          <w:p>
            <w:pPr>
              <w:jc w:val="right"/>
              <w:ind w:right="126"/>
              <w:spacing w:after="0" w:line="207" w:lineRule="exact"/>
              <w:rPr>
                <w:sz w:val="20"/>
                <w:szCs w:val="20"/>
                <w:color w:val="auto"/>
              </w:rPr>
            </w:pPr>
            <w:r>
              <w:rPr>
                <w:rFonts w:ascii="Arial" w:cs="Arial" w:eastAsia="Arial" w:hAnsi="Arial"/>
                <w:sz w:val="15"/>
                <w:szCs w:val="15"/>
                <w:color w:val="auto"/>
              </w:rPr>
              <w:t>52,175</w:t>
            </w:r>
            <w:r>
              <w:rPr>
                <w:rFonts w:ascii="Arial" w:cs="Arial" w:eastAsia="Arial" w:hAnsi="Arial"/>
                <w:sz w:val="24"/>
                <w:szCs w:val="24"/>
                <w:color w:val="auto"/>
                <w:vertAlign w:val="superscript"/>
              </w:rPr>
              <w:t>(2)</w:t>
            </w:r>
          </w:p>
        </w:tc>
        <w:tc>
          <w:tcPr>
            <w:tcW w:w="300" w:type="dxa"/>
            <w:vAlign w:val="bottom"/>
            <w:tcBorders>
              <w:bottom w:val="single" w:sz="8" w:color="A26F2A"/>
            </w:tcBorders>
          </w:tcPr>
          <w:p>
            <w:pPr>
              <w:ind w:left="200"/>
              <w:spacing w:after="0"/>
              <w:rPr>
                <w:sz w:val="20"/>
                <w:szCs w:val="20"/>
                <w:color w:val="auto"/>
              </w:rPr>
            </w:pPr>
            <w:r>
              <w:rPr>
                <w:rFonts w:ascii="Arial" w:cs="Arial" w:eastAsia="Arial" w:hAnsi="Arial"/>
                <w:sz w:val="15"/>
                <w:szCs w:val="15"/>
                <w:color w:val="auto"/>
                <w:w w:val="95"/>
              </w:rPr>
              <w:t>$</w:t>
            </w:r>
          </w:p>
        </w:tc>
        <w:tc>
          <w:tcPr>
            <w:tcW w:w="2160" w:type="dxa"/>
            <w:vAlign w:val="bottom"/>
            <w:tcBorders>
              <w:bottom w:val="single" w:sz="8" w:color="A26F2A"/>
            </w:tcBorders>
          </w:tcPr>
          <w:p>
            <w:pPr>
              <w:jc w:val="right"/>
              <w:ind w:right="24"/>
              <w:spacing w:after="0"/>
              <w:rPr>
                <w:sz w:val="20"/>
                <w:szCs w:val="20"/>
                <w:color w:val="auto"/>
              </w:rPr>
            </w:pPr>
            <w:r>
              <w:rPr>
                <w:rFonts w:ascii="Arial" w:cs="Arial" w:eastAsia="Arial" w:hAnsi="Arial"/>
                <w:sz w:val="15"/>
                <w:szCs w:val="15"/>
                <w:color w:val="auto"/>
              </w:rPr>
              <w:t>2,015,520</w:t>
            </w:r>
          </w:p>
        </w:tc>
      </w:tr>
      <w:tr>
        <w:trPr>
          <w:trHeight w:val="182"/>
        </w:trPr>
        <w:tc>
          <w:tcPr>
            <w:tcW w:w="3920" w:type="dxa"/>
            <w:vAlign w:val="bottom"/>
          </w:tcPr>
          <w:p>
            <w:pPr>
              <w:ind w:left="60"/>
              <w:spacing w:after="0"/>
              <w:rPr>
                <w:sz w:val="20"/>
                <w:szCs w:val="20"/>
                <w:color w:val="auto"/>
              </w:rPr>
            </w:pPr>
            <w:r>
              <w:rPr>
                <w:rFonts w:ascii="Arial" w:cs="Arial" w:eastAsia="Arial" w:hAnsi="Arial"/>
                <w:sz w:val="15"/>
                <w:szCs w:val="15"/>
                <w:b w:val="1"/>
                <w:bCs w:val="1"/>
                <w:color w:val="auto"/>
              </w:rPr>
              <w:t>Kaes Van’t Hof</w:t>
            </w:r>
          </w:p>
        </w:tc>
        <w:tc>
          <w:tcPr>
            <w:tcW w:w="2340" w:type="dxa"/>
            <w:vAlign w:val="bottom"/>
          </w:tcPr>
          <w:p>
            <w:pPr>
              <w:spacing w:after="0"/>
              <w:rPr>
                <w:sz w:val="15"/>
                <w:szCs w:val="15"/>
                <w:color w:val="auto"/>
              </w:rPr>
            </w:pPr>
          </w:p>
        </w:tc>
        <w:tc>
          <w:tcPr>
            <w:tcW w:w="2520" w:type="dxa"/>
            <w:vAlign w:val="bottom"/>
            <w:tcBorders>
              <w:bottom w:val="single" w:sz="8" w:color="A8A9AC"/>
            </w:tcBorders>
          </w:tcPr>
          <w:p>
            <w:pPr>
              <w:spacing w:after="0"/>
              <w:rPr>
                <w:sz w:val="15"/>
                <w:szCs w:val="15"/>
                <w:color w:val="auto"/>
              </w:rPr>
            </w:pPr>
          </w:p>
        </w:tc>
        <w:tc>
          <w:tcPr>
            <w:tcW w:w="300" w:type="dxa"/>
            <w:vAlign w:val="bottom"/>
            <w:tcBorders>
              <w:bottom w:val="single" w:sz="8" w:color="A8A9AC"/>
            </w:tcBorders>
          </w:tcPr>
          <w:p>
            <w:pPr>
              <w:spacing w:after="0"/>
              <w:rPr>
                <w:sz w:val="15"/>
                <w:szCs w:val="15"/>
                <w:color w:val="auto"/>
              </w:rPr>
            </w:pPr>
          </w:p>
        </w:tc>
        <w:tc>
          <w:tcPr>
            <w:tcW w:w="2160" w:type="dxa"/>
            <w:vAlign w:val="bottom"/>
            <w:tcBorders>
              <w:bottom w:val="single" w:sz="8" w:color="A8A9AC"/>
            </w:tcBorders>
          </w:tcPr>
          <w:p>
            <w:pPr>
              <w:spacing w:after="0"/>
              <w:rPr>
                <w:sz w:val="15"/>
                <w:szCs w:val="15"/>
                <w:color w:val="auto"/>
              </w:rPr>
            </w:pPr>
          </w:p>
        </w:tc>
      </w:tr>
      <w:tr>
        <w:trPr>
          <w:trHeight w:val="207"/>
        </w:trPr>
        <w:tc>
          <w:tcPr>
            <w:tcW w:w="39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520" w:type="dxa"/>
            <w:vAlign w:val="bottom"/>
            <w:tcBorders>
              <w:bottom w:val="single" w:sz="8" w:color="A8A9AC"/>
            </w:tcBorders>
          </w:tcPr>
          <w:p>
            <w:pPr>
              <w:jc w:val="right"/>
              <w:ind w:right="126"/>
              <w:spacing w:after="0" w:line="207" w:lineRule="exact"/>
              <w:rPr>
                <w:sz w:val="20"/>
                <w:szCs w:val="20"/>
                <w:color w:val="auto"/>
              </w:rPr>
            </w:pPr>
            <w:r>
              <w:rPr>
                <w:rFonts w:ascii="Arial" w:cs="Arial" w:eastAsia="Arial" w:hAnsi="Arial"/>
                <w:sz w:val="15"/>
                <w:szCs w:val="15"/>
                <w:color w:val="auto"/>
              </w:rPr>
              <w:t>52,175</w:t>
            </w:r>
            <w:r>
              <w:rPr>
                <w:rFonts w:ascii="Arial" w:cs="Arial" w:eastAsia="Arial" w:hAnsi="Arial"/>
                <w:sz w:val="24"/>
                <w:szCs w:val="24"/>
                <w:color w:val="auto"/>
                <w:vertAlign w:val="superscript"/>
              </w:rPr>
              <w:t>(2)</w:t>
            </w:r>
          </w:p>
        </w:tc>
        <w:tc>
          <w:tcPr>
            <w:tcW w:w="300" w:type="dxa"/>
            <w:vAlign w:val="bottom"/>
            <w:tcBorders>
              <w:bottom w:val="single" w:sz="8" w:color="A8A9AC"/>
            </w:tcBorders>
          </w:tcPr>
          <w:p>
            <w:pPr>
              <w:ind w:left="200"/>
              <w:spacing w:after="0"/>
              <w:rPr>
                <w:sz w:val="20"/>
                <w:szCs w:val="20"/>
                <w:color w:val="auto"/>
              </w:rPr>
            </w:pPr>
            <w:r>
              <w:rPr>
                <w:rFonts w:ascii="Arial" w:cs="Arial" w:eastAsia="Arial" w:hAnsi="Arial"/>
                <w:sz w:val="15"/>
                <w:szCs w:val="15"/>
                <w:color w:val="auto"/>
                <w:w w:val="95"/>
              </w:rPr>
              <w:t>$</w:t>
            </w:r>
          </w:p>
        </w:tc>
        <w:tc>
          <w:tcPr>
            <w:tcW w:w="21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2,015,520</w:t>
            </w:r>
          </w:p>
        </w:tc>
      </w:tr>
      <w:tr>
        <w:trPr>
          <w:trHeight w:val="207"/>
        </w:trPr>
        <w:tc>
          <w:tcPr>
            <w:tcW w:w="3920" w:type="dxa"/>
            <w:vAlign w:val="bottom"/>
            <w:tcBorders>
              <w:bottom w:val="single" w:sz="8" w:color="A26F2A"/>
            </w:tcBorders>
          </w:tcPr>
          <w:p>
            <w:pPr>
              <w:spacing w:after="0"/>
              <w:rPr>
                <w:sz w:val="18"/>
                <w:szCs w:val="18"/>
                <w:color w:val="auto"/>
              </w:rPr>
            </w:pPr>
          </w:p>
        </w:tc>
        <w:tc>
          <w:tcPr>
            <w:tcW w:w="2340" w:type="dxa"/>
            <w:vAlign w:val="bottom"/>
            <w:tcBorders>
              <w:bottom w:val="single" w:sz="8" w:color="A26F2A"/>
            </w:tcBorders>
          </w:tcPr>
          <w:p>
            <w:pPr>
              <w:spacing w:after="0"/>
              <w:rPr>
                <w:sz w:val="18"/>
                <w:szCs w:val="18"/>
                <w:color w:val="auto"/>
              </w:rPr>
            </w:pPr>
          </w:p>
        </w:tc>
        <w:tc>
          <w:tcPr>
            <w:tcW w:w="2520" w:type="dxa"/>
            <w:vAlign w:val="bottom"/>
            <w:tcBorders>
              <w:bottom w:val="single" w:sz="8" w:color="A26F2A"/>
            </w:tcBorders>
          </w:tcPr>
          <w:p>
            <w:pPr>
              <w:jc w:val="right"/>
              <w:ind w:right="126"/>
              <w:spacing w:after="0" w:line="207" w:lineRule="exact"/>
              <w:rPr>
                <w:sz w:val="20"/>
                <w:szCs w:val="20"/>
                <w:color w:val="auto"/>
              </w:rPr>
            </w:pPr>
            <w:r>
              <w:rPr>
                <w:rFonts w:ascii="Arial" w:cs="Arial" w:eastAsia="Arial" w:hAnsi="Arial"/>
                <w:sz w:val="15"/>
                <w:szCs w:val="15"/>
                <w:color w:val="auto"/>
              </w:rPr>
              <w:t>27,074</w:t>
            </w:r>
            <w:r>
              <w:rPr>
                <w:rFonts w:ascii="Arial" w:cs="Arial" w:eastAsia="Arial" w:hAnsi="Arial"/>
                <w:sz w:val="24"/>
                <w:szCs w:val="24"/>
                <w:color w:val="auto"/>
                <w:vertAlign w:val="superscript"/>
              </w:rPr>
              <w:t>(3)</w:t>
            </w:r>
          </w:p>
        </w:tc>
        <w:tc>
          <w:tcPr>
            <w:tcW w:w="300" w:type="dxa"/>
            <w:vAlign w:val="bottom"/>
            <w:tcBorders>
              <w:bottom w:val="single" w:sz="8" w:color="A26F2A"/>
            </w:tcBorders>
          </w:tcPr>
          <w:p>
            <w:pPr>
              <w:ind w:left="200"/>
              <w:spacing w:after="0"/>
              <w:rPr>
                <w:sz w:val="20"/>
                <w:szCs w:val="20"/>
                <w:color w:val="auto"/>
              </w:rPr>
            </w:pPr>
            <w:r>
              <w:rPr>
                <w:rFonts w:ascii="Arial" w:cs="Arial" w:eastAsia="Arial" w:hAnsi="Arial"/>
                <w:sz w:val="15"/>
                <w:szCs w:val="15"/>
                <w:color w:val="auto"/>
                <w:w w:val="95"/>
              </w:rPr>
              <w:t>$</w:t>
            </w:r>
          </w:p>
        </w:tc>
        <w:tc>
          <w:tcPr>
            <w:tcW w:w="2160" w:type="dxa"/>
            <w:vAlign w:val="bottom"/>
            <w:tcBorders>
              <w:bottom w:val="single" w:sz="8" w:color="A26F2A"/>
            </w:tcBorders>
          </w:tcPr>
          <w:p>
            <w:pPr>
              <w:jc w:val="right"/>
              <w:ind w:right="24"/>
              <w:spacing w:after="0"/>
              <w:rPr>
                <w:sz w:val="20"/>
                <w:szCs w:val="20"/>
                <w:color w:val="auto"/>
              </w:rPr>
            </w:pPr>
            <w:r>
              <w:rPr>
                <w:rFonts w:ascii="Arial" w:cs="Arial" w:eastAsia="Arial" w:hAnsi="Arial"/>
                <w:sz w:val="15"/>
                <w:szCs w:val="15"/>
                <w:color w:val="auto"/>
              </w:rPr>
              <w:t>1,045,869</w:t>
            </w:r>
          </w:p>
        </w:tc>
      </w:tr>
      <w:tr>
        <w:trPr>
          <w:trHeight w:val="182"/>
        </w:trPr>
        <w:tc>
          <w:tcPr>
            <w:tcW w:w="3920" w:type="dxa"/>
            <w:vAlign w:val="bottom"/>
          </w:tcPr>
          <w:p>
            <w:pPr>
              <w:ind w:left="60"/>
              <w:spacing w:after="0"/>
              <w:rPr>
                <w:sz w:val="20"/>
                <w:szCs w:val="20"/>
                <w:color w:val="auto"/>
              </w:rPr>
            </w:pPr>
            <w:r>
              <w:rPr>
                <w:rFonts w:ascii="Arial" w:cs="Arial" w:eastAsia="Arial" w:hAnsi="Arial"/>
                <w:sz w:val="15"/>
                <w:szCs w:val="15"/>
                <w:b w:val="1"/>
                <w:bCs w:val="1"/>
                <w:color w:val="auto"/>
              </w:rPr>
              <w:t>Jere W. Thompson III</w:t>
            </w:r>
          </w:p>
        </w:tc>
        <w:tc>
          <w:tcPr>
            <w:tcW w:w="2340" w:type="dxa"/>
            <w:vAlign w:val="bottom"/>
          </w:tcPr>
          <w:p>
            <w:pPr>
              <w:spacing w:after="0"/>
              <w:rPr>
                <w:sz w:val="15"/>
                <w:szCs w:val="15"/>
                <w:color w:val="auto"/>
              </w:rPr>
            </w:pPr>
          </w:p>
        </w:tc>
        <w:tc>
          <w:tcPr>
            <w:tcW w:w="2520" w:type="dxa"/>
            <w:vAlign w:val="bottom"/>
            <w:tcBorders>
              <w:bottom w:val="single" w:sz="8" w:color="A8A9AC"/>
            </w:tcBorders>
          </w:tcPr>
          <w:p>
            <w:pPr>
              <w:spacing w:after="0"/>
              <w:rPr>
                <w:sz w:val="15"/>
                <w:szCs w:val="15"/>
                <w:color w:val="auto"/>
              </w:rPr>
            </w:pPr>
          </w:p>
        </w:tc>
        <w:tc>
          <w:tcPr>
            <w:tcW w:w="300" w:type="dxa"/>
            <w:vAlign w:val="bottom"/>
            <w:tcBorders>
              <w:bottom w:val="single" w:sz="8" w:color="A8A9AC"/>
            </w:tcBorders>
          </w:tcPr>
          <w:p>
            <w:pPr>
              <w:spacing w:after="0"/>
              <w:rPr>
                <w:sz w:val="15"/>
                <w:szCs w:val="15"/>
                <w:color w:val="auto"/>
              </w:rPr>
            </w:pPr>
          </w:p>
        </w:tc>
        <w:tc>
          <w:tcPr>
            <w:tcW w:w="2160" w:type="dxa"/>
            <w:vAlign w:val="bottom"/>
            <w:tcBorders>
              <w:bottom w:val="single" w:sz="8" w:color="A8A9AC"/>
            </w:tcBorders>
          </w:tcPr>
          <w:p>
            <w:pPr>
              <w:spacing w:after="0"/>
              <w:rPr>
                <w:sz w:val="15"/>
                <w:szCs w:val="15"/>
                <w:color w:val="auto"/>
              </w:rPr>
            </w:pPr>
          </w:p>
        </w:tc>
      </w:tr>
      <w:tr>
        <w:trPr>
          <w:trHeight w:val="207"/>
        </w:trPr>
        <w:tc>
          <w:tcPr>
            <w:tcW w:w="3920" w:type="dxa"/>
            <w:vAlign w:val="bottom"/>
            <w:tcBorders>
              <w:bottom w:val="single" w:sz="8" w:color="A26F2A"/>
            </w:tcBorders>
          </w:tcPr>
          <w:p>
            <w:pPr>
              <w:spacing w:after="0"/>
              <w:rPr>
                <w:sz w:val="18"/>
                <w:szCs w:val="18"/>
                <w:color w:val="auto"/>
              </w:rPr>
            </w:pPr>
          </w:p>
        </w:tc>
        <w:tc>
          <w:tcPr>
            <w:tcW w:w="2340" w:type="dxa"/>
            <w:vAlign w:val="bottom"/>
            <w:tcBorders>
              <w:bottom w:val="single" w:sz="8" w:color="A26F2A"/>
            </w:tcBorders>
          </w:tcPr>
          <w:p>
            <w:pPr>
              <w:spacing w:after="0"/>
              <w:rPr>
                <w:sz w:val="18"/>
                <w:szCs w:val="18"/>
                <w:color w:val="auto"/>
              </w:rPr>
            </w:pPr>
          </w:p>
        </w:tc>
        <w:tc>
          <w:tcPr>
            <w:tcW w:w="2520" w:type="dxa"/>
            <w:vAlign w:val="bottom"/>
            <w:tcBorders>
              <w:bottom w:val="single" w:sz="8" w:color="A26F2A"/>
            </w:tcBorders>
          </w:tcPr>
          <w:p>
            <w:pPr>
              <w:jc w:val="right"/>
              <w:ind w:right="126"/>
              <w:spacing w:after="0" w:line="207" w:lineRule="exact"/>
              <w:rPr>
                <w:sz w:val="20"/>
                <w:szCs w:val="20"/>
                <w:color w:val="auto"/>
              </w:rPr>
            </w:pPr>
            <w:r>
              <w:rPr>
                <w:rFonts w:ascii="Arial" w:cs="Arial" w:eastAsia="Arial" w:hAnsi="Arial"/>
                <w:sz w:val="15"/>
                <w:szCs w:val="15"/>
                <w:color w:val="auto"/>
              </w:rPr>
              <w:t>8,664</w:t>
            </w:r>
            <w:r>
              <w:rPr>
                <w:rFonts w:ascii="Arial" w:cs="Arial" w:eastAsia="Arial" w:hAnsi="Arial"/>
                <w:sz w:val="24"/>
                <w:szCs w:val="24"/>
                <w:color w:val="auto"/>
                <w:vertAlign w:val="superscript"/>
              </w:rPr>
              <w:t>(3)</w:t>
            </w:r>
          </w:p>
        </w:tc>
        <w:tc>
          <w:tcPr>
            <w:tcW w:w="300" w:type="dxa"/>
            <w:vAlign w:val="bottom"/>
            <w:tcBorders>
              <w:bottom w:val="single" w:sz="8" w:color="A26F2A"/>
            </w:tcBorders>
          </w:tcPr>
          <w:p>
            <w:pPr>
              <w:ind w:left="200"/>
              <w:spacing w:after="0"/>
              <w:rPr>
                <w:sz w:val="20"/>
                <w:szCs w:val="20"/>
                <w:color w:val="auto"/>
              </w:rPr>
            </w:pPr>
            <w:r>
              <w:rPr>
                <w:rFonts w:ascii="Arial" w:cs="Arial" w:eastAsia="Arial" w:hAnsi="Arial"/>
                <w:sz w:val="15"/>
                <w:szCs w:val="15"/>
                <w:color w:val="auto"/>
                <w:w w:val="95"/>
              </w:rPr>
              <w:t>$</w:t>
            </w:r>
          </w:p>
        </w:tc>
        <w:tc>
          <w:tcPr>
            <w:tcW w:w="2160" w:type="dxa"/>
            <w:vAlign w:val="bottom"/>
            <w:tcBorders>
              <w:bottom w:val="single" w:sz="8" w:color="A26F2A"/>
            </w:tcBorders>
          </w:tcPr>
          <w:p>
            <w:pPr>
              <w:jc w:val="right"/>
              <w:ind w:right="24"/>
              <w:spacing w:after="0"/>
              <w:rPr>
                <w:sz w:val="20"/>
                <w:szCs w:val="20"/>
                <w:color w:val="auto"/>
              </w:rPr>
            </w:pPr>
            <w:r>
              <w:rPr>
                <w:rFonts w:ascii="Arial" w:cs="Arial" w:eastAsia="Arial" w:hAnsi="Arial"/>
                <w:sz w:val="15"/>
                <w:szCs w:val="15"/>
                <w:color w:val="auto"/>
              </w:rPr>
              <w:t>334,690</w:t>
            </w:r>
          </w:p>
        </w:tc>
      </w:tr>
      <w:tr>
        <w:trPr>
          <w:trHeight w:val="182"/>
        </w:trPr>
        <w:tc>
          <w:tcPr>
            <w:tcW w:w="3920" w:type="dxa"/>
            <w:vAlign w:val="bottom"/>
          </w:tcPr>
          <w:p>
            <w:pPr>
              <w:ind w:left="60"/>
              <w:spacing w:after="0"/>
              <w:rPr>
                <w:sz w:val="20"/>
                <w:szCs w:val="20"/>
                <w:color w:val="auto"/>
              </w:rPr>
            </w:pPr>
            <w:r>
              <w:rPr>
                <w:rFonts w:ascii="Arial" w:cs="Arial" w:eastAsia="Arial" w:hAnsi="Arial"/>
                <w:sz w:val="15"/>
                <w:szCs w:val="15"/>
                <w:b w:val="1"/>
                <w:bCs w:val="1"/>
                <w:color w:val="auto"/>
              </w:rPr>
              <w:t>Teresa L. Dick</w:t>
            </w:r>
          </w:p>
        </w:tc>
        <w:tc>
          <w:tcPr>
            <w:tcW w:w="2340" w:type="dxa"/>
            <w:vAlign w:val="bottom"/>
          </w:tcPr>
          <w:p>
            <w:pPr>
              <w:spacing w:after="0"/>
              <w:rPr>
                <w:sz w:val="15"/>
                <w:szCs w:val="15"/>
                <w:color w:val="auto"/>
              </w:rPr>
            </w:pPr>
          </w:p>
        </w:tc>
        <w:tc>
          <w:tcPr>
            <w:tcW w:w="2520" w:type="dxa"/>
            <w:vAlign w:val="bottom"/>
            <w:tcBorders>
              <w:bottom w:val="single" w:sz="8" w:color="A8A9AC"/>
            </w:tcBorders>
          </w:tcPr>
          <w:p>
            <w:pPr>
              <w:spacing w:after="0"/>
              <w:rPr>
                <w:sz w:val="15"/>
                <w:szCs w:val="15"/>
                <w:color w:val="auto"/>
              </w:rPr>
            </w:pPr>
          </w:p>
        </w:tc>
        <w:tc>
          <w:tcPr>
            <w:tcW w:w="300" w:type="dxa"/>
            <w:vAlign w:val="bottom"/>
            <w:tcBorders>
              <w:bottom w:val="single" w:sz="8" w:color="A8A9AC"/>
            </w:tcBorders>
          </w:tcPr>
          <w:p>
            <w:pPr>
              <w:spacing w:after="0"/>
              <w:rPr>
                <w:sz w:val="15"/>
                <w:szCs w:val="15"/>
                <w:color w:val="auto"/>
              </w:rPr>
            </w:pPr>
          </w:p>
        </w:tc>
        <w:tc>
          <w:tcPr>
            <w:tcW w:w="2160" w:type="dxa"/>
            <w:vAlign w:val="bottom"/>
            <w:tcBorders>
              <w:bottom w:val="single" w:sz="8" w:color="A8A9AC"/>
            </w:tcBorders>
          </w:tcPr>
          <w:p>
            <w:pPr>
              <w:spacing w:after="0"/>
              <w:rPr>
                <w:sz w:val="15"/>
                <w:szCs w:val="15"/>
                <w:color w:val="auto"/>
              </w:rPr>
            </w:pPr>
          </w:p>
        </w:tc>
      </w:tr>
      <w:tr>
        <w:trPr>
          <w:trHeight w:val="207"/>
        </w:trPr>
        <w:tc>
          <w:tcPr>
            <w:tcW w:w="39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520" w:type="dxa"/>
            <w:vAlign w:val="bottom"/>
            <w:tcBorders>
              <w:bottom w:val="single" w:sz="8" w:color="A8A9AC"/>
            </w:tcBorders>
          </w:tcPr>
          <w:p>
            <w:pPr>
              <w:jc w:val="right"/>
              <w:ind w:right="126"/>
              <w:spacing w:after="0" w:line="207" w:lineRule="exact"/>
              <w:rPr>
                <w:sz w:val="20"/>
                <w:szCs w:val="20"/>
                <w:color w:val="auto"/>
              </w:rPr>
            </w:pPr>
            <w:r>
              <w:rPr>
                <w:rFonts w:ascii="Arial" w:cs="Arial" w:eastAsia="Arial" w:hAnsi="Arial"/>
                <w:sz w:val="15"/>
                <w:szCs w:val="15"/>
                <w:color w:val="auto"/>
              </w:rPr>
              <w:t>17,393</w:t>
            </w:r>
            <w:r>
              <w:rPr>
                <w:rFonts w:ascii="Arial" w:cs="Arial" w:eastAsia="Arial" w:hAnsi="Arial"/>
                <w:sz w:val="24"/>
                <w:szCs w:val="24"/>
                <w:color w:val="auto"/>
                <w:vertAlign w:val="superscript"/>
              </w:rPr>
              <w:t>(2)</w:t>
            </w:r>
          </w:p>
        </w:tc>
        <w:tc>
          <w:tcPr>
            <w:tcW w:w="300" w:type="dxa"/>
            <w:vAlign w:val="bottom"/>
            <w:tcBorders>
              <w:bottom w:val="single" w:sz="8" w:color="A8A9AC"/>
            </w:tcBorders>
          </w:tcPr>
          <w:p>
            <w:pPr>
              <w:ind w:left="200"/>
              <w:spacing w:after="0"/>
              <w:rPr>
                <w:sz w:val="20"/>
                <w:szCs w:val="20"/>
                <w:color w:val="auto"/>
              </w:rPr>
            </w:pPr>
            <w:r>
              <w:rPr>
                <w:rFonts w:ascii="Arial" w:cs="Arial" w:eastAsia="Arial" w:hAnsi="Arial"/>
                <w:sz w:val="15"/>
                <w:szCs w:val="15"/>
                <w:color w:val="auto"/>
                <w:w w:val="95"/>
              </w:rPr>
              <w:t>$</w:t>
            </w:r>
          </w:p>
        </w:tc>
        <w:tc>
          <w:tcPr>
            <w:tcW w:w="21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671,892</w:t>
            </w:r>
          </w:p>
        </w:tc>
      </w:tr>
      <w:tr>
        <w:trPr>
          <w:trHeight w:val="207"/>
        </w:trPr>
        <w:tc>
          <w:tcPr>
            <w:tcW w:w="3920" w:type="dxa"/>
            <w:vAlign w:val="bottom"/>
            <w:tcBorders>
              <w:bottom w:val="single" w:sz="8" w:color="A26F2A"/>
            </w:tcBorders>
          </w:tcPr>
          <w:p>
            <w:pPr>
              <w:spacing w:after="0"/>
              <w:rPr>
                <w:sz w:val="18"/>
                <w:szCs w:val="18"/>
                <w:color w:val="auto"/>
              </w:rPr>
            </w:pPr>
          </w:p>
        </w:tc>
        <w:tc>
          <w:tcPr>
            <w:tcW w:w="2340" w:type="dxa"/>
            <w:vAlign w:val="bottom"/>
            <w:tcBorders>
              <w:bottom w:val="single" w:sz="8" w:color="A26F2A"/>
            </w:tcBorders>
          </w:tcPr>
          <w:p>
            <w:pPr>
              <w:spacing w:after="0"/>
              <w:rPr>
                <w:sz w:val="18"/>
                <w:szCs w:val="18"/>
                <w:color w:val="auto"/>
              </w:rPr>
            </w:pPr>
          </w:p>
        </w:tc>
        <w:tc>
          <w:tcPr>
            <w:tcW w:w="2520" w:type="dxa"/>
            <w:vAlign w:val="bottom"/>
            <w:tcBorders>
              <w:bottom w:val="single" w:sz="8" w:color="A26F2A"/>
            </w:tcBorders>
          </w:tcPr>
          <w:p>
            <w:pPr>
              <w:jc w:val="right"/>
              <w:ind w:right="126"/>
              <w:spacing w:after="0" w:line="207" w:lineRule="exact"/>
              <w:rPr>
                <w:sz w:val="20"/>
                <w:szCs w:val="20"/>
                <w:color w:val="auto"/>
              </w:rPr>
            </w:pPr>
            <w:r>
              <w:rPr>
                <w:rFonts w:ascii="Arial" w:cs="Arial" w:eastAsia="Arial" w:hAnsi="Arial"/>
                <w:sz w:val="15"/>
                <w:szCs w:val="15"/>
                <w:color w:val="auto"/>
              </w:rPr>
              <w:t>5,415</w:t>
            </w:r>
            <w:r>
              <w:rPr>
                <w:rFonts w:ascii="Arial" w:cs="Arial" w:eastAsia="Arial" w:hAnsi="Arial"/>
                <w:sz w:val="24"/>
                <w:szCs w:val="24"/>
                <w:color w:val="auto"/>
                <w:vertAlign w:val="superscript"/>
              </w:rPr>
              <w:t>(3)</w:t>
            </w:r>
          </w:p>
        </w:tc>
        <w:tc>
          <w:tcPr>
            <w:tcW w:w="300" w:type="dxa"/>
            <w:vAlign w:val="bottom"/>
            <w:tcBorders>
              <w:bottom w:val="single" w:sz="8" w:color="A26F2A"/>
            </w:tcBorders>
          </w:tcPr>
          <w:p>
            <w:pPr>
              <w:ind w:left="200"/>
              <w:spacing w:after="0"/>
              <w:rPr>
                <w:sz w:val="20"/>
                <w:szCs w:val="20"/>
                <w:color w:val="auto"/>
              </w:rPr>
            </w:pPr>
            <w:r>
              <w:rPr>
                <w:rFonts w:ascii="Arial" w:cs="Arial" w:eastAsia="Arial" w:hAnsi="Arial"/>
                <w:sz w:val="15"/>
                <w:szCs w:val="15"/>
                <w:color w:val="auto"/>
                <w:w w:val="95"/>
              </w:rPr>
              <w:t>$</w:t>
            </w:r>
          </w:p>
        </w:tc>
        <w:tc>
          <w:tcPr>
            <w:tcW w:w="2160" w:type="dxa"/>
            <w:vAlign w:val="bottom"/>
            <w:tcBorders>
              <w:bottom w:val="single" w:sz="8" w:color="A26F2A"/>
            </w:tcBorders>
          </w:tcPr>
          <w:p>
            <w:pPr>
              <w:jc w:val="right"/>
              <w:ind w:right="24"/>
              <w:spacing w:after="0"/>
              <w:rPr>
                <w:sz w:val="20"/>
                <w:szCs w:val="20"/>
                <w:color w:val="auto"/>
              </w:rPr>
            </w:pPr>
            <w:r>
              <w:rPr>
                <w:rFonts w:ascii="Arial" w:cs="Arial" w:eastAsia="Arial" w:hAnsi="Arial"/>
                <w:sz w:val="15"/>
                <w:szCs w:val="15"/>
                <w:color w:val="auto"/>
              </w:rPr>
              <w:t>209,181</w:t>
            </w:r>
          </w:p>
        </w:tc>
      </w:tr>
      <w:tr>
        <w:trPr>
          <w:trHeight w:val="182"/>
        </w:trPr>
        <w:tc>
          <w:tcPr>
            <w:tcW w:w="3920" w:type="dxa"/>
            <w:vAlign w:val="bottom"/>
          </w:tcPr>
          <w:p>
            <w:pPr>
              <w:ind w:left="60"/>
              <w:spacing w:after="0"/>
              <w:rPr>
                <w:sz w:val="20"/>
                <w:szCs w:val="20"/>
                <w:color w:val="auto"/>
              </w:rPr>
            </w:pPr>
            <w:r>
              <w:rPr>
                <w:rFonts w:ascii="Arial" w:cs="Arial" w:eastAsia="Arial" w:hAnsi="Arial"/>
                <w:sz w:val="15"/>
                <w:szCs w:val="15"/>
                <w:b w:val="1"/>
                <w:bCs w:val="1"/>
                <w:color w:val="auto"/>
              </w:rPr>
              <w:t>Daniel N. Wesson</w:t>
            </w:r>
          </w:p>
        </w:tc>
        <w:tc>
          <w:tcPr>
            <w:tcW w:w="2340" w:type="dxa"/>
            <w:vAlign w:val="bottom"/>
          </w:tcPr>
          <w:p>
            <w:pPr>
              <w:spacing w:after="0"/>
              <w:rPr>
                <w:sz w:val="15"/>
                <w:szCs w:val="15"/>
                <w:color w:val="auto"/>
              </w:rPr>
            </w:pPr>
          </w:p>
        </w:tc>
        <w:tc>
          <w:tcPr>
            <w:tcW w:w="2520" w:type="dxa"/>
            <w:vAlign w:val="bottom"/>
            <w:tcBorders>
              <w:bottom w:val="single" w:sz="8" w:color="A8A9AC"/>
            </w:tcBorders>
          </w:tcPr>
          <w:p>
            <w:pPr>
              <w:spacing w:after="0"/>
              <w:rPr>
                <w:sz w:val="15"/>
                <w:szCs w:val="15"/>
                <w:color w:val="auto"/>
              </w:rPr>
            </w:pPr>
          </w:p>
        </w:tc>
        <w:tc>
          <w:tcPr>
            <w:tcW w:w="300" w:type="dxa"/>
            <w:vAlign w:val="bottom"/>
            <w:tcBorders>
              <w:bottom w:val="single" w:sz="8" w:color="A8A9AC"/>
            </w:tcBorders>
          </w:tcPr>
          <w:p>
            <w:pPr>
              <w:spacing w:after="0"/>
              <w:rPr>
                <w:sz w:val="15"/>
                <w:szCs w:val="15"/>
                <w:color w:val="auto"/>
              </w:rPr>
            </w:pPr>
          </w:p>
        </w:tc>
        <w:tc>
          <w:tcPr>
            <w:tcW w:w="2160" w:type="dxa"/>
            <w:vAlign w:val="bottom"/>
            <w:tcBorders>
              <w:bottom w:val="single" w:sz="8" w:color="A8A9AC"/>
            </w:tcBorders>
          </w:tcPr>
          <w:p>
            <w:pPr>
              <w:spacing w:after="0"/>
              <w:rPr>
                <w:sz w:val="15"/>
                <w:szCs w:val="15"/>
                <w:color w:val="auto"/>
              </w:rPr>
            </w:pPr>
          </w:p>
        </w:tc>
      </w:tr>
      <w:tr>
        <w:trPr>
          <w:trHeight w:val="207"/>
        </w:trPr>
        <w:tc>
          <w:tcPr>
            <w:tcW w:w="39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520" w:type="dxa"/>
            <w:vAlign w:val="bottom"/>
            <w:tcBorders>
              <w:bottom w:val="single" w:sz="8" w:color="A8A9AC"/>
            </w:tcBorders>
          </w:tcPr>
          <w:p>
            <w:pPr>
              <w:jc w:val="right"/>
              <w:ind w:right="126"/>
              <w:spacing w:after="0" w:line="207" w:lineRule="exact"/>
              <w:rPr>
                <w:sz w:val="20"/>
                <w:szCs w:val="20"/>
                <w:color w:val="auto"/>
              </w:rPr>
            </w:pPr>
            <w:r>
              <w:rPr>
                <w:rFonts w:ascii="Arial" w:cs="Arial" w:eastAsia="Arial" w:hAnsi="Arial"/>
                <w:sz w:val="15"/>
                <w:szCs w:val="15"/>
                <w:color w:val="auto"/>
              </w:rPr>
              <w:t>17,393</w:t>
            </w:r>
            <w:r>
              <w:rPr>
                <w:rFonts w:ascii="Arial" w:cs="Arial" w:eastAsia="Arial" w:hAnsi="Arial"/>
                <w:sz w:val="24"/>
                <w:szCs w:val="24"/>
                <w:color w:val="auto"/>
                <w:vertAlign w:val="superscript"/>
              </w:rPr>
              <w:t>(2)</w:t>
            </w:r>
          </w:p>
        </w:tc>
        <w:tc>
          <w:tcPr>
            <w:tcW w:w="300" w:type="dxa"/>
            <w:vAlign w:val="bottom"/>
            <w:tcBorders>
              <w:bottom w:val="single" w:sz="8" w:color="A8A9AC"/>
            </w:tcBorders>
          </w:tcPr>
          <w:p>
            <w:pPr>
              <w:ind w:left="200"/>
              <w:spacing w:after="0"/>
              <w:rPr>
                <w:sz w:val="20"/>
                <w:szCs w:val="20"/>
                <w:color w:val="auto"/>
              </w:rPr>
            </w:pPr>
            <w:r>
              <w:rPr>
                <w:rFonts w:ascii="Arial" w:cs="Arial" w:eastAsia="Arial" w:hAnsi="Arial"/>
                <w:sz w:val="15"/>
                <w:szCs w:val="15"/>
                <w:color w:val="auto"/>
                <w:w w:val="95"/>
              </w:rPr>
              <w:t>$</w:t>
            </w:r>
          </w:p>
        </w:tc>
        <w:tc>
          <w:tcPr>
            <w:tcW w:w="21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671,892</w:t>
            </w:r>
          </w:p>
        </w:tc>
      </w:tr>
      <w:tr>
        <w:trPr>
          <w:trHeight w:val="207"/>
        </w:trPr>
        <w:tc>
          <w:tcPr>
            <w:tcW w:w="3920" w:type="dxa"/>
            <w:vAlign w:val="bottom"/>
            <w:tcBorders>
              <w:bottom w:val="single" w:sz="8" w:color="A26F2A"/>
            </w:tcBorders>
          </w:tcPr>
          <w:p>
            <w:pPr>
              <w:spacing w:after="0"/>
              <w:rPr>
                <w:sz w:val="18"/>
                <w:szCs w:val="18"/>
                <w:color w:val="auto"/>
              </w:rPr>
            </w:pPr>
          </w:p>
        </w:tc>
        <w:tc>
          <w:tcPr>
            <w:tcW w:w="2340" w:type="dxa"/>
            <w:vAlign w:val="bottom"/>
            <w:tcBorders>
              <w:bottom w:val="single" w:sz="8" w:color="A26F2A"/>
            </w:tcBorders>
          </w:tcPr>
          <w:p>
            <w:pPr>
              <w:spacing w:after="0"/>
              <w:rPr>
                <w:sz w:val="18"/>
                <w:szCs w:val="18"/>
                <w:color w:val="auto"/>
              </w:rPr>
            </w:pPr>
          </w:p>
        </w:tc>
        <w:tc>
          <w:tcPr>
            <w:tcW w:w="2520" w:type="dxa"/>
            <w:vAlign w:val="bottom"/>
            <w:tcBorders>
              <w:bottom w:val="single" w:sz="8" w:color="A26F2A"/>
            </w:tcBorders>
          </w:tcPr>
          <w:p>
            <w:pPr>
              <w:jc w:val="right"/>
              <w:ind w:right="126"/>
              <w:spacing w:after="0" w:line="207" w:lineRule="exact"/>
              <w:rPr>
                <w:sz w:val="20"/>
                <w:szCs w:val="20"/>
                <w:color w:val="auto"/>
              </w:rPr>
            </w:pPr>
            <w:r>
              <w:rPr>
                <w:rFonts w:ascii="Arial" w:cs="Arial" w:eastAsia="Arial" w:hAnsi="Arial"/>
                <w:sz w:val="15"/>
                <w:szCs w:val="15"/>
                <w:color w:val="auto"/>
              </w:rPr>
              <w:t>8,664</w:t>
            </w:r>
            <w:r>
              <w:rPr>
                <w:rFonts w:ascii="Arial" w:cs="Arial" w:eastAsia="Arial" w:hAnsi="Arial"/>
                <w:sz w:val="24"/>
                <w:szCs w:val="24"/>
                <w:color w:val="auto"/>
                <w:vertAlign w:val="superscript"/>
              </w:rPr>
              <w:t>(3)</w:t>
            </w:r>
          </w:p>
        </w:tc>
        <w:tc>
          <w:tcPr>
            <w:tcW w:w="300" w:type="dxa"/>
            <w:vAlign w:val="bottom"/>
            <w:tcBorders>
              <w:bottom w:val="single" w:sz="8" w:color="A26F2A"/>
            </w:tcBorders>
          </w:tcPr>
          <w:p>
            <w:pPr>
              <w:ind w:left="200"/>
              <w:spacing w:after="0"/>
              <w:rPr>
                <w:sz w:val="20"/>
                <w:szCs w:val="20"/>
                <w:color w:val="auto"/>
              </w:rPr>
            </w:pPr>
            <w:r>
              <w:rPr>
                <w:rFonts w:ascii="Arial" w:cs="Arial" w:eastAsia="Arial" w:hAnsi="Arial"/>
                <w:sz w:val="15"/>
                <w:szCs w:val="15"/>
                <w:color w:val="auto"/>
                <w:w w:val="95"/>
              </w:rPr>
              <w:t>$</w:t>
            </w:r>
          </w:p>
        </w:tc>
        <w:tc>
          <w:tcPr>
            <w:tcW w:w="2160" w:type="dxa"/>
            <w:vAlign w:val="bottom"/>
            <w:tcBorders>
              <w:bottom w:val="single" w:sz="8" w:color="A26F2A"/>
            </w:tcBorders>
          </w:tcPr>
          <w:p>
            <w:pPr>
              <w:jc w:val="right"/>
              <w:ind w:right="24"/>
              <w:spacing w:after="0"/>
              <w:rPr>
                <w:sz w:val="20"/>
                <w:szCs w:val="20"/>
                <w:color w:val="auto"/>
              </w:rPr>
            </w:pPr>
            <w:r>
              <w:rPr>
                <w:rFonts w:ascii="Arial" w:cs="Arial" w:eastAsia="Arial" w:hAnsi="Arial"/>
                <w:sz w:val="15"/>
                <w:szCs w:val="15"/>
                <w:color w:val="auto"/>
              </w:rPr>
              <w:t>334,690</w:t>
            </w:r>
          </w:p>
        </w:tc>
      </w:tr>
      <w:tr>
        <w:trPr>
          <w:trHeight w:val="182"/>
        </w:trPr>
        <w:tc>
          <w:tcPr>
            <w:tcW w:w="3920" w:type="dxa"/>
            <w:vAlign w:val="bottom"/>
          </w:tcPr>
          <w:p>
            <w:pPr>
              <w:ind w:left="60"/>
              <w:spacing w:after="0"/>
              <w:rPr>
                <w:sz w:val="20"/>
                <w:szCs w:val="20"/>
                <w:color w:val="auto"/>
              </w:rPr>
            </w:pPr>
            <w:r>
              <w:rPr>
                <w:rFonts w:ascii="Arial" w:cs="Arial" w:eastAsia="Arial" w:hAnsi="Arial"/>
                <w:sz w:val="15"/>
                <w:szCs w:val="15"/>
                <w:b w:val="1"/>
                <w:bCs w:val="1"/>
                <w:color w:val="auto"/>
              </w:rPr>
              <w:t>Matt Zmigrosky</w:t>
            </w:r>
          </w:p>
        </w:tc>
        <w:tc>
          <w:tcPr>
            <w:tcW w:w="2340" w:type="dxa"/>
            <w:vAlign w:val="bottom"/>
          </w:tcPr>
          <w:p>
            <w:pPr>
              <w:spacing w:after="0"/>
              <w:rPr>
                <w:sz w:val="15"/>
                <w:szCs w:val="15"/>
                <w:color w:val="auto"/>
              </w:rPr>
            </w:pPr>
          </w:p>
        </w:tc>
        <w:tc>
          <w:tcPr>
            <w:tcW w:w="2520" w:type="dxa"/>
            <w:vAlign w:val="bottom"/>
            <w:tcBorders>
              <w:bottom w:val="single" w:sz="8" w:color="A8A9AC"/>
            </w:tcBorders>
          </w:tcPr>
          <w:p>
            <w:pPr>
              <w:spacing w:after="0"/>
              <w:rPr>
                <w:sz w:val="15"/>
                <w:szCs w:val="15"/>
                <w:color w:val="auto"/>
              </w:rPr>
            </w:pPr>
          </w:p>
        </w:tc>
        <w:tc>
          <w:tcPr>
            <w:tcW w:w="300" w:type="dxa"/>
            <w:vAlign w:val="bottom"/>
            <w:tcBorders>
              <w:bottom w:val="single" w:sz="8" w:color="A8A9AC"/>
            </w:tcBorders>
          </w:tcPr>
          <w:p>
            <w:pPr>
              <w:spacing w:after="0"/>
              <w:rPr>
                <w:sz w:val="15"/>
                <w:szCs w:val="15"/>
                <w:color w:val="auto"/>
              </w:rPr>
            </w:pPr>
          </w:p>
        </w:tc>
        <w:tc>
          <w:tcPr>
            <w:tcW w:w="2160" w:type="dxa"/>
            <w:vAlign w:val="bottom"/>
            <w:tcBorders>
              <w:bottom w:val="single" w:sz="8" w:color="A8A9AC"/>
            </w:tcBorders>
          </w:tcPr>
          <w:p>
            <w:pPr>
              <w:spacing w:after="0"/>
              <w:rPr>
                <w:sz w:val="15"/>
                <w:szCs w:val="15"/>
                <w:color w:val="auto"/>
              </w:rPr>
            </w:pPr>
          </w:p>
        </w:tc>
      </w:tr>
      <w:tr>
        <w:trPr>
          <w:trHeight w:val="207"/>
        </w:trPr>
        <w:tc>
          <w:tcPr>
            <w:tcW w:w="39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520" w:type="dxa"/>
            <w:vAlign w:val="bottom"/>
            <w:tcBorders>
              <w:bottom w:val="single" w:sz="8" w:color="A8A9AC"/>
            </w:tcBorders>
          </w:tcPr>
          <w:p>
            <w:pPr>
              <w:jc w:val="right"/>
              <w:ind w:right="126"/>
              <w:spacing w:after="0" w:line="207" w:lineRule="exact"/>
              <w:rPr>
                <w:sz w:val="20"/>
                <w:szCs w:val="20"/>
                <w:color w:val="auto"/>
              </w:rPr>
            </w:pPr>
            <w:r>
              <w:rPr>
                <w:rFonts w:ascii="Arial" w:cs="Arial" w:eastAsia="Arial" w:hAnsi="Arial"/>
                <w:sz w:val="15"/>
                <w:szCs w:val="15"/>
                <w:color w:val="auto"/>
              </w:rPr>
              <w:t>17,393</w:t>
            </w:r>
            <w:r>
              <w:rPr>
                <w:rFonts w:ascii="Arial" w:cs="Arial" w:eastAsia="Arial" w:hAnsi="Arial"/>
                <w:sz w:val="24"/>
                <w:szCs w:val="24"/>
                <w:color w:val="auto"/>
                <w:vertAlign w:val="superscript"/>
              </w:rPr>
              <w:t>(2)</w:t>
            </w:r>
          </w:p>
        </w:tc>
        <w:tc>
          <w:tcPr>
            <w:tcW w:w="300" w:type="dxa"/>
            <w:vAlign w:val="bottom"/>
            <w:tcBorders>
              <w:bottom w:val="single" w:sz="8" w:color="A8A9AC"/>
            </w:tcBorders>
          </w:tcPr>
          <w:p>
            <w:pPr>
              <w:ind w:left="200"/>
              <w:spacing w:after="0"/>
              <w:rPr>
                <w:sz w:val="20"/>
                <w:szCs w:val="20"/>
                <w:color w:val="auto"/>
              </w:rPr>
            </w:pPr>
            <w:r>
              <w:rPr>
                <w:rFonts w:ascii="Arial" w:cs="Arial" w:eastAsia="Arial" w:hAnsi="Arial"/>
                <w:sz w:val="15"/>
                <w:szCs w:val="15"/>
                <w:color w:val="auto"/>
                <w:w w:val="95"/>
              </w:rPr>
              <w:t>$</w:t>
            </w:r>
          </w:p>
        </w:tc>
        <w:tc>
          <w:tcPr>
            <w:tcW w:w="21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671,892</w:t>
            </w:r>
          </w:p>
        </w:tc>
      </w:tr>
      <w:tr>
        <w:trPr>
          <w:trHeight w:val="207"/>
        </w:trPr>
        <w:tc>
          <w:tcPr>
            <w:tcW w:w="3920" w:type="dxa"/>
            <w:vAlign w:val="bottom"/>
            <w:tcBorders>
              <w:bottom w:val="single" w:sz="8" w:color="A26F2A"/>
            </w:tcBorders>
          </w:tcPr>
          <w:p>
            <w:pPr>
              <w:spacing w:after="0"/>
              <w:rPr>
                <w:sz w:val="18"/>
                <w:szCs w:val="18"/>
                <w:color w:val="auto"/>
              </w:rPr>
            </w:pPr>
          </w:p>
        </w:tc>
        <w:tc>
          <w:tcPr>
            <w:tcW w:w="2340" w:type="dxa"/>
            <w:vAlign w:val="bottom"/>
            <w:tcBorders>
              <w:bottom w:val="single" w:sz="8" w:color="A26F2A"/>
            </w:tcBorders>
          </w:tcPr>
          <w:p>
            <w:pPr>
              <w:spacing w:after="0"/>
              <w:rPr>
                <w:sz w:val="18"/>
                <w:szCs w:val="18"/>
                <w:color w:val="auto"/>
              </w:rPr>
            </w:pPr>
          </w:p>
        </w:tc>
        <w:tc>
          <w:tcPr>
            <w:tcW w:w="2520" w:type="dxa"/>
            <w:vAlign w:val="bottom"/>
            <w:tcBorders>
              <w:bottom w:val="single" w:sz="8" w:color="A26F2A"/>
            </w:tcBorders>
          </w:tcPr>
          <w:p>
            <w:pPr>
              <w:jc w:val="right"/>
              <w:ind w:right="126"/>
              <w:spacing w:after="0" w:line="207" w:lineRule="exact"/>
              <w:rPr>
                <w:sz w:val="20"/>
                <w:szCs w:val="20"/>
                <w:color w:val="auto"/>
              </w:rPr>
            </w:pPr>
            <w:r>
              <w:rPr>
                <w:rFonts w:ascii="Arial" w:cs="Arial" w:eastAsia="Arial" w:hAnsi="Arial"/>
                <w:sz w:val="15"/>
                <w:szCs w:val="15"/>
                <w:color w:val="auto"/>
              </w:rPr>
              <w:t>8,664</w:t>
            </w:r>
            <w:r>
              <w:rPr>
                <w:rFonts w:ascii="Arial" w:cs="Arial" w:eastAsia="Arial" w:hAnsi="Arial"/>
                <w:sz w:val="24"/>
                <w:szCs w:val="24"/>
                <w:color w:val="auto"/>
                <w:vertAlign w:val="superscript"/>
              </w:rPr>
              <w:t>(3)</w:t>
            </w:r>
          </w:p>
        </w:tc>
        <w:tc>
          <w:tcPr>
            <w:tcW w:w="300" w:type="dxa"/>
            <w:vAlign w:val="bottom"/>
            <w:tcBorders>
              <w:bottom w:val="single" w:sz="8" w:color="A26F2A"/>
            </w:tcBorders>
          </w:tcPr>
          <w:p>
            <w:pPr>
              <w:ind w:left="200"/>
              <w:spacing w:after="0"/>
              <w:rPr>
                <w:sz w:val="20"/>
                <w:szCs w:val="20"/>
                <w:color w:val="auto"/>
              </w:rPr>
            </w:pPr>
            <w:r>
              <w:rPr>
                <w:rFonts w:ascii="Arial" w:cs="Arial" w:eastAsia="Arial" w:hAnsi="Arial"/>
                <w:sz w:val="15"/>
                <w:szCs w:val="15"/>
                <w:color w:val="auto"/>
                <w:w w:val="95"/>
              </w:rPr>
              <w:t>$</w:t>
            </w:r>
          </w:p>
        </w:tc>
        <w:tc>
          <w:tcPr>
            <w:tcW w:w="2160" w:type="dxa"/>
            <w:vAlign w:val="bottom"/>
            <w:tcBorders>
              <w:bottom w:val="single" w:sz="8" w:color="A26F2A"/>
            </w:tcBorders>
          </w:tcPr>
          <w:p>
            <w:pPr>
              <w:jc w:val="right"/>
              <w:ind w:right="24"/>
              <w:spacing w:after="0"/>
              <w:rPr>
                <w:sz w:val="20"/>
                <w:szCs w:val="20"/>
                <w:color w:val="auto"/>
              </w:rPr>
            </w:pPr>
            <w:r>
              <w:rPr>
                <w:rFonts w:ascii="Arial" w:cs="Arial" w:eastAsia="Arial" w:hAnsi="Arial"/>
                <w:sz w:val="15"/>
                <w:szCs w:val="15"/>
                <w:color w:val="auto"/>
              </w:rPr>
              <w:t>334,690</w:t>
            </w:r>
          </w:p>
        </w:tc>
      </w:tr>
    </w:tbl>
    <w:p>
      <w:pPr>
        <w:spacing w:after="0" w:line="56" w:lineRule="exact"/>
        <w:rPr>
          <w:sz w:val="20"/>
          <w:szCs w:val="20"/>
          <w:color w:val="auto"/>
        </w:rPr>
      </w:pPr>
    </w:p>
    <w:p>
      <w:pPr>
        <w:ind w:left="300" w:hanging="299"/>
        <w:spacing w:after="0" w:line="285" w:lineRule="auto"/>
        <w:tabs>
          <w:tab w:leader="none" w:pos="300" w:val="left"/>
        </w:tabs>
        <w:numPr>
          <w:ilvl w:val="0"/>
          <w:numId w:val="105"/>
        </w:numPr>
        <w:rPr>
          <w:rFonts w:ascii="Arial" w:cs="Arial" w:eastAsia="Arial" w:hAnsi="Arial"/>
          <w:sz w:val="13"/>
          <w:szCs w:val="13"/>
          <w:i w:val="1"/>
          <w:iCs w:val="1"/>
          <w:color w:val="auto"/>
        </w:rPr>
      </w:pPr>
      <w:r>
        <w:rPr>
          <w:rFonts w:ascii="Arial" w:cs="Arial" w:eastAsia="Arial" w:hAnsi="Arial"/>
          <w:sz w:val="13"/>
          <w:szCs w:val="13"/>
          <w:i w:val="1"/>
          <w:iCs w:val="1"/>
          <w:color w:val="auto"/>
        </w:rPr>
        <w:t>Market value of shares or units that have not vested is based on the closing price of $38.63 per share of Viper’s common stock on the Nasdaq Global Select Market on December 31, 2025, which was the last trading day of 2025.</w:t>
      </w:r>
    </w:p>
    <w:p>
      <w:pPr>
        <w:spacing w:after="0" w:line="10" w:lineRule="exact"/>
        <w:rPr>
          <w:rFonts w:ascii="Arial" w:cs="Arial" w:eastAsia="Arial" w:hAnsi="Arial"/>
          <w:sz w:val="13"/>
          <w:szCs w:val="13"/>
          <w:i w:val="1"/>
          <w:iCs w:val="1"/>
          <w:color w:val="auto"/>
        </w:rPr>
      </w:pPr>
    </w:p>
    <w:p>
      <w:pPr>
        <w:jc w:val="both"/>
        <w:ind w:left="300" w:hanging="299"/>
        <w:spacing w:after="0" w:line="248" w:lineRule="auto"/>
        <w:tabs>
          <w:tab w:leader="none" w:pos="300" w:val="left"/>
        </w:tabs>
        <w:numPr>
          <w:ilvl w:val="0"/>
          <w:numId w:val="105"/>
        </w:numPr>
        <w:rPr>
          <w:rFonts w:ascii="Arial" w:cs="Arial" w:eastAsia="Arial" w:hAnsi="Arial"/>
          <w:sz w:val="13"/>
          <w:szCs w:val="13"/>
          <w:i w:val="1"/>
          <w:iCs w:val="1"/>
          <w:color w:val="auto"/>
        </w:rPr>
      </w:pPr>
      <w:r>
        <w:rPr>
          <w:rFonts w:ascii="Arial" w:cs="Arial" w:eastAsia="Arial" w:hAnsi="Arial"/>
          <w:sz w:val="13"/>
          <w:szCs w:val="13"/>
          <w:i w:val="1"/>
          <w:iCs w:val="1"/>
          <w:color w:val="auto"/>
        </w:rPr>
        <w:t>Reflects the maximum number of performance-based restricted stock units granted based on the performance of the awards from the grant date through December 31, 2025. These performance-based restricted stock units were granted under the LTIP subject to the satisfaction of certain relative TSR performance conditions as compared to our TSR performance peer group for the performance period commencing on January 1, 2024 and ending on December 31, 2026, as certified by the compensation committee, and continuous service requirements. The number of restricted stock units that will vest is based on the achievement of a pre-established threshold, target or maximum relative TSR goal, as compared to the Company’s peers, as modified by the absolute TSR modifier. The TSR is calculated over the performance period by dividing (1) the sum of (a) the cumulative value of dividends received during the performance period, assuming reinvestment, plus (b) the difference between the average stock price for the month of December 2026 compared to the average stock price for the month of December 2023; by (2) the average stock price for the month of December 2023. No awards vest if the relative TSR for the applicable performance period is below the threshold percentile. The absolute TSR modifier reduces payouts upon negative performance period TSR, pays at target upon achieving a performance period annual TSR of zero to 15%, and increases payouts upon achieving a performance period annual TSR of greater than 15%.</w:t>
      </w:r>
    </w:p>
    <w:p>
      <w:pPr>
        <w:spacing w:after="0" w:line="35" w:lineRule="exact"/>
        <w:rPr>
          <w:rFonts w:ascii="Arial" w:cs="Arial" w:eastAsia="Arial" w:hAnsi="Arial"/>
          <w:sz w:val="13"/>
          <w:szCs w:val="13"/>
          <w:i w:val="1"/>
          <w:iCs w:val="1"/>
          <w:color w:val="auto"/>
        </w:rPr>
      </w:pPr>
    </w:p>
    <w:p>
      <w:pPr>
        <w:jc w:val="both"/>
        <w:ind w:left="300" w:hanging="299"/>
        <w:spacing w:after="0" w:line="248" w:lineRule="auto"/>
        <w:tabs>
          <w:tab w:leader="none" w:pos="300" w:val="left"/>
        </w:tabs>
        <w:numPr>
          <w:ilvl w:val="0"/>
          <w:numId w:val="105"/>
        </w:numPr>
        <w:rPr>
          <w:rFonts w:ascii="Arial" w:cs="Arial" w:eastAsia="Arial" w:hAnsi="Arial"/>
          <w:sz w:val="13"/>
          <w:szCs w:val="13"/>
          <w:i w:val="1"/>
          <w:iCs w:val="1"/>
          <w:color w:val="auto"/>
        </w:rPr>
      </w:pPr>
      <w:r>
        <w:rPr>
          <w:rFonts w:ascii="Arial" w:cs="Arial" w:eastAsia="Arial" w:hAnsi="Arial"/>
          <w:sz w:val="13"/>
          <w:szCs w:val="13"/>
          <w:i w:val="1"/>
          <w:iCs w:val="1"/>
          <w:color w:val="auto"/>
        </w:rPr>
        <w:t>Reflects the target number of performance-based restricted stock units granted based on the performance of the awards from the grant date through December 31, 2025. These performance-based restricted stock units were granted under the LTIP subject to the satisfaction of certain relative TSR performance conditions as compared to our TSR performance peer group for the performance period commencing on January 1, 2025 and ending on December 31, 2027, as certified by the compensation committee, and continuous service requirements. The number of restricted stock units that will vest is based on the achievement of a pre-established threshold, target or maximum relative TSR goal, as compared to the Company’s peers, as modified by the absolute TSR modifier. The TSR is calculated over the performance period by dividing (1) the sum of (a) the cumulative value of dividends received during the performance period, assuming reinvestment, plus (b) the difference between the average stock price for the month of December 2027 compared to the average stock price for the month of December 2024; by (2) the average stock price for the month of December 2024. No awards vest if the relative TSR for the applicable performance period is below the threshold percentile. The absolute TSR modifier reduces payouts upon negative performance period TSR, pays at target upon achieving a performance period annual TSR of zero to 15%, and increases payouts upon achieving a performance period annual TSR of greater than 15%.</w:t>
      </w:r>
    </w:p>
    <w:p>
      <w:pPr>
        <w:spacing w:after="0" w:line="145"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5" w:name="page76"/>
    <w:bookmarkEnd w:id="7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ind w:left="340" w:right="620" w:hanging="336"/>
        <w:spacing w:after="0" w:line="291" w:lineRule="auto"/>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STOCK VESTED DURING FISCAL YEAR 2025 UNDER DIAMONDBACK’S EQUITY</w:t>
      </w: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INCENTIVE PLAN</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following table provides certain information for the NEOs with respect to the number of shares acquired upon the vesting of time-based and performance-based restricted stock awards under Diamondback’s Equity Incentive Plan during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5000" w:type="dxa"/>
            <w:vAlign w:val="bottom"/>
          </w:tcPr>
          <w:p>
            <w:pPr>
              <w:jc w:val="right"/>
              <w:ind w:right="84"/>
              <w:spacing w:after="0"/>
              <w:rPr>
                <w:sz w:val="20"/>
                <w:szCs w:val="20"/>
                <w:color w:val="auto"/>
              </w:rPr>
            </w:pPr>
            <w:r>
              <w:rPr>
                <w:rFonts w:ascii="Arial" w:cs="Arial" w:eastAsia="Arial" w:hAnsi="Arial"/>
                <w:sz w:val="15"/>
                <w:szCs w:val="15"/>
                <w:b w:val="1"/>
                <w:bCs w:val="1"/>
                <w:color w:val="auto"/>
              </w:rPr>
              <w:t>Number of Shares</w:t>
            </w:r>
          </w:p>
        </w:tc>
        <w:tc>
          <w:tcPr>
            <w:tcW w:w="1300" w:type="dxa"/>
            <w:vAlign w:val="bottom"/>
            <w:gridSpan w:val="2"/>
          </w:tcPr>
          <w:p>
            <w:pPr>
              <w:ind w:left="160"/>
              <w:spacing w:after="0"/>
              <w:rPr>
                <w:sz w:val="20"/>
                <w:szCs w:val="20"/>
                <w:color w:val="auto"/>
              </w:rPr>
            </w:pPr>
            <w:r>
              <w:rPr>
                <w:rFonts w:ascii="Arial" w:cs="Arial" w:eastAsia="Arial" w:hAnsi="Arial"/>
                <w:sz w:val="15"/>
                <w:szCs w:val="15"/>
                <w:b w:val="1"/>
                <w:bCs w:val="1"/>
                <w:color w:val="auto"/>
              </w:rPr>
              <w:t>Value Realized</w:t>
            </w:r>
          </w:p>
        </w:tc>
      </w:tr>
      <w:tr>
        <w:trPr>
          <w:trHeight w:val="177"/>
        </w:trPr>
        <w:tc>
          <w:tcPr>
            <w:tcW w:w="4940" w:type="dxa"/>
            <w:vAlign w:val="bottom"/>
          </w:tcPr>
          <w:p>
            <w:pPr>
              <w:spacing w:after="0"/>
              <w:rPr>
                <w:sz w:val="15"/>
                <w:szCs w:val="15"/>
                <w:color w:val="auto"/>
              </w:rPr>
            </w:pPr>
          </w:p>
        </w:tc>
        <w:tc>
          <w:tcPr>
            <w:tcW w:w="5000" w:type="dxa"/>
            <w:vAlign w:val="bottom"/>
          </w:tcPr>
          <w:p>
            <w:pPr>
              <w:jc w:val="right"/>
              <w:ind w:right="84"/>
              <w:spacing w:after="0"/>
              <w:rPr>
                <w:sz w:val="20"/>
                <w:szCs w:val="20"/>
                <w:color w:val="auto"/>
              </w:rPr>
            </w:pPr>
            <w:r>
              <w:rPr>
                <w:rFonts w:ascii="Arial" w:cs="Arial" w:eastAsia="Arial" w:hAnsi="Arial"/>
                <w:sz w:val="15"/>
                <w:szCs w:val="15"/>
                <w:b w:val="1"/>
                <w:bCs w:val="1"/>
                <w:color w:val="auto"/>
              </w:rPr>
              <w:t>Acquired on Vesting</w:t>
            </w:r>
          </w:p>
        </w:tc>
        <w:tc>
          <w:tcPr>
            <w:tcW w:w="340" w:type="dxa"/>
            <w:vAlign w:val="bottom"/>
          </w:tcPr>
          <w:p>
            <w:pPr>
              <w:spacing w:after="0"/>
              <w:rPr>
                <w:sz w:val="15"/>
                <w:szCs w:val="15"/>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b w:val="1"/>
                <w:bCs w:val="1"/>
                <w:color w:val="auto"/>
              </w:rPr>
              <w:t>on Vesting</w:t>
            </w:r>
          </w:p>
        </w:tc>
      </w:tr>
      <w:tr>
        <w:trPr>
          <w:trHeight w:val="220"/>
        </w:trPr>
        <w:tc>
          <w:tcPr>
            <w:tcW w:w="494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Name</w:t>
            </w:r>
          </w:p>
        </w:tc>
        <w:tc>
          <w:tcPr>
            <w:tcW w:w="5000" w:type="dxa"/>
            <w:vAlign w:val="bottom"/>
            <w:tcBorders>
              <w:bottom w:val="single" w:sz="8" w:color="A26F2A"/>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26F2A"/>
            </w:tcBorders>
          </w:tcPr>
          <w:p>
            <w:pPr>
              <w:spacing w:after="0"/>
              <w:rPr>
                <w:sz w:val="19"/>
                <w:szCs w:val="19"/>
                <w:color w:val="auto"/>
              </w:rPr>
            </w:pPr>
          </w:p>
        </w:tc>
        <w:tc>
          <w:tcPr>
            <w:tcW w:w="960" w:type="dxa"/>
            <w:vAlign w:val="bottom"/>
            <w:tcBorders>
              <w:bottom w:val="single" w:sz="8" w:color="A26F2A"/>
            </w:tcBorders>
          </w:tcPr>
          <w:p>
            <w:pPr>
              <w:jc w:val="right"/>
              <w:ind w:right="27"/>
              <w:spacing w:after="0" w:line="214"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1"/>
                <w:szCs w:val="11"/>
                <w:b w:val="1"/>
                <w:bCs w:val="1"/>
                <w:color w:val="auto"/>
              </w:rPr>
              <w:t>(1)</w:t>
            </w:r>
          </w:p>
        </w:tc>
      </w:tr>
      <w:tr>
        <w:trPr>
          <w:trHeight w:val="177"/>
        </w:trPr>
        <w:tc>
          <w:tcPr>
            <w:tcW w:w="494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Travis D. Stice</w:t>
            </w:r>
          </w:p>
        </w:tc>
        <w:tc>
          <w:tcPr>
            <w:tcW w:w="500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108,577</w:t>
            </w:r>
          </w:p>
        </w:tc>
        <w:tc>
          <w:tcPr>
            <w:tcW w:w="340" w:type="dxa"/>
            <w:vAlign w:val="bottom"/>
            <w:tcBorders>
              <w:bottom w:val="single" w:sz="8" w:color="A8A9AC"/>
            </w:tcBorders>
          </w:tcPr>
          <w:p>
            <w:pPr>
              <w:ind w:left="16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7"/>
              <w:spacing w:after="0"/>
              <w:rPr>
                <w:sz w:val="20"/>
                <w:szCs w:val="20"/>
                <w:color w:val="auto"/>
              </w:rPr>
            </w:pPr>
            <w:r>
              <w:rPr>
                <w:rFonts w:ascii="Arial" w:cs="Arial" w:eastAsia="Arial" w:hAnsi="Arial"/>
                <w:sz w:val="15"/>
                <w:szCs w:val="15"/>
                <w:color w:val="auto"/>
              </w:rPr>
              <w:t>16,560,215</w:t>
            </w:r>
          </w:p>
        </w:tc>
      </w:tr>
      <w:tr>
        <w:trPr>
          <w:trHeight w:val="169"/>
        </w:trPr>
        <w:tc>
          <w:tcPr>
            <w:tcW w:w="49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Kaes Van’t Hof</w:t>
            </w:r>
          </w:p>
        </w:tc>
        <w:tc>
          <w:tcPr>
            <w:tcW w:w="5000" w:type="dxa"/>
            <w:vAlign w:val="bottom"/>
            <w:tcBorders>
              <w:bottom w:val="single" w:sz="8" w:color="A8A9AC"/>
            </w:tcBorders>
          </w:tcPr>
          <w:p>
            <w:pPr>
              <w:jc w:val="right"/>
              <w:ind w:right="84"/>
              <w:spacing w:after="0" w:line="169" w:lineRule="exact"/>
              <w:rPr>
                <w:sz w:val="20"/>
                <w:szCs w:val="20"/>
                <w:color w:val="auto"/>
              </w:rPr>
            </w:pPr>
            <w:r>
              <w:rPr>
                <w:rFonts w:ascii="Arial" w:cs="Arial" w:eastAsia="Arial" w:hAnsi="Arial"/>
                <w:sz w:val="15"/>
                <w:szCs w:val="15"/>
                <w:color w:val="auto"/>
              </w:rPr>
              <w:t>54,862</w:t>
            </w:r>
          </w:p>
        </w:tc>
        <w:tc>
          <w:tcPr>
            <w:tcW w:w="340" w:type="dxa"/>
            <w:vAlign w:val="bottom"/>
            <w:tcBorders>
              <w:bottom w:val="single" w:sz="8" w:color="A8A9AC"/>
            </w:tcBorders>
          </w:tcPr>
          <w:p>
            <w:pPr>
              <w:ind w:left="160"/>
              <w:spacing w:after="0" w:line="169"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7"/>
              <w:spacing w:after="0" w:line="169" w:lineRule="exact"/>
              <w:rPr>
                <w:sz w:val="20"/>
                <w:szCs w:val="20"/>
                <w:color w:val="auto"/>
              </w:rPr>
            </w:pPr>
            <w:r>
              <w:rPr>
                <w:rFonts w:ascii="Arial" w:cs="Arial" w:eastAsia="Arial" w:hAnsi="Arial"/>
                <w:sz w:val="15"/>
                <w:szCs w:val="15"/>
                <w:color w:val="auto"/>
              </w:rPr>
              <w:t>8,338,264</w:t>
            </w:r>
          </w:p>
        </w:tc>
      </w:tr>
      <w:tr>
        <w:trPr>
          <w:trHeight w:val="169"/>
        </w:trPr>
        <w:tc>
          <w:tcPr>
            <w:tcW w:w="49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Jere W. Thompson III</w:t>
            </w:r>
          </w:p>
        </w:tc>
        <w:tc>
          <w:tcPr>
            <w:tcW w:w="5000" w:type="dxa"/>
            <w:vAlign w:val="bottom"/>
            <w:tcBorders>
              <w:bottom w:val="single" w:sz="8" w:color="A8A9AC"/>
            </w:tcBorders>
          </w:tcPr>
          <w:p>
            <w:pPr>
              <w:jc w:val="right"/>
              <w:ind w:right="84"/>
              <w:spacing w:after="0" w:line="169" w:lineRule="exact"/>
              <w:rPr>
                <w:sz w:val="20"/>
                <w:szCs w:val="20"/>
                <w:color w:val="auto"/>
              </w:rPr>
            </w:pPr>
            <w:r>
              <w:rPr>
                <w:rFonts w:ascii="Arial" w:cs="Arial" w:eastAsia="Arial" w:hAnsi="Arial"/>
                <w:sz w:val="15"/>
                <w:szCs w:val="15"/>
                <w:color w:val="auto"/>
              </w:rPr>
              <w:t>11,702</w:t>
            </w:r>
          </w:p>
        </w:tc>
        <w:tc>
          <w:tcPr>
            <w:tcW w:w="340" w:type="dxa"/>
            <w:vAlign w:val="bottom"/>
            <w:tcBorders>
              <w:bottom w:val="single" w:sz="8" w:color="A8A9AC"/>
            </w:tcBorders>
          </w:tcPr>
          <w:p>
            <w:pPr>
              <w:ind w:left="160"/>
              <w:spacing w:after="0" w:line="169"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7"/>
              <w:spacing w:after="0" w:line="169" w:lineRule="exact"/>
              <w:rPr>
                <w:sz w:val="20"/>
                <w:szCs w:val="20"/>
                <w:color w:val="auto"/>
              </w:rPr>
            </w:pPr>
            <w:r>
              <w:rPr>
                <w:rFonts w:ascii="Arial" w:cs="Arial" w:eastAsia="Arial" w:hAnsi="Arial"/>
                <w:sz w:val="15"/>
                <w:szCs w:val="15"/>
                <w:color w:val="auto"/>
              </w:rPr>
              <w:t>1,793,561</w:t>
            </w:r>
          </w:p>
        </w:tc>
      </w:tr>
      <w:tr>
        <w:trPr>
          <w:trHeight w:val="169"/>
        </w:trPr>
        <w:tc>
          <w:tcPr>
            <w:tcW w:w="49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Teresa L. Dick</w:t>
            </w:r>
          </w:p>
        </w:tc>
        <w:tc>
          <w:tcPr>
            <w:tcW w:w="5000" w:type="dxa"/>
            <w:vAlign w:val="bottom"/>
            <w:tcBorders>
              <w:bottom w:val="single" w:sz="8" w:color="A8A9AC"/>
            </w:tcBorders>
          </w:tcPr>
          <w:p>
            <w:pPr>
              <w:jc w:val="right"/>
              <w:ind w:right="84"/>
              <w:spacing w:after="0" w:line="169" w:lineRule="exact"/>
              <w:rPr>
                <w:sz w:val="20"/>
                <w:szCs w:val="20"/>
                <w:color w:val="auto"/>
              </w:rPr>
            </w:pPr>
            <w:r>
              <w:rPr>
                <w:rFonts w:ascii="Arial" w:cs="Arial" w:eastAsia="Arial" w:hAnsi="Arial"/>
                <w:sz w:val="15"/>
                <w:szCs w:val="15"/>
                <w:color w:val="auto"/>
              </w:rPr>
              <w:t>23,878</w:t>
            </w:r>
          </w:p>
        </w:tc>
        <w:tc>
          <w:tcPr>
            <w:tcW w:w="340" w:type="dxa"/>
            <w:vAlign w:val="bottom"/>
            <w:tcBorders>
              <w:bottom w:val="single" w:sz="8" w:color="A8A9AC"/>
            </w:tcBorders>
          </w:tcPr>
          <w:p>
            <w:pPr>
              <w:ind w:left="160"/>
              <w:spacing w:after="0" w:line="169"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7"/>
              <w:spacing w:after="0" w:line="169" w:lineRule="exact"/>
              <w:rPr>
                <w:sz w:val="20"/>
                <w:szCs w:val="20"/>
                <w:color w:val="auto"/>
              </w:rPr>
            </w:pPr>
            <w:r>
              <w:rPr>
                <w:rFonts w:ascii="Arial" w:cs="Arial" w:eastAsia="Arial" w:hAnsi="Arial"/>
                <w:sz w:val="15"/>
                <w:szCs w:val="15"/>
                <w:color w:val="auto"/>
              </w:rPr>
              <w:t>3,636,579</w:t>
            </w:r>
          </w:p>
        </w:tc>
      </w:tr>
      <w:tr>
        <w:trPr>
          <w:trHeight w:val="169"/>
        </w:trPr>
        <w:tc>
          <w:tcPr>
            <w:tcW w:w="49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Daniel N. Wesson</w:t>
            </w:r>
          </w:p>
        </w:tc>
        <w:tc>
          <w:tcPr>
            <w:tcW w:w="5000" w:type="dxa"/>
            <w:vAlign w:val="bottom"/>
            <w:tcBorders>
              <w:bottom w:val="single" w:sz="8" w:color="A8A9AC"/>
            </w:tcBorders>
          </w:tcPr>
          <w:p>
            <w:pPr>
              <w:jc w:val="right"/>
              <w:ind w:right="84"/>
              <w:spacing w:after="0" w:line="169" w:lineRule="exact"/>
              <w:rPr>
                <w:sz w:val="20"/>
                <w:szCs w:val="20"/>
                <w:color w:val="auto"/>
              </w:rPr>
            </w:pPr>
            <w:r>
              <w:rPr>
                <w:rFonts w:ascii="Arial" w:cs="Arial" w:eastAsia="Arial" w:hAnsi="Arial"/>
                <w:sz w:val="15"/>
                <w:szCs w:val="15"/>
                <w:color w:val="auto"/>
              </w:rPr>
              <w:t>38,999</w:t>
            </w:r>
          </w:p>
        </w:tc>
        <w:tc>
          <w:tcPr>
            <w:tcW w:w="340" w:type="dxa"/>
            <w:vAlign w:val="bottom"/>
            <w:tcBorders>
              <w:bottom w:val="single" w:sz="8" w:color="A8A9AC"/>
            </w:tcBorders>
          </w:tcPr>
          <w:p>
            <w:pPr>
              <w:ind w:left="160"/>
              <w:spacing w:after="0" w:line="169"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7"/>
              <w:spacing w:after="0" w:line="169" w:lineRule="exact"/>
              <w:rPr>
                <w:sz w:val="20"/>
                <w:szCs w:val="20"/>
                <w:color w:val="auto"/>
              </w:rPr>
            </w:pPr>
            <w:r>
              <w:rPr>
                <w:rFonts w:ascii="Arial" w:cs="Arial" w:eastAsia="Arial" w:hAnsi="Arial"/>
                <w:sz w:val="15"/>
                <w:szCs w:val="15"/>
                <w:color w:val="auto"/>
              </w:rPr>
              <w:t>5,969,913</w:t>
            </w:r>
          </w:p>
        </w:tc>
      </w:tr>
      <w:tr>
        <w:trPr>
          <w:trHeight w:val="169"/>
        </w:trPr>
        <w:tc>
          <w:tcPr>
            <w:tcW w:w="4940" w:type="dxa"/>
            <w:vAlign w:val="bottom"/>
            <w:tcBorders>
              <w:bottom w:val="single" w:sz="8" w:color="A26F2A"/>
            </w:tcBorders>
          </w:tcPr>
          <w:p>
            <w:pPr>
              <w:ind w:left="60"/>
              <w:spacing w:after="0" w:line="169" w:lineRule="exact"/>
              <w:rPr>
                <w:sz w:val="20"/>
                <w:szCs w:val="20"/>
                <w:color w:val="auto"/>
              </w:rPr>
            </w:pPr>
            <w:r>
              <w:rPr>
                <w:rFonts w:ascii="Arial" w:cs="Arial" w:eastAsia="Arial" w:hAnsi="Arial"/>
                <w:sz w:val="15"/>
                <w:szCs w:val="15"/>
                <w:b w:val="1"/>
                <w:bCs w:val="1"/>
                <w:color w:val="auto"/>
              </w:rPr>
              <w:t>Matt Zmigrosky</w:t>
            </w:r>
          </w:p>
        </w:tc>
        <w:tc>
          <w:tcPr>
            <w:tcW w:w="5000" w:type="dxa"/>
            <w:vAlign w:val="bottom"/>
            <w:tcBorders>
              <w:bottom w:val="single" w:sz="8" w:color="A26F2A"/>
            </w:tcBorders>
          </w:tcPr>
          <w:p>
            <w:pPr>
              <w:jc w:val="right"/>
              <w:ind w:right="84"/>
              <w:spacing w:after="0" w:line="169" w:lineRule="exact"/>
              <w:rPr>
                <w:sz w:val="20"/>
                <w:szCs w:val="20"/>
                <w:color w:val="auto"/>
              </w:rPr>
            </w:pPr>
            <w:r>
              <w:rPr>
                <w:rFonts w:ascii="Arial" w:cs="Arial" w:eastAsia="Arial" w:hAnsi="Arial"/>
                <w:sz w:val="15"/>
                <w:szCs w:val="15"/>
                <w:color w:val="auto"/>
              </w:rPr>
              <w:t>30,343</w:t>
            </w:r>
          </w:p>
        </w:tc>
        <w:tc>
          <w:tcPr>
            <w:tcW w:w="340" w:type="dxa"/>
            <w:vAlign w:val="bottom"/>
            <w:tcBorders>
              <w:bottom w:val="single" w:sz="8" w:color="A26F2A"/>
            </w:tcBorders>
          </w:tcPr>
          <w:p>
            <w:pPr>
              <w:ind w:left="160"/>
              <w:spacing w:after="0" w:line="169"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26F2A"/>
            </w:tcBorders>
          </w:tcPr>
          <w:p>
            <w:pPr>
              <w:jc w:val="right"/>
              <w:ind w:right="27"/>
              <w:spacing w:after="0" w:line="169" w:lineRule="exact"/>
              <w:rPr>
                <w:sz w:val="20"/>
                <w:szCs w:val="20"/>
                <w:color w:val="auto"/>
              </w:rPr>
            </w:pPr>
            <w:r>
              <w:rPr>
                <w:rFonts w:ascii="Arial" w:cs="Arial" w:eastAsia="Arial" w:hAnsi="Arial"/>
                <w:sz w:val="15"/>
                <w:szCs w:val="15"/>
                <w:color w:val="auto"/>
              </w:rPr>
              <w:t>4,588,769</w:t>
            </w:r>
          </w:p>
        </w:tc>
      </w:tr>
    </w:tbl>
    <w:p>
      <w:pPr>
        <w:spacing w:after="0" w:line="56" w:lineRule="exact"/>
        <w:rPr>
          <w:sz w:val="20"/>
          <w:szCs w:val="20"/>
          <w:color w:val="auto"/>
        </w:rPr>
      </w:pPr>
    </w:p>
    <w:p>
      <w:pPr>
        <w:ind w:left="300" w:hanging="299"/>
        <w:spacing w:after="0" w:line="285" w:lineRule="auto"/>
        <w:tabs>
          <w:tab w:leader="none" w:pos="300" w:val="left"/>
        </w:tabs>
        <w:numPr>
          <w:ilvl w:val="0"/>
          <w:numId w:val="107"/>
        </w:numPr>
        <w:rPr>
          <w:rFonts w:ascii="Arial" w:cs="Arial" w:eastAsia="Arial" w:hAnsi="Arial"/>
          <w:sz w:val="13"/>
          <w:szCs w:val="13"/>
          <w:i w:val="1"/>
          <w:iCs w:val="1"/>
          <w:color w:val="auto"/>
        </w:rPr>
      </w:pPr>
      <w:r>
        <w:rPr>
          <w:rFonts w:ascii="Arial" w:cs="Arial" w:eastAsia="Arial" w:hAnsi="Arial"/>
          <w:sz w:val="13"/>
          <w:szCs w:val="13"/>
          <w:i w:val="1"/>
          <w:iCs w:val="1"/>
          <w:color w:val="auto"/>
        </w:rPr>
        <w:t>Value realized on vesting is based on the closing price per share of our common stock on the day prior to the vesting date on the Nasdaq Global Select Market. If the Nasdaq Global Select Market was closed on the day prior to the vesting date, the calculation was made using the opening price on the next day on which the market was open.</w:t>
      </w:r>
    </w:p>
    <w:p>
      <w:pPr>
        <w:spacing w:after="0" w:line="214" w:lineRule="exact"/>
        <w:rPr>
          <w:sz w:val="20"/>
          <w:szCs w:val="20"/>
          <w:color w:val="auto"/>
        </w:rPr>
      </w:pPr>
    </w:p>
    <w:p>
      <w:pPr>
        <w:ind w:left="340" w:right="780" w:hanging="336"/>
        <w:spacing w:after="0" w:line="291" w:lineRule="auto"/>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RESTRICTED STOCK UNITS VESTED UNDER THE VIPER LTIP DURING FISCAL</w:t>
      </w: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YEAR 2025</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No performance-based restricted stock units vested for our NEOs under the Viper LTIP during the year ended December 31, 2025.</w:t>
      </w:r>
    </w:p>
    <w:p>
      <w:pPr>
        <w:spacing w:after="0" w:line="181"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6" w:name="page77"/>
    <w:bookmarkEnd w:id="7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ind w:left="340" w:right="900" w:hanging="336"/>
        <w:spacing w:after="0" w:line="291" w:lineRule="auto"/>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POTENTIAL PAYMENTS UPON TERMINATION, RESIGNATION OR CHANGE OF</w:t>
      </w: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CONTROL FOR FISCAL YEAR 2025</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following tables provide information regarding potential payments to each of our NEOs in connection with certain termination events, including a termination related to a change of control of the Company, as of December 31, 2025 under the terms of the Diamondback Energy, Inc. Senior Management Severance Plan. These severance plan arrangements with our NEOs are described in more detail under “Other Significant Compensation and Benefit Plans, Policies and Practices—Senior Management Severance Plan” above.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26F2A"/>
            </w:tcBorders>
          </w:tcPr>
          <w:p>
            <w:pPr>
              <w:spacing w:after="0"/>
              <w:rPr>
                <w:sz w:val="24"/>
                <w:szCs w:val="24"/>
                <w:color w:val="auto"/>
              </w:rPr>
            </w:pPr>
          </w:p>
        </w:tc>
        <w:tc>
          <w:tcPr>
            <w:tcW w:w="60" w:type="dxa"/>
            <w:vAlign w:val="bottom"/>
            <w:tcBorders>
              <w:bottom w:val="single" w:sz="8" w:color="A26F2A"/>
            </w:tcBorders>
          </w:tcPr>
          <w:p>
            <w:pPr>
              <w:spacing w:after="0"/>
              <w:rPr>
                <w:sz w:val="24"/>
                <w:szCs w:val="24"/>
                <w:color w:val="auto"/>
              </w:rPr>
            </w:pPr>
          </w:p>
        </w:tc>
        <w:tc>
          <w:tcPr>
            <w:tcW w:w="1180" w:type="dxa"/>
            <w:vAlign w:val="bottom"/>
            <w:tcBorders>
              <w:bottom w:val="single" w:sz="8" w:color="A26F2A"/>
            </w:tcBorders>
          </w:tcPr>
          <w:p>
            <w:pPr>
              <w:spacing w:after="0"/>
              <w:rPr>
                <w:sz w:val="24"/>
                <w:szCs w:val="24"/>
                <w:color w:val="auto"/>
              </w:rPr>
            </w:pPr>
          </w:p>
        </w:tc>
        <w:tc>
          <w:tcPr>
            <w:tcW w:w="4840" w:type="dxa"/>
            <w:vAlign w:val="bottom"/>
            <w:tcBorders>
              <w:bottom w:val="single" w:sz="8" w:color="A26F2A"/>
            </w:tcBorders>
            <w:gridSpan w:val="6"/>
          </w:tcPr>
          <w:p>
            <w:pPr>
              <w:jc w:val="right"/>
              <w:ind w:right="46"/>
              <w:spacing w:after="0"/>
              <w:rPr>
                <w:sz w:val="20"/>
                <w:szCs w:val="20"/>
                <w:color w:val="auto"/>
              </w:rPr>
            </w:pPr>
            <w:r>
              <w:rPr>
                <w:rFonts w:ascii="Arial" w:cs="Arial" w:eastAsia="Arial" w:hAnsi="Arial"/>
                <w:sz w:val="15"/>
                <w:szCs w:val="15"/>
                <w:b w:val="1"/>
                <w:bCs w:val="1"/>
                <w:color w:val="auto"/>
                <w:w w:val="99"/>
              </w:rPr>
              <w:t>Termination Without Cause or Resignation for Good Reason</w:t>
            </w:r>
            <w:r>
              <w:rPr>
                <w:rFonts w:ascii="Arial" w:cs="Arial" w:eastAsia="Arial" w:hAnsi="Arial"/>
                <w:sz w:val="25"/>
                <w:szCs w:val="25"/>
                <w:b w:val="1"/>
                <w:bCs w:val="1"/>
                <w:color w:val="auto"/>
                <w:w w:val="99"/>
                <w:vertAlign w:val="superscript"/>
              </w:rPr>
              <w:t>(1)(2)</w:t>
            </w:r>
          </w:p>
        </w:tc>
        <w:tc>
          <w:tcPr>
            <w:tcW w:w="320" w:type="dxa"/>
            <w:vAlign w:val="bottom"/>
            <w:tcBorders>
              <w:bottom w:val="single" w:sz="8" w:color="A26F2A"/>
            </w:tcBorders>
          </w:tcPr>
          <w:p>
            <w:pPr>
              <w:spacing w:after="0"/>
              <w:rPr>
                <w:sz w:val="24"/>
                <w:szCs w:val="24"/>
                <w:color w:val="auto"/>
              </w:rPr>
            </w:pPr>
          </w:p>
        </w:tc>
        <w:tc>
          <w:tcPr>
            <w:tcW w:w="960" w:type="dxa"/>
            <w:vAlign w:val="bottom"/>
            <w:tcBorders>
              <w:bottom w:val="single" w:sz="8" w:color="A26F2A"/>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40" w:type="dxa"/>
            <w:vAlign w:val="bottom"/>
            <w:gridSpan w:val="2"/>
          </w:tcPr>
          <w:p>
            <w:pPr>
              <w:jc w:val="right"/>
              <w:ind w:right="166"/>
              <w:spacing w:after="0" w:line="169" w:lineRule="exact"/>
              <w:rPr>
                <w:sz w:val="20"/>
                <w:szCs w:val="20"/>
                <w:color w:val="auto"/>
              </w:rPr>
            </w:pPr>
            <w:r>
              <w:rPr>
                <w:rFonts w:ascii="Arial" w:cs="Arial" w:eastAsia="Arial" w:hAnsi="Arial"/>
                <w:sz w:val="15"/>
                <w:szCs w:val="15"/>
                <w:b w:val="1"/>
                <w:bCs w:val="1"/>
                <w:color w:val="auto"/>
              </w:rPr>
              <w:t>Annual Incentive</w:t>
            </w:r>
          </w:p>
        </w:tc>
        <w:tc>
          <w:tcPr>
            <w:tcW w:w="480" w:type="dxa"/>
            <w:vAlign w:val="bottom"/>
          </w:tcPr>
          <w:p>
            <w:pPr>
              <w:spacing w:after="0"/>
              <w:rPr>
                <w:sz w:val="14"/>
                <w:szCs w:val="14"/>
                <w:color w:val="auto"/>
              </w:rPr>
            </w:pPr>
          </w:p>
        </w:tc>
        <w:tc>
          <w:tcPr>
            <w:tcW w:w="1100" w:type="dxa"/>
            <w:vAlign w:val="bottom"/>
          </w:tcPr>
          <w:p>
            <w:pPr>
              <w:ind w:left="260"/>
              <w:spacing w:after="0" w:line="169" w:lineRule="exact"/>
              <w:rPr>
                <w:sz w:val="20"/>
                <w:szCs w:val="20"/>
                <w:color w:val="auto"/>
              </w:rPr>
            </w:pPr>
            <w:r>
              <w:rPr>
                <w:rFonts w:ascii="Arial" w:cs="Arial" w:eastAsia="Arial" w:hAnsi="Arial"/>
                <w:sz w:val="15"/>
                <w:szCs w:val="15"/>
                <w:b w:val="1"/>
                <w:bCs w:val="1"/>
                <w:color w:val="auto"/>
              </w:rPr>
              <w:t>COBRA</w:t>
            </w:r>
          </w:p>
        </w:tc>
        <w:tc>
          <w:tcPr>
            <w:tcW w:w="240" w:type="dxa"/>
            <w:vAlign w:val="bottom"/>
          </w:tcPr>
          <w:p>
            <w:pPr>
              <w:spacing w:after="0"/>
              <w:rPr>
                <w:sz w:val="14"/>
                <w:szCs w:val="14"/>
                <w:color w:val="auto"/>
              </w:rPr>
            </w:pPr>
          </w:p>
        </w:tc>
        <w:tc>
          <w:tcPr>
            <w:tcW w:w="1380" w:type="dxa"/>
            <w:vAlign w:val="bottom"/>
          </w:tcPr>
          <w:p>
            <w:pPr>
              <w:jc w:val="right"/>
              <w:ind w:right="326"/>
              <w:spacing w:after="0" w:line="169" w:lineRule="exact"/>
              <w:rPr>
                <w:sz w:val="20"/>
                <w:szCs w:val="20"/>
                <w:color w:val="auto"/>
              </w:rPr>
            </w:pPr>
            <w:r>
              <w:rPr>
                <w:rFonts w:ascii="Arial" w:cs="Arial" w:eastAsia="Arial" w:hAnsi="Arial"/>
                <w:sz w:val="15"/>
                <w:szCs w:val="15"/>
                <w:b w:val="1"/>
                <w:bCs w:val="1"/>
                <w:color w:val="auto"/>
              </w:rPr>
              <w:t>Restricted</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74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Name</w:t>
            </w:r>
          </w:p>
        </w:tc>
        <w:tc>
          <w:tcPr>
            <w:tcW w:w="60" w:type="dxa"/>
            <w:vAlign w:val="bottom"/>
            <w:tcBorders>
              <w:bottom w:val="single" w:sz="8" w:color="A26F2A"/>
            </w:tcBorders>
          </w:tcPr>
          <w:p>
            <w:pPr>
              <w:spacing w:after="0"/>
              <w:rPr>
                <w:sz w:val="19"/>
                <w:szCs w:val="19"/>
                <w:color w:val="auto"/>
              </w:rPr>
            </w:pPr>
          </w:p>
        </w:tc>
        <w:tc>
          <w:tcPr>
            <w:tcW w:w="80" w:type="dxa"/>
            <w:vAlign w:val="bottom"/>
            <w:tcBorders>
              <w:bottom w:val="single" w:sz="8" w:color="A26F2A"/>
            </w:tcBorders>
          </w:tcPr>
          <w:p>
            <w:pPr>
              <w:spacing w:after="0"/>
              <w:rPr>
                <w:sz w:val="19"/>
                <w:szCs w:val="19"/>
                <w:color w:val="auto"/>
              </w:rPr>
            </w:pPr>
          </w:p>
        </w:tc>
        <w:tc>
          <w:tcPr>
            <w:tcW w:w="60" w:type="dxa"/>
            <w:vAlign w:val="bottom"/>
            <w:tcBorders>
              <w:bottom w:val="single" w:sz="8" w:color="A26F2A"/>
            </w:tcBorders>
          </w:tcPr>
          <w:p>
            <w:pPr>
              <w:spacing w:after="0"/>
              <w:rPr>
                <w:sz w:val="19"/>
                <w:szCs w:val="19"/>
                <w:color w:val="auto"/>
              </w:rPr>
            </w:pPr>
          </w:p>
        </w:tc>
        <w:tc>
          <w:tcPr>
            <w:tcW w:w="1180" w:type="dxa"/>
            <w:vAlign w:val="bottom"/>
            <w:tcBorders>
              <w:bottom w:val="single" w:sz="8" w:color="A26F2A"/>
            </w:tcBorders>
          </w:tcPr>
          <w:p>
            <w:pPr>
              <w:jc w:val="right"/>
              <w:ind w:right="146"/>
              <w:spacing w:after="0"/>
              <w:rPr>
                <w:sz w:val="20"/>
                <w:szCs w:val="20"/>
                <w:color w:val="auto"/>
              </w:rPr>
            </w:pPr>
            <w:r>
              <w:rPr>
                <w:rFonts w:ascii="Arial" w:cs="Arial" w:eastAsia="Arial" w:hAnsi="Arial"/>
                <w:sz w:val="15"/>
                <w:szCs w:val="15"/>
                <w:b w:val="1"/>
                <w:bCs w:val="1"/>
                <w:color w:val="auto"/>
              </w:rPr>
              <w:t>Base Salary</w:t>
            </w:r>
          </w:p>
        </w:tc>
        <w:tc>
          <w:tcPr>
            <w:tcW w:w="400" w:type="dxa"/>
            <w:vAlign w:val="bottom"/>
            <w:tcBorders>
              <w:bottom w:val="single" w:sz="8" w:color="A26F2A"/>
            </w:tcBorders>
          </w:tcPr>
          <w:p>
            <w:pPr>
              <w:spacing w:after="0"/>
              <w:rPr>
                <w:sz w:val="19"/>
                <w:szCs w:val="19"/>
                <w:color w:val="auto"/>
              </w:rPr>
            </w:pPr>
          </w:p>
        </w:tc>
        <w:tc>
          <w:tcPr>
            <w:tcW w:w="1240" w:type="dxa"/>
            <w:vAlign w:val="bottom"/>
            <w:tcBorders>
              <w:bottom w:val="single" w:sz="8" w:color="A26F2A"/>
            </w:tcBorders>
          </w:tcPr>
          <w:p>
            <w:pPr>
              <w:jc w:val="right"/>
              <w:ind w:right="166"/>
              <w:spacing w:after="0"/>
              <w:rPr>
                <w:sz w:val="20"/>
                <w:szCs w:val="20"/>
                <w:color w:val="auto"/>
              </w:rPr>
            </w:pPr>
            <w:r>
              <w:rPr>
                <w:rFonts w:ascii="Arial" w:cs="Arial" w:eastAsia="Arial" w:hAnsi="Arial"/>
                <w:sz w:val="15"/>
                <w:szCs w:val="15"/>
                <w:b w:val="1"/>
                <w:bCs w:val="1"/>
                <w:color w:val="auto"/>
              </w:rPr>
              <w:t>Bonus</w:t>
            </w:r>
          </w:p>
        </w:tc>
        <w:tc>
          <w:tcPr>
            <w:tcW w:w="1580" w:type="dxa"/>
            <w:vAlign w:val="bottom"/>
            <w:tcBorders>
              <w:bottom w:val="single" w:sz="8" w:color="A26F2A"/>
            </w:tcBorders>
            <w:gridSpan w:val="2"/>
          </w:tcPr>
          <w:p>
            <w:pPr>
              <w:ind w:left="160"/>
              <w:spacing w:after="0"/>
              <w:rPr>
                <w:sz w:val="20"/>
                <w:szCs w:val="20"/>
                <w:color w:val="auto"/>
              </w:rPr>
            </w:pPr>
            <w:r>
              <w:rPr>
                <w:rFonts w:ascii="Arial" w:cs="Arial" w:eastAsia="Arial" w:hAnsi="Arial"/>
                <w:sz w:val="15"/>
                <w:szCs w:val="15"/>
                <w:b w:val="1"/>
                <w:bCs w:val="1"/>
                <w:color w:val="auto"/>
              </w:rPr>
              <w:t>Reimbursement</w:t>
            </w:r>
          </w:p>
        </w:tc>
        <w:tc>
          <w:tcPr>
            <w:tcW w:w="240" w:type="dxa"/>
            <w:vAlign w:val="bottom"/>
            <w:tcBorders>
              <w:bottom w:val="single" w:sz="8" w:color="A26F2A"/>
            </w:tcBorders>
          </w:tcPr>
          <w:p>
            <w:pPr>
              <w:spacing w:after="0"/>
              <w:rPr>
                <w:sz w:val="19"/>
                <w:szCs w:val="19"/>
                <w:color w:val="auto"/>
              </w:rPr>
            </w:pPr>
          </w:p>
        </w:tc>
        <w:tc>
          <w:tcPr>
            <w:tcW w:w="1380" w:type="dxa"/>
            <w:vAlign w:val="bottom"/>
            <w:tcBorders>
              <w:bottom w:val="single" w:sz="8" w:color="A26F2A"/>
            </w:tcBorders>
          </w:tcPr>
          <w:p>
            <w:pPr>
              <w:jc w:val="right"/>
              <w:ind w:right="326"/>
              <w:spacing w:after="0" w:line="214" w:lineRule="exact"/>
              <w:rPr>
                <w:sz w:val="20"/>
                <w:szCs w:val="20"/>
                <w:color w:val="auto"/>
              </w:rPr>
            </w:pPr>
            <w:r>
              <w:rPr>
                <w:rFonts w:ascii="Arial" w:cs="Arial" w:eastAsia="Arial" w:hAnsi="Arial"/>
                <w:sz w:val="15"/>
                <w:szCs w:val="15"/>
                <w:b w:val="1"/>
                <w:bCs w:val="1"/>
                <w:color w:val="auto"/>
                <w:w w:val="94"/>
              </w:rPr>
              <w:t>Stock Units</w:t>
            </w:r>
            <w:r>
              <w:rPr>
                <w:rFonts w:ascii="Arial" w:cs="Arial" w:eastAsia="Arial" w:hAnsi="Arial"/>
                <w:sz w:val="24"/>
                <w:szCs w:val="24"/>
                <w:b w:val="1"/>
                <w:bCs w:val="1"/>
                <w:color w:val="auto"/>
                <w:w w:val="94"/>
                <w:vertAlign w:val="superscript"/>
              </w:rPr>
              <w:t>(3)</w:t>
            </w:r>
          </w:p>
        </w:tc>
        <w:tc>
          <w:tcPr>
            <w:tcW w:w="320" w:type="dxa"/>
            <w:vAlign w:val="bottom"/>
            <w:tcBorders>
              <w:bottom w:val="single" w:sz="8" w:color="A26F2A"/>
            </w:tcBorders>
          </w:tcPr>
          <w:p>
            <w:pPr>
              <w:spacing w:after="0"/>
              <w:rPr>
                <w:sz w:val="19"/>
                <w:szCs w:val="19"/>
                <w:color w:val="auto"/>
              </w:rPr>
            </w:pPr>
          </w:p>
        </w:tc>
        <w:tc>
          <w:tcPr>
            <w:tcW w:w="960" w:type="dxa"/>
            <w:vAlign w:val="bottom"/>
            <w:tcBorders>
              <w:bottom w:val="single" w:sz="8" w:color="A26F2A"/>
            </w:tcBorders>
          </w:tcPr>
          <w:p>
            <w:pPr>
              <w:jc w:val="right"/>
              <w:ind w:right="2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5"/>
        </w:trPr>
        <w:tc>
          <w:tcPr>
            <w:tcW w:w="374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Travis D. Stice</w:t>
            </w:r>
          </w:p>
        </w:tc>
        <w:tc>
          <w:tcPr>
            <w:tcW w:w="200" w:type="dxa"/>
            <w:vAlign w:val="bottom"/>
            <w:tcBorders>
              <w:bottom w:val="single" w:sz="8" w:color="A8A9AC"/>
            </w:tcBorders>
            <w:gridSpan w:val="3"/>
          </w:tcPr>
          <w:p>
            <w:pPr>
              <w:jc w:val="right"/>
              <w:ind w:right="4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8A9AC"/>
            </w:tcBorders>
          </w:tcPr>
          <w:p>
            <w:pPr>
              <w:jc w:val="right"/>
              <w:spacing w:after="0" w:line="214" w:lineRule="exact"/>
              <w:rPr>
                <w:sz w:val="20"/>
                <w:szCs w:val="20"/>
                <w:color w:val="auto"/>
              </w:rPr>
            </w:pPr>
            <w:r>
              <w:rPr>
                <w:rFonts w:ascii="Arial" w:cs="Arial" w:eastAsia="Arial" w:hAnsi="Arial"/>
                <w:sz w:val="15"/>
                <w:szCs w:val="15"/>
                <w:color w:val="auto"/>
              </w:rPr>
              <w:t>1,800,000</w:t>
            </w:r>
            <w:r>
              <w:rPr>
                <w:rFonts w:ascii="Arial" w:cs="Arial" w:eastAsia="Arial" w:hAnsi="Arial"/>
                <w:sz w:val="24"/>
                <w:szCs w:val="24"/>
                <w:color w:val="auto"/>
                <w:vertAlign w:val="superscript"/>
              </w:rPr>
              <w:t>(4)</w:t>
            </w:r>
          </w:p>
        </w:tc>
        <w:tc>
          <w:tcPr>
            <w:tcW w:w="40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8A9AC"/>
            </w:tcBorders>
          </w:tcPr>
          <w:p>
            <w:pPr>
              <w:jc w:val="right"/>
              <w:ind w:right="26"/>
              <w:spacing w:after="0" w:line="214" w:lineRule="exact"/>
              <w:rPr>
                <w:sz w:val="20"/>
                <w:szCs w:val="20"/>
                <w:color w:val="auto"/>
              </w:rPr>
            </w:pPr>
            <w:r>
              <w:rPr>
                <w:rFonts w:ascii="Arial" w:cs="Arial" w:eastAsia="Arial" w:hAnsi="Arial"/>
                <w:sz w:val="15"/>
                <w:szCs w:val="15"/>
                <w:color w:val="auto"/>
              </w:rPr>
              <w:t>1,692,900</w:t>
            </w:r>
            <w:r>
              <w:rPr>
                <w:rFonts w:ascii="Arial" w:cs="Arial" w:eastAsia="Arial" w:hAnsi="Arial"/>
                <w:sz w:val="24"/>
                <w:szCs w:val="24"/>
                <w:color w:val="auto"/>
                <w:vertAlign w:val="superscript"/>
              </w:rPr>
              <w:t>(6)</w:t>
            </w:r>
          </w:p>
        </w:tc>
        <w:tc>
          <w:tcPr>
            <w:tcW w:w="480" w:type="dxa"/>
            <w:vAlign w:val="bottom"/>
            <w:tcBorders>
              <w:bottom w:val="single" w:sz="8" w:color="A8A9AC"/>
            </w:tcBorders>
          </w:tcPr>
          <w:p>
            <w:pPr>
              <w:ind w:left="18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9AC"/>
            </w:tcBorders>
          </w:tcPr>
          <w:p>
            <w:pPr>
              <w:jc w:val="center"/>
              <w:ind w:left="146"/>
              <w:spacing w:after="0" w:line="214" w:lineRule="exact"/>
              <w:rPr>
                <w:sz w:val="20"/>
                <w:szCs w:val="20"/>
                <w:color w:val="auto"/>
              </w:rPr>
            </w:pPr>
            <w:r>
              <w:rPr>
                <w:rFonts w:ascii="Arial" w:cs="Arial" w:eastAsia="Arial" w:hAnsi="Arial"/>
                <w:sz w:val="15"/>
                <w:szCs w:val="15"/>
                <w:color w:val="auto"/>
                <w:w w:val="91"/>
              </w:rPr>
              <w:t>29,520</w:t>
            </w:r>
            <w:r>
              <w:rPr>
                <w:rFonts w:ascii="Arial" w:cs="Arial" w:eastAsia="Arial" w:hAnsi="Arial"/>
                <w:sz w:val="24"/>
                <w:szCs w:val="24"/>
                <w:color w:val="auto"/>
                <w:w w:val="91"/>
                <w:vertAlign w:val="superscript"/>
              </w:rPr>
              <w:t>(8)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8A9AC"/>
            </w:tcBorders>
          </w:tcPr>
          <w:p>
            <w:pPr>
              <w:jc w:val="right"/>
              <w:ind w:right="86"/>
              <w:spacing w:after="0" w:line="214" w:lineRule="exact"/>
              <w:rPr>
                <w:sz w:val="20"/>
                <w:szCs w:val="20"/>
                <w:color w:val="auto"/>
              </w:rPr>
            </w:pPr>
            <w:r>
              <w:rPr>
                <w:rFonts w:ascii="Arial" w:cs="Arial" w:eastAsia="Arial" w:hAnsi="Arial"/>
                <w:sz w:val="15"/>
                <w:szCs w:val="15"/>
                <w:color w:val="auto"/>
              </w:rPr>
              <w:t>37,878,170</w:t>
            </w:r>
            <w:r>
              <w:rPr>
                <w:rFonts w:ascii="Arial" w:cs="Arial" w:eastAsia="Arial" w:hAnsi="Arial"/>
                <w:sz w:val="24"/>
                <w:szCs w:val="24"/>
                <w:color w:val="auto"/>
                <w:vertAlign w:val="superscript"/>
              </w:rPr>
              <w:t>(10)</w:t>
            </w:r>
          </w:p>
        </w:tc>
        <w:tc>
          <w:tcPr>
            <w:tcW w:w="32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41,400,590</w:t>
            </w:r>
          </w:p>
        </w:tc>
        <w:tc>
          <w:tcPr>
            <w:tcW w:w="0" w:type="dxa"/>
            <w:vAlign w:val="bottom"/>
          </w:tcPr>
          <w:p>
            <w:pPr>
              <w:spacing w:after="0"/>
              <w:rPr>
                <w:sz w:val="1"/>
                <w:szCs w:val="1"/>
                <w:color w:val="auto"/>
              </w:rPr>
            </w:pPr>
          </w:p>
        </w:tc>
      </w:tr>
      <w:tr>
        <w:trPr>
          <w:trHeight w:val="207"/>
        </w:trPr>
        <w:tc>
          <w:tcPr>
            <w:tcW w:w="374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Kaes Van’t Hof</w:t>
            </w:r>
          </w:p>
        </w:tc>
        <w:tc>
          <w:tcPr>
            <w:tcW w:w="200" w:type="dxa"/>
            <w:vAlign w:val="bottom"/>
            <w:tcBorders>
              <w:bottom w:val="single" w:sz="8" w:color="A8A9AC"/>
            </w:tcBorders>
            <w:gridSpan w:val="3"/>
          </w:tcPr>
          <w:p>
            <w:pPr>
              <w:jc w:val="right"/>
              <w:ind w:right="4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8A9AC"/>
            </w:tcBorders>
          </w:tcPr>
          <w:p>
            <w:pPr>
              <w:jc w:val="right"/>
              <w:spacing w:after="0" w:line="207" w:lineRule="exact"/>
              <w:rPr>
                <w:sz w:val="20"/>
                <w:szCs w:val="20"/>
                <w:color w:val="auto"/>
              </w:rPr>
            </w:pPr>
            <w:r>
              <w:rPr>
                <w:rFonts w:ascii="Arial" w:cs="Arial" w:eastAsia="Arial" w:hAnsi="Arial"/>
                <w:sz w:val="15"/>
                <w:szCs w:val="15"/>
                <w:color w:val="auto"/>
              </w:rPr>
              <w:t>2,600,000</w:t>
            </w:r>
            <w:r>
              <w:rPr>
                <w:rFonts w:ascii="Arial" w:cs="Arial" w:eastAsia="Arial" w:hAnsi="Arial"/>
                <w:sz w:val="24"/>
                <w:szCs w:val="24"/>
                <w:color w:val="auto"/>
                <w:vertAlign w:val="superscript"/>
              </w:rPr>
              <w:t>(4)</w:t>
            </w:r>
          </w:p>
        </w:tc>
        <w:tc>
          <w:tcPr>
            <w:tcW w:w="40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8A9AC"/>
            </w:tcBorders>
          </w:tcPr>
          <w:p>
            <w:pPr>
              <w:jc w:val="right"/>
              <w:ind w:right="26"/>
              <w:spacing w:after="0" w:line="207" w:lineRule="exact"/>
              <w:rPr>
                <w:sz w:val="20"/>
                <w:szCs w:val="20"/>
                <w:color w:val="auto"/>
              </w:rPr>
            </w:pPr>
            <w:r>
              <w:rPr>
                <w:rFonts w:ascii="Arial" w:cs="Arial" w:eastAsia="Arial" w:hAnsi="Arial"/>
                <w:sz w:val="15"/>
                <w:szCs w:val="15"/>
                <w:color w:val="auto"/>
              </w:rPr>
              <w:t>1,664,250</w:t>
            </w:r>
            <w:r>
              <w:rPr>
                <w:rFonts w:ascii="Arial" w:cs="Arial" w:eastAsia="Arial" w:hAnsi="Arial"/>
                <w:sz w:val="24"/>
                <w:szCs w:val="24"/>
                <w:color w:val="auto"/>
                <w:vertAlign w:val="superscript"/>
              </w:rPr>
              <w:t>(6)</w:t>
            </w:r>
          </w:p>
        </w:tc>
        <w:tc>
          <w:tcPr>
            <w:tcW w:w="480" w:type="dxa"/>
            <w:vAlign w:val="bottom"/>
            <w:tcBorders>
              <w:bottom w:val="single" w:sz="8" w:color="A8A9AC"/>
            </w:tcBorders>
          </w:tcPr>
          <w:p>
            <w:pPr>
              <w:ind w:left="18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9AC"/>
            </w:tcBorders>
          </w:tcPr>
          <w:p>
            <w:pPr>
              <w:jc w:val="center"/>
              <w:ind w:left="146"/>
              <w:spacing w:after="0" w:line="207" w:lineRule="exact"/>
              <w:rPr>
                <w:sz w:val="20"/>
                <w:szCs w:val="20"/>
                <w:color w:val="auto"/>
              </w:rPr>
            </w:pPr>
            <w:r>
              <w:rPr>
                <w:rFonts w:ascii="Arial" w:cs="Arial" w:eastAsia="Arial" w:hAnsi="Arial"/>
                <w:sz w:val="15"/>
                <w:szCs w:val="15"/>
                <w:color w:val="auto"/>
                <w:w w:val="91"/>
              </w:rPr>
              <w:t>44,434</w:t>
            </w:r>
            <w:r>
              <w:rPr>
                <w:rFonts w:ascii="Arial" w:cs="Arial" w:eastAsia="Arial" w:hAnsi="Arial"/>
                <w:sz w:val="24"/>
                <w:szCs w:val="24"/>
                <w:color w:val="auto"/>
                <w:w w:val="91"/>
                <w:vertAlign w:val="superscript"/>
              </w:rPr>
              <w:t>(8)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8A9AC"/>
            </w:tcBorders>
          </w:tcPr>
          <w:p>
            <w:pPr>
              <w:jc w:val="right"/>
              <w:ind w:right="32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4,308,684</w:t>
            </w:r>
          </w:p>
        </w:tc>
        <w:tc>
          <w:tcPr>
            <w:tcW w:w="0" w:type="dxa"/>
            <w:vAlign w:val="bottom"/>
          </w:tcPr>
          <w:p>
            <w:pPr>
              <w:spacing w:after="0"/>
              <w:rPr>
                <w:sz w:val="1"/>
                <w:szCs w:val="1"/>
                <w:color w:val="auto"/>
              </w:rPr>
            </w:pPr>
          </w:p>
        </w:tc>
      </w:tr>
      <w:tr>
        <w:trPr>
          <w:trHeight w:val="207"/>
        </w:trPr>
        <w:tc>
          <w:tcPr>
            <w:tcW w:w="374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Jere W. Thompson III</w:t>
            </w:r>
          </w:p>
        </w:tc>
        <w:tc>
          <w:tcPr>
            <w:tcW w:w="200" w:type="dxa"/>
            <w:vAlign w:val="bottom"/>
            <w:tcBorders>
              <w:bottom w:val="single" w:sz="8" w:color="A8A9AC"/>
            </w:tcBorders>
            <w:gridSpan w:val="3"/>
          </w:tcPr>
          <w:p>
            <w:pPr>
              <w:jc w:val="right"/>
              <w:ind w:right="4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8A9AC"/>
            </w:tcBorders>
          </w:tcPr>
          <w:p>
            <w:pPr>
              <w:jc w:val="right"/>
              <w:spacing w:after="0" w:line="207" w:lineRule="exact"/>
              <w:rPr>
                <w:sz w:val="20"/>
                <w:szCs w:val="20"/>
                <w:color w:val="auto"/>
              </w:rPr>
            </w:pPr>
            <w:r>
              <w:rPr>
                <w:rFonts w:ascii="Arial" w:cs="Arial" w:eastAsia="Arial" w:hAnsi="Arial"/>
                <w:sz w:val="15"/>
                <w:szCs w:val="15"/>
                <w:color w:val="auto"/>
              </w:rPr>
              <w:t>825,000</w:t>
            </w:r>
            <w:r>
              <w:rPr>
                <w:rFonts w:ascii="Arial" w:cs="Arial" w:eastAsia="Arial" w:hAnsi="Arial"/>
                <w:sz w:val="24"/>
                <w:szCs w:val="24"/>
                <w:color w:val="auto"/>
                <w:vertAlign w:val="superscript"/>
              </w:rPr>
              <w:t>(5)</w:t>
            </w:r>
          </w:p>
        </w:tc>
        <w:tc>
          <w:tcPr>
            <w:tcW w:w="40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8A9AC"/>
            </w:tcBorders>
          </w:tcPr>
          <w:p>
            <w:pPr>
              <w:jc w:val="right"/>
              <w:ind w:right="26"/>
              <w:spacing w:after="0" w:line="207" w:lineRule="exact"/>
              <w:rPr>
                <w:sz w:val="20"/>
                <w:szCs w:val="20"/>
                <w:color w:val="auto"/>
              </w:rPr>
            </w:pPr>
            <w:r>
              <w:rPr>
                <w:rFonts w:ascii="Arial" w:cs="Arial" w:eastAsia="Arial" w:hAnsi="Arial"/>
                <w:sz w:val="15"/>
                <w:szCs w:val="15"/>
                <w:color w:val="auto"/>
              </w:rPr>
              <w:t>495,000</w:t>
            </w:r>
            <w:r>
              <w:rPr>
                <w:rFonts w:ascii="Arial" w:cs="Arial" w:eastAsia="Arial" w:hAnsi="Arial"/>
                <w:sz w:val="24"/>
                <w:szCs w:val="24"/>
                <w:color w:val="auto"/>
                <w:vertAlign w:val="superscript"/>
              </w:rPr>
              <w:t>(7)</w:t>
            </w:r>
          </w:p>
        </w:tc>
        <w:tc>
          <w:tcPr>
            <w:tcW w:w="480" w:type="dxa"/>
            <w:vAlign w:val="bottom"/>
            <w:tcBorders>
              <w:bottom w:val="single" w:sz="8" w:color="A8A9AC"/>
            </w:tcBorders>
          </w:tcPr>
          <w:p>
            <w:pPr>
              <w:ind w:left="18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9AC"/>
            </w:tcBorders>
          </w:tcPr>
          <w:p>
            <w:pPr>
              <w:jc w:val="center"/>
              <w:ind w:left="146"/>
              <w:spacing w:after="0" w:line="207" w:lineRule="exact"/>
              <w:rPr>
                <w:sz w:val="20"/>
                <w:szCs w:val="20"/>
                <w:color w:val="auto"/>
              </w:rPr>
            </w:pPr>
            <w:r>
              <w:rPr>
                <w:rFonts w:ascii="Arial" w:cs="Arial" w:eastAsia="Arial" w:hAnsi="Arial"/>
                <w:sz w:val="15"/>
                <w:szCs w:val="15"/>
                <w:color w:val="auto"/>
                <w:w w:val="91"/>
              </w:rPr>
              <w:t>44,434</w:t>
            </w:r>
            <w:r>
              <w:rPr>
                <w:rFonts w:ascii="Arial" w:cs="Arial" w:eastAsia="Arial" w:hAnsi="Arial"/>
                <w:sz w:val="24"/>
                <w:szCs w:val="24"/>
                <w:color w:val="auto"/>
                <w:w w:val="91"/>
                <w:vertAlign w:val="superscript"/>
              </w:rPr>
              <w:t>(8)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8A9AC"/>
            </w:tcBorders>
          </w:tcPr>
          <w:p>
            <w:pPr>
              <w:jc w:val="right"/>
              <w:ind w:right="32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1,364,434</w:t>
            </w:r>
          </w:p>
        </w:tc>
        <w:tc>
          <w:tcPr>
            <w:tcW w:w="0" w:type="dxa"/>
            <w:vAlign w:val="bottom"/>
          </w:tcPr>
          <w:p>
            <w:pPr>
              <w:spacing w:after="0"/>
              <w:rPr>
                <w:sz w:val="1"/>
                <w:szCs w:val="1"/>
                <w:color w:val="auto"/>
              </w:rPr>
            </w:pPr>
          </w:p>
        </w:tc>
      </w:tr>
      <w:tr>
        <w:trPr>
          <w:trHeight w:val="207"/>
        </w:trPr>
        <w:tc>
          <w:tcPr>
            <w:tcW w:w="374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Teresa L. Dick</w:t>
            </w:r>
          </w:p>
        </w:tc>
        <w:tc>
          <w:tcPr>
            <w:tcW w:w="200" w:type="dxa"/>
            <w:vAlign w:val="bottom"/>
            <w:tcBorders>
              <w:bottom w:val="single" w:sz="8" w:color="A8A9AC"/>
            </w:tcBorders>
            <w:gridSpan w:val="3"/>
          </w:tcPr>
          <w:p>
            <w:pPr>
              <w:jc w:val="right"/>
              <w:ind w:right="4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8A9AC"/>
            </w:tcBorders>
          </w:tcPr>
          <w:p>
            <w:pPr>
              <w:jc w:val="right"/>
              <w:spacing w:after="0" w:line="207" w:lineRule="exact"/>
              <w:rPr>
                <w:sz w:val="20"/>
                <w:szCs w:val="20"/>
                <w:color w:val="auto"/>
              </w:rPr>
            </w:pPr>
            <w:r>
              <w:rPr>
                <w:rFonts w:ascii="Arial" w:cs="Arial" w:eastAsia="Arial" w:hAnsi="Arial"/>
                <w:sz w:val="15"/>
                <w:szCs w:val="15"/>
                <w:color w:val="auto"/>
              </w:rPr>
              <w:t>825,000</w:t>
            </w:r>
            <w:r>
              <w:rPr>
                <w:rFonts w:ascii="Arial" w:cs="Arial" w:eastAsia="Arial" w:hAnsi="Arial"/>
                <w:sz w:val="24"/>
                <w:szCs w:val="24"/>
                <w:color w:val="auto"/>
                <w:vertAlign w:val="superscript"/>
              </w:rPr>
              <w:t>(5)</w:t>
            </w:r>
          </w:p>
        </w:tc>
        <w:tc>
          <w:tcPr>
            <w:tcW w:w="40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8A9AC"/>
            </w:tcBorders>
          </w:tcPr>
          <w:p>
            <w:pPr>
              <w:jc w:val="right"/>
              <w:ind w:right="26"/>
              <w:spacing w:after="0" w:line="207" w:lineRule="exact"/>
              <w:rPr>
                <w:sz w:val="20"/>
                <w:szCs w:val="20"/>
                <w:color w:val="auto"/>
              </w:rPr>
            </w:pPr>
            <w:r>
              <w:rPr>
                <w:rFonts w:ascii="Arial" w:cs="Arial" w:eastAsia="Arial" w:hAnsi="Arial"/>
                <w:sz w:val="15"/>
                <w:szCs w:val="15"/>
                <w:color w:val="auto"/>
              </w:rPr>
              <w:t>495,000</w:t>
            </w:r>
            <w:r>
              <w:rPr>
                <w:rFonts w:ascii="Arial" w:cs="Arial" w:eastAsia="Arial" w:hAnsi="Arial"/>
                <w:sz w:val="24"/>
                <w:szCs w:val="24"/>
                <w:color w:val="auto"/>
                <w:vertAlign w:val="superscript"/>
              </w:rPr>
              <w:t>(7)</w:t>
            </w:r>
          </w:p>
        </w:tc>
        <w:tc>
          <w:tcPr>
            <w:tcW w:w="480" w:type="dxa"/>
            <w:vAlign w:val="bottom"/>
            <w:tcBorders>
              <w:bottom w:val="single" w:sz="8" w:color="A8A9AC"/>
            </w:tcBorders>
          </w:tcPr>
          <w:p>
            <w:pPr>
              <w:ind w:left="18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9AC"/>
            </w:tcBorders>
          </w:tcPr>
          <w:p>
            <w:pPr>
              <w:jc w:val="center"/>
              <w:ind w:left="146"/>
              <w:spacing w:after="0" w:line="207" w:lineRule="exact"/>
              <w:rPr>
                <w:sz w:val="20"/>
                <w:szCs w:val="20"/>
                <w:color w:val="auto"/>
              </w:rPr>
            </w:pPr>
            <w:r>
              <w:rPr>
                <w:rFonts w:ascii="Arial" w:cs="Arial" w:eastAsia="Arial" w:hAnsi="Arial"/>
                <w:sz w:val="15"/>
                <w:szCs w:val="15"/>
                <w:color w:val="auto"/>
                <w:w w:val="91"/>
              </w:rPr>
              <w:t>29,520</w:t>
            </w:r>
            <w:r>
              <w:rPr>
                <w:rFonts w:ascii="Arial" w:cs="Arial" w:eastAsia="Arial" w:hAnsi="Arial"/>
                <w:sz w:val="24"/>
                <w:szCs w:val="24"/>
                <w:color w:val="auto"/>
                <w:w w:val="91"/>
                <w:vertAlign w:val="superscript"/>
              </w:rPr>
              <w:t>(8)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8A9AC"/>
            </w:tcBorders>
          </w:tcPr>
          <w:p>
            <w:pPr>
              <w:jc w:val="right"/>
              <w:ind w:right="32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1,349,520</w:t>
            </w:r>
          </w:p>
        </w:tc>
        <w:tc>
          <w:tcPr>
            <w:tcW w:w="0" w:type="dxa"/>
            <w:vAlign w:val="bottom"/>
          </w:tcPr>
          <w:p>
            <w:pPr>
              <w:spacing w:after="0"/>
              <w:rPr>
                <w:sz w:val="1"/>
                <w:szCs w:val="1"/>
                <w:color w:val="auto"/>
              </w:rPr>
            </w:pPr>
          </w:p>
        </w:tc>
      </w:tr>
      <w:tr>
        <w:trPr>
          <w:trHeight w:val="207"/>
        </w:trPr>
        <w:tc>
          <w:tcPr>
            <w:tcW w:w="374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Daniel N. Wesson</w:t>
            </w:r>
          </w:p>
        </w:tc>
        <w:tc>
          <w:tcPr>
            <w:tcW w:w="200" w:type="dxa"/>
            <w:vAlign w:val="bottom"/>
            <w:tcBorders>
              <w:bottom w:val="single" w:sz="8" w:color="A8A9AC"/>
            </w:tcBorders>
            <w:gridSpan w:val="3"/>
          </w:tcPr>
          <w:p>
            <w:pPr>
              <w:jc w:val="right"/>
              <w:ind w:right="4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8A9AC"/>
            </w:tcBorders>
          </w:tcPr>
          <w:p>
            <w:pPr>
              <w:jc w:val="right"/>
              <w:spacing w:after="0" w:line="207" w:lineRule="exact"/>
              <w:rPr>
                <w:sz w:val="20"/>
                <w:szCs w:val="20"/>
                <w:color w:val="auto"/>
              </w:rPr>
            </w:pPr>
            <w:r>
              <w:rPr>
                <w:rFonts w:ascii="Arial" w:cs="Arial" w:eastAsia="Arial" w:hAnsi="Arial"/>
                <w:sz w:val="15"/>
                <w:szCs w:val="15"/>
                <w:color w:val="auto"/>
              </w:rPr>
              <w:t>1,050,000</w:t>
            </w:r>
            <w:r>
              <w:rPr>
                <w:rFonts w:ascii="Arial" w:cs="Arial" w:eastAsia="Arial" w:hAnsi="Arial"/>
                <w:sz w:val="24"/>
                <w:szCs w:val="24"/>
                <w:color w:val="auto"/>
                <w:vertAlign w:val="superscript"/>
              </w:rPr>
              <w:t>(5)</w:t>
            </w:r>
          </w:p>
        </w:tc>
        <w:tc>
          <w:tcPr>
            <w:tcW w:w="40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8A9AC"/>
            </w:tcBorders>
          </w:tcPr>
          <w:p>
            <w:pPr>
              <w:jc w:val="right"/>
              <w:ind w:right="26"/>
              <w:spacing w:after="0" w:line="207" w:lineRule="exact"/>
              <w:rPr>
                <w:sz w:val="20"/>
                <w:szCs w:val="20"/>
                <w:color w:val="auto"/>
              </w:rPr>
            </w:pPr>
            <w:r>
              <w:rPr>
                <w:rFonts w:ascii="Arial" w:cs="Arial" w:eastAsia="Arial" w:hAnsi="Arial"/>
                <w:sz w:val="15"/>
                <w:szCs w:val="15"/>
                <w:color w:val="auto"/>
              </w:rPr>
              <w:t>700,000</w:t>
            </w:r>
            <w:r>
              <w:rPr>
                <w:rFonts w:ascii="Arial" w:cs="Arial" w:eastAsia="Arial" w:hAnsi="Arial"/>
                <w:sz w:val="24"/>
                <w:szCs w:val="24"/>
                <w:color w:val="auto"/>
                <w:vertAlign w:val="superscript"/>
              </w:rPr>
              <w:t>(7)</w:t>
            </w:r>
          </w:p>
        </w:tc>
        <w:tc>
          <w:tcPr>
            <w:tcW w:w="480" w:type="dxa"/>
            <w:vAlign w:val="bottom"/>
            <w:tcBorders>
              <w:bottom w:val="single" w:sz="8" w:color="A8A9AC"/>
            </w:tcBorders>
          </w:tcPr>
          <w:p>
            <w:pPr>
              <w:ind w:left="18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9AC"/>
            </w:tcBorders>
          </w:tcPr>
          <w:p>
            <w:pPr>
              <w:jc w:val="center"/>
              <w:ind w:left="146"/>
              <w:spacing w:after="0" w:line="207" w:lineRule="exact"/>
              <w:rPr>
                <w:sz w:val="20"/>
                <w:szCs w:val="20"/>
                <w:color w:val="auto"/>
              </w:rPr>
            </w:pPr>
            <w:r>
              <w:rPr>
                <w:rFonts w:ascii="Arial" w:cs="Arial" w:eastAsia="Arial" w:hAnsi="Arial"/>
                <w:sz w:val="15"/>
                <w:szCs w:val="15"/>
                <w:color w:val="auto"/>
                <w:w w:val="91"/>
              </w:rPr>
              <w:t>44,434</w:t>
            </w:r>
            <w:r>
              <w:rPr>
                <w:rFonts w:ascii="Arial" w:cs="Arial" w:eastAsia="Arial" w:hAnsi="Arial"/>
                <w:sz w:val="24"/>
                <w:szCs w:val="24"/>
                <w:color w:val="auto"/>
                <w:w w:val="91"/>
                <w:vertAlign w:val="superscript"/>
              </w:rPr>
              <w:t>(8)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8A9AC"/>
            </w:tcBorders>
          </w:tcPr>
          <w:p>
            <w:pPr>
              <w:jc w:val="right"/>
              <w:ind w:right="32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1,794,434</w:t>
            </w:r>
          </w:p>
        </w:tc>
        <w:tc>
          <w:tcPr>
            <w:tcW w:w="0" w:type="dxa"/>
            <w:vAlign w:val="bottom"/>
          </w:tcPr>
          <w:p>
            <w:pPr>
              <w:spacing w:after="0"/>
              <w:rPr>
                <w:sz w:val="1"/>
                <w:szCs w:val="1"/>
                <w:color w:val="auto"/>
              </w:rPr>
            </w:pPr>
          </w:p>
        </w:tc>
      </w:tr>
      <w:tr>
        <w:trPr>
          <w:trHeight w:val="207"/>
        </w:trPr>
        <w:tc>
          <w:tcPr>
            <w:tcW w:w="374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Matt Zmigrosky</w:t>
            </w:r>
          </w:p>
        </w:tc>
        <w:tc>
          <w:tcPr>
            <w:tcW w:w="200" w:type="dxa"/>
            <w:vAlign w:val="bottom"/>
            <w:tcBorders>
              <w:bottom w:val="single" w:sz="8" w:color="A26F2A"/>
            </w:tcBorders>
            <w:gridSpan w:val="3"/>
          </w:tcPr>
          <w:p>
            <w:pPr>
              <w:jc w:val="right"/>
              <w:ind w:right="4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26F2A"/>
            </w:tcBorders>
          </w:tcPr>
          <w:p>
            <w:pPr>
              <w:jc w:val="right"/>
              <w:spacing w:after="0" w:line="207" w:lineRule="exact"/>
              <w:rPr>
                <w:sz w:val="20"/>
                <w:szCs w:val="20"/>
                <w:color w:val="auto"/>
              </w:rPr>
            </w:pPr>
            <w:r>
              <w:rPr>
                <w:rFonts w:ascii="Arial" w:cs="Arial" w:eastAsia="Arial" w:hAnsi="Arial"/>
                <w:sz w:val="15"/>
                <w:szCs w:val="15"/>
                <w:color w:val="auto"/>
              </w:rPr>
              <w:t>1,050,000</w:t>
            </w:r>
            <w:r>
              <w:rPr>
                <w:rFonts w:ascii="Arial" w:cs="Arial" w:eastAsia="Arial" w:hAnsi="Arial"/>
                <w:sz w:val="24"/>
                <w:szCs w:val="24"/>
                <w:color w:val="auto"/>
                <w:vertAlign w:val="superscript"/>
              </w:rPr>
              <w:t>(5)</w:t>
            </w:r>
          </w:p>
        </w:tc>
        <w:tc>
          <w:tcPr>
            <w:tcW w:w="400" w:type="dxa"/>
            <w:vAlign w:val="bottom"/>
            <w:tcBorders>
              <w:bottom w:val="single" w:sz="8" w:color="A26F2A"/>
            </w:tcBorders>
          </w:tcPr>
          <w:p>
            <w:pPr>
              <w:jc w:val="right"/>
              <w:ind w:right="2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26F2A"/>
            </w:tcBorders>
          </w:tcPr>
          <w:p>
            <w:pPr>
              <w:jc w:val="right"/>
              <w:ind w:right="26"/>
              <w:spacing w:after="0" w:line="207" w:lineRule="exact"/>
              <w:rPr>
                <w:sz w:val="20"/>
                <w:szCs w:val="20"/>
                <w:color w:val="auto"/>
              </w:rPr>
            </w:pPr>
            <w:r>
              <w:rPr>
                <w:rFonts w:ascii="Arial" w:cs="Arial" w:eastAsia="Arial" w:hAnsi="Arial"/>
                <w:sz w:val="15"/>
                <w:szCs w:val="15"/>
                <w:color w:val="auto"/>
              </w:rPr>
              <w:t>630,000</w:t>
            </w:r>
            <w:r>
              <w:rPr>
                <w:rFonts w:ascii="Arial" w:cs="Arial" w:eastAsia="Arial" w:hAnsi="Arial"/>
                <w:sz w:val="24"/>
                <w:szCs w:val="24"/>
                <w:color w:val="auto"/>
                <w:vertAlign w:val="superscript"/>
              </w:rPr>
              <w:t>(7)</w:t>
            </w:r>
          </w:p>
        </w:tc>
        <w:tc>
          <w:tcPr>
            <w:tcW w:w="480" w:type="dxa"/>
            <w:vAlign w:val="bottom"/>
            <w:tcBorders>
              <w:bottom w:val="single" w:sz="8" w:color="A26F2A"/>
            </w:tcBorders>
          </w:tcPr>
          <w:p>
            <w:pPr>
              <w:ind w:left="18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26F2A"/>
            </w:tcBorders>
          </w:tcPr>
          <w:p>
            <w:pPr>
              <w:jc w:val="center"/>
              <w:ind w:left="146"/>
              <w:spacing w:after="0" w:line="207" w:lineRule="exact"/>
              <w:rPr>
                <w:sz w:val="20"/>
                <w:szCs w:val="20"/>
                <w:color w:val="auto"/>
              </w:rPr>
            </w:pPr>
            <w:r>
              <w:rPr>
                <w:rFonts w:ascii="Arial" w:cs="Arial" w:eastAsia="Arial" w:hAnsi="Arial"/>
                <w:sz w:val="15"/>
                <w:szCs w:val="15"/>
                <w:color w:val="auto"/>
                <w:w w:val="91"/>
              </w:rPr>
              <w:t>44,434</w:t>
            </w:r>
            <w:r>
              <w:rPr>
                <w:rFonts w:ascii="Arial" w:cs="Arial" w:eastAsia="Arial" w:hAnsi="Arial"/>
                <w:sz w:val="24"/>
                <w:szCs w:val="24"/>
                <w:color w:val="auto"/>
                <w:w w:val="91"/>
                <w:vertAlign w:val="superscript"/>
              </w:rPr>
              <w:t>(8)</w:t>
            </w:r>
          </w:p>
        </w:tc>
        <w:tc>
          <w:tcPr>
            <w:tcW w:w="24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26F2A"/>
            </w:tcBorders>
          </w:tcPr>
          <w:p>
            <w:pPr>
              <w:jc w:val="right"/>
              <w:ind w:right="32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26F2A"/>
            </w:tcBorders>
          </w:tcPr>
          <w:p>
            <w:pPr>
              <w:jc w:val="right"/>
              <w:ind w:right="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26F2A"/>
            </w:tcBorders>
          </w:tcPr>
          <w:p>
            <w:pPr>
              <w:jc w:val="right"/>
              <w:ind w:right="24"/>
              <w:spacing w:after="0"/>
              <w:rPr>
                <w:sz w:val="20"/>
                <w:szCs w:val="20"/>
                <w:color w:val="auto"/>
              </w:rPr>
            </w:pPr>
            <w:r>
              <w:rPr>
                <w:rFonts w:ascii="Arial" w:cs="Arial" w:eastAsia="Arial" w:hAnsi="Arial"/>
                <w:sz w:val="15"/>
                <w:szCs w:val="15"/>
                <w:color w:val="auto"/>
              </w:rPr>
              <w:t>1,724,434</w:t>
            </w:r>
          </w:p>
        </w:tc>
        <w:tc>
          <w:tcPr>
            <w:tcW w:w="0" w:type="dxa"/>
            <w:vAlign w:val="bottom"/>
          </w:tcPr>
          <w:p>
            <w:pPr>
              <w:spacing w:after="0"/>
              <w:rPr>
                <w:sz w:val="1"/>
                <w:szCs w:val="1"/>
                <w:color w:val="auto"/>
              </w:rPr>
            </w:pPr>
          </w:p>
        </w:tc>
      </w:tr>
      <w:tr>
        <w:trPr>
          <w:trHeight w:val="384"/>
        </w:trPr>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26F2A"/>
            </w:tcBorders>
          </w:tcPr>
          <w:p>
            <w:pPr>
              <w:spacing w:after="0"/>
              <w:rPr>
                <w:sz w:val="24"/>
                <w:szCs w:val="24"/>
                <w:color w:val="auto"/>
              </w:rPr>
            </w:pPr>
          </w:p>
        </w:tc>
        <w:tc>
          <w:tcPr>
            <w:tcW w:w="1180" w:type="dxa"/>
            <w:vAlign w:val="bottom"/>
            <w:tcBorders>
              <w:bottom w:val="single" w:sz="8" w:color="A26F2A"/>
            </w:tcBorders>
          </w:tcPr>
          <w:p>
            <w:pPr>
              <w:spacing w:after="0"/>
              <w:rPr>
                <w:sz w:val="24"/>
                <w:szCs w:val="24"/>
                <w:color w:val="auto"/>
              </w:rPr>
            </w:pPr>
          </w:p>
        </w:tc>
        <w:tc>
          <w:tcPr>
            <w:tcW w:w="400" w:type="dxa"/>
            <w:vAlign w:val="bottom"/>
            <w:tcBorders>
              <w:bottom w:val="single" w:sz="8" w:color="A26F2A"/>
            </w:tcBorders>
          </w:tcPr>
          <w:p>
            <w:pPr>
              <w:spacing w:after="0"/>
              <w:rPr>
                <w:sz w:val="24"/>
                <w:szCs w:val="24"/>
                <w:color w:val="auto"/>
              </w:rPr>
            </w:pPr>
          </w:p>
        </w:tc>
        <w:tc>
          <w:tcPr>
            <w:tcW w:w="4440" w:type="dxa"/>
            <w:vAlign w:val="bottom"/>
            <w:tcBorders>
              <w:bottom w:val="single" w:sz="8" w:color="A26F2A"/>
            </w:tcBorders>
            <w:gridSpan w:val="5"/>
          </w:tcPr>
          <w:p>
            <w:pPr>
              <w:jc w:val="right"/>
              <w:ind w:right="646"/>
              <w:spacing w:after="0"/>
              <w:rPr>
                <w:sz w:val="20"/>
                <w:szCs w:val="20"/>
                <w:color w:val="auto"/>
              </w:rPr>
            </w:pPr>
            <w:r>
              <w:rPr>
                <w:rFonts w:ascii="Arial" w:cs="Arial" w:eastAsia="Arial" w:hAnsi="Arial"/>
                <w:sz w:val="15"/>
                <w:szCs w:val="15"/>
                <w:b w:val="1"/>
                <w:bCs w:val="1"/>
                <w:color w:val="auto"/>
              </w:rPr>
              <w:t>Change of Control/Qualifying Termination</w:t>
            </w:r>
            <w:r>
              <w:rPr>
                <w:rFonts w:ascii="Arial" w:cs="Arial" w:eastAsia="Arial" w:hAnsi="Arial"/>
                <w:sz w:val="25"/>
                <w:szCs w:val="25"/>
                <w:b w:val="1"/>
                <w:bCs w:val="1"/>
                <w:color w:val="auto"/>
                <w:vertAlign w:val="superscript"/>
              </w:rPr>
              <w:t>(1)(11)</w:t>
            </w:r>
          </w:p>
        </w:tc>
        <w:tc>
          <w:tcPr>
            <w:tcW w:w="320" w:type="dxa"/>
            <w:vAlign w:val="bottom"/>
            <w:tcBorders>
              <w:bottom w:val="single" w:sz="8" w:color="A26F2A"/>
            </w:tcBorders>
          </w:tcPr>
          <w:p>
            <w:pPr>
              <w:spacing w:after="0"/>
              <w:rPr>
                <w:sz w:val="24"/>
                <w:szCs w:val="24"/>
                <w:color w:val="auto"/>
              </w:rPr>
            </w:pPr>
          </w:p>
        </w:tc>
        <w:tc>
          <w:tcPr>
            <w:tcW w:w="960" w:type="dxa"/>
            <w:vAlign w:val="bottom"/>
            <w:tcBorders>
              <w:bottom w:val="single" w:sz="8" w:color="A26F2A"/>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right"/>
              <w:ind w:right="286"/>
              <w:spacing w:after="0" w:line="157" w:lineRule="exact"/>
              <w:rPr>
                <w:sz w:val="20"/>
                <w:szCs w:val="20"/>
                <w:color w:val="auto"/>
              </w:rPr>
            </w:pPr>
            <w:r>
              <w:rPr>
                <w:rFonts w:ascii="Arial" w:cs="Arial" w:eastAsia="Arial" w:hAnsi="Arial"/>
                <w:sz w:val="15"/>
                <w:szCs w:val="15"/>
                <w:b w:val="1"/>
                <w:bCs w:val="1"/>
                <w:color w:val="auto"/>
              </w:rPr>
              <w:t>Lump Sum</w:t>
            </w: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vMerge w:val="restart"/>
          </w:tcPr>
          <w:p>
            <w:pPr>
              <w:jc w:val="right"/>
              <w:ind w:right="326"/>
              <w:spacing w:after="0"/>
              <w:rPr>
                <w:sz w:val="20"/>
                <w:szCs w:val="20"/>
                <w:color w:val="auto"/>
              </w:rPr>
            </w:pPr>
            <w:r>
              <w:rPr>
                <w:rFonts w:ascii="Arial" w:cs="Arial" w:eastAsia="Arial" w:hAnsi="Arial"/>
                <w:sz w:val="15"/>
                <w:szCs w:val="15"/>
                <w:b w:val="1"/>
                <w:bCs w:val="1"/>
                <w:color w:val="auto"/>
              </w:rPr>
              <w:t>Restricted</w:t>
            </w: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40" w:type="dxa"/>
            <w:vAlign w:val="bottom"/>
            <w:gridSpan w:val="2"/>
          </w:tcPr>
          <w:p>
            <w:pPr>
              <w:jc w:val="right"/>
              <w:ind w:right="286"/>
              <w:spacing w:after="0" w:line="151" w:lineRule="exact"/>
              <w:rPr>
                <w:sz w:val="20"/>
                <w:szCs w:val="20"/>
                <w:color w:val="auto"/>
              </w:rPr>
            </w:pPr>
            <w:r>
              <w:rPr>
                <w:rFonts w:ascii="Arial" w:cs="Arial" w:eastAsia="Arial" w:hAnsi="Arial"/>
                <w:sz w:val="15"/>
                <w:szCs w:val="15"/>
                <w:b w:val="1"/>
                <w:bCs w:val="1"/>
                <w:color w:val="auto"/>
              </w:rPr>
              <w:t>Cash Severance</w:t>
            </w:r>
          </w:p>
        </w:tc>
        <w:tc>
          <w:tcPr>
            <w:tcW w:w="480" w:type="dxa"/>
            <w:vAlign w:val="bottom"/>
          </w:tcPr>
          <w:p>
            <w:pPr>
              <w:spacing w:after="0"/>
              <w:rPr>
                <w:sz w:val="13"/>
                <w:szCs w:val="13"/>
                <w:color w:val="auto"/>
              </w:rPr>
            </w:pPr>
          </w:p>
        </w:tc>
        <w:tc>
          <w:tcPr>
            <w:tcW w:w="1100" w:type="dxa"/>
            <w:vAlign w:val="bottom"/>
          </w:tcPr>
          <w:p>
            <w:pPr>
              <w:ind w:left="240"/>
              <w:spacing w:after="0" w:line="151" w:lineRule="exact"/>
              <w:rPr>
                <w:sz w:val="20"/>
                <w:szCs w:val="20"/>
                <w:color w:val="auto"/>
              </w:rPr>
            </w:pPr>
            <w:r>
              <w:rPr>
                <w:rFonts w:ascii="Arial" w:cs="Arial" w:eastAsia="Arial" w:hAnsi="Arial"/>
                <w:sz w:val="15"/>
                <w:szCs w:val="15"/>
                <w:b w:val="1"/>
                <w:bCs w:val="1"/>
                <w:color w:val="auto"/>
              </w:rPr>
              <w:t>COBRA</w:t>
            </w:r>
          </w:p>
        </w:tc>
        <w:tc>
          <w:tcPr>
            <w:tcW w:w="24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74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Name</w:t>
            </w:r>
          </w:p>
        </w:tc>
        <w:tc>
          <w:tcPr>
            <w:tcW w:w="60" w:type="dxa"/>
            <w:vAlign w:val="bottom"/>
            <w:tcBorders>
              <w:bottom w:val="single" w:sz="8" w:color="A26F2A"/>
            </w:tcBorders>
          </w:tcPr>
          <w:p>
            <w:pPr>
              <w:spacing w:after="0"/>
              <w:rPr>
                <w:sz w:val="19"/>
                <w:szCs w:val="19"/>
                <w:color w:val="auto"/>
              </w:rPr>
            </w:pPr>
          </w:p>
        </w:tc>
        <w:tc>
          <w:tcPr>
            <w:tcW w:w="80" w:type="dxa"/>
            <w:vAlign w:val="bottom"/>
            <w:tcBorders>
              <w:bottom w:val="single" w:sz="8" w:color="A26F2A"/>
            </w:tcBorders>
          </w:tcPr>
          <w:p>
            <w:pPr>
              <w:spacing w:after="0"/>
              <w:rPr>
                <w:sz w:val="19"/>
                <w:szCs w:val="19"/>
                <w:color w:val="auto"/>
              </w:rPr>
            </w:pPr>
          </w:p>
        </w:tc>
        <w:tc>
          <w:tcPr>
            <w:tcW w:w="60" w:type="dxa"/>
            <w:vAlign w:val="bottom"/>
            <w:tcBorders>
              <w:bottom w:val="single" w:sz="8" w:color="A26F2A"/>
            </w:tcBorders>
          </w:tcPr>
          <w:p>
            <w:pPr>
              <w:spacing w:after="0"/>
              <w:rPr>
                <w:sz w:val="19"/>
                <w:szCs w:val="19"/>
                <w:color w:val="auto"/>
              </w:rPr>
            </w:pPr>
          </w:p>
        </w:tc>
        <w:tc>
          <w:tcPr>
            <w:tcW w:w="1180" w:type="dxa"/>
            <w:vAlign w:val="bottom"/>
            <w:tcBorders>
              <w:bottom w:val="single" w:sz="8" w:color="A26F2A"/>
            </w:tcBorders>
          </w:tcPr>
          <w:p>
            <w:pPr>
              <w:spacing w:after="0"/>
              <w:rPr>
                <w:sz w:val="19"/>
                <w:szCs w:val="19"/>
                <w:color w:val="auto"/>
              </w:rPr>
            </w:pPr>
          </w:p>
        </w:tc>
        <w:tc>
          <w:tcPr>
            <w:tcW w:w="400" w:type="dxa"/>
            <w:vAlign w:val="bottom"/>
            <w:tcBorders>
              <w:bottom w:val="single" w:sz="8" w:color="A26F2A"/>
            </w:tcBorders>
          </w:tcPr>
          <w:p>
            <w:pPr>
              <w:spacing w:after="0"/>
              <w:rPr>
                <w:sz w:val="19"/>
                <w:szCs w:val="19"/>
                <w:color w:val="auto"/>
              </w:rPr>
            </w:pPr>
          </w:p>
        </w:tc>
        <w:tc>
          <w:tcPr>
            <w:tcW w:w="1240" w:type="dxa"/>
            <w:vAlign w:val="bottom"/>
            <w:tcBorders>
              <w:bottom w:val="single" w:sz="8" w:color="A26F2A"/>
            </w:tcBorders>
          </w:tcPr>
          <w:p>
            <w:pPr>
              <w:jc w:val="right"/>
              <w:ind w:right="286"/>
              <w:spacing w:after="0"/>
              <w:rPr>
                <w:sz w:val="20"/>
                <w:szCs w:val="20"/>
                <w:color w:val="auto"/>
              </w:rPr>
            </w:pPr>
            <w:r>
              <w:rPr>
                <w:rFonts w:ascii="Arial" w:cs="Arial" w:eastAsia="Arial" w:hAnsi="Arial"/>
                <w:sz w:val="15"/>
                <w:szCs w:val="15"/>
                <w:b w:val="1"/>
                <w:bCs w:val="1"/>
                <w:color w:val="auto"/>
              </w:rPr>
              <w:t>Payment</w:t>
            </w:r>
          </w:p>
        </w:tc>
        <w:tc>
          <w:tcPr>
            <w:tcW w:w="1580" w:type="dxa"/>
            <w:vAlign w:val="bottom"/>
            <w:tcBorders>
              <w:bottom w:val="single" w:sz="8" w:color="A26F2A"/>
            </w:tcBorders>
            <w:gridSpan w:val="2"/>
          </w:tcPr>
          <w:p>
            <w:pPr>
              <w:ind w:left="140"/>
              <w:spacing w:after="0"/>
              <w:rPr>
                <w:sz w:val="20"/>
                <w:szCs w:val="20"/>
                <w:color w:val="auto"/>
              </w:rPr>
            </w:pPr>
            <w:r>
              <w:rPr>
                <w:rFonts w:ascii="Arial" w:cs="Arial" w:eastAsia="Arial" w:hAnsi="Arial"/>
                <w:sz w:val="15"/>
                <w:szCs w:val="15"/>
                <w:b w:val="1"/>
                <w:bCs w:val="1"/>
                <w:color w:val="auto"/>
              </w:rPr>
              <w:t>Reimbursement</w:t>
            </w:r>
          </w:p>
        </w:tc>
        <w:tc>
          <w:tcPr>
            <w:tcW w:w="1620" w:type="dxa"/>
            <w:vAlign w:val="bottom"/>
            <w:tcBorders>
              <w:bottom w:val="single" w:sz="8" w:color="A26F2A"/>
            </w:tcBorders>
            <w:gridSpan w:val="2"/>
          </w:tcPr>
          <w:p>
            <w:pPr>
              <w:jc w:val="right"/>
              <w:ind w:right="326"/>
              <w:spacing w:after="0" w:line="214" w:lineRule="exact"/>
              <w:rPr>
                <w:sz w:val="20"/>
                <w:szCs w:val="20"/>
                <w:color w:val="auto"/>
              </w:rPr>
            </w:pPr>
            <w:r>
              <w:rPr>
                <w:rFonts w:ascii="Arial" w:cs="Arial" w:eastAsia="Arial" w:hAnsi="Arial"/>
                <w:sz w:val="15"/>
                <w:szCs w:val="15"/>
                <w:b w:val="1"/>
                <w:bCs w:val="1"/>
                <w:color w:val="auto"/>
              </w:rPr>
              <w:t>Stock Units</w:t>
            </w:r>
            <w:r>
              <w:rPr>
                <w:rFonts w:ascii="Arial" w:cs="Arial" w:eastAsia="Arial" w:hAnsi="Arial"/>
                <w:sz w:val="24"/>
                <w:szCs w:val="24"/>
                <w:b w:val="1"/>
                <w:bCs w:val="1"/>
                <w:color w:val="auto"/>
                <w:vertAlign w:val="superscript"/>
              </w:rPr>
              <w:t>(3)</w:t>
            </w:r>
          </w:p>
        </w:tc>
        <w:tc>
          <w:tcPr>
            <w:tcW w:w="320" w:type="dxa"/>
            <w:vAlign w:val="bottom"/>
            <w:tcBorders>
              <w:bottom w:val="single" w:sz="8" w:color="A26F2A"/>
            </w:tcBorders>
          </w:tcPr>
          <w:p>
            <w:pPr>
              <w:spacing w:after="0"/>
              <w:rPr>
                <w:sz w:val="19"/>
                <w:szCs w:val="19"/>
                <w:color w:val="auto"/>
              </w:rPr>
            </w:pPr>
          </w:p>
        </w:tc>
        <w:tc>
          <w:tcPr>
            <w:tcW w:w="960" w:type="dxa"/>
            <w:vAlign w:val="bottom"/>
            <w:tcBorders>
              <w:bottom w:val="single" w:sz="8" w:color="A26F2A"/>
            </w:tcBorders>
          </w:tcPr>
          <w:p>
            <w:pPr>
              <w:jc w:val="right"/>
              <w:ind w:right="2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5"/>
        </w:trPr>
        <w:tc>
          <w:tcPr>
            <w:tcW w:w="374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Travis D. Stice</w:t>
            </w:r>
          </w:p>
        </w:tc>
        <w:tc>
          <w:tcPr>
            <w:tcW w:w="60" w:type="dxa"/>
            <w:vAlign w:val="bottom"/>
            <w:tcBorders>
              <w:bottom w:val="single" w:sz="8" w:color="A8A9AC"/>
            </w:tcBorders>
          </w:tcPr>
          <w:p>
            <w:pPr>
              <w:spacing w:after="0"/>
              <w:rPr>
                <w:sz w:val="18"/>
                <w:szCs w:val="18"/>
                <w:color w:val="auto"/>
              </w:rPr>
            </w:pPr>
          </w:p>
        </w:tc>
        <w:tc>
          <w:tcPr>
            <w:tcW w:w="80" w:type="dxa"/>
            <w:vAlign w:val="bottom"/>
            <w:tcBorders>
              <w:bottom w:val="single" w:sz="8" w:color="A8A9AC"/>
            </w:tcBorders>
          </w:tcPr>
          <w:p>
            <w:pPr>
              <w:spacing w:after="0"/>
              <w:rPr>
                <w:sz w:val="18"/>
                <w:szCs w:val="18"/>
                <w:color w:val="auto"/>
              </w:rPr>
            </w:pPr>
          </w:p>
        </w:tc>
        <w:tc>
          <w:tcPr>
            <w:tcW w:w="60" w:type="dxa"/>
            <w:vAlign w:val="bottom"/>
            <w:tcBorders>
              <w:bottom w:val="single" w:sz="8" w:color="A8A9AC"/>
            </w:tcBorders>
          </w:tcPr>
          <w:p>
            <w:pPr>
              <w:spacing w:after="0"/>
              <w:rPr>
                <w:sz w:val="18"/>
                <w:szCs w:val="18"/>
                <w:color w:val="auto"/>
              </w:rPr>
            </w:pPr>
          </w:p>
        </w:tc>
        <w:tc>
          <w:tcPr>
            <w:tcW w:w="1180" w:type="dxa"/>
            <w:vAlign w:val="bottom"/>
            <w:tcBorders>
              <w:bottom w:val="single" w:sz="8" w:color="A8A9AC"/>
            </w:tcBorders>
          </w:tcPr>
          <w:p>
            <w:pPr>
              <w:spacing w:after="0"/>
              <w:rPr>
                <w:sz w:val="18"/>
                <w:szCs w:val="18"/>
                <w:color w:val="auto"/>
              </w:rPr>
            </w:pPr>
          </w:p>
        </w:tc>
        <w:tc>
          <w:tcPr>
            <w:tcW w:w="40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8A9AC"/>
            </w:tcBorders>
          </w:tcPr>
          <w:p>
            <w:pPr>
              <w:jc w:val="right"/>
              <w:ind w:right="66"/>
              <w:spacing w:after="0" w:line="214" w:lineRule="exact"/>
              <w:rPr>
                <w:sz w:val="20"/>
                <w:szCs w:val="20"/>
                <w:color w:val="auto"/>
              </w:rPr>
            </w:pPr>
            <w:r>
              <w:rPr>
                <w:rFonts w:ascii="Arial" w:cs="Arial" w:eastAsia="Arial" w:hAnsi="Arial"/>
                <w:sz w:val="15"/>
                <w:szCs w:val="15"/>
                <w:color w:val="auto"/>
              </w:rPr>
              <w:t>12,226,056</w:t>
            </w:r>
            <w:r>
              <w:rPr>
                <w:rFonts w:ascii="Arial" w:cs="Arial" w:eastAsia="Arial" w:hAnsi="Arial"/>
                <w:sz w:val="24"/>
                <w:szCs w:val="24"/>
                <w:color w:val="auto"/>
                <w:vertAlign w:val="superscript"/>
              </w:rPr>
              <w:t>(12)</w:t>
            </w:r>
          </w:p>
        </w:tc>
        <w:tc>
          <w:tcPr>
            <w:tcW w:w="480" w:type="dxa"/>
            <w:vAlign w:val="bottom"/>
            <w:tcBorders>
              <w:bottom w:val="single" w:sz="8" w:color="A8A9AC"/>
            </w:tcBorders>
          </w:tcPr>
          <w:p>
            <w:pPr>
              <w:ind w:left="1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9AC"/>
            </w:tcBorders>
          </w:tcPr>
          <w:p>
            <w:pPr>
              <w:jc w:val="center"/>
              <w:ind w:left="86"/>
              <w:spacing w:after="0" w:line="214" w:lineRule="exact"/>
              <w:rPr>
                <w:sz w:val="20"/>
                <w:szCs w:val="20"/>
                <w:color w:val="auto"/>
              </w:rPr>
            </w:pPr>
            <w:r>
              <w:rPr>
                <w:rFonts w:ascii="Arial" w:cs="Arial" w:eastAsia="Arial" w:hAnsi="Arial"/>
                <w:sz w:val="15"/>
                <w:szCs w:val="15"/>
                <w:color w:val="auto"/>
                <w:w w:val="94"/>
              </w:rPr>
              <w:t>29,520</w:t>
            </w:r>
            <w:r>
              <w:rPr>
                <w:rFonts w:ascii="Arial" w:cs="Arial" w:eastAsia="Arial" w:hAnsi="Arial"/>
                <w:sz w:val="24"/>
                <w:szCs w:val="24"/>
                <w:color w:val="auto"/>
                <w:w w:val="94"/>
                <w:vertAlign w:val="superscript"/>
              </w:rPr>
              <w:t>(8)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8A9AC"/>
            </w:tcBorders>
          </w:tcPr>
          <w:p>
            <w:pPr>
              <w:jc w:val="right"/>
              <w:ind w:right="166"/>
              <w:spacing w:after="0" w:line="214" w:lineRule="exact"/>
              <w:rPr>
                <w:sz w:val="20"/>
                <w:szCs w:val="20"/>
                <w:color w:val="auto"/>
              </w:rPr>
            </w:pPr>
            <w:r>
              <w:rPr>
                <w:rFonts w:ascii="Arial" w:cs="Arial" w:eastAsia="Arial" w:hAnsi="Arial"/>
                <w:sz w:val="15"/>
                <w:szCs w:val="15"/>
                <w:color w:val="auto"/>
              </w:rPr>
              <w:t>37,878,170</w:t>
            </w:r>
            <w:r>
              <w:rPr>
                <w:rFonts w:ascii="Arial" w:cs="Arial" w:eastAsia="Arial" w:hAnsi="Arial"/>
                <w:sz w:val="24"/>
                <w:szCs w:val="24"/>
                <w:color w:val="auto"/>
                <w:vertAlign w:val="superscript"/>
              </w:rPr>
              <w:t>(9)</w:t>
            </w:r>
          </w:p>
        </w:tc>
        <w:tc>
          <w:tcPr>
            <w:tcW w:w="32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50,133,746</w:t>
            </w:r>
          </w:p>
        </w:tc>
        <w:tc>
          <w:tcPr>
            <w:tcW w:w="0" w:type="dxa"/>
            <w:vAlign w:val="bottom"/>
          </w:tcPr>
          <w:p>
            <w:pPr>
              <w:spacing w:after="0"/>
              <w:rPr>
                <w:sz w:val="1"/>
                <w:szCs w:val="1"/>
                <w:color w:val="auto"/>
              </w:rPr>
            </w:pPr>
          </w:p>
        </w:tc>
      </w:tr>
      <w:tr>
        <w:trPr>
          <w:trHeight w:val="207"/>
        </w:trPr>
        <w:tc>
          <w:tcPr>
            <w:tcW w:w="374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Kaes Van’t Hof</w:t>
            </w:r>
          </w:p>
        </w:tc>
        <w:tc>
          <w:tcPr>
            <w:tcW w:w="60" w:type="dxa"/>
            <w:vAlign w:val="bottom"/>
            <w:tcBorders>
              <w:bottom w:val="single" w:sz="8" w:color="A8A9AC"/>
            </w:tcBorders>
          </w:tcPr>
          <w:p>
            <w:pPr>
              <w:spacing w:after="0"/>
              <w:rPr>
                <w:sz w:val="18"/>
                <w:szCs w:val="18"/>
                <w:color w:val="auto"/>
              </w:rPr>
            </w:pPr>
          </w:p>
        </w:tc>
        <w:tc>
          <w:tcPr>
            <w:tcW w:w="80" w:type="dxa"/>
            <w:vAlign w:val="bottom"/>
            <w:tcBorders>
              <w:bottom w:val="single" w:sz="8" w:color="A8A9AC"/>
            </w:tcBorders>
          </w:tcPr>
          <w:p>
            <w:pPr>
              <w:spacing w:after="0"/>
              <w:rPr>
                <w:sz w:val="18"/>
                <w:szCs w:val="18"/>
                <w:color w:val="auto"/>
              </w:rPr>
            </w:pPr>
          </w:p>
        </w:tc>
        <w:tc>
          <w:tcPr>
            <w:tcW w:w="60" w:type="dxa"/>
            <w:vAlign w:val="bottom"/>
            <w:tcBorders>
              <w:bottom w:val="single" w:sz="8" w:color="A8A9AC"/>
            </w:tcBorders>
          </w:tcPr>
          <w:p>
            <w:pPr>
              <w:spacing w:after="0"/>
              <w:rPr>
                <w:sz w:val="18"/>
                <w:szCs w:val="18"/>
                <w:color w:val="auto"/>
              </w:rPr>
            </w:pPr>
          </w:p>
        </w:tc>
        <w:tc>
          <w:tcPr>
            <w:tcW w:w="1180" w:type="dxa"/>
            <w:vAlign w:val="bottom"/>
            <w:tcBorders>
              <w:bottom w:val="single" w:sz="8" w:color="A8A9AC"/>
            </w:tcBorders>
          </w:tcPr>
          <w:p>
            <w:pPr>
              <w:spacing w:after="0"/>
              <w:rPr>
                <w:sz w:val="18"/>
                <w:szCs w:val="18"/>
                <w:color w:val="auto"/>
              </w:rPr>
            </w:pPr>
          </w:p>
        </w:tc>
        <w:tc>
          <w:tcPr>
            <w:tcW w:w="40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8A9AC"/>
            </w:tcBorders>
          </w:tcPr>
          <w:p>
            <w:pPr>
              <w:jc w:val="right"/>
              <w:ind w:right="66"/>
              <w:spacing w:after="0" w:line="207" w:lineRule="exact"/>
              <w:rPr>
                <w:sz w:val="20"/>
                <w:szCs w:val="20"/>
                <w:color w:val="auto"/>
              </w:rPr>
            </w:pPr>
            <w:r>
              <w:rPr>
                <w:rFonts w:ascii="Arial" w:cs="Arial" w:eastAsia="Arial" w:hAnsi="Arial"/>
                <w:sz w:val="15"/>
                <w:szCs w:val="15"/>
                <w:color w:val="auto"/>
              </w:rPr>
              <w:t>10,557,000</w:t>
            </w:r>
            <w:r>
              <w:rPr>
                <w:rFonts w:ascii="Arial" w:cs="Arial" w:eastAsia="Arial" w:hAnsi="Arial"/>
                <w:sz w:val="24"/>
                <w:szCs w:val="24"/>
                <w:color w:val="auto"/>
                <w:vertAlign w:val="superscript"/>
              </w:rPr>
              <w:t>(13)</w:t>
            </w:r>
          </w:p>
        </w:tc>
        <w:tc>
          <w:tcPr>
            <w:tcW w:w="480" w:type="dxa"/>
            <w:vAlign w:val="bottom"/>
            <w:tcBorders>
              <w:bottom w:val="single" w:sz="8" w:color="A8A9AC"/>
            </w:tcBorders>
          </w:tcPr>
          <w:p>
            <w:pPr>
              <w:ind w:left="1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9AC"/>
            </w:tcBorders>
          </w:tcPr>
          <w:p>
            <w:pPr>
              <w:jc w:val="center"/>
              <w:ind w:left="86"/>
              <w:spacing w:after="0" w:line="207" w:lineRule="exact"/>
              <w:rPr>
                <w:sz w:val="20"/>
                <w:szCs w:val="20"/>
                <w:color w:val="auto"/>
              </w:rPr>
            </w:pPr>
            <w:r>
              <w:rPr>
                <w:rFonts w:ascii="Arial" w:cs="Arial" w:eastAsia="Arial" w:hAnsi="Arial"/>
                <w:sz w:val="15"/>
                <w:szCs w:val="15"/>
                <w:color w:val="auto"/>
                <w:w w:val="94"/>
              </w:rPr>
              <w:t>44,434</w:t>
            </w:r>
            <w:r>
              <w:rPr>
                <w:rFonts w:ascii="Arial" w:cs="Arial" w:eastAsia="Arial" w:hAnsi="Arial"/>
                <w:sz w:val="24"/>
                <w:szCs w:val="24"/>
                <w:color w:val="auto"/>
                <w:w w:val="94"/>
                <w:vertAlign w:val="superscript"/>
              </w:rPr>
              <w:t>(8)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8A9AC"/>
            </w:tcBorders>
          </w:tcPr>
          <w:p>
            <w:pPr>
              <w:jc w:val="right"/>
              <w:ind w:right="106"/>
              <w:spacing w:after="0" w:line="207" w:lineRule="exact"/>
              <w:rPr>
                <w:sz w:val="20"/>
                <w:szCs w:val="20"/>
                <w:color w:val="auto"/>
              </w:rPr>
            </w:pPr>
            <w:r>
              <w:rPr>
                <w:rFonts w:ascii="Arial" w:cs="Arial" w:eastAsia="Arial" w:hAnsi="Arial"/>
                <w:sz w:val="15"/>
                <w:szCs w:val="15"/>
                <w:color w:val="auto"/>
              </w:rPr>
              <w:t>13,798,651</w:t>
            </w:r>
            <w:r>
              <w:rPr>
                <w:rFonts w:ascii="Arial" w:cs="Arial" w:eastAsia="Arial" w:hAnsi="Arial"/>
                <w:sz w:val="24"/>
                <w:szCs w:val="24"/>
                <w:color w:val="auto"/>
                <w:vertAlign w:val="superscript"/>
              </w:rPr>
              <w:t>(10)</w:t>
            </w:r>
          </w:p>
        </w:tc>
        <w:tc>
          <w:tcPr>
            <w:tcW w:w="32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24,400,085</w:t>
            </w:r>
          </w:p>
        </w:tc>
        <w:tc>
          <w:tcPr>
            <w:tcW w:w="0" w:type="dxa"/>
            <w:vAlign w:val="bottom"/>
          </w:tcPr>
          <w:p>
            <w:pPr>
              <w:spacing w:after="0"/>
              <w:rPr>
                <w:sz w:val="1"/>
                <w:szCs w:val="1"/>
                <w:color w:val="auto"/>
              </w:rPr>
            </w:pPr>
          </w:p>
        </w:tc>
      </w:tr>
      <w:tr>
        <w:trPr>
          <w:trHeight w:val="207"/>
        </w:trPr>
        <w:tc>
          <w:tcPr>
            <w:tcW w:w="374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Jere W. Thompson III</w:t>
            </w:r>
          </w:p>
        </w:tc>
        <w:tc>
          <w:tcPr>
            <w:tcW w:w="60" w:type="dxa"/>
            <w:vAlign w:val="bottom"/>
            <w:tcBorders>
              <w:bottom w:val="single" w:sz="8" w:color="A8A9AC"/>
            </w:tcBorders>
          </w:tcPr>
          <w:p>
            <w:pPr>
              <w:spacing w:after="0"/>
              <w:rPr>
                <w:sz w:val="18"/>
                <w:szCs w:val="18"/>
                <w:color w:val="auto"/>
              </w:rPr>
            </w:pPr>
          </w:p>
        </w:tc>
        <w:tc>
          <w:tcPr>
            <w:tcW w:w="80" w:type="dxa"/>
            <w:vAlign w:val="bottom"/>
            <w:tcBorders>
              <w:bottom w:val="single" w:sz="8" w:color="A8A9AC"/>
            </w:tcBorders>
          </w:tcPr>
          <w:p>
            <w:pPr>
              <w:spacing w:after="0"/>
              <w:rPr>
                <w:sz w:val="18"/>
                <w:szCs w:val="18"/>
                <w:color w:val="auto"/>
              </w:rPr>
            </w:pPr>
          </w:p>
        </w:tc>
        <w:tc>
          <w:tcPr>
            <w:tcW w:w="60" w:type="dxa"/>
            <w:vAlign w:val="bottom"/>
            <w:tcBorders>
              <w:bottom w:val="single" w:sz="8" w:color="A8A9AC"/>
            </w:tcBorders>
          </w:tcPr>
          <w:p>
            <w:pPr>
              <w:spacing w:after="0"/>
              <w:rPr>
                <w:sz w:val="18"/>
                <w:szCs w:val="18"/>
                <w:color w:val="auto"/>
              </w:rPr>
            </w:pPr>
          </w:p>
        </w:tc>
        <w:tc>
          <w:tcPr>
            <w:tcW w:w="1180" w:type="dxa"/>
            <w:vAlign w:val="bottom"/>
            <w:tcBorders>
              <w:bottom w:val="single" w:sz="8" w:color="A8A9AC"/>
            </w:tcBorders>
          </w:tcPr>
          <w:p>
            <w:pPr>
              <w:spacing w:after="0"/>
              <w:rPr>
                <w:sz w:val="18"/>
                <w:szCs w:val="18"/>
                <w:color w:val="auto"/>
              </w:rPr>
            </w:pPr>
          </w:p>
        </w:tc>
        <w:tc>
          <w:tcPr>
            <w:tcW w:w="40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8A9AC"/>
            </w:tcBorders>
          </w:tcPr>
          <w:p>
            <w:pPr>
              <w:jc w:val="right"/>
              <w:ind w:right="66"/>
              <w:spacing w:after="0" w:line="207" w:lineRule="exact"/>
              <w:rPr>
                <w:sz w:val="20"/>
                <w:szCs w:val="20"/>
                <w:color w:val="auto"/>
              </w:rPr>
            </w:pPr>
            <w:r>
              <w:rPr>
                <w:rFonts w:ascii="Arial" w:cs="Arial" w:eastAsia="Arial" w:hAnsi="Arial"/>
                <w:sz w:val="15"/>
                <w:szCs w:val="15"/>
                <w:color w:val="auto"/>
              </w:rPr>
              <w:t>3,316,042</w:t>
            </w:r>
            <w:r>
              <w:rPr>
                <w:rFonts w:ascii="Arial" w:cs="Arial" w:eastAsia="Arial" w:hAnsi="Arial"/>
                <w:sz w:val="24"/>
                <w:szCs w:val="24"/>
                <w:color w:val="auto"/>
                <w:vertAlign w:val="superscript"/>
              </w:rPr>
              <w:t>(14)</w:t>
            </w:r>
          </w:p>
        </w:tc>
        <w:tc>
          <w:tcPr>
            <w:tcW w:w="480" w:type="dxa"/>
            <w:vAlign w:val="bottom"/>
            <w:tcBorders>
              <w:bottom w:val="single" w:sz="8" w:color="A8A9AC"/>
            </w:tcBorders>
          </w:tcPr>
          <w:p>
            <w:pPr>
              <w:ind w:left="1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9AC"/>
            </w:tcBorders>
          </w:tcPr>
          <w:p>
            <w:pPr>
              <w:jc w:val="center"/>
              <w:ind w:left="86"/>
              <w:spacing w:after="0" w:line="207" w:lineRule="exact"/>
              <w:rPr>
                <w:sz w:val="20"/>
                <w:szCs w:val="20"/>
                <w:color w:val="auto"/>
              </w:rPr>
            </w:pPr>
            <w:r>
              <w:rPr>
                <w:rFonts w:ascii="Arial" w:cs="Arial" w:eastAsia="Arial" w:hAnsi="Arial"/>
                <w:sz w:val="15"/>
                <w:szCs w:val="15"/>
                <w:color w:val="auto"/>
                <w:w w:val="94"/>
              </w:rPr>
              <w:t>44,434</w:t>
            </w:r>
            <w:r>
              <w:rPr>
                <w:rFonts w:ascii="Arial" w:cs="Arial" w:eastAsia="Arial" w:hAnsi="Arial"/>
                <w:sz w:val="24"/>
                <w:szCs w:val="24"/>
                <w:color w:val="auto"/>
                <w:w w:val="94"/>
                <w:vertAlign w:val="superscript"/>
              </w:rPr>
              <w:t>(8)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8A9AC"/>
            </w:tcBorders>
          </w:tcPr>
          <w:p>
            <w:pPr>
              <w:jc w:val="right"/>
              <w:ind w:right="106"/>
              <w:spacing w:after="0" w:line="207" w:lineRule="exact"/>
              <w:rPr>
                <w:sz w:val="20"/>
                <w:szCs w:val="20"/>
                <w:color w:val="auto"/>
              </w:rPr>
            </w:pPr>
            <w:r>
              <w:rPr>
                <w:rFonts w:ascii="Arial" w:cs="Arial" w:eastAsia="Arial" w:hAnsi="Arial"/>
                <w:sz w:val="15"/>
                <w:szCs w:val="15"/>
                <w:color w:val="auto"/>
              </w:rPr>
              <w:t>3,194,719</w:t>
            </w:r>
            <w:r>
              <w:rPr>
                <w:rFonts w:ascii="Arial" w:cs="Arial" w:eastAsia="Arial" w:hAnsi="Arial"/>
                <w:sz w:val="24"/>
                <w:szCs w:val="24"/>
                <w:color w:val="auto"/>
                <w:vertAlign w:val="superscript"/>
              </w:rPr>
              <w:t>(10)</w:t>
            </w:r>
          </w:p>
        </w:tc>
        <w:tc>
          <w:tcPr>
            <w:tcW w:w="32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6,555,195</w:t>
            </w:r>
          </w:p>
        </w:tc>
        <w:tc>
          <w:tcPr>
            <w:tcW w:w="0" w:type="dxa"/>
            <w:vAlign w:val="bottom"/>
          </w:tcPr>
          <w:p>
            <w:pPr>
              <w:spacing w:after="0"/>
              <w:rPr>
                <w:sz w:val="1"/>
                <w:szCs w:val="1"/>
                <w:color w:val="auto"/>
              </w:rPr>
            </w:pPr>
          </w:p>
        </w:tc>
      </w:tr>
      <w:tr>
        <w:trPr>
          <w:trHeight w:val="207"/>
        </w:trPr>
        <w:tc>
          <w:tcPr>
            <w:tcW w:w="374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Teresa L. Dick</w:t>
            </w:r>
          </w:p>
        </w:tc>
        <w:tc>
          <w:tcPr>
            <w:tcW w:w="60" w:type="dxa"/>
            <w:vAlign w:val="bottom"/>
            <w:tcBorders>
              <w:bottom w:val="single" w:sz="8" w:color="A8A9AC"/>
            </w:tcBorders>
          </w:tcPr>
          <w:p>
            <w:pPr>
              <w:spacing w:after="0"/>
              <w:rPr>
                <w:sz w:val="18"/>
                <w:szCs w:val="18"/>
                <w:color w:val="auto"/>
              </w:rPr>
            </w:pPr>
          </w:p>
        </w:tc>
        <w:tc>
          <w:tcPr>
            <w:tcW w:w="80" w:type="dxa"/>
            <w:vAlign w:val="bottom"/>
            <w:tcBorders>
              <w:bottom w:val="single" w:sz="8" w:color="A8A9AC"/>
            </w:tcBorders>
          </w:tcPr>
          <w:p>
            <w:pPr>
              <w:spacing w:after="0"/>
              <w:rPr>
                <w:sz w:val="18"/>
                <w:szCs w:val="18"/>
                <w:color w:val="auto"/>
              </w:rPr>
            </w:pPr>
          </w:p>
        </w:tc>
        <w:tc>
          <w:tcPr>
            <w:tcW w:w="60" w:type="dxa"/>
            <w:vAlign w:val="bottom"/>
            <w:tcBorders>
              <w:bottom w:val="single" w:sz="8" w:color="A8A9AC"/>
            </w:tcBorders>
          </w:tcPr>
          <w:p>
            <w:pPr>
              <w:spacing w:after="0"/>
              <w:rPr>
                <w:sz w:val="18"/>
                <w:szCs w:val="18"/>
                <w:color w:val="auto"/>
              </w:rPr>
            </w:pPr>
          </w:p>
        </w:tc>
        <w:tc>
          <w:tcPr>
            <w:tcW w:w="1180" w:type="dxa"/>
            <w:vAlign w:val="bottom"/>
            <w:tcBorders>
              <w:bottom w:val="single" w:sz="8" w:color="A8A9AC"/>
            </w:tcBorders>
          </w:tcPr>
          <w:p>
            <w:pPr>
              <w:spacing w:after="0"/>
              <w:rPr>
                <w:sz w:val="18"/>
                <w:szCs w:val="18"/>
                <w:color w:val="auto"/>
              </w:rPr>
            </w:pPr>
          </w:p>
        </w:tc>
        <w:tc>
          <w:tcPr>
            <w:tcW w:w="40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8A9AC"/>
            </w:tcBorders>
          </w:tcPr>
          <w:p>
            <w:pPr>
              <w:jc w:val="right"/>
              <w:ind w:right="66"/>
              <w:spacing w:after="0" w:line="207" w:lineRule="exact"/>
              <w:rPr>
                <w:sz w:val="20"/>
                <w:szCs w:val="20"/>
                <w:color w:val="auto"/>
              </w:rPr>
            </w:pPr>
            <w:r>
              <w:rPr>
                <w:rFonts w:ascii="Arial" w:cs="Arial" w:eastAsia="Arial" w:hAnsi="Arial"/>
                <w:sz w:val="15"/>
                <w:szCs w:val="15"/>
                <w:color w:val="auto"/>
              </w:rPr>
              <w:t>3,553,500</w:t>
            </w:r>
            <w:r>
              <w:rPr>
                <w:rFonts w:ascii="Arial" w:cs="Arial" w:eastAsia="Arial" w:hAnsi="Arial"/>
                <w:sz w:val="24"/>
                <w:szCs w:val="24"/>
                <w:color w:val="auto"/>
                <w:vertAlign w:val="superscript"/>
              </w:rPr>
              <w:t>(14)</w:t>
            </w:r>
          </w:p>
        </w:tc>
        <w:tc>
          <w:tcPr>
            <w:tcW w:w="480" w:type="dxa"/>
            <w:vAlign w:val="bottom"/>
            <w:tcBorders>
              <w:bottom w:val="single" w:sz="8" w:color="A8A9AC"/>
            </w:tcBorders>
          </w:tcPr>
          <w:p>
            <w:pPr>
              <w:ind w:left="1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9AC"/>
            </w:tcBorders>
          </w:tcPr>
          <w:p>
            <w:pPr>
              <w:jc w:val="center"/>
              <w:ind w:left="86"/>
              <w:spacing w:after="0" w:line="207" w:lineRule="exact"/>
              <w:rPr>
                <w:sz w:val="20"/>
                <w:szCs w:val="20"/>
                <w:color w:val="auto"/>
              </w:rPr>
            </w:pPr>
            <w:r>
              <w:rPr>
                <w:rFonts w:ascii="Arial" w:cs="Arial" w:eastAsia="Arial" w:hAnsi="Arial"/>
                <w:sz w:val="15"/>
                <w:szCs w:val="15"/>
                <w:color w:val="auto"/>
                <w:w w:val="94"/>
              </w:rPr>
              <w:t>29,520</w:t>
            </w:r>
            <w:r>
              <w:rPr>
                <w:rFonts w:ascii="Arial" w:cs="Arial" w:eastAsia="Arial" w:hAnsi="Arial"/>
                <w:sz w:val="24"/>
                <w:szCs w:val="24"/>
                <w:color w:val="auto"/>
                <w:w w:val="94"/>
                <w:vertAlign w:val="superscript"/>
              </w:rPr>
              <w:t>(8)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8A9AC"/>
            </w:tcBorders>
          </w:tcPr>
          <w:p>
            <w:pPr>
              <w:jc w:val="right"/>
              <w:ind w:right="106"/>
              <w:spacing w:after="0" w:line="207" w:lineRule="exact"/>
              <w:rPr>
                <w:sz w:val="20"/>
                <w:szCs w:val="20"/>
                <w:color w:val="auto"/>
              </w:rPr>
            </w:pPr>
            <w:r>
              <w:rPr>
                <w:rFonts w:ascii="Arial" w:cs="Arial" w:eastAsia="Arial" w:hAnsi="Arial"/>
                <w:sz w:val="15"/>
                <w:szCs w:val="15"/>
                <w:color w:val="auto"/>
              </w:rPr>
              <w:t>3,566,310</w:t>
            </w:r>
            <w:r>
              <w:rPr>
                <w:rFonts w:ascii="Arial" w:cs="Arial" w:eastAsia="Arial" w:hAnsi="Arial"/>
                <w:sz w:val="24"/>
                <w:szCs w:val="24"/>
                <w:color w:val="auto"/>
                <w:vertAlign w:val="superscript"/>
              </w:rPr>
              <w:t>(10)</w:t>
            </w:r>
          </w:p>
        </w:tc>
        <w:tc>
          <w:tcPr>
            <w:tcW w:w="32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7,149,330</w:t>
            </w:r>
          </w:p>
        </w:tc>
        <w:tc>
          <w:tcPr>
            <w:tcW w:w="0" w:type="dxa"/>
            <w:vAlign w:val="bottom"/>
          </w:tcPr>
          <w:p>
            <w:pPr>
              <w:spacing w:after="0"/>
              <w:rPr>
                <w:sz w:val="1"/>
                <w:szCs w:val="1"/>
                <w:color w:val="auto"/>
              </w:rPr>
            </w:pPr>
          </w:p>
        </w:tc>
      </w:tr>
      <w:tr>
        <w:trPr>
          <w:trHeight w:val="207"/>
        </w:trPr>
        <w:tc>
          <w:tcPr>
            <w:tcW w:w="374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Daniel N. Wesson</w:t>
            </w:r>
          </w:p>
        </w:tc>
        <w:tc>
          <w:tcPr>
            <w:tcW w:w="60" w:type="dxa"/>
            <w:vAlign w:val="bottom"/>
            <w:tcBorders>
              <w:bottom w:val="single" w:sz="8" w:color="A8A9AC"/>
            </w:tcBorders>
          </w:tcPr>
          <w:p>
            <w:pPr>
              <w:spacing w:after="0"/>
              <w:rPr>
                <w:sz w:val="18"/>
                <w:szCs w:val="18"/>
                <w:color w:val="auto"/>
              </w:rPr>
            </w:pPr>
          </w:p>
        </w:tc>
        <w:tc>
          <w:tcPr>
            <w:tcW w:w="80" w:type="dxa"/>
            <w:vAlign w:val="bottom"/>
            <w:tcBorders>
              <w:bottom w:val="single" w:sz="8" w:color="A8A9AC"/>
            </w:tcBorders>
          </w:tcPr>
          <w:p>
            <w:pPr>
              <w:spacing w:after="0"/>
              <w:rPr>
                <w:sz w:val="18"/>
                <w:szCs w:val="18"/>
                <w:color w:val="auto"/>
              </w:rPr>
            </w:pPr>
          </w:p>
        </w:tc>
        <w:tc>
          <w:tcPr>
            <w:tcW w:w="60" w:type="dxa"/>
            <w:vAlign w:val="bottom"/>
            <w:tcBorders>
              <w:bottom w:val="single" w:sz="8" w:color="A8A9AC"/>
            </w:tcBorders>
          </w:tcPr>
          <w:p>
            <w:pPr>
              <w:spacing w:after="0"/>
              <w:rPr>
                <w:sz w:val="18"/>
                <w:szCs w:val="18"/>
                <w:color w:val="auto"/>
              </w:rPr>
            </w:pPr>
          </w:p>
        </w:tc>
        <w:tc>
          <w:tcPr>
            <w:tcW w:w="1180" w:type="dxa"/>
            <w:vAlign w:val="bottom"/>
            <w:tcBorders>
              <w:bottom w:val="single" w:sz="8" w:color="A8A9AC"/>
            </w:tcBorders>
          </w:tcPr>
          <w:p>
            <w:pPr>
              <w:spacing w:after="0"/>
              <w:rPr>
                <w:sz w:val="18"/>
                <w:szCs w:val="18"/>
                <w:color w:val="auto"/>
              </w:rPr>
            </w:pPr>
          </w:p>
        </w:tc>
        <w:tc>
          <w:tcPr>
            <w:tcW w:w="40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8A9AC"/>
            </w:tcBorders>
          </w:tcPr>
          <w:p>
            <w:pPr>
              <w:jc w:val="right"/>
              <w:ind w:right="66"/>
              <w:spacing w:after="0" w:line="207" w:lineRule="exact"/>
              <w:rPr>
                <w:sz w:val="20"/>
                <w:szCs w:val="20"/>
                <w:color w:val="auto"/>
              </w:rPr>
            </w:pPr>
            <w:r>
              <w:rPr>
                <w:rFonts w:ascii="Arial" w:cs="Arial" w:eastAsia="Arial" w:hAnsi="Arial"/>
                <w:sz w:val="15"/>
                <w:szCs w:val="15"/>
                <w:color w:val="auto"/>
              </w:rPr>
              <w:t>4,782,500</w:t>
            </w:r>
            <w:r>
              <w:rPr>
                <w:rFonts w:ascii="Arial" w:cs="Arial" w:eastAsia="Arial" w:hAnsi="Arial"/>
                <w:sz w:val="24"/>
                <w:szCs w:val="24"/>
                <w:color w:val="auto"/>
                <w:vertAlign w:val="superscript"/>
              </w:rPr>
              <w:t>(14)</w:t>
            </w:r>
          </w:p>
        </w:tc>
        <w:tc>
          <w:tcPr>
            <w:tcW w:w="480" w:type="dxa"/>
            <w:vAlign w:val="bottom"/>
            <w:tcBorders>
              <w:bottom w:val="single" w:sz="8" w:color="A8A9AC"/>
            </w:tcBorders>
          </w:tcPr>
          <w:p>
            <w:pPr>
              <w:ind w:left="1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9AC"/>
            </w:tcBorders>
          </w:tcPr>
          <w:p>
            <w:pPr>
              <w:jc w:val="center"/>
              <w:ind w:left="86"/>
              <w:spacing w:after="0" w:line="207" w:lineRule="exact"/>
              <w:rPr>
                <w:sz w:val="20"/>
                <w:szCs w:val="20"/>
                <w:color w:val="auto"/>
              </w:rPr>
            </w:pPr>
            <w:r>
              <w:rPr>
                <w:rFonts w:ascii="Arial" w:cs="Arial" w:eastAsia="Arial" w:hAnsi="Arial"/>
                <w:sz w:val="15"/>
                <w:szCs w:val="15"/>
                <w:color w:val="auto"/>
                <w:w w:val="94"/>
              </w:rPr>
              <w:t>44,434</w:t>
            </w:r>
            <w:r>
              <w:rPr>
                <w:rFonts w:ascii="Arial" w:cs="Arial" w:eastAsia="Arial" w:hAnsi="Arial"/>
                <w:sz w:val="24"/>
                <w:szCs w:val="24"/>
                <w:color w:val="auto"/>
                <w:w w:val="94"/>
                <w:vertAlign w:val="superscript"/>
              </w:rPr>
              <w:t>(8)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8A9AC"/>
            </w:tcBorders>
          </w:tcPr>
          <w:p>
            <w:pPr>
              <w:jc w:val="right"/>
              <w:ind w:right="106"/>
              <w:spacing w:after="0" w:line="207" w:lineRule="exact"/>
              <w:rPr>
                <w:sz w:val="20"/>
                <w:szCs w:val="20"/>
                <w:color w:val="auto"/>
              </w:rPr>
            </w:pPr>
            <w:r>
              <w:rPr>
                <w:rFonts w:ascii="Arial" w:cs="Arial" w:eastAsia="Arial" w:hAnsi="Arial"/>
                <w:sz w:val="15"/>
                <w:szCs w:val="15"/>
                <w:color w:val="auto"/>
              </w:rPr>
              <w:t>8,221,262</w:t>
            </w:r>
            <w:r>
              <w:rPr>
                <w:rFonts w:ascii="Arial" w:cs="Arial" w:eastAsia="Arial" w:hAnsi="Arial"/>
                <w:sz w:val="24"/>
                <w:szCs w:val="24"/>
                <w:color w:val="auto"/>
                <w:vertAlign w:val="superscript"/>
              </w:rPr>
              <w:t>(10)</w:t>
            </w:r>
          </w:p>
        </w:tc>
        <w:tc>
          <w:tcPr>
            <w:tcW w:w="32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13,048,196</w:t>
            </w:r>
          </w:p>
        </w:tc>
        <w:tc>
          <w:tcPr>
            <w:tcW w:w="0" w:type="dxa"/>
            <w:vAlign w:val="bottom"/>
          </w:tcPr>
          <w:p>
            <w:pPr>
              <w:spacing w:after="0"/>
              <w:rPr>
                <w:sz w:val="1"/>
                <w:szCs w:val="1"/>
                <w:color w:val="auto"/>
              </w:rPr>
            </w:pPr>
          </w:p>
        </w:tc>
      </w:tr>
      <w:tr>
        <w:trPr>
          <w:trHeight w:val="207"/>
        </w:trPr>
        <w:tc>
          <w:tcPr>
            <w:tcW w:w="374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Matt Zmigrosky</w:t>
            </w:r>
          </w:p>
        </w:tc>
        <w:tc>
          <w:tcPr>
            <w:tcW w:w="60" w:type="dxa"/>
            <w:vAlign w:val="bottom"/>
            <w:tcBorders>
              <w:bottom w:val="single" w:sz="8" w:color="A26F2A"/>
            </w:tcBorders>
          </w:tcPr>
          <w:p>
            <w:pPr>
              <w:spacing w:after="0"/>
              <w:rPr>
                <w:sz w:val="18"/>
                <w:szCs w:val="18"/>
                <w:color w:val="auto"/>
              </w:rPr>
            </w:pPr>
          </w:p>
        </w:tc>
        <w:tc>
          <w:tcPr>
            <w:tcW w:w="80" w:type="dxa"/>
            <w:vAlign w:val="bottom"/>
            <w:tcBorders>
              <w:bottom w:val="single" w:sz="8" w:color="A26F2A"/>
            </w:tcBorders>
          </w:tcPr>
          <w:p>
            <w:pPr>
              <w:spacing w:after="0"/>
              <w:rPr>
                <w:sz w:val="18"/>
                <w:szCs w:val="18"/>
                <w:color w:val="auto"/>
              </w:rPr>
            </w:pPr>
          </w:p>
        </w:tc>
        <w:tc>
          <w:tcPr>
            <w:tcW w:w="60" w:type="dxa"/>
            <w:vAlign w:val="bottom"/>
            <w:tcBorders>
              <w:bottom w:val="single" w:sz="8" w:color="A26F2A"/>
            </w:tcBorders>
          </w:tcPr>
          <w:p>
            <w:pPr>
              <w:spacing w:after="0"/>
              <w:rPr>
                <w:sz w:val="18"/>
                <w:szCs w:val="18"/>
                <w:color w:val="auto"/>
              </w:rPr>
            </w:pPr>
          </w:p>
        </w:tc>
        <w:tc>
          <w:tcPr>
            <w:tcW w:w="1180" w:type="dxa"/>
            <w:vAlign w:val="bottom"/>
            <w:tcBorders>
              <w:bottom w:val="single" w:sz="8" w:color="A26F2A"/>
            </w:tcBorders>
          </w:tcPr>
          <w:p>
            <w:pPr>
              <w:spacing w:after="0"/>
              <w:rPr>
                <w:sz w:val="18"/>
                <w:szCs w:val="18"/>
                <w:color w:val="auto"/>
              </w:rPr>
            </w:pPr>
          </w:p>
        </w:tc>
        <w:tc>
          <w:tcPr>
            <w:tcW w:w="400" w:type="dxa"/>
            <w:vAlign w:val="bottom"/>
            <w:tcBorders>
              <w:bottom w:val="single" w:sz="8" w:color="A26F2A"/>
            </w:tcBorders>
          </w:tcPr>
          <w:p>
            <w:pPr>
              <w:jc w:val="right"/>
              <w:ind w:right="8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26F2A"/>
            </w:tcBorders>
          </w:tcPr>
          <w:p>
            <w:pPr>
              <w:jc w:val="right"/>
              <w:ind w:right="66"/>
              <w:spacing w:after="0" w:line="207" w:lineRule="exact"/>
              <w:rPr>
                <w:sz w:val="20"/>
                <w:szCs w:val="20"/>
                <w:color w:val="auto"/>
              </w:rPr>
            </w:pPr>
            <w:r>
              <w:rPr>
                <w:rFonts w:ascii="Arial" w:cs="Arial" w:eastAsia="Arial" w:hAnsi="Arial"/>
                <w:sz w:val="15"/>
                <w:szCs w:val="15"/>
                <w:color w:val="auto"/>
              </w:rPr>
              <w:t>4,448,500</w:t>
            </w:r>
            <w:r>
              <w:rPr>
                <w:rFonts w:ascii="Arial" w:cs="Arial" w:eastAsia="Arial" w:hAnsi="Arial"/>
                <w:sz w:val="24"/>
                <w:szCs w:val="24"/>
                <w:color w:val="auto"/>
                <w:vertAlign w:val="superscript"/>
              </w:rPr>
              <w:t>(14)</w:t>
            </w:r>
          </w:p>
        </w:tc>
        <w:tc>
          <w:tcPr>
            <w:tcW w:w="480" w:type="dxa"/>
            <w:vAlign w:val="bottom"/>
            <w:tcBorders>
              <w:bottom w:val="single" w:sz="8" w:color="A26F2A"/>
            </w:tcBorders>
          </w:tcPr>
          <w:p>
            <w:pPr>
              <w:ind w:left="1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26F2A"/>
            </w:tcBorders>
          </w:tcPr>
          <w:p>
            <w:pPr>
              <w:jc w:val="center"/>
              <w:ind w:left="86"/>
              <w:spacing w:after="0" w:line="207" w:lineRule="exact"/>
              <w:rPr>
                <w:sz w:val="20"/>
                <w:szCs w:val="20"/>
                <w:color w:val="auto"/>
              </w:rPr>
            </w:pPr>
            <w:r>
              <w:rPr>
                <w:rFonts w:ascii="Arial" w:cs="Arial" w:eastAsia="Arial" w:hAnsi="Arial"/>
                <w:sz w:val="15"/>
                <w:szCs w:val="15"/>
                <w:color w:val="auto"/>
                <w:w w:val="94"/>
              </w:rPr>
              <w:t>44,434</w:t>
            </w:r>
            <w:r>
              <w:rPr>
                <w:rFonts w:ascii="Arial" w:cs="Arial" w:eastAsia="Arial" w:hAnsi="Arial"/>
                <w:sz w:val="24"/>
                <w:szCs w:val="24"/>
                <w:color w:val="auto"/>
                <w:w w:val="94"/>
                <w:vertAlign w:val="superscript"/>
              </w:rPr>
              <w:t>(8)</w:t>
            </w:r>
          </w:p>
        </w:tc>
        <w:tc>
          <w:tcPr>
            <w:tcW w:w="24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26F2A"/>
            </w:tcBorders>
          </w:tcPr>
          <w:p>
            <w:pPr>
              <w:jc w:val="right"/>
              <w:ind w:right="106"/>
              <w:spacing w:after="0" w:line="207" w:lineRule="exact"/>
              <w:rPr>
                <w:sz w:val="20"/>
                <w:szCs w:val="20"/>
                <w:color w:val="auto"/>
              </w:rPr>
            </w:pPr>
            <w:r>
              <w:rPr>
                <w:rFonts w:ascii="Arial" w:cs="Arial" w:eastAsia="Arial" w:hAnsi="Arial"/>
                <w:sz w:val="15"/>
                <w:szCs w:val="15"/>
                <w:color w:val="auto"/>
              </w:rPr>
              <w:t>5,877,016</w:t>
            </w:r>
            <w:r>
              <w:rPr>
                <w:rFonts w:ascii="Arial" w:cs="Arial" w:eastAsia="Arial" w:hAnsi="Arial"/>
                <w:sz w:val="24"/>
                <w:szCs w:val="24"/>
                <w:color w:val="auto"/>
                <w:vertAlign w:val="superscript"/>
              </w:rPr>
              <w:t>(10)</w:t>
            </w:r>
          </w:p>
        </w:tc>
        <w:tc>
          <w:tcPr>
            <w:tcW w:w="320" w:type="dxa"/>
            <w:vAlign w:val="bottom"/>
            <w:tcBorders>
              <w:bottom w:val="single" w:sz="8" w:color="A26F2A"/>
            </w:tcBorders>
          </w:tcPr>
          <w:p>
            <w:pPr>
              <w:jc w:val="right"/>
              <w:ind w:right="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26F2A"/>
            </w:tcBorders>
          </w:tcPr>
          <w:p>
            <w:pPr>
              <w:jc w:val="right"/>
              <w:ind w:right="24"/>
              <w:spacing w:after="0"/>
              <w:rPr>
                <w:sz w:val="20"/>
                <w:szCs w:val="20"/>
                <w:color w:val="auto"/>
              </w:rPr>
            </w:pPr>
            <w:r>
              <w:rPr>
                <w:rFonts w:ascii="Arial" w:cs="Arial" w:eastAsia="Arial" w:hAnsi="Arial"/>
                <w:sz w:val="15"/>
                <w:szCs w:val="15"/>
                <w:color w:val="auto"/>
              </w:rPr>
              <w:t>10,369,950</w:t>
            </w:r>
          </w:p>
        </w:tc>
        <w:tc>
          <w:tcPr>
            <w:tcW w:w="0" w:type="dxa"/>
            <w:vAlign w:val="bottom"/>
          </w:tcPr>
          <w:p>
            <w:pPr>
              <w:spacing w:after="0"/>
              <w:rPr>
                <w:sz w:val="1"/>
                <w:szCs w:val="1"/>
                <w:color w:val="auto"/>
              </w:rPr>
            </w:pPr>
          </w:p>
        </w:tc>
      </w:tr>
      <w:tr>
        <w:trPr>
          <w:trHeight w:val="384"/>
        </w:trPr>
        <w:tc>
          <w:tcPr>
            <w:tcW w:w="3740" w:type="dxa"/>
            <w:vAlign w:val="bottom"/>
          </w:tcPr>
          <w:p>
            <w:pPr>
              <w:spacing w:after="0"/>
              <w:rPr>
                <w:sz w:val="24"/>
                <w:szCs w:val="24"/>
                <w:color w:val="auto"/>
              </w:rPr>
            </w:pPr>
          </w:p>
        </w:tc>
        <w:tc>
          <w:tcPr>
            <w:tcW w:w="60" w:type="dxa"/>
            <w:vAlign w:val="bottom"/>
            <w:tcBorders>
              <w:bottom w:val="single" w:sz="8" w:color="A26F2A"/>
            </w:tcBorders>
          </w:tcPr>
          <w:p>
            <w:pPr>
              <w:spacing w:after="0"/>
              <w:rPr>
                <w:sz w:val="24"/>
                <w:szCs w:val="24"/>
                <w:color w:val="auto"/>
              </w:rPr>
            </w:pPr>
          </w:p>
        </w:tc>
        <w:tc>
          <w:tcPr>
            <w:tcW w:w="80" w:type="dxa"/>
            <w:vAlign w:val="bottom"/>
            <w:tcBorders>
              <w:bottom w:val="single" w:sz="8" w:color="A26F2A"/>
            </w:tcBorders>
          </w:tcPr>
          <w:p>
            <w:pPr>
              <w:spacing w:after="0"/>
              <w:rPr>
                <w:sz w:val="24"/>
                <w:szCs w:val="24"/>
                <w:color w:val="auto"/>
              </w:rPr>
            </w:pPr>
          </w:p>
        </w:tc>
        <w:tc>
          <w:tcPr>
            <w:tcW w:w="60" w:type="dxa"/>
            <w:vAlign w:val="bottom"/>
            <w:tcBorders>
              <w:bottom w:val="single" w:sz="8" w:color="A26F2A"/>
            </w:tcBorders>
          </w:tcPr>
          <w:p>
            <w:pPr>
              <w:spacing w:after="0"/>
              <w:rPr>
                <w:sz w:val="24"/>
                <w:szCs w:val="24"/>
                <w:color w:val="auto"/>
              </w:rPr>
            </w:pPr>
          </w:p>
        </w:tc>
        <w:tc>
          <w:tcPr>
            <w:tcW w:w="1180" w:type="dxa"/>
            <w:vAlign w:val="bottom"/>
            <w:tcBorders>
              <w:bottom w:val="single" w:sz="8" w:color="A26F2A"/>
            </w:tcBorders>
          </w:tcPr>
          <w:p>
            <w:pPr>
              <w:spacing w:after="0"/>
              <w:rPr>
                <w:sz w:val="24"/>
                <w:szCs w:val="24"/>
                <w:color w:val="auto"/>
              </w:rPr>
            </w:pPr>
          </w:p>
        </w:tc>
        <w:tc>
          <w:tcPr>
            <w:tcW w:w="400" w:type="dxa"/>
            <w:vAlign w:val="bottom"/>
            <w:tcBorders>
              <w:bottom w:val="single" w:sz="8" w:color="A26F2A"/>
            </w:tcBorders>
          </w:tcPr>
          <w:p>
            <w:pPr>
              <w:spacing w:after="0"/>
              <w:rPr>
                <w:sz w:val="24"/>
                <w:szCs w:val="24"/>
                <w:color w:val="auto"/>
              </w:rPr>
            </w:pPr>
          </w:p>
        </w:tc>
        <w:tc>
          <w:tcPr>
            <w:tcW w:w="4440" w:type="dxa"/>
            <w:vAlign w:val="bottom"/>
            <w:tcBorders>
              <w:bottom w:val="single" w:sz="8" w:color="A26F2A"/>
            </w:tcBorders>
            <w:gridSpan w:val="5"/>
          </w:tcPr>
          <w:p>
            <w:pPr>
              <w:jc w:val="right"/>
              <w:ind w:right="886"/>
              <w:spacing w:after="0"/>
              <w:rPr>
                <w:sz w:val="20"/>
                <w:szCs w:val="20"/>
                <w:color w:val="auto"/>
              </w:rPr>
            </w:pPr>
            <w:r>
              <w:rPr>
                <w:rFonts w:ascii="Arial" w:cs="Arial" w:eastAsia="Arial" w:hAnsi="Arial"/>
                <w:sz w:val="15"/>
                <w:szCs w:val="15"/>
                <w:b w:val="1"/>
                <w:bCs w:val="1"/>
                <w:color w:val="auto"/>
              </w:rPr>
              <w:t>Termination upon Death or Disability</w:t>
            </w:r>
            <w:r>
              <w:rPr>
                <w:rFonts w:ascii="Arial" w:cs="Arial" w:eastAsia="Arial" w:hAnsi="Arial"/>
                <w:sz w:val="25"/>
                <w:szCs w:val="25"/>
                <w:b w:val="1"/>
                <w:bCs w:val="1"/>
                <w:color w:val="auto"/>
                <w:vertAlign w:val="superscript"/>
              </w:rPr>
              <w:t>(1)(15)</w:t>
            </w:r>
          </w:p>
        </w:tc>
        <w:tc>
          <w:tcPr>
            <w:tcW w:w="320" w:type="dxa"/>
            <w:vAlign w:val="bottom"/>
            <w:tcBorders>
              <w:bottom w:val="single" w:sz="8" w:color="A26F2A"/>
            </w:tcBorders>
          </w:tcPr>
          <w:p>
            <w:pPr>
              <w:spacing w:after="0"/>
              <w:rPr>
                <w:sz w:val="24"/>
                <w:szCs w:val="24"/>
                <w:color w:val="auto"/>
              </w:rPr>
            </w:pPr>
          </w:p>
        </w:tc>
        <w:tc>
          <w:tcPr>
            <w:tcW w:w="960" w:type="dxa"/>
            <w:vAlign w:val="bottom"/>
            <w:tcBorders>
              <w:bottom w:val="single" w:sz="8" w:color="A26F2A"/>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40" w:type="dxa"/>
            <w:vAlign w:val="bottom"/>
            <w:gridSpan w:val="2"/>
          </w:tcPr>
          <w:p>
            <w:pPr>
              <w:jc w:val="right"/>
              <w:ind w:right="226"/>
              <w:spacing w:after="0" w:line="169" w:lineRule="exact"/>
              <w:rPr>
                <w:sz w:val="20"/>
                <w:szCs w:val="20"/>
                <w:color w:val="auto"/>
              </w:rPr>
            </w:pPr>
            <w:r>
              <w:rPr>
                <w:rFonts w:ascii="Arial" w:cs="Arial" w:eastAsia="Arial" w:hAnsi="Arial"/>
                <w:sz w:val="15"/>
                <w:szCs w:val="15"/>
                <w:b w:val="1"/>
                <w:bCs w:val="1"/>
                <w:color w:val="auto"/>
              </w:rPr>
              <w:t>Annual Incentive</w:t>
            </w:r>
          </w:p>
        </w:tc>
        <w:tc>
          <w:tcPr>
            <w:tcW w:w="480" w:type="dxa"/>
            <w:vAlign w:val="bottom"/>
          </w:tcPr>
          <w:p>
            <w:pPr>
              <w:spacing w:after="0"/>
              <w:rPr>
                <w:sz w:val="14"/>
                <w:szCs w:val="14"/>
                <w:color w:val="auto"/>
              </w:rPr>
            </w:pPr>
          </w:p>
        </w:tc>
        <w:tc>
          <w:tcPr>
            <w:tcW w:w="1100" w:type="dxa"/>
            <w:vAlign w:val="bottom"/>
          </w:tcPr>
          <w:p>
            <w:pPr>
              <w:ind w:left="200"/>
              <w:spacing w:after="0" w:line="169" w:lineRule="exact"/>
              <w:rPr>
                <w:sz w:val="20"/>
                <w:szCs w:val="20"/>
                <w:color w:val="auto"/>
              </w:rPr>
            </w:pPr>
            <w:r>
              <w:rPr>
                <w:rFonts w:ascii="Arial" w:cs="Arial" w:eastAsia="Arial" w:hAnsi="Arial"/>
                <w:sz w:val="15"/>
                <w:szCs w:val="15"/>
                <w:b w:val="1"/>
                <w:bCs w:val="1"/>
                <w:color w:val="auto"/>
              </w:rPr>
              <w:t>COBRA</w:t>
            </w:r>
          </w:p>
        </w:tc>
        <w:tc>
          <w:tcPr>
            <w:tcW w:w="240" w:type="dxa"/>
            <w:vAlign w:val="bottom"/>
          </w:tcPr>
          <w:p>
            <w:pPr>
              <w:spacing w:after="0"/>
              <w:rPr>
                <w:sz w:val="14"/>
                <w:szCs w:val="14"/>
                <w:color w:val="auto"/>
              </w:rPr>
            </w:pPr>
          </w:p>
        </w:tc>
        <w:tc>
          <w:tcPr>
            <w:tcW w:w="1380" w:type="dxa"/>
            <w:vAlign w:val="bottom"/>
          </w:tcPr>
          <w:p>
            <w:pPr>
              <w:jc w:val="right"/>
              <w:ind w:right="306"/>
              <w:spacing w:after="0" w:line="169" w:lineRule="exact"/>
              <w:rPr>
                <w:sz w:val="20"/>
                <w:szCs w:val="20"/>
                <w:color w:val="auto"/>
              </w:rPr>
            </w:pPr>
            <w:r>
              <w:rPr>
                <w:rFonts w:ascii="Arial" w:cs="Arial" w:eastAsia="Arial" w:hAnsi="Arial"/>
                <w:sz w:val="15"/>
                <w:szCs w:val="15"/>
                <w:b w:val="1"/>
                <w:bCs w:val="1"/>
                <w:color w:val="auto"/>
              </w:rPr>
              <w:t>Restricted</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74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Name</w:t>
            </w:r>
          </w:p>
        </w:tc>
        <w:tc>
          <w:tcPr>
            <w:tcW w:w="60" w:type="dxa"/>
            <w:vAlign w:val="bottom"/>
            <w:tcBorders>
              <w:bottom w:val="single" w:sz="8" w:color="A26F2A"/>
            </w:tcBorders>
          </w:tcPr>
          <w:p>
            <w:pPr>
              <w:spacing w:after="0"/>
              <w:rPr>
                <w:sz w:val="19"/>
                <w:szCs w:val="19"/>
                <w:color w:val="auto"/>
              </w:rPr>
            </w:pPr>
          </w:p>
        </w:tc>
        <w:tc>
          <w:tcPr>
            <w:tcW w:w="80" w:type="dxa"/>
            <w:vAlign w:val="bottom"/>
            <w:tcBorders>
              <w:bottom w:val="single" w:sz="8" w:color="A26F2A"/>
            </w:tcBorders>
          </w:tcPr>
          <w:p>
            <w:pPr>
              <w:spacing w:after="0"/>
              <w:rPr>
                <w:sz w:val="19"/>
                <w:szCs w:val="19"/>
                <w:color w:val="auto"/>
              </w:rPr>
            </w:pPr>
          </w:p>
        </w:tc>
        <w:tc>
          <w:tcPr>
            <w:tcW w:w="60" w:type="dxa"/>
            <w:vAlign w:val="bottom"/>
            <w:tcBorders>
              <w:bottom w:val="single" w:sz="8" w:color="A26F2A"/>
            </w:tcBorders>
          </w:tcPr>
          <w:p>
            <w:pPr>
              <w:spacing w:after="0"/>
              <w:rPr>
                <w:sz w:val="19"/>
                <w:szCs w:val="19"/>
                <w:color w:val="auto"/>
              </w:rPr>
            </w:pPr>
          </w:p>
        </w:tc>
        <w:tc>
          <w:tcPr>
            <w:tcW w:w="1180" w:type="dxa"/>
            <w:vAlign w:val="bottom"/>
            <w:tcBorders>
              <w:bottom w:val="single" w:sz="8" w:color="A26F2A"/>
            </w:tcBorders>
          </w:tcPr>
          <w:p>
            <w:pPr>
              <w:jc w:val="right"/>
              <w:ind w:right="206"/>
              <w:spacing w:after="0"/>
              <w:rPr>
                <w:sz w:val="20"/>
                <w:szCs w:val="20"/>
                <w:color w:val="auto"/>
              </w:rPr>
            </w:pPr>
            <w:r>
              <w:rPr>
                <w:rFonts w:ascii="Arial" w:cs="Arial" w:eastAsia="Arial" w:hAnsi="Arial"/>
                <w:sz w:val="15"/>
                <w:szCs w:val="15"/>
                <w:b w:val="1"/>
                <w:bCs w:val="1"/>
                <w:color w:val="auto"/>
              </w:rPr>
              <w:t>Base Salary</w:t>
            </w:r>
          </w:p>
        </w:tc>
        <w:tc>
          <w:tcPr>
            <w:tcW w:w="400" w:type="dxa"/>
            <w:vAlign w:val="bottom"/>
            <w:tcBorders>
              <w:bottom w:val="single" w:sz="8" w:color="A26F2A"/>
            </w:tcBorders>
          </w:tcPr>
          <w:p>
            <w:pPr>
              <w:spacing w:after="0"/>
              <w:rPr>
                <w:sz w:val="19"/>
                <w:szCs w:val="19"/>
                <w:color w:val="auto"/>
              </w:rPr>
            </w:pPr>
          </w:p>
        </w:tc>
        <w:tc>
          <w:tcPr>
            <w:tcW w:w="1240" w:type="dxa"/>
            <w:vAlign w:val="bottom"/>
            <w:tcBorders>
              <w:bottom w:val="single" w:sz="8" w:color="A26F2A"/>
            </w:tcBorders>
          </w:tcPr>
          <w:p>
            <w:pPr>
              <w:jc w:val="right"/>
              <w:ind w:right="226"/>
              <w:spacing w:after="0"/>
              <w:rPr>
                <w:sz w:val="20"/>
                <w:szCs w:val="20"/>
                <w:color w:val="auto"/>
              </w:rPr>
            </w:pPr>
            <w:r>
              <w:rPr>
                <w:rFonts w:ascii="Arial" w:cs="Arial" w:eastAsia="Arial" w:hAnsi="Arial"/>
                <w:sz w:val="15"/>
                <w:szCs w:val="15"/>
                <w:b w:val="1"/>
                <w:bCs w:val="1"/>
                <w:color w:val="auto"/>
              </w:rPr>
              <w:t>Bonus</w:t>
            </w:r>
          </w:p>
        </w:tc>
        <w:tc>
          <w:tcPr>
            <w:tcW w:w="1580" w:type="dxa"/>
            <w:vAlign w:val="bottom"/>
            <w:tcBorders>
              <w:bottom w:val="single" w:sz="8" w:color="A26F2A"/>
            </w:tcBorders>
            <w:gridSpan w:val="2"/>
          </w:tcPr>
          <w:p>
            <w:pPr>
              <w:ind w:left="100"/>
              <w:spacing w:after="0"/>
              <w:rPr>
                <w:sz w:val="20"/>
                <w:szCs w:val="20"/>
                <w:color w:val="auto"/>
              </w:rPr>
            </w:pPr>
            <w:r>
              <w:rPr>
                <w:rFonts w:ascii="Arial" w:cs="Arial" w:eastAsia="Arial" w:hAnsi="Arial"/>
                <w:sz w:val="15"/>
                <w:szCs w:val="15"/>
                <w:b w:val="1"/>
                <w:bCs w:val="1"/>
                <w:color w:val="auto"/>
              </w:rPr>
              <w:t>Reimbursement</w:t>
            </w:r>
          </w:p>
        </w:tc>
        <w:tc>
          <w:tcPr>
            <w:tcW w:w="240" w:type="dxa"/>
            <w:vAlign w:val="bottom"/>
            <w:tcBorders>
              <w:bottom w:val="single" w:sz="8" w:color="A26F2A"/>
            </w:tcBorders>
          </w:tcPr>
          <w:p>
            <w:pPr>
              <w:spacing w:after="0"/>
              <w:rPr>
                <w:sz w:val="19"/>
                <w:szCs w:val="19"/>
                <w:color w:val="auto"/>
              </w:rPr>
            </w:pPr>
          </w:p>
        </w:tc>
        <w:tc>
          <w:tcPr>
            <w:tcW w:w="1380" w:type="dxa"/>
            <w:vAlign w:val="bottom"/>
            <w:tcBorders>
              <w:bottom w:val="single" w:sz="8" w:color="A26F2A"/>
            </w:tcBorders>
          </w:tcPr>
          <w:p>
            <w:pPr>
              <w:jc w:val="right"/>
              <w:ind w:right="306"/>
              <w:spacing w:after="0" w:line="214" w:lineRule="exact"/>
              <w:rPr>
                <w:sz w:val="20"/>
                <w:szCs w:val="20"/>
                <w:color w:val="auto"/>
              </w:rPr>
            </w:pPr>
            <w:r>
              <w:rPr>
                <w:rFonts w:ascii="Arial" w:cs="Arial" w:eastAsia="Arial" w:hAnsi="Arial"/>
                <w:sz w:val="15"/>
                <w:szCs w:val="15"/>
                <w:b w:val="1"/>
                <w:bCs w:val="1"/>
                <w:color w:val="auto"/>
                <w:w w:val="95"/>
              </w:rPr>
              <w:t>Stock Units</w:t>
            </w:r>
            <w:r>
              <w:rPr>
                <w:rFonts w:ascii="Arial" w:cs="Arial" w:eastAsia="Arial" w:hAnsi="Arial"/>
                <w:sz w:val="24"/>
                <w:szCs w:val="24"/>
                <w:b w:val="1"/>
                <w:bCs w:val="1"/>
                <w:color w:val="auto"/>
                <w:w w:val="95"/>
                <w:vertAlign w:val="superscript"/>
              </w:rPr>
              <w:t>(3)</w:t>
            </w:r>
          </w:p>
        </w:tc>
        <w:tc>
          <w:tcPr>
            <w:tcW w:w="320" w:type="dxa"/>
            <w:vAlign w:val="bottom"/>
            <w:tcBorders>
              <w:bottom w:val="single" w:sz="8" w:color="A26F2A"/>
            </w:tcBorders>
          </w:tcPr>
          <w:p>
            <w:pPr>
              <w:spacing w:after="0"/>
              <w:rPr>
                <w:sz w:val="19"/>
                <w:szCs w:val="19"/>
                <w:color w:val="auto"/>
              </w:rPr>
            </w:pPr>
          </w:p>
        </w:tc>
        <w:tc>
          <w:tcPr>
            <w:tcW w:w="960" w:type="dxa"/>
            <w:vAlign w:val="bottom"/>
            <w:tcBorders>
              <w:bottom w:val="single" w:sz="8" w:color="A26F2A"/>
            </w:tcBorders>
          </w:tcPr>
          <w:p>
            <w:pPr>
              <w:jc w:val="right"/>
              <w:ind w:right="2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5"/>
        </w:trPr>
        <w:tc>
          <w:tcPr>
            <w:tcW w:w="374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Travis D. Stice</w:t>
            </w:r>
          </w:p>
        </w:tc>
        <w:tc>
          <w:tcPr>
            <w:tcW w:w="140" w:type="dxa"/>
            <w:vAlign w:val="bottom"/>
            <w:tcBorders>
              <w:bottom w:val="single" w:sz="8" w:color="A8A9AC"/>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8A9AC"/>
            </w:tcBorders>
          </w:tcPr>
          <w:p>
            <w:pPr>
              <w:spacing w:after="0"/>
              <w:rPr>
                <w:sz w:val="18"/>
                <w:szCs w:val="18"/>
                <w:color w:val="auto"/>
              </w:rPr>
            </w:pPr>
          </w:p>
        </w:tc>
        <w:tc>
          <w:tcPr>
            <w:tcW w:w="1180" w:type="dxa"/>
            <w:vAlign w:val="bottom"/>
            <w:tcBorders>
              <w:bottom w:val="single" w:sz="8" w:color="A8A9AC"/>
            </w:tcBorders>
          </w:tcPr>
          <w:p>
            <w:pPr>
              <w:jc w:val="right"/>
              <w:ind w:right="66"/>
              <w:spacing w:after="0" w:line="214" w:lineRule="exact"/>
              <w:rPr>
                <w:sz w:val="20"/>
                <w:szCs w:val="20"/>
                <w:color w:val="auto"/>
              </w:rPr>
            </w:pPr>
            <w:r>
              <w:rPr>
                <w:rFonts w:ascii="Arial" w:cs="Arial" w:eastAsia="Arial" w:hAnsi="Arial"/>
                <w:sz w:val="15"/>
                <w:szCs w:val="15"/>
                <w:color w:val="auto"/>
              </w:rPr>
              <w:t>1,800,000</w:t>
            </w:r>
            <w:r>
              <w:rPr>
                <w:rFonts w:ascii="Arial" w:cs="Arial" w:eastAsia="Arial" w:hAnsi="Arial"/>
                <w:sz w:val="24"/>
                <w:szCs w:val="24"/>
                <w:color w:val="auto"/>
                <w:vertAlign w:val="superscript"/>
              </w:rPr>
              <w:t>(4)</w:t>
            </w:r>
          </w:p>
        </w:tc>
        <w:tc>
          <w:tcPr>
            <w:tcW w:w="40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8A9AC"/>
            </w:tcBorders>
          </w:tcPr>
          <w:p>
            <w:pPr>
              <w:jc w:val="right"/>
              <w:ind w:right="86"/>
              <w:spacing w:after="0" w:line="214" w:lineRule="exact"/>
              <w:rPr>
                <w:sz w:val="20"/>
                <w:szCs w:val="20"/>
                <w:color w:val="auto"/>
              </w:rPr>
            </w:pPr>
            <w:r>
              <w:rPr>
                <w:rFonts w:ascii="Arial" w:cs="Arial" w:eastAsia="Arial" w:hAnsi="Arial"/>
                <w:sz w:val="15"/>
                <w:szCs w:val="15"/>
                <w:color w:val="auto"/>
              </w:rPr>
              <w:t>1,692,900</w:t>
            </w:r>
            <w:r>
              <w:rPr>
                <w:rFonts w:ascii="Arial" w:cs="Arial" w:eastAsia="Arial" w:hAnsi="Arial"/>
                <w:sz w:val="24"/>
                <w:szCs w:val="24"/>
                <w:color w:val="auto"/>
                <w:vertAlign w:val="superscript"/>
              </w:rPr>
              <w:t>(6)</w:t>
            </w:r>
          </w:p>
        </w:tc>
        <w:tc>
          <w:tcPr>
            <w:tcW w:w="480" w:type="dxa"/>
            <w:vAlign w:val="bottom"/>
            <w:tcBorders>
              <w:bottom w:val="single" w:sz="8" w:color="A8A9AC"/>
            </w:tcBorders>
          </w:tcPr>
          <w:p>
            <w:pPr>
              <w:ind w:left="1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9AC"/>
            </w:tcBorders>
          </w:tcPr>
          <w:p>
            <w:pPr>
              <w:jc w:val="center"/>
              <w:ind w:left="86"/>
              <w:spacing w:after="0" w:line="214" w:lineRule="exact"/>
              <w:rPr>
                <w:sz w:val="20"/>
                <w:szCs w:val="20"/>
                <w:color w:val="auto"/>
              </w:rPr>
            </w:pPr>
            <w:r>
              <w:rPr>
                <w:rFonts w:ascii="Arial" w:cs="Arial" w:eastAsia="Arial" w:hAnsi="Arial"/>
                <w:sz w:val="15"/>
                <w:szCs w:val="15"/>
                <w:color w:val="auto"/>
                <w:w w:val="94"/>
              </w:rPr>
              <w:t>29,520</w:t>
            </w:r>
            <w:r>
              <w:rPr>
                <w:rFonts w:ascii="Arial" w:cs="Arial" w:eastAsia="Arial" w:hAnsi="Arial"/>
                <w:sz w:val="24"/>
                <w:szCs w:val="24"/>
                <w:color w:val="auto"/>
                <w:w w:val="94"/>
                <w:vertAlign w:val="superscript"/>
              </w:rPr>
              <w:t>(16)</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8A9AC"/>
            </w:tcBorders>
          </w:tcPr>
          <w:p>
            <w:pPr>
              <w:jc w:val="right"/>
              <w:ind w:right="146"/>
              <w:spacing w:after="0" w:line="214" w:lineRule="exact"/>
              <w:rPr>
                <w:sz w:val="20"/>
                <w:szCs w:val="20"/>
                <w:color w:val="auto"/>
              </w:rPr>
            </w:pPr>
            <w:r>
              <w:rPr>
                <w:rFonts w:ascii="Arial" w:cs="Arial" w:eastAsia="Arial" w:hAnsi="Arial"/>
                <w:sz w:val="15"/>
                <w:szCs w:val="15"/>
                <w:color w:val="auto"/>
              </w:rPr>
              <w:t>37,878,170</w:t>
            </w:r>
            <w:r>
              <w:rPr>
                <w:rFonts w:ascii="Arial" w:cs="Arial" w:eastAsia="Arial" w:hAnsi="Arial"/>
                <w:sz w:val="24"/>
                <w:szCs w:val="24"/>
                <w:color w:val="auto"/>
                <w:vertAlign w:val="superscript"/>
              </w:rPr>
              <w:t>(9)</w:t>
            </w:r>
          </w:p>
        </w:tc>
        <w:tc>
          <w:tcPr>
            <w:tcW w:w="320" w:type="dxa"/>
            <w:vAlign w:val="bottom"/>
            <w:tcBorders>
              <w:bottom w:val="single" w:sz="8" w:color="A8A9AC"/>
            </w:tcBorders>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41,400,590</w:t>
            </w:r>
          </w:p>
        </w:tc>
        <w:tc>
          <w:tcPr>
            <w:tcW w:w="0" w:type="dxa"/>
            <w:vAlign w:val="bottom"/>
          </w:tcPr>
          <w:p>
            <w:pPr>
              <w:spacing w:after="0"/>
              <w:rPr>
                <w:sz w:val="1"/>
                <w:szCs w:val="1"/>
                <w:color w:val="auto"/>
              </w:rPr>
            </w:pPr>
          </w:p>
        </w:tc>
      </w:tr>
      <w:tr>
        <w:trPr>
          <w:trHeight w:val="207"/>
        </w:trPr>
        <w:tc>
          <w:tcPr>
            <w:tcW w:w="374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Kaes Van’t Hof</w:t>
            </w:r>
          </w:p>
        </w:tc>
        <w:tc>
          <w:tcPr>
            <w:tcW w:w="140" w:type="dxa"/>
            <w:vAlign w:val="bottom"/>
            <w:tcBorders>
              <w:bottom w:val="single" w:sz="8" w:color="A8A9AC"/>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8A9AC"/>
            </w:tcBorders>
          </w:tcPr>
          <w:p>
            <w:pPr>
              <w:spacing w:after="0"/>
              <w:rPr>
                <w:sz w:val="18"/>
                <w:szCs w:val="18"/>
                <w:color w:val="auto"/>
              </w:rPr>
            </w:pPr>
          </w:p>
        </w:tc>
        <w:tc>
          <w:tcPr>
            <w:tcW w:w="1180" w:type="dxa"/>
            <w:vAlign w:val="bottom"/>
            <w:tcBorders>
              <w:bottom w:val="single" w:sz="8" w:color="A8A9AC"/>
            </w:tcBorders>
          </w:tcPr>
          <w:p>
            <w:pPr>
              <w:jc w:val="right"/>
              <w:ind w:right="66"/>
              <w:spacing w:after="0" w:line="207" w:lineRule="exact"/>
              <w:rPr>
                <w:sz w:val="20"/>
                <w:szCs w:val="20"/>
                <w:color w:val="auto"/>
              </w:rPr>
            </w:pPr>
            <w:r>
              <w:rPr>
                <w:rFonts w:ascii="Arial" w:cs="Arial" w:eastAsia="Arial" w:hAnsi="Arial"/>
                <w:sz w:val="15"/>
                <w:szCs w:val="15"/>
                <w:color w:val="auto"/>
              </w:rPr>
              <w:t>2,600,000</w:t>
            </w:r>
            <w:r>
              <w:rPr>
                <w:rFonts w:ascii="Arial" w:cs="Arial" w:eastAsia="Arial" w:hAnsi="Arial"/>
                <w:sz w:val="24"/>
                <w:szCs w:val="24"/>
                <w:color w:val="auto"/>
                <w:vertAlign w:val="superscript"/>
              </w:rPr>
              <w:t>(4)</w:t>
            </w:r>
          </w:p>
        </w:tc>
        <w:tc>
          <w:tcPr>
            <w:tcW w:w="40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8A9AC"/>
            </w:tcBorders>
          </w:tcPr>
          <w:p>
            <w:pPr>
              <w:jc w:val="right"/>
              <w:ind w:right="86"/>
              <w:spacing w:after="0" w:line="207" w:lineRule="exact"/>
              <w:rPr>
                <w:sz w:val="20"/>
                <w:szCs w:val="20"/>
                <w:color w:val="auto"/>
              </w:rPr>
            </w:pPr>
            <w:r>
              <w:rPr>
                <w:rFonts w:ascii="Arial" w:cs="Arial" w:eastAsia="Arial" w:hAnsi="Arial"/>
                <w:sz w:val="15"/>
                <w:szCs w:val="15"/>
                <w:color w:val="auto"/>
              </w:rPr>
              <w:t>1,664,250</w:t>
            </w:r>
            <w:r>
              <w:rPr>
                <w:rFonts w:ascii="Arial" w:cs="Arial" w:eastAsia="Arial" w:hAnsi="Arial"/>
                <w:sz w:val="24"/>
                <w:szCs w:val="24"/>
                <w:color w:val="auto"/>
                <w:vertAlign w:val="superscript"/>
              </w:rPr>
              <w:t>(6)</w:t>
            </w:r>
          </w:p>
        </w:tc>
        <w:tc>
          <w:tcPr>
            <w:tcW w:w="480" w:type="dxa"/>
            <w:vAlign w:val="bottom"/>
            <w:tcBorders>
              <w:bottom w:val="single" w:sz="8" w:color="A8A9AC"/>
            </w:tcBorders>
          </w:tcPr>
          <w:p>
            <w:pPr>
              <w:ind w:left="1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9AC"/>
            </w:tcBorders>
          </w:tcPr>
          <w:p>
            <w:pPr>
              <w:jc w:val="center"/>
              <w:ind w:left="186"/>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8A9AC"/>
            </w:tcBorders>
          </w:tcPr>
          <w:p>
            <w:pPr>
              <w:jc w:val="right"/>
              <w:ind w:right="86"/>
              <w:spacing w:after="0" w:line="207" w:lineRule="exact"/>
              <w:rPr>
                <w:sz w:val="20"/>
                <w:szCs w:val="20"/>
                <w:color w:val="auto"/>
              </w:rPr>
            </w:pPr>
            <w:r>
              <w:rPr>
                <w:rFonts w:ascii="Arial" w:cs="Arial" w:eastAsia="Arial" w:hAnsi="Arial"/>
                <w:sz w:val="15"/>
                <w:szCs w:val="15"/>
                <w:color w:val="auto"/>
              </w:rPr>
              <w:t>13,798,651</w:t>
            </w:r>
            <w:r>
              <w:rPr>
                <w:rFonts w:ascii="Arial" w:cs="Arial" w:eastAsia="Arial" w:hAnsi="Arial"/>
                <w:sz w:val="24"/>
                <w:szCs w:val="24"/>
                <w:color w:val="auto"/>
                <w:vertAlign w:val="superscript"/>
              </w:rPr>
              <w:t>(17)</w:t>
            </w:r>
          </w:p>
        </w:tc>
        <w:tc>
          <w:tcPr>
            <w:tcW w:w="320" w:type="dxa"/>
            <w:vAlign w:val="bottom"/>
            <w:tcBorders>
              <w:bottom w:val="single" w:sz="8" w:color="A8A9AC"/>
            </w:tcBorders>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18,062,901</w:t>
            </w:r>
          </w:p>
        </w:tc>
        <w:tc>
          <w:tcPr>
            <w:tcW w:w="0" w:type="dxa"/>
            <w:vAlign w:val="bottom"/>
          </w:tcPr>
          <w:p>
            <w:pPr>
              <w:spacing w:after="0"/>
              <w:rPr>
                <w:sz w:val="1"/>
                <w:szCs w:val="1"/>
                <w:color w:val="auto"/>
              </w:rPr>
            </w:pPr>
          </w:p>
        </w:tc>
      </w:tr>
      <w:tr>
        <w:trPr>
          <w:trHeight w:val="207"/>
        </w:trPr>
        <w:tc>
          <w:tcPr>
            <w:tcW w:w="374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Jere W. Thompson III</w:t>
            </w:r>
          </w:p>
        </w:tc>
        <w:tc>
          <w:tcPr>
            <w:tcW w:w="140" w:type="dxa"/>
            <w:vAlign w:val="bottom"/>
            <w:tcBorders>
              <w:bottom w:val="single" w:sz="8" w:color="A8A9AC"/>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8A9AC"/>
            </w:tcBorders>
          </w:tcPr>
          <w:p>
            <w:pPr>
              <w:spacing w:after="0"/>
              <w:rPr>
                <w:sz w:val="18"/>
                <w:szCs w:val="18"/>
                <w:color w:val="auto"/>
              </w:rPr>
            </w:pPr>
          </w:p>
        </w:tc>
        <w:tc>
          <w:tcPr>
            <w:tcW w:w="1180" w:type="dxa"/>
            <w:vAlign w:val="bottom"/>
            <w:tcBorders>
              <w:bottom w:val="single" w:sz="8" w:color="A8A9AC"/>
            </w:tcBorders>
          </w:tcPr>
          <w:p>
            <w:pPr>
              <w:jc w:val="right"/>
              <w:ind w:right="66"/>
              <w:spacing w:after="0" w:line="207" w:lineRule="exact"/>
              <w:rPr>
                <w:sz w:val="20"/>
                <w:szCs w:val="20"/>
                <w:color w:val="auto"/>
              </w:rPr>
            </w:pPr>
            <w:r>
              <w:rPr>
                <w:rFonts w:ascii="Arial" w:cs="Arial" w:eastAsia="Arial" w:hAnsi="Arial"/>
                <w:sz w:val="15"/>
                <w:szCs w:val="15"/>
                <w:color w:val="auto"/>
              </w:rPr>
              <w:t>825,000</w:t>
            </w:r>
            <w:r>
              <w:rPr>
                <w:rFonts w:ascii="Arial" w:cs="Arial" w:eastAsia="Arial" w:hAnsi="Arial"/>
                <w:sz w:val="24"/>
                <w:szCs w:val="24"/>
                <w:color w:val="auto"/>
                <w:vertAlign w:val="superscript"/>
              </w:rPr>
              <w:t>(5)</w:t>
            </w:r>
          </w:p>
        </w:tc>
        <w:tc>
          <w:tcPr>
            <w:tcW w:w="40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8A9AC"/>
            </w:tcBorders>
          </w:tcPr>
          <w:p>
            <w:pPr>
              <w:jc w:val="right"/>
              <w:ind w:right="86"/>
              <w:spacing w:after="0" w:line="207" w:lineRule="exact"/>
              <w:rPr>
                <w:sz w:val="20"/>
                <w:szCs w:val="20"/>
                <w:color w:val="auto"/>
              </w:rPr>
            </w:pPr>
            <w:r>
              <w:rPr>
                <w:rFonts w:ascii="Arial" w:cs="Arial" w:eastAsia="Arial" w:hAnsi="Arial"/>
                <w:sz w:val="15"/>
                <w:szCs w:val="15"/>
                <w:color w:val="auto"/>
              </w:rPr>
              <w:t>495,000</w:t>
            </w:r>
            <w:r>
              <w:rPr>
                <w:rFonts w:ascii="Arial" w:cs="Arial" w:eastAsia="Arial" w:hAnsi="Arial"/>
                <w:sz w:val="24"/>
                <w:szCs w:val="24"/>
                <w:color w:val="auto"/>
                <w:vertAlign w:val="superscript"/>
              </w:rPr>
              <w:t>(7)</w:t>
            </w:r>
          </w:p>
        </w:tc>
        <w:tc>
          <w:tcPr>
            <w:tcW w:w="480" w:type="dxa"/>
            <w:vAlign w:val="bottom"/>
            <w:tcBorders>
              <w:bottom w:val="single" w:sz="8" w:color="A8A9AC"/>
            </w:tcBorders>
          </w:tcPr>
          <w:p>
            <w:pPr>
              <w:ind w:left="1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9AC"/>
            </w:tcBorders>
          </w:tcPr>
          <w:p>
            <w:pPr>
              <w:jc w:val="center"/>
              <w:ind w:left="186"/>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8A9AC"/>
            </w:tcBorders>
          </w:tcPr>
          <w:p>
            <w:pPr>
              <w:jc w:val="right"/>
              <w:ind w:right="86"/>
              <w:spacing w:after="0" w:line="207" w:lineRule="exact"/>
              <w:rPr>
                <w:sz w:val="20"/>
                <w:szCs w:val="20"/>
                <w:color w:val="auto"/>
              </w:rPr>
            </w:pPr>
            <w:r>
              <w:rPr>
                <w:rFonts w:ascii="Arial" w:cs="Arial" w:eastAsia="Arial" w:hAnsi="Arial"/>
                <w:sz w:val="15"/>
                <w:szCs w:val="15"/>
                <w:color w:val="auto"/>
              </w:rPr>
              <w:t>3,194,719</w:t>
            </w:r>
            <w:r>
              <w:rPr>
                <w:rFonts w:ascii="Arial" w:cs="Arial" w:eastAsia="Arial" w:hAnsi="Arial"/>
                <w:sz w:val="24"/>
                <w:szCs w:val="24"/>
                <w:color w:val="auto"/>
                <w:vertAlign w:val="superscript"/>
              </w:rPr>
              <w:t>(17)</w:t>
            </w:r>
          </w:p>
        </w:tc>
        <w:tc>
          <w:tcPr>
            <w:tcW w:w="320" w:type="dxa"/>
            <w:vAlign w:val="bottom"/>
            <w:tcBorders>
              <w:bottom w:val="single" w:sz="8" w:color="A8A9AC"/>
            </w:tcBorders>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4,514,719</w:t>
            </w:r>
          </w:p>
        </w:tc>
        <w:tc>
          <w:tcPr>
            <w:tcW w:w="0" w:type="dxa"/>
            <w:vAlign w:val="bottom"/>
          </w:tcPr>
          <w:p>
            <w:pPr>
              <w:spacing w:after="0"/>
              <w:rPr>
                <w:sz w:val="1"/>
                <w:szCs w:val="1"/>
                <w:color w:val="auto"/>
              </w:rPr>
            </w:pPr>
          </w:p>
        </w:tc>
      </w:tr>
      <w:tr>
        <w:trPr>
          <w:trHeight w:val="207"/>
        </w:trPr>
        <w:tc>
          <w:tcPr>
            <w:tcW w:w="374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Teresa L. Dick</w:t>
            </w:r>
          </w:p>
        </w:tc>
        <w:tc>
          <w:tcPr>
            <w:tcW w:w="140" w:type="dxa"/>
            <w:vAlign w:val="bottom"/>
            <w:tcBorders>
              <w:bottom w:val="single" w:sz="8" w:color="A8A9AC"/>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8A9AC"/>
            </w:tcBorders>
          </w:tcPr>
          <w:p>
            <w:pPr>
              <w:spacing w:after="0"/>
              <w:rPr>
                <w:sz w:val="18"/>
                <w:szCs w:val="18"/>
                <w:color w:val="auto"/>
              </w:rPr>
            </w:pPr>
          </w:p>
        </w:tc>
        <w:tc>
          <w:tcPr>
            <w:tcW w:w="1180" w:type="dxa"/>
            <w:vAlign w:val="bottom"/>
            <w:tcBorders>
              <w:bottom w:val="single" w:sz="8" w:color="A8A9AC"/>
            </w:tcBorders>
          </w:tcPr>
          <w:p>
            <w:pPr>
              <w:jc w:val="right"/>
              <w:ind w:right="66"/>
              <w:spacing w:after="0" w:line="207" w:lineRule="exact"/>
              <w:rPr>
                <w:sz w:val="20"/>
                <w:szCs w:val="20"/>
                <w:color w:val="auto"/>
              </w:rPr>
            </w:pPr>
            <w:r>
              <w:rPr>
                <w:rFonts w:ascii="Arial" w:cs="Arial" w:eastAsia="Arial" w:hAnsi="Arial"/>
                <w:sz w:val="15"/>
                <w:szCs w:val="15"/>
                <w:color w:val="auto"/>
              </w:rPr>
              <w:t>825,000</w:t>
            </w:r>
            <w:r>
              <w:rPr>
                <w:rFonts w:ascii="Arial" w:cs="Arial" w:eastAsia="Arial" w:hAnsi="Arial"/>
                <w:sz w:val="24"/>
                <w:szCs w:val="24"/>
                <w:color w:val="auto"/>
                <w:vertAlign w:val="superscript"/>
              </w:rPr>
              <w:t>(5)</w:t>
            </w:r>
          </w:p>
        </w:tc>
        <w:tc>
          <w:tcPr>
            <w:tcW w:w="40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8A9AC"/>
            </w:tcBorders>
          </w:tcPr>
          <w:p>
            <w:pPr>
              <w:jc w:val="right"/>
              <w:ind w:right="86"/>
              <w:spacing w:after="0" w:line="207" w:lineRule="exact"/>
              <w:rPr>
                <w:sz w:val="20"/>
                <w:szCs w:val="20"/>
                <w:color w:val="auto"/>
              </w:rPr>
            </w:pPr>
            <w:r>
              <w:rPr>
                <w:rFonts w:ascii="Arial" w:cs="Arial" w:eastAsia="Arial" w:hAnsi="Arial"/>
                <w:sz w:val="15"/>
                <w:szCs w:val="15"/>
                <w:color w:val="auto"/>
              </w:rPr>
              <w:t>495,000</w:t>
            </w:r>
            <w:r>
              <w:rPr>
                <w:rFonts w:ascii="Arial" w:cs="Arial" w:eastAsia="Arial" w:hAnsi="Arial"/>
                <w:sz w:val="24"/>
                <w:szCs w:val="24"/>
                <w:color w:val="auto"/>
                <w:vertAlign w:val="superscript"/>
              </w:rPr>
              <w:t>(7)</w:t>
            </w:r>
          </w:p>
        </w:tc>
        <w:tc>
          <w:tcPr>
            <w:tcW w:w="480" w:type="dxa"/>
            <w:vAlign w:val="bottom"/>
            <w:tcBorders>
              <w:bottom w:val="single" w:sz="8" w:color="A8A9AC"/>
            </w:tcBorders>
          </w:tcPr>
          <w:p>
            <w:pPr>
              <w:ind w:left="1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9AC"/>
            </w:tcBorders>
          </w:tcPr>
          <w:p>
            <w:pPr>
              <w:jc w:val="center"/>
              <w:ind w:left="186"/>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8A9AC"/>
            </w:tcBorders>
          </w:tcPr>
          <w:p>
            <w:pPr>
              <w:jc w:val="right"/>
              <w:ind w:right="86"/>
              <w:spacing w:after="0" w:line="207" w:lineRule="exact"/>
              <w:rPr>
                <w:sz w:val="20"/>
                <w:szCs w:val="20"/>
                <w:color w:val="auto"/>
              </w:rPr>
            </w:pPr>
            <w:r>
              <w:rPr>
                <w:rFonts w:ascii="Arial" w:cs="Arial" w:eastAsia="Arial" w:hAnsi="Arial"/>
                <w:sz w:val="15"/>
                <w:szCs w:val="15"/>
                <w:color w:val="auto"/>
              </w:rPr>
              <w:t>3,566,310</w:t>
            </w:r>
            <w:r>
              <w:rPr>
                <w:rFonts w:ascii="Arial" w:cs="Arial" w:eastAsia="Arial" w:hAnsi="Arial"/>
                <w:sz w:val="24"/>
                <w:szCs w:val="24"/>
                <w:color w:val="auto"/>
                <w:vertAlign w:val="superscript"/>
              </w:rPr>
              <w:t>(17)</w:t>
            </w:r>
          </w:p>
        </w:tc>
        <w:tc>
          <w:tcPr>
            <w:tcW w:w="320" w:type="dxa"/>
            <w:vAlign w:val="bottom"/>
            <w:tcBorders>
              <w:bottom w:val="single" w:sz="8" w:color="A8A9AC"/>
            </w:tcBorders>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4,886,310</w:t>
            </w:r>
          </w:p>
        </w:tc>
        <w:tc>
          <w:tcPr>
            <w:tcW w:w="0" w:type="dxa"/>
            <w:vAlign w:val="bottom"/>
          </w:tcPr>
          <w:p>
            <w:pPr>
              <w:spacing w:after="0"/>
              <w:rPr>
                <w:sz w:val="1"/>
                <w:szCs w:val="1"/>
                <w:color w:val="auto"/>
              </w:rPr>
            </w:pPr>
          </w:p>
        </w:tc>
      </w:tr>
      <w:tr>
        <w:trPr>
          <w:trHeight w:val="207"/>
        </w:trPr>
        <w:tc>
          <w:tcPr>
            <w:tcW w:w="3740" w:type="dxa"/>
            <w:vAlign w:val="bottom"/>
            <w:tcBorders>
              <w:bottom w:val="single" w:sz="8" w:color="A8A9AC"/>
            </w:tcBorders>
          </w:tcPr>
          <w:p>
            <w:pPr>
              <w:ind w:left="60"/>
              <w:spacing w:after="0"/>
              <w:rPr>
                <w:sz w:val="20"/>
                <w:szCs w:val="20"/>
                <w:color w:val="auto"/>
              </w:rPr>
            </w:pPr>
            <w:r>
              <w:rPr>
                <w:rFonts w:ascii="Arial" w:cs="Arial" w:eastAsia="Arial" w:hAnsi="Arial"/>
                <w:sz w:val="15"/>
                <w:szCs w:val="15"/>
                <w:b w:val="1"/>
                <w:bCs w:val="1"/>
                <w:color w:val="auto"/>
              </w:rPr>
              <w:t>Daniel N. Wesson</w:t>
            </w:r>
          </w:p>
        </w:tc>
        <w:tc>
          <w:tcPr>
            <w:tcW w:w="140" w:type="dxa"/>
            <w:vAlign w:val="bottom"/>
            <w:tcBorders>
              <w:bottom w:val="single" w:sz="8" w:color="A8A9AC"/>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8A9AC"/>
            </w:tcBorders>
          </w:tcPr>
          <w:p>
            <w:pPr>
              <w:spacing w:after="0"/>
              <w:rPr>
                <w:sz w:val="18"/>
                <w:szCs w:val="18"/>
                <w:color w:val="auto"/>
              </w:rPr>
            </w:pPr>
          </w:p>
        </w:tc>
        <w:tc>
          <w:tcPr>
            <w:tcW w:w="1180" w:type="dxa"/>
            <w:vAlign w:val="bottom"/>
            <w:tcBorders>
              <w:bottom w:val="single" w:sz="8" w:color="A8A9AC"/>
            </w:tcBorders>
          </w:tcPr>
          <w:p>
            <w:pPr>
              <w:jc w:val="right"/>
              <w:ind w:right="66"/>
              <w:spacing w:after="0" w:line="207" w:lineRule="exact"/>
              <w:rPr>
                <w:sz w:val="20"/>
                <w:szCs w:val="20"/>
                <w:color w:val="auto"/>
              </w:rPr>
            </w:pPr>
            <w:r>
              <w:rPr>
                <w:rFonts w:ascii="Arial" w:cs="Arial" w:eastAsia="Arial" w:hAnsi="Arial"/>
                <w:sz w:val="15"/>
                <w:szCs w:val="15"/>
                <w:color w:val="auto"/>
              </w:rPr>
              <w:t>1,050,000</w:t>
            </w:r>
            <w:r>
              <w:rPr>
                <w:rFonts w:ascii="Arial" w:cs="Arial" w:eastAsia="Arial" w:hAnsi="Arial"/>
                <w:sz w:val="24"/>
                <w:szCs w:val="24"/>
                <w:color w:val="auto"/>
                <w:vertAlign w:val="superscript"/>
              </w:rPr>
              <w:t>(5)</w:t>
            </w:r>
          </w:p>
        </w:tc>
        <w:tc>
          <w:tcPr>
            <w:tcW w:w="40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8A9AC"/>
            </w:tcBorders>
          </w:tcPr>
          <w:p>
            <w:pPr>
              <w:jc w:val="right"/>
              <w:ind w:right="86"/>
              <w:spacing w:after="0" w:line="207" w:lineRule="exact"/>
              <w:rPr>
                <w:sz w:val="20"/>
                <w:szCs w:val="20"/>
                <w:color w:val="auto"/>
              </w:rPr>
            </w:pPr>
            <w:r>
              <w:rPr>
                <w:rFonts w:ascii="Arial" w:cs="Arial" w:eastAsia="Arial" w:hAnsi="Arial"/>
                <w:sz w:val="15"/>
                <w:szCs w:val="15"/>
                <w:color w:val="auto"/>
              </w:rPr>
              <w:t>700,000</w:t>
            </w:r>
            <w:r>
              <w:rPr>
                <w:rFonts w:ascii="Arial" w:cs="Arial" w:eastAsia="Arial" w:hAnsi="Arial"/>
                <w:sz w:val="24"/>
                <w:szCs w:val="24"/>
                <w:color w:val="auto"/>
                <w:vertAlign w:val="superscript"/>
              </w:rPr>
              <w:t>(7)</w:t>
            </w:r>
          </w:p>
        </w:tc>
        <w:tc>
          <w:tcPr>
            <w:tcW w:w="480" w:type="dxa"/>
            <w:vAlign w:val="bottom"/>
            <w:tcBorders>
              <w:bottom w:val="single" w:sz="8" w:color="A8A9AC"/>
            </w:tcBorders>
          </w:tcPr>
          <w:p>
            <w:pPr>
              <w:ind w:left="1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8A9AC"/>
            </w:tcBorders>
          </w:tcPr>
          <w:p>
            <w:pPr>
              <w:jc w:val="center"/>
              <w:ind w:left="186"/>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8A9AC"/>
            </w:tcBorders>
          </w:tcPr>
          <w:p>
            <w:pPr>
              <w:jc w:val="right"/>
              <w:ind w:right="86"/>
              <w:spacing w:after="0" w:line="207" w:lineRule="exact"/>
              <w:rPr>
                <w:sz w:val="20"/>
                <w:szCs w:val="20"/>
                <w:color w:val="auto"/>
              </w:rPr>
            </w:pPr>
            <w:r>
              <w:rPr>
                <w:rFonts w:ascii="Arial" w:cs="Arial" w:eastAsia="Arial" w:hAnsi="Arial"/>
                <w:sz w:val="15"/>
                <w:szCs w:val="15"/>
                <w:color w:val="auto"/>
              </w:rPr>
              <w:t>8,221,262</w:t>
            </w:r>
            <w:r>
              <w:rPr>
                <w:rFonts w:ascii="Arial" w:cs="Arial" w:eastAsia="Arial" w:hAnsi="Arial"/>
                <w:sz w:val="24"/>
                <w:szCs w:val="24"/>
                <w:color w:val="auto"/>
                <w:vertAlign w:val="superscript"/>
              </w:rPr>
              <w:t>(17)</w:t>
            </w:r>
          </w:p>
        </w:tc>
        <w:tc>
          <w:tcPr>
            <w:tcW w:w="320" w:type="dxa"/>
            <w:vAlign w:val="bottom"/>
            <w:tcBorders>
              <w:bottom w:val="single" w:sz="8" w:color="A8A9AC"/>
            </w:tcBorders>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9,971,262</w:t>
            </w:r>
          </w:p>
        </w:tc>
        <w:tc>
          <w:tcPr>
            <w:tcW w:w="0" w:type="dxa"/>
            <w:vAlign w:val="bottom"/>
          </w:tcPr>
          <w:p>
            <w:pPr>
              <w:spacing w:after="0"/>
              <w:rPr>
                <w:sz w:val="1"/>
                <w:szCs w:val="1"/>
                <w:color w:val="auto"/>
              </w:rPr>
            </w:pPr>
          </w:p>
        </w:tc>
      </w:tr>
      <w:tr>
        <w:trPr>
          <w:trHeight w:val="207"/>
        </w:trPr>
        <w:tc>
          <w:tcPr>
            <w:tcW w:w="374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Matt Zmigrosky</w:t>
            </w:r>
          </w:p>
        </w:tc>
        <w:tc>
          <w:tcPr>
            <w:tcW w:w="140" w:type="dxa"/>
            <w:vAlign w:val="bottom"/>
            <w:tcBorders>
              <w:bottom w:val="single" w:sz="8" w:color="A26F2A"/>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26F2A"/>
            </w:tcBorders>
          </w:tcPr>
          <w:p>
            <w:pPr>
              <w:spacing w:after="0"/>
              <w:rPr>
                <w:sz w:val="18"/>
                <w:szCs w:val="18"/>
                <w:color w:val="auto"/>
              </w:rPr>
            </w:pPr>
          </w:p>
        </w:tc>
        <w:tc>
          <w:tcPr>
            <w:tcW w:w="1180" w:type="dxa"/>
            <w:vAlign w:val="bottom"/>
            <w:tcBorders>
              <w:bottom w:val="single" w:sz="8" w:color="A26F2A"/>
            </w:tcBorders>
          </w:tcPr>
          <w:p>
            <w:pPr>
              <w:jc w:val="right"/>
              <w:ind w:right="66"/>
              <w:spacing w:after="0" w:line="207" w:lineRule="exact"/>
              <w:rPr>
                <w:sz w:val="20"/>
                <w:szCs w:val="20"/>
                <w:color w:val="auto"/>
              </w:rPr>
            </w:pPr>
            <w:r>
              <w:rPr>
                <w:rFonts w:ascii="Arial" w:cs="Arial" w:eastAsia="Arial" w:hAnsi="Arial"/>
                <w:sz w:val="15"/>
                <w:szCs w:val="15"/>
                <w:color w:val="auto"/>
              </w:rPr>
              <w:t>1,050,000</w:t>
            </w:r>
            <w:r>
              <w:rPr>
                <w:rFonts w:ascii="Arial" w:cs="Arial" w:eastAsia="Arial" w:hAnsi="Arial"/>
                <w:sz w:val="24"/>
                <w:szCs w:val="24"/>
                <w:color w:val="auto"/>
                <w:vertAlign w:val="superscript"/>
              </w:rPr>
              <w:t>(5)</w:t>
            </w:r>
          </w:p>
        </w:tc>
        <w:tc>
          <w:tcPr>
            <w:tcW w:w="400" w:type="dxa"/>
            <w:vAlign w:val="bottom"/>
            <w:tcBorders>
              <w:bottom w:val="single" w:sz="8" w:color="A26F2A"/>
            </w:tcBorders>
          </w:tcPr>
          <w:p>
            <w:pPr>
              <w:jc w:val="right"/>
              <w:ind w:right="8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26F2A"/>
            </w:tcBorders>
          </w:tcPr>
          <w:p>
            <w:pPr>
              <w:jc w:val="right"/>
              <w:ind w:right="86"/>
              <w:spacing w:after="0" w:line="207" w:lineRule="exact"/>
              <w:rPr>
                <w:sz w:val="20"/>
                <w:szCs w:val="20"/>
                <w:color w:val="auto"/>
              </w:rPr>
            </w:pPr>
            <w:r>
              <w:rPr>
                <w:rFonts w:ascii="Arial" w:cs="Arial" w:eastAsia="Arial" w:hAnsi="Arial"/>
                <w:sz w:val="15"/>
                <w:szCs w:val="15"/>
                <w:color w:val="auto"/>
              </w:rPr>
              <w:t>630,000</w:t>
            </w:r>
            <w:r>
              <w:rPr>
                <w:rFonts w:ascii="Arial" w:cs="Arial" w:eastAsia="Arial" w:hAnsi="Arial"/>
                <w:sz w:val="24"/>
                <w:szCs w:val="24"/>
                <w:color w:val="auto"/>
                <w:vertAlign w:val="superscript"/>
              </w:rPr>
              <w:t>(7)</w:t>
            </w:r>
          </w:p>
        </w:tc>
        <w:tc>
          <w:tcPr>
            <w:tcW w:w="480" w:type="dxa"/>
            <w:vAlign w:val="bottom"/>
            <w:tcBorders>
              <w:bottom w:val="single" w:sz="8" w:color="A26F2A"/>
            </w:tcBorders>
          </w:tcPr>
          <w:p>
            <w:pPr>
              <w:ind w:left="1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26F2A"/>
            </w:tcBorders>
          </w:tcPr>
          <w:p>
            <w:pPr>
              <w:jc w:val="center"/>
              <w:ind w:left="186"/>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26F2A"/>
            </w:tcBorders>
          </w:tcPr>
          <w:p>
            <w:pPr>
              <w:jc w:val="right"/>
              <w:ind w:right="86"/>
              <w:spacing w:after="0" w:line="207" w:lineRule="exact"/>
              <w:rPr>
                <w:sz w:val="20"/>
                <w:szCs w:val="20"/>
                <w:color w:val="auto"/>
              </w:rPr>
            </w:pPr>
            <w:r>
              <w:rPr>
                <w:rFonts w:ascii="Arial" w:cs="Arial" w:eastAsia="Arial" w:hAnsi="Arial"/>
                <w:sz w:val="15"/>
                <w:szCs w:val="15"/>
                <w:color w:val="auto"/>
              </w:rPr>
              <w:t>5,877,016</w:t>
            </w:r>
            <w:r>
              <w:rPr>
                <w:rFonts w:ascii="Arial" w:cs="Arial" w:eastAsia="Arial" w:hAnsi="Arial"/>
                <w:sz w:val="24"/>
                <w:szCs w:val="24"/>
                <w:color w:val="auto"/>
                <w:vertAlign w:val="superscript"/>
              </w:rPr>
              <w:t>(17)</w:t>
            </w:r>
          </w:p>
        </w:tc>
        <w:tc>
          <w:tcPr>
            <w:tcW w:w="320" w:type="dxa"/>
            <w:vAlign w:val="bottom"/>
            <w:tcBorders>
              <w:bottom w:val="single" w:sz="8" w:color="A26F2A"/>
            </w:tcBorders>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26F2A"/>
            </w:tcBorders>
          </w:tcPr>
          <w:p>
            <w:pPr>
              <w:jc w:val="right"/>
              <w:ind w:right="24"/>
              <w:spacing w:after="0"/>
              <w:rPr>
                <w:sz w:val="20"/>
                <w:szCs w:val="20"/>
                <w:color w:val="auto"/>
              </w:rPr>
            </w:pPr>
            <w:r>
              <w:rPr>
                <w:rFonts w:ascii="Arial" w:cs="Arial" w:eastAsia="Arial" w:hAnsi="Arial"/>
                <w:sz w:val="15"/>
                <w:szCs w:val="15"/>
                <w:color w:val="auto"/>
              </w:rPr>
              <w:t>7,557,016</w:t>
            </w: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300" w:hanging="299"/>
        <w:spacing w:after="0" w:line="257" w:lineRule="auto"/>
        <w:tabs>
          <w:tab w:leader="none" w:pos="300" w:val="left"/>
        </w:tabs>
        <w:numPr>
          <w:ilvl w:val="0"/>
          <w:numId w:val="110"/>
        </w:numPr>
        <w:rPr>
          <w:rFonts w:ascii="Arial" w:cs="Arial" w:eastAsia="Arial" w:hAnsi="Arial"/>
          <w:sz w:val="13"/>
          <w:szCs w:val="13"/>
          <w:i w:val="1"/>
          <w:iCs w:val="1"/>
          <w:color w:val="auto"/>
        </w:rPr>
      </w:pPr>
      <w:r>
        <w:rPr>
          <w:rFonts w:ascii="Arial" w:cs="Arial" w:eastAsia="Arial" w:hAnsi="Arial"/>
          <w:sz w:val="13"/>
          <w:szCs w:val="13"/>
          <w:i w:val="1"/>
          <w:iCs w:val="1"/>
          <w:color w:val="auto"/>
        </w:rPr>
        <w:t>The payment of any amounts or provision of any benefits to each NEO under the severance plan is subject to (i) such NEO’s (or, if applicable, his or her representative’s or estate’s) execution, within 45 days following receipt (or such shorter period as set forth in such release), of a waiver and general release of claims, and such waiver and general release of claims becoming effective and irrevocable in accordance with its terms within 60 days following such NEO’s termination date and (ii) ongoing compliance with certain non-competition and non-solicitation obligations.</w:t>
      </w:r>
    </w:p>
    <w:p>
      <w:pPr>
        <w:spacing w:after="0" w:line="138"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7" w:name="page78"/>
    <w:bookmarkEnd w:id="7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8" w:lineRule="exact"/>
        <w:rPr>
          <w:sz w:val="20"/>
          <w:szCs w:val="20"/>
          <w:color w:val="auto"/>
        </w:rPr>
      </w:pPr>
    </w:p>
    <w:p>
      <w:pPr>
        <w:jc w:val="both"/>
        <w:ind w:left="300" w:hanging="299"/>
        <w:spacing w:after="0" w:line="247" w:lineRule="auto"/>
        <w:tabs>
          <w:tab w:leader="none" w:pos="300" w:val="left"/>
        </w:tabs>
        <w:numPr>
          <w:ilvl w:val="0"/>
          <w:numId w:val="1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amounts payable to each NEO under the severance plan in effect as of December 31, 2025 and the applicable NEO participation agreement, under which, in the event we terminate such NEO’s employment with us other than for “cause” (and not by reason of death or disability), or if such NEO terminates his or her employment with us for “good reason,” he or she will be entitled to receive (i) an amount, if any, equal to the bonus that would be payable for services attributable to a completed prior year performance period that has not been paid under the terms of the Annual Incentive Plan, (ii) base salary continuation (24 months for Mr. Stice, 24 months for Mr. Van’t Hof and 18 months for each other NEO),</w:t>
      </w:r>
    </w:p>
    <w:p>
      <w:pPr>
        <w:spacing w:after="0" w:line="2" w:lineRule="exact"/>
        <w:rPr>
          <w:rFonts w:ascii="Arial" w:cs="Arial" w:eastAsia="Arial" w:hAnsi="Arial"/>
          <w:sz w:val="13"/>
          <w:szCs w:val="13"/>
          <w:i w:val="1"/>
          <w:iCs w:val="1"/>
          <w:color w:val="auto"/>
        </w:rPr>
      </w:pPr>
    </w:p>
    <w:p>
      <w:pPr>
        <w:jc w:val="both"/>
        <w:ind w:left="300" w:firstLine="4"/>
        <w:spacing w:after="0" w:line="254" w:lineRule="auto"/>
        <w:tabs>
          <w:tab w:leader="none" w:pos="526" w:val="left"/>
        </w:tabs>
        <w:numPr>
          <w:ilvl w:val="1"/>
          <w:numId w:val="111"/>
        </w:numPr>
        <w:rPr>
          <w:rFonts w:ascii="Arial" w:cs="Arial" w:eastAsia="Arial" w:hAnsi="Arial"/>
          <w:sz w:val="13"/>
          <w:szCs w:val="13"/>
          <w:i w:val="1"/>
          <w:iCs w:val="1"/>
          <w:color w:val="auto"/>
        </w:rPr>
      </w:pPr>
      <w:r>
        <w:rPr>
          <w:rFonts w:ascii="Arial" w:cs="Arial" w:eastAsia="Arial" w:hAnsi="Arial"/>
          <w:sz w:val="13"/>
          <w:szCs w:val="13"/>
          <w:i w:val="1"/>
          <w:iCs w:val="1"/>
          <w:color w:val="auto"/>
        </w:rPr>
        <w:t>a target annual cash bonus for the year of termination (pro-rated, if applicable based on the number of days employed during the year of termination), (iv) reimbursement for the cost of premiums for COBRA group health continuation coverage (up to 18 months for each NEO) and (v) the vesting or forfeiture (as applicable) of each outstanding unvested equity-based compensation award granted by us or our affiliates in accordance with the terms of the applicable equity award agreement.</w:t>
      </w:r>
    </w:p>
    <w:p>
      <w:pPr>
        <w:spacing w:after="0" w:line="30" w:lineRule="exact"/>
        <w:rPr>
          <w:rFonts w:ascii="Arial" w:cs="Arial" w:eastAsia="Arial" w:hAnsi="Arial"/>
          <w:sz w:val="13"/>
          <w:szCs w:val="13"/>
          <w:i w:val="1"/>
          <w:iCs w:val="1"/>
          <w:color w:val="auto"/>
        </w:rPr>
      </w:pPr>
    </w:p>
    <w:p>
      <w:pPr>
        <w:ind w:left="300" w:hanging="299"/>
        <w:spacing w:after="0"/>
        <w:tabs>
          <w:tab w:leader="none" w:pos="300" w:val="left"/>
        </w:tabs>
        <w:numPr>
          <w:ilvl w:val="0"/>
          <w:numId w:val="111"/>
        </w:numPr>
        <w:rPr>
          <w:rFonts w:ascii="Arial" w:cs="Arial" w:eastAsia="Arial" w:hAnsi="Arial"/>
          <w:sz w:val="13"/>
          <w:szCs w:val="13"/>
          <w:i w:val="1"/>
          <w:iCs w:val="1"/>
          <w:color w:val="auto"/>
        </w:rPr>
      </w:pPr>
      <w:r>
        <w:rPr>
          <w:rFonts w:ascii="Arial" w:cs="Arial" w:eastAsia="Arial" w:hAnsi="Arial"/>
          <w:sz w:val="13"/>
          <w:szCs w:val="13"/>
          <w:i w:val="1"/>
          <w:iCs w:val="1"/>
          <w:color w:val="auto"/>
        </w:rPr>
        <w:t>The value of restricted stock units was calculated based on the closing price of our common stock of $150.33 per share on December 31, 2025, which is the last trading day of 2025.</w:t>
      </w:r>
    </w:p>
    <w:p>
      <w:pPr>
        <w:spacing w:after="0" w:line="65" w:lineRule="exact"/>
        <w:rPr>
          <w:rFonts w:ascii="Arial" w:cs="Arial" w:eastAsia="Arial" w:hAnsi="Arial"/>
          <w:sz w:val="13"/>
          <w:szCs w:val="13"/>
          <w:i w:val="1"/>
          <w:iCs w:val="1"/>
          <w:color w:val="auto"/>
        </w:rPr>
      </w:pPr>
    </w:p>
    <w:p>
      <w:pPr>
        <w:ind w:left="300" w:hanging="299"/>
        <w:spacing w:after="0"/>
        <w:tabs>
          <w:tab w:leader="none" w:pos="300" w:val="left"/>
        </w:tabs>
        <w:numPr>
          <w:ilvl w:val="0"/>
          <w:numId w:val="1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an amount equal to the base salary continuation for 24 months for Mr. Stice and Mr. Van’t Hof.</w:t>
      </w:r>
    </w:p>
    <w:p>
      <w:pPr>
        <w:spacing w:after="0" w:line="65" w:lineRule="exact"/>
        <w:rPr>
          <w:rFonts w:ascii="Arial" w:cs="Arial" w:eastAsia="Arial" w:hAnsi="Arial"/>
          <w:sz w:val="13"/>
          <w:szCs w:val="13"/>
          <w:i w:val="1"/>
          <w:iCs w:val="1"/>
          <w:color w:val="auto"/>
        </w:rPr>
      </w:pPr>
    </w:p>
    <w:p>
      <w:pPr>
        <w:ind w:left="300" w:hanging="299"/>
        <w:spacing w:after="0"/>
        <w:tabs>
          <w:tab w:leader="none" w:pos="300" w:val="left"/>
        </w:tabs>
        <w:numPr>
          <w:ilvl w:val="0"/>
          <w:numId w:val="1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an amount equal to the base salary continuation for 18 months for each of Mr. Thompson, Ms. Dick, Mr. Wesson and Mr. Zmigrosky.</w:t>
      </w:r>
    </w:p>
    <w:p>
      <w:pPr>
        <w:spacing w:after="0" w:line="65" w:lineRule="exact"/>
        <w:rPr>
          <w:rFonts w:ascii="Arial" w:cs="Arial" w:eastAsia="Arial" w:hAnsi="Arial"/>
          <w:sz w:val="13"/>
          <w:szCs w:val="13"/>
          <w:i w:val="1"/>
          <w:iCs w:val="1"/>
          <w:color w:val="auto"/>
        </w:rPr>
      </w:pPr>
    </w:p>
    <w:p>
      <w:pPr>
        <w:ind w:left="300" w:hanging="299"/>
        <w:spacing w:after="0" w:line="262" w:lineRule="auto"/>
        <w:tabs>
          <w:tab w:leader="none" w:pos="300" w:val="left"/>
        </w:tabs>
        <w:numPr>
          <w:ilvl w:val="0"/>
          <w:numId w:val="1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an amount equal to the target bonus under the Annual Incentive Plan for Mr. Stice and Mr. Van’t Hof based on their blended salaries for the year ended December 31, 2025.</w:t>
      </w:r>
    </w:p>
    <w:p>
      <w:pPr>
        <w:spacing w:after="0" w:line="202" w:lineRule="exact"/>
        <w:rPr>
          <w:rFonts w:ascii="Arial" w:cs="Arial" w:eastAsia="Arial" w:hAnsi="Arial"/>
          <w:sz w:val="13"/>
          <w:szCs w:val="13"/>
          <w:i w:val="1"/>
          <w:iCs w:val="1"/>
          <w:color w:val="auto"/>
        </w:rPr>
      </w:pPr>
    </w:p>
    <w:p>
      <w:pPr>
        <w:ind w:left="300" w:hanging="299"/>
        <w:spacing w:after="0" w:line="285" w:lineRule="auto"/>
        <w:tabs>
          <w:tab w:leader="none" w:pos="300" w:val="left"/>
        </w:tabs>
        <w:numPr>
          <w:ilvl w:val="0"/>
          <w:numId w:val="1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an amount equal to the target bonus under the Annual Incentive Plan for each of these NEOs, representing 100% of the applicable annual base salary for Mr. Wesson and 90% of the applicable annual base salary for each of Mr. Thompson, Ms. Dick and Mr. Zmigrosky.</w:t>
      </w:r>
    </w:p>
    <w:p>
      <w:pPr>
        <w:spacing w:after="0" w:line="10" w:lineRule="exact"/>
        <w:rPr>
          <w:rFonts w:ascii="Arial" w:cs="Arial" w:eastAsia="Arial" w:hAnsi="Arial"/>
          <w:sz w:val="13"/>
          <w:szCs w:val="13"/>
          <w:i w:val="1"/>
          <w:iCs w:val="1"/>
          <w:color w:val="auto"/>
        </w:rPr>
      </w:pPr>
    </w:p>
    <w:p>
      <w:pPr>
        <w:ind w:left="300" w:hanging="299"/>
        <w:spacing w:after="0"/>
        <w:tabs>
          <w:tab w:leader="none" w:pos="300" w:val="left"/>
        </w:tabs>
        <w:numPr>
          <w:ilvl w:val="0"/>
          <w:numId w:val="1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reimbursement for the cost of up to 18 months of premiums for COBRA group health continuation coverage.</w:t>
      </w:r>
    </w:p>
    <w:p>
      <w:pPr>
        <w:spacing w:after="0" w:line="65" w:lineRule="exact"/>
        <w:rPr>
          <w:rFonts w:ascii="Arial" w:cs="Arial" w:eastAsia="Arial" w:hAnsi="Arial"/>
          <w:sz w:val="13"/>
          <w:szCs w:val="13"/>
          <w:i w:val="1"/>
          <w:iCs w:val="1"/>
          <w:color w:val="auto"/>
        </w:rPr>
      </w:pPr>
    </w:p>
    <w:p>
      <w:pPr>
        <w:jc w:val="both"/>
        <w:ind w:left="300" w:hanging="299"/>
        <w:spacing w:after="0" w:line="264" w:lineRule="auto"/>
        <w:tabs>
          <w:tab w:leader="none" w:pos="300" w:val="left"/>
        </w:tabs>
        <w:numPr>
          <w:ilvl w:val="0"/>
          <w:numId w:val="111"/>
        </w:numPr>
        <w:rPr>
          <w:rFonts w:ascii="Arial" w:cs="Arial" w:eastAsia="Arial" w:hAnsi="Arial"/>
          <w:sz w:val="13"/>
          <w:szCs w:val="13"/>
          <w:i w:val="1"/>
          <w:iCs w:val="1"/>
          <w:color w:val="auto"/>
        </w:rPr>
      </w:pPr>
      <w:r>
        <w:rPr>
          <w:rFonts w:ascii="Arial" w:cs="Arial" w:eastAsia="Arial" w:hAnsi="Arial"/>
          <w:sz w:val="13"/>
          <w:szCs w:val="13"/>
          <w:i w:val="1"/>
          <w:iCs w:val="1"/>
          <w:color w:val="auto"/>
        </w:rPr>
        <w:t>Mr. Stice’s participation agreement includes terms that are intended to maintain certain benefits under his prior employment agreement and require each equity award granted to Mr. Stice to become 100% vested upon an eligible termination, and in the case of outstanding performance-based equity awards to vest at the maximum level under the equity award agreement and be settled within ten business days.</w:t>
      </w:r>
    </w:p>
    <w:p>
      <w:pPr>
        <w:spacing w:after="0" w:line="24" w:lineRule="exact"/>
        <w:rPr>
          <w:rFonts w:ascii="Arial" w:cs="Arial" w:eastAsia="Arial" w:hAnsi="Arial"/>
          <w:sz w:val="13"/>
          <w:szCs w:val="13"/>
          <w:i w:val="1"/>
          <w:iCs w:val="1"/>
          <w:color w:val="auto"/>
        </w:rPr>
      </w:pPr>
    </w:p>
    <w:p>
      <w:pPr>
        <w:jc w:val="both"/>
        <w:ind w:left="300" w:hanging="299"/>
        <w:spacing w:after="0" w:line="251" w:lineRule="auto"/>
        <w:tabs>
          <w:tab w:leader="none" w:pos="300" w:val="left"/>
        </w:tabs>
        <w:numPr>
          <w:ilvl w:val="0"/>
          <w:numId w:val="111"/>
        </w:numPr>
        <w:rPr>
          <w:rFonts w:ascii="Arial" w:cs="Arial" w:eastAsia="Arial" w:hAnsi="Arial"/>
          <w:sz w:val="13"/>
          <w:szCs w:val="13"/>
          <w:i w:val="1"/>
          <w:iCs w:val="1"/>
          <w:color w:val="auto"/>
        </w:rPr>
      </w:pPr>
      <w:r>
        <w:rPr>
          <w:rFonts w:ascii="Arial" w:cs="Arial" w:eastAsia="Arial" w:hAnsi="Arial"/>
          <w:sz w:val="13"/>
          <w:szCs w:val="13"/>
          <w:i w:val="1"/>
          <w:iCs w:val="1"/>
          <w:color w:val="auto"/>
        </w:rPr>
        <w:t>The restricted stock units granted under Diamondback’s Equity Incentive Plan to each of Mr. Van’t Hof, Mr. Thompson, Ms. Dick, Mr. Wesson and Mr. Zmigrosky that remained unvested as of December 31, 2025 have double-trigger provisions and will vest upon (i) qualifying termination without cause within 24 months of the occurrence of the change in control of the Company or (ii) upon such executive officer’s death or disability. For ease of calculation, the Company assumed the performance conditions were satisfied at target to determine the number of performance-based restricted stock units that such NEO would be entitled to upon a change of control. However, in accordance with the terms of the applicable equity award agreement, actual payouts of the performance-based restricted stock units may be between zero percent up to a maximum equal to 250% of the target number of performance-based restricted stock units granted based on the Company’s performance during the relevant performance periods.</w:t>
      </w:r>
    </w:p>
    <w:p>
      <w:pPr>
        <w:spacing w:after="0" w:line="33" w:lineRule="exact"/>
        <w:rPr>
          <w:rFonts w:ascii="Arial" w:cs="Arial" w:eastAsia="Arial" w:hAnsi="Arial"/>
          <w:sz w:val="13"/>
          <w:szCs w:val="13"/>
          <w:i w:val="1"/>
          <w:iCs w:val="1"/>
          <w:color w:val="auto"/>
        </w:rPr>
      </w:pPr>
    </w:p>
    <w:p>
      <w:pPr>
        <w:jc w:val="both"/>
        <w:ind w:left="300" w:hanging="299"/>
        <w:spacing w:after="0" w:line="246" w:lineRule="auto"/>
        <w:tabs>
          <w:tab w:leader="none" w:pos="300" w:val="left"/>
        </w:tabs>
        <w:numPr>
          <w:ilvl w:val="0"/>
          <w:numId w:val="1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amounts payable to each NEO under the severance plan and the applicable NEO participation agreement, under which, in the event that the employment of an NEO is terminated by us other than for “cause” (and not by reason of death or disability), or if such NEO terminates his or her employment with us for “good reason,” in each case within the two-year period immediately following a change in control (as defined in the severance plan), he or she will be entitled to receive (i) a lump sum payment equal to the sum of a) the greater of the average of the annual bonuses, if any paid or payable to the NEO with respect to the three years most recently completed and the NEO’s target annual bonus opportunity at the time of termination, plus b) the NEO’s annualized base salary at the time of termination, multiplied by a factor specified in the severance plan (3x for Mr. Stice and Mr. Van’t Hof and 2.5x for each other NEO), (ii) a target annual cash bonus for the year of termination (pro-rated, if applicable based on the number of days employed during the year of termination),</w:t>
      </w:r>
    </w:p>
    <w:p>
      <w:pPr>
        <w:spacing w:after="0" w:line="1" w:lineRule="exact"/>
        <w:rPr>
          <w:rFonts w:ascii="Arial" w:cs="Arial" w:eastAsia="Arial" w:hAnsi="Arial"/>
          <w:sz w:val="13"/>
          <w:szCs w:val="13"/>
          <w:i w:val="1"/>
          <w:iCs w:val="1"/>
          <w:color w:val="auto"/>
        </w:rPr>
      </w:pPr>
    </w:p>
    <w:p>
      <w:pPr>
        <w:ind w:left="300" w:firstLine="4"/>
        <w:spacing w:after="0" w:line="266" w:lineRule="auto"/>
        <w:tabs>
          <w:tab w:leader="none" w:pos="523" w:val="left"/>
        </w:tabs>
        <w:numPr>
          <w:ilvl w:val="1"/>
          <w:numId w:val="111"/>
        </w:numPr>
        <w:rPr>
          <w:rFonts w:ascii="Arial" w:cs="Arial" w:eastAsia="Arial" w:hAnsi="Arial"/>
          <w:sz w:val="13"/>
          <w:szCs w:val="13"/>
          <w:i w:val="1"/>
          <w:iCs w:val="1"/>
          <w:color w:val="auto"/>
        </w:rPr>
      </w:pPr>
      <w:r>
        <w:rPr>
          <w:rFonts w:ascii="Arial" w:cs="Arial" w:eastAsia="Arial" w:hAnsi="Arial"/>
          <w:sz w:val="13"/>
          <w:szCs w:val="13"/>
          <w:i w:val="1"/>
          <w:iCs w:val="1"/>
          <w:color w:val="auto"/>
        </w:rPr>
        <w:t>reimbursements for the cost of premiums for COBRA group health continuation coverage for up to 18 months, and (iv) the vesting or forfeiture (as applicable) of each outstanding unvested equity-based compensation award granted by us or our affiliates in accordance with the terms of the applicable equity award agreement.</w:t>
      </w:r>
    </w:p>
    <w:p>
      <w:pPr>
        <w:spacing w:after="0" w:line="22" w:lineRule="exact"/>
        <w:rPr>
          <w:rFonts w:ascii="Arial" w:cs="Arial" w:eastAsia="Arial" w:hAnsi="Arial"/>
          <w:sz w:val="13"/>
          <w:szCs w:val="13"/>
          <w:i w:val="1"/>
          <w:iCs w:val="1"/>
          <w:color w:val="auto"/>
        </w:rPr>
      </w:pPr>
    </w:p>
    <w:p>
      <w:pPr>
        <w:ind w:left="300" w:hanging="299"/>
        <w:spacing w:after="0" w:line="285" w:lineRule="auto"/>
        <w:tabs>
          <w:tab w:leader="none" w:pos="300" w:val="left"/>
        </w:tabs>
        <w:numPr>
          <w:ilvl w:val="0"/>
          <w:numId w:val="1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a lump sum cash payment equal to 3x Mr. Stice’s base salary plus Mr. Stice’s average bonus for the preceding three years ended December 31, 2025 and a target annual cash bonus for the year of termination.</w:t>
      </w:r>
    </w:p>
    <w:p>
      <w:pPr>
        <w:spacing w:after="0" w:line="10" w:lineRule="exact"/>
        <w:rPr>
          <w:rFonts w:ascii="Arial" w:cs="Arial" w:eastAsia="Arial" w:hAnsi="Arial"/>
          <w:sz w:val="13"/>
          <w:szCs w:val="13"/>
          <w:i w:val="1"/>
          <w:iCs w:val="1"/>
          <w:color w:val="auto"/>
        </w:rPr>
      </w:pPr>
    </w:p>
    <w:p>
      <w:pPr>
        <w:ind w:left="300" w:hanging="299"/>
        <w:spacing w:after="0" w:line="285" w:lineRule="auto"/>
        <w:tabs>
          <w:tab w:leader="none" w:pos="300" w:val="left"/>
        </w:tabs>
        <w:numPr>
          <w:ilvl w:val="0"/>
          <w:numId w:val="1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a lump sum cash payment equal to 3x Mr. Van’t Hof’s base salary plus Mr. Van’t Hof’s average bonus for the preceding three years ended December 31, 2025 and a target annual cash bonus for the year of termination.</w:t>
      </w:r>
    </w:p>
    <w:p>
      <w:pPr>
        <w:spacing w:after="0" w:line="10" w:lineRule="exact"/>
        <w:rPr>
          <w:rFonts w:ascii="Arial" w:cs="Arial" w:eastAsia="Arial" w:hAnsi="Arial"/>
          <w:sz w:val="13"/>
          <w:szCs w:val="13"/>
          <w:i w:val="1"/>
          <w:iCs w:val="1"/>
          <w:color w:val="auto"/>
        </w:rPr>
      </w:pPr>
    </w:p>
    <w:p>
      <w:pPr>
        <w:ind w:left="300" w:hanging="299"/>
        <w:spacing w:after="0" w:line="285" w:lineRule="auto"/>
        <w:tabs>
          <w:tab w:leader="none" w:pos="300" w:val="left"/>
        </w:tabs>
        <w:numPr>
          <w:ilvl w:val="0"/>
          <w:numId w:val="111"/>
        </w:numPr>
        <w:rPr>
          <w:rFonts w:ascii="Arial" w:cs="Arial" w:eastAsia="Arial" w:hAnsi="Arial"/>
          <w:sz w:val="13"/>
          <w:szCs w:val="13"/>
          <w:i w:val="1"/>
          <w:iCs w:val="1"/>
          <w:color w:val="auto"/>
        </w:rPr>
      </w:pPr>
      <w:r>
        <w:rPr>
          <w:rFonts w:ascii="Arial" w:cs="Arial" w:eastAsia="Arial" w:hAnsi="Arial"/>
          <w:sz w:val="13"/>
          <w:szCs w:val="13"/>
          <w:i w:val="1"/>
          <w:iCs w:val="1"/>
          <w:color w:val="auto"/>
        </w:rPr>
        <w:t>For each of Mr. Thompson, Ms. Dick, Mr. Wesson and Mr. Zmigrosky, represents a lump sum cash payment equal to 2.5x of such NEO’s base salary plus such NEO’s average bonus for the preceding three years ended December 31, 2025 and a target annual cash bonus for the year of termination.</w:t>
      </w:r>
    </w:p>
    <w:p>
      <w:pPr>
        <w:spacing w:after="0" w:line="10" w:lineRule="exact"/>
        <w:rPr>
          <w:rFonts w:ascii="Arial" w:cs="Arial" w:eastAsia="Arial" w:hAnsi="Arial"/>
          <w:sz w:val="13"/>
          <w:szCs w:val="13"/>
          <w:i w:val="1"/>
          <w:iCs w:val="1"/>
          <w:color w:val="auto"/>
        </w:rPr>
      </w:pPr>
    </w:p>
    <w:p>
      <w:pPr>
        <w:jc w:val="both"/>
        <w:ind w:left="300" w:hanging="299"/>
        <w:spacing w:after="0" w:line="259" w:lineRule="auto"/>
        <w:tabs>
          <w:tab w:leader="none" w:pos="300" w:val="left"/>
        </w:tabs>
        <w:numPr>
          <w:ilvl w:val="0"/>
          <w:numId w:val="111"/>
        </w:numPr>
        <w:rPr>
          <w:rFonts w:ascii="Arial" w:cs="Arial" w:eastAsia="Arial" w:hAnsi="Arial"/>
          <w:sz w:val="13"/>
          <w:szCs w:val="13"/>
          <w:i w:val="1"/>
          <w:iCs w:val="1"/>
          <w:color w:val="auto"/>
        </w:rPr>
      </w:pPr>
      <w:r>
        <w:rPr>
          <w:rFonts w:ascii="Arial" w:cs="Arial" w:eastAsia="Arial" w:hAnsi="Arial"/>
          <w:sz w:val="13"/>
          <w:szCs w:val="13"/>
          <w:i w:val="1"/>
          <w:iCs w:val="1"/>
          <w:color w:val="auto"/>
        </w:rPr>
        <w:t>In the event that an NEO dies or becomes disabled while employed by us, such NEO will be entitled to (i) an amount, if any, equal to the bonus that would be payable for services attributable to a completed prior year performance period that has not been paid under the terms of the Annual Incentive Plan, (ii) base salary continuation (24 months for Mr. Stice and Mr. Van’t Hof and 18 months of each other NEO) and (iii) a target annual cash bonus for the year of termination (pro-rated, if applicable based on the number of days employed during the year of termination).</w:t>
      </w:r>
    </w:p>
    <w:p>
      <w:pPr>
        <w:spacing w:after="0" w:line="184" w:lineRule="exact"/>
        <w:rPr>
          <w:rFonts w:ascii="Arial" w:cs="Arial" w:eastAsia="Arial" w:hAnsi="Arial"/>
          <w:sz w:val="13"/>
          <w:szCs w:val="13"/>
          <w:i w:val="1"/>
          <w:iCs w:val="1"/>
          <w:color w:val="auto"/>
        </w:rPr>
      </w:pPr>
    </w:p>
    <w:p>
      <w:pPr>
        <w:ind w:left="300" w:hanging="299"/>
        <w:spacing w:after="0" w:line="285" w:lineRule="auto"/>
        <w:tabs>
          <w:tab w:leader="none" w:pos="300" w:val="left"/>
        </w:tabs>
        <w:numPr>
          <w:ilvl w:val="0"/>
          <w:numId w:val="1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reimbursements for the cost of up to 18 months of premiums for COBRA group health continuation coverage to Mr. Stice’s spouse and any eligible dependents, as provided by the terms of Mr. Stice’s participation agreement under the severance plan.</w:t>
      </w:r>
    </w:p>
    <w:p>
      <w:pPr>
        <w:spacing w:after="0" w:line="10" w:lineRule="exact"/>
        <w:rPr>
          <w:rFonts w:ascii="Arial" w:cs="Arial" w:eastAsia="Arial" w:hAnsi="Arial"/>
          <w:sz w:val="13"/>
          <w:szCs w:val="13"/>
          <w:i w:val="1"/>
          <w:iCs w:val="1"/>
          <w:color w:val="auto"/>
        </w:rPr>
      </w:pPr>
    </w:p>
    <w:p>
      <w:pPr>
        <w:jc w:val="both"/>
        <w:ind w:left="300" w:hanging="299"/>
        <w:spacing w:after="0" w:line="259" w:lineRule="auto"/>
        <w:tabs>
          <w:tab w:leader="none" w:pos="300" w:val="left"/>
        </w:tabs>
        <w:numPr>
          <w:ilvl w:val="0"/>
          <w:numId w:val="111"/>
        </w:numPr>
        <w:rPr>
          <w:rFonts w:ascii="Arial" w:cs="Arial" w:eastAsia="Arial" w:hAnsi="Arial"/>
          <w:sz w:val="13"/>
          <w:szCs w:val="13"/>
          <w:i w:val="1"/>
          <w:iCs w:val="1"/>
          <w:color w:val="auto"/>
        </w:rPr>
      </w:pPr>
      <w:r>
        <w:rPr>
          <w:rFonts w:ascii="Arial" w:cs="Arial" w:eastAsia="Arial" w:hAnsi="Arial"/>
          <w:sz w:val="13"/>
          <w:szCs w:val="13"/>
          <w:i w:val="1"/>
          <w:iCs w:val="1"/>
          <w:color w:val="auto"/>
        </w:rPr>
        <w:t>Under the terms of the applicable award agreement, upon such NEO’s death or disability the number of performance-based restricted stock units the officer is entitled to is not determined until the end of the performance period and is settled at the same time it would have had the officer remained employed. For purposes of calculating the number of performance-based restricted stock units that such NEO would be entitled to upon his or her death or disability, the Company assumed that the performance conditions were satisfied at target.</w:t>
      </w:r>
    </w:p>
    <w:p>
      <w:pPr>
        <w:spacing w:after="0" w:line="29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8" w:name="page79"/>
    <w:bookmarkEnd w:id="7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PAY RATIO DISCLOSURE</w:t>
      </w:r>
    </w:p>
    <w:p>
      <w:pPr>
        <w:spacing w:after="0" w:line="34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Pursuant to Item 402(u) of Regulation S-K, we are disclosing the pay ratio and supporting information comparing the median of the annual total compensation of our employees (including full-time, part-time, seasonal and temporary employees) other than our principal executive officer (“Chief Executive Officer”), and the annual total compensation of our Chief Executive Officer. The pay ratio is calculated in a manner consistent with Item 402(u) of Regulation S-K. For the year ended December 31, 2025, our last completed fiscal year:</w:t>
      </w:r>
    </w:p>
    <w:p>
      <w:pPr>
        <w:spacing w:after="0" w:line="142" w:lineRule="exact"/>
        <w:rPr>
          <w:sz w:val="20"/>
          <w:szCs w:val="20"/>
          <w:color w:val="auto"/>
        </w:rPr>
      </w:pPr>
    </w:p>
    <w:p>
      <w:pPr>
        <w:ind w:left="160" w:hanging="159"/>
        <w:spacing w:after="0"/>
        <w:tabs>
          <w:tab w:leader="none" w:pos="160" w:val="left"/>
        </w:tabs>
        <w:numPr>
          <w:ilvl w:val="0"/>
          <w:numId w:val="113"/>
        </w:numPr>
        <w:rPr>
          <w:rFonts w:ascii="Arial" w:cs="Arial" w:eastAsia="Arial" w:hAnsi="Arial"/>
          <w:sz w:val="15"/>
          <w:szCs w:val="15"/>
          <w:color w:val="A26F2A"/>
        </w:rPr>
      </w:pPr>
      <w:r>
        <w:rPr>
          <w:rFonts w:ascii="Arial" w:cs="Arial" w:eastAsia="Arial" w:hAnsi="Arial"/>
          <w:sz w:val="15"/>
          <w:szCs w:val="15"/>
          <w:color w:val="auto"/>
        </w:rPr>
        <w:t>The median of the annual total compensation of all of our employees, other than our Chief Executive Officer, is $168,095.</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113"/>
        </w:numPr>
        <w:rPr>
          <w:rFonts w:ascii="Arial" w:cs="Arial" w:eastAsia="Arial" w:hAnsi="Arial"/>
          <w:sz w:val="15"/>
          <w:szCs w:val="15"/>
          <w:color w:val="A26F2A"/>
        </w:rPr>
      </w:pPr>
      <w:r>
        <w:rPr>
          <w:rFonts w:ascii="Arial" w:cs="Arial" w:eastAsia="Arial" w:hAnsi="Arial"/>
          <w:sz w:val="15"/>
          <w:szCs w:val="15"/>
          <w:color w:val="auto"/>
        </w:rPr>
        <w:t>The annual total compensation of our Chief Executive Officer serving on December 31, 2025 is $14,931,423.</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113"/>
        </w:numPr>
        <w:rPr>
          <w:rFonts w:ascii="Arial" w:cs="Arial" w:eastAsia="Arial" w:hAnsi="Arial"/>
          <w:sz w:val="15"/>
          <w:szCs w:val="15"/>
          <w:color w:val="A26F2A"/>
        </w:rPr>
      </w:pPr>
      <w:r>
        <w:rPr>
          <w:rFonts w:ascii="Arial" w:cs="Arial" w:eastAsia="Arial" w:hAnsi="Arial"/>
          <w:sz w:val="15"/>
          <w:szCs w:val="15"/>
          <w:color w:val="auto"/>
        </w:rPr>
        <w:t>The ratio of the annual total compensation of our Chief Executive Officer to the median of the annual total compensation of all other employees is 89 to 1.</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To identify the median employee for 2025 (the 2025 Median Employee), we reviewed our employee population as of December 31, 2025. For 2025, we used wages reported in Box 1 of IRS Form W-2 during the 12-month period ending on December 31, 2025, as a consistently applied compensation measure. We did not annualize the wages for new employees or employees on unpaid leave of absence who were employed for less than the full fiscal year, or make cost of living adjustments. Based on this methodology, we identified an employee whose compensation was at the median of the employee data.</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Once we identified the 2025 Median Employee, we calculated the annual total compensation using the rules applicable to the Summary Compensation Table. With respect to the annual total compensation of our Chief Executive Officer serving on December 31, 2025, we used the amount reported in the “Total” column for 2025 in the Summary Compensation Table on page 66.</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pay ratio rules provide companies with flexibility to select the methodology and assumptions used to identify the median employee, calculate the median employee’s compensation and estimate the pay ratio. As a result, our methodology may differ from those used by other companies, including those within our industry, and may not be comparable to pay ratios reported by other companies.</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b w:val="1"/>
          <w:bCs w:val="1"/>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9" w:name="page80"/>
    <w:bookmarkEnd w:id="7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PAY VERSUS PERFORMANCE DISCLOSURE</w:t>
      </w:r>
    </w:p>
    <w:p>
      <w:pPr>
        <w:spacing w:after="0" w:line="315" w:lineRule="exact"/>
        <w:rPr>
          <w:sz w:val="20"/>
          <w:szCs w:val="20"/>
          <w:color w:val="auto"/>
        </w:rPr>
      </w:pPr>
    </w:p>
    <w:p>
      <w:pPr>
        <w:jc w:val="both"/>
        <w:ind w:right="100"/>
        <w:spacing w:after="0" w:line="255" w:lineRule="auto"/>
        <w:rPr>
          <w:sz w:val="20"/>
          <w:szCs w:val="20"/>
          <w:color w:val="auto"/>
        </w:rPr>
      </w:pPr>
      <w:r>
        <w:rPr>
          <w:rFonts w:ascii="Arial" w:cs="Arial" w:eastAsia="Arial" w:hAnsi="Arial"/>
          <w:sz w:val="15"/>
          <w:szCs w:val="15"/>
          <w:color w:val="auto"/>
        </w:rPr>
        <w:t>As required by Section 953(a) of the Dodd-Frank Wall Street Reform and Consumer Protection Act, and Item 402(v) of Regulation S-K, we are providing the following information about the relationship between executive compensation actually paid to our Chief Executive Officer, who is referred to in the table below as our principal executive officer (“PEO”), and our other named executive officers, who are referred to in the table below as our Non-PEO NEOs, and certain financial performance of the Company. For further information concerning Company’s pay for performance philosophy and how the Company aligns executive compensation with the Company’s performance, refer to “Compensation Discussion and Analysis.”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The PEOs and Non-PEO NEOs included in this section refer to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Year</w:t>
            </w:r>
          </w:p>
        </w:tc>
        <w:tc>
          <w:tcPr>
            <w:tcW w:w="3380" w:type="dxa"/>
            <w:vAlign w:val="bottom"/>
            <w:tcBorders>
              <w:bottom w:val="single" w:sz="8" w:color="A26F2A"/>
            </w:tcBorders>
          </w:tcPr>
          <w:p>
            <w:pPr>
              <w:ind w:left="600"/>
              <w:spacing w:after="0"/>
              <w:rPr>
                <w:sz w:val="20"/>
                <w:szCs w:val="20"/>
                <w:color w:val="auto"/>
              </w:rPr>
            </w:pPr>
            <w:r>
              <w:rPr>
                <w:rFonts w:ascii="Arial" w:cs="Arial" w:eastAsia="Arial" w:hAnsi="Arial"/>
                <w:sz w:val="15"/>
                <w:szCs w:val="15"/>
                <w:b w:val="1"/>
                <w:bCs w:val="1"/>
                <w:color w:val="auto"/>
              </w:rPr>
              <w:t>PEO</w:t>
            </w:r>
          </w:p>
        </w:tc>
        <w:tc>
          <w:tcPr>
            <w:tcW w:w="6880" w:type="dxa"/>
            <w:vAlign w:val="bottom"/>
            <w:tcBorders>
              <w:bottom w:val="single" w:sz="8" w:color="A26F2A"/>
            </w:tcBorders>
          </w:tcPr>
          <w:p>
            <w:pPr>
              <w:ind w:left="820"/>
              <w:spacing w:after="0"/>
              <w:rPr>
                <w:sz w:val="20"/>
                <w:szCs w:val="20"/>
                <w:color w:val="auto"/>
              </w:rPr>
            </w:pPr>
            <w:r>
              <w:rPr>
                <w:rFonts w:ascii="Arial" w:cs="Arial" w:eastAsia="Arial" w:hAnsi="Arial"/>
                <w:sz w:val="15"/>
                <w:szCs w:val="15"/>
                <w:b w:val="1"/>
                <w:bCs w:val="1"/>
                <w:color w:val="auto"/>
              </w:rPr>
              <w:t>Non-PEO NEOs</w:t>
            </w:r>
          </w:p>
        </w:tc>
      </w:tr>
      <w:tr>
        <w:trPr>
          <w:trHeight w:val="164"/>
        </w:trPr>
        <w:tc>
          <w:tcPr>
            <w:tcW w:w="980" w:type="dxa"/>
            <w:vAlign w:val="bottom"/>
          </w:tcPr>
          <w:p>
            <w:pPr>
              <w:ind w:left="60"/>
              <w:spacing w:after="0" w:line="164" w:lineRule="exact"/>
              <w:rPr>
                <w:sz w:val="20"/>
                <w:szCs w:val="20"/>
                <w:color w:val="auto"/>
              </w:rPr>
            </w:pPr>
            <w:r>
              <w:rPr>
                <w:rFonts w:ascii="Arial" w:cs="Arial" w:eastAsia="Arial" w:hAnsi="Arial"/>
                <w:sz w:val="15"/>
                <w:szCs w:val="15"/>
                <w:color w:val="auto"/>
              </w:rPr>
              <w:t>2025</w:t>
            </w:r>
          </w:p>
        </w:tc>
        <w:tc>
          <w:tcPr>
            <w:tcW w:w="3380" w:type="dxa"/>
            <w:vAlign w:val="bottom"/>
          </w:tcPr>
          <w:p>
            <w:pPr>
              <w:ind w:left="600"/>
              <w:spacing w:after="0" w:line="164" w:lineRule="exact"/>
              <w:rPr>
                <w:sz w:val="20"/>
                <w:szCs w:val="20"/>
                <w:color w:val="auto"/>
              </w:rPr>
            </w:pPr>
            <w:r>
              <w:rPr>
                <w:rFonts w:ascii="Arial" w:cs="Arial" w:eastAsia="Arial" w:hAnsi="Arial"/>
                <w:sz w:val="15"/>
                <w:szCs w:val="15"/>
                <w:color w:val="auto"/>
              </w:rPr>
              <w:t>Current PEO: Kaes Van’t Hof</w:t>
            </w:r>
          </w:p>
        </w:tc>
        <w:tc>
          <w:tcPr>
            <w:tcW w:w="6880" w:type="dxa"/>
            <w:vAlign w:val="bottom"/>
          </w:tcPr>
          <w:p>
            <w:pPr>
              <w:ind w:left="820"/>
              <w:spacing w:after="0" w:line="164" w:lineRule="exact"/>
              <w:rPr>
                <w:sz w:val="20"/>
                <w:szCs w:val="20"/>
                <w:color w:val="auto"/>
              </w:rPr>
            </w:pPr>
            <w:r>
              <w:rPr>
                <w:rFonts w:ascii="Arial" w:cs="Arial" w:eastAsia="Arial" w:hAnsi="Arial"/>
                <w:sz w:val="15"/>
                <w:szCs w:val="15"/>
                <w:color w:val="auto"/>
              </w:rPr>
              <w:t>Jere W. Thompson III, Teresa L. Dick, Daniel N. Wesson, Matt Zmigrosky</w:t>
            </w:r>
          </w:p>
        </w:tc>
      </w:tr>
      <w:tr>
        <w:trPr>
          <w:trHeight w:val="189"/>
        </w:trPr>
        <w:tc>
          <w:tcPr>
            <w:tcW w:w="980" w:type="dxa"/>
            <w:vAlign w:val="bottom"/>
            <w:tcBorders>
              <w:bottom w:val="single" w:sz="8" w:color="A8A8AC"/>
            </w:tcBorders>
          </w:tcPr>
          <w:p>
            <w:pPr>
              <w:spacing w:after="0"/>
              <w:rPr>
                <w:sz w:val="16"/>
                <w:szCs w:val="16"/>
                <w:color w:val="auto"/>
              </w:rPr>
            </w:pPr>
          </w:p>
        </w:tc>
        <w:tc>
          <w:tcPr>
            <w:tcW w:w="3380" w:type="dxa"/>
            <w:vAlign w:val="bottom"/>
            <w:tcBorders>
              <w:bottom w:val="single" w:sz="8" w:color="A8A8AC"/>
            </w:tcBorders>
          </w:tcPr>
          <w:p>
            <w:pPr>
              <w:ind w:left="600"/>
              <w:spacing w:after="0"/>
              <w:rPr>
                <w:sz w:val="20"/>
                <w:szCs w:val="20"/>
                <w:color w:val="auto"/>
              </w:rPr>
            </w:pPr>
            <w:r>
              <w:rPr>
                <w:rFonts w:ascii="Arial" w:cs="Arial" w:eastAsia="Arial" w:hAnsi="Arial"/>
                <w:sz w:val="15"/>
                <w:szCs w:val="15"/>
                <w:color w:val="auto"/>
              </w:rPr>
              <w:t>Former PEO: Travis D. Stice</w:t>
            </w:r>
          </w:p>
        </w:tc>
        <w:tc>
          <w:tcPr>
            <w:tcW w:w="6880" w:type="dxa"/>
            <w:vAlign w:val="bottom"/>
            <w:tcBorders>
              <w:bottom w:val="single" w:sz="8" w:color="A8A8AC"/>
            </w:tcBorders>
          </w:tcPr>
          <w:p>
            <w:pPr>
              <w:spacing w:after="0"/>
              <w:rPr>
                <w:sz w:val="16"/>
                <w:szCs w:val="16"/>
                <w:color w:val="auto"/>
              </w:rPr>
            </w:pPr>
          </w:p>
        </w:tc>
      </w:tr>
      <w:tr>
        <w:trPr>
          <w:trHeight w:val="182"/>
        </w:trPr>
        <w:tc>
          <w:tcPr>
            <w:tcW w:w="980" w:type="dxa"/>
            <w:vAlign w:val="bottom"/>
            <w:tcBorders>
              <w:bottom w:val="single" w:sz="8" w:color="A8A8AC"/>
            </w:tcBorders>
          </w:tcPr>
          <w:p>
            <w:pPr>
              <w:ind w:left="60"/>
              <w:spacing w:after="0"/>
              <w:rPr>
                <w:sz w:val="20"/>
                <w:szCs w:val="20"/>
                <w:color w:val="auto"/>
              </w:rPr>
            </w:pPr>
            <w:r>
              <w:rPr>
                <w:rFonts w:ascii="Arial" w:cs="Arial" w:eastAsia="Arial" w:hAnsi="Arial"/>
                <w:sz w:val="15"/>
                <w:szCs w:val="15"/>
                <w:color w:val="auto"/>
              </w:rPr>
              <w:t>2024</w:t>
            </w:r>
          </w:p>
        </w:tc>
        <w:tc>
          <w:tcPr>
            <w:tcW w:w="3380" w:type="dxa"/>
            <w:vAlign w:val="bottom"/>
            <w:tcBorders>
              <w:bottom w:val="single" w:sz="8" w:color="A8A8AC"/>
            </w:tcBorders>
          </w:tcPr>
          <w:p>
            <w:pPr>
              <w:ind w:left="600"/>
              <w:spacing w:after="0"/>
              <w:rPr>
                <w:sz w:val="20"/>
                <w:szCs w:val="20"/>
                <w:color w:val="auto"/>
              </w:rPr>
            </w:pPr>
            <w:r>
              <w:rPr>
                <w:rFonts w:ascii="Arial" w:cs="Arial" w:eastAsia="Arial" w:hAnsi="Arial"/>
                <w:sz w:val="15"/>
                <w:szCs w:val="15"/>
                <w:color w:val="auto"/>
              </w:rPr>
              <w:t>Travis D. Stice</w:t>
            </w:r>
          </w:p>
        </w:tc>
        <w:tc>
          <w:tcPr>
            <w:tcW w:w="6880" w:type="dxa"/>
            <w:vAlign w:val="bottom"/>
            <w:tcBorders>
              <w:bottom w:val="single" w:sz="8" w:color="A8A8AC"/>
            </w:tcBorders>
          </w:tcPr>
          <w:p>
            <w:pPr>
              <w:ind w:left="820"/>
              <w:spacing w:after="0"/>
              <w:rPr>
                <w:sz w:val="20"/>
                <w:szCs w:val="20"/>
                <w:color w:val="auto"/>
              </w:rPr>
            </w:pPr>
            <w:r>
              <w:rPr>
                <w:rFonts w:ascii="Arial" w:cs="Arial" w:eastAsia="Arial" w:hAnsi="Arial"/>
                <w:sz w:val="15"/>
                <w:szCs w:val="15"/>
                <w:color w:val="auto"/>
              </w:rPr>
              <w:t>Kaes Van’t Hof, Teresa L. Dick, Daniel N. Wesson, Matt Zmigrosky</w:t>
            </w:r>
          </w:p>
        </w:tc>
      </w:tr>
      <w:tr>
        <w:trPr>
          <w:trHeight w:val="182"/>
        </w:trPr>
        <w:tc>
          <w:tcPr>
            <w:tcW w:w="980" w:type="dxa"/>
            <w:vAlign w:val="bottom"/>
            <w:tcBorders>
              <w:bottom w:val="single" w:sz="8" w:color="A8A8AC"/>
            </w:tcBorders>
          </w:tcPr>
          <w:p>
            <w:pPr>
              <w:ind w:left="60"/>
              <w:spacing w:after="0"/>
              <w:rPr>
                <w:sz w:val="20"/>
                <w:szCs w:val="20"/>
                <w:color w:val="auto"/>
              </w:rPr>
            </w:pPr>
            <w:r>
              <w:rPr>
                <w:rFonts w:ascii="Arial" w:cs="Arial" w:eastAsia="Arial" w:hAnsi="Arial"/>
                <w:sz w:val="15"/>
                <w:szCs w:val="15"/>
                <w:color w:val="auto"/>
              </w:rPr>
              <w:t>2023</w:t>
            </w:r>
          </w:p>
        </w:tc>
        <w:tc>
          <w:tcPr>
            <w:tcW w:w="3380" w:type="dxa"/>
            <w:vAlign w:val="bottom"/>
            <w:tcBorders>
              <w:bottom w:val="single" w:sz="8" w:color="A8A8AC"/>
            </w:tcBorders>
          </w:tcPr>
          <w:p>
            <w:pPr>
              <w:ind w:left="600"/>
              <w:spacing w:after="0"/>
              <w:rPr>
                <w:sz w:val="20"/>
                <w:szCs w:val="20"/>
                <w:color w:val="auto"/>
              </w:rPr>
            </w:pPr>
            <w:r>
              <w:rPr>
                <w:rFonts w:ascii="Arial" w:cs="Arial" w:eastAsia="Arial" w:hAnsi="Arial"/>
                <w:sz w:val="15"/>
                <w:szCs w:val="15"/>
                <w:color w:val="auto"/>
              </w:rPr>
              <w:t>Travis D. Stice</w:t>
            </w:r>
          </w:p>
        </w:tc>
        <w:tc>
          <w:tcPr>
            <w:tcW w:w="6880" w:type="dxa"/>
            <w:vAlign w:val="bottom"/>
            <w:tcBorders>
              <w:bottom w:val="single" w:sz="8" w:color="A8A8AC"/>
            </w:tcBorders>
          </w:tcPr>
          <w:p>
            <w:pPr>
              <w:ind w:left="820"/>
              <w:spacing w:after="0"/>
              <w:rPr>
                <w:sz w:val="20"/>
                <w:szCs w:val="20"/>
                <w:color w:val="auto"/>
              </w:rPr>
            </w:pPr>
            <w:r>
              <w:rPr>
                <w:rFonts w:ascii="Arial" w:cs="Arial" w:eastAsia="Arial" w:hAnsi="Arial"/>
                <w:sz w:val="15"/>
                <w:szCs w:val="15"/>
                <w:color w:val="auto"/>
              </w:rPr>
              <w:t>Kaes Van’t Hof, Teresa L. Dick, Daniel N. Wesson, Matt Zmigrosky</w:t>
            </w:r>
          </w:p>
        </w:tc>
      </w:tr>
      <w:tr>
        <w:trPr>
          <w:trHeight w:val="182"/>
        </w:trPr>
        <w:tc>
          <w:tcPr>
            <w:tcW w:w="980" w:type="dxa"/>
            <w:vAlign w:val="bottom"/>
            <w:tcBorders>
              <w:bottom w:val="single" w:sz="8" w:color="A8A8AC"/>
            </w:tcBorders>
          </w:tcPr>
          <w:p>
            <w:pPr>
              <w:ind w:left="60"/>
              <w:spacing w:after="0"/>
              <w:rPr>
                <w:sz w:val="20"/>
                <w:szCs w:val="20"/>
                <w:color w:val="auto"/>
              </w:rPr>
            </w:pPr>
            <w:r>
              <w:rPr>
                <w:rFonts w:ascii="Arial" w:cs="Arial" w:eastAsia="Arial" w:hAnsi="Arial"/>
                <w:sz w:val="15"/>
                <w:szCs w:val="15"/>
                <w:color w:val="auto"/>
              </w:rPr>
              <w:t>2022</w:t>
            </w:r>
          </w:p>
        </w:tc>
        <w:tc>
          <w:tcPr>
            <w:tcW w:w="3380" w:type="dxa"/>
            <w:vAlign w:val="bottom"/>
            <w:tcBorders>
              <w:bottom w:val="single" w:sz="8" w:color="A8A8AC"/>
            </w:tcBorders>
          </w:tcPr>
          <w:p>
            <w:pPr>
              <w:ind w:left="600"/>
              <w:spacing w:after="0"/>
              <w:rPr>
                <w:sz w:val="20"/>
                <w:szCs w:val="20"/>
                <w:color w:val="auto"/>
              </w:rPr>
            </w:pPr>
            <w:r>
              <w:rPr>
                <w:rFonts w:ascii="Arial" w:cs="Arial" w:eastAsia="Arial" w:hAnsi="Arial"/>
                <w:sz w:val="15"/>
                <w:szCs w:val="15"/>
                <w:color w:val="auto"/>
              </w:rPr>
              <w:t>Travis D. Stice</w:t>
            </w:r>
          </w:p>
        </w:tc>
        <w:tc>
          <w:tcPr>
            <w:tcW w:w="6880" w:type="dxa"/>
            <w:vAlign w:val="bottom"/>
            <w:tcBorders>
              <w:bottom w:val="single" w:sz="8" w:color="A8A8AC"/>
            </w:tcBorders>
          </w:tcPr>
          <w:p>
            <w:pPr>
              <w:ind w:left="820"/>
              <w:spacing w:after="0"/>
              <w:rPr>
                <w:sz w:val="20"/>
                <w:szCs w:val="20"/>
                <w:color w:val="auto"/>
              </w:rPr>
            </w:pPr>
            <w:r>
              <w:rPr>
                <w:rFonts w:ascii="Arial" w:cs="Arial" w:eastAsia="Arial" w:hAnsi="Arial"/>
                <w:sz w:val="15"/>
                <w:szCs w:val="15"/>
                <w:color w:val="auto"/>
              </w:rPr>
              <w:t>Kaes Van’t Hof, Teresa L. Dick, Daniel N. Wesson, Matt Zmigrosky</w:t>
            </w:r>
          </w:p>
        </w:tc>
      </w:tr>
      <w:tr>
        <w:trPr>
          <w:trHeight w:val="169"/>
        </w:trPr>
        <w:tc>
          <w:tcPr>
            <w:tcW w:w="980" w:type="dxa"/>
            <w:vAlign w:val="bottom"/>
            <w:tcBorders>
              <w:bottom w:val="single" w:sz="8" w:color="A26F2A"/>
            </w:tcBorders>
          </w:tcPr>
          <w:p>
            <w:pPr>
              <w:ind w:left="60"/>
              <w:spacing w:after="0" w:line="169" w:lineRule="exact"/>
              <w:rPr>
                <w:sz w:val="20"/>
                <w:szCs w:val="20"/>
                <w:color w:val="auto"/>
              </w:rPr>
            </w:pPr>
            <w:r>
              <w:rPr>
                <w:rFonts w:ascii="Arial" w:cs="Arial" w:eastAsia="Arial" w:hAnsi="Arial"/>
                <w:sz w:val="15"/>
                <w:szCs w:val="15"/>
                <w:color w:val="auto"/>
              </w:rPr>
              <w:t>2021</w:t>
            </w:r>
          </w:p>
        </w:tc>
        <w:tc>
          <w:tcPr>
            <w:tcW w:w="3380" w:type="dxa"/>
            <w:vAlign w:val="bottom"/>
            <w:tcBorders>
              <w:bottom w:val="single" w:sz="8" w:color="A26F2A"/>
            </w:tcBorders>
          </w:tcPr>
          <w:p>
            <w:pPr>
              <w:ind w:left="600"/>
              <w:spacing w:after="0" w:line="169" w:lineRule="exact"/>
              <w:rPr>
                <w:sz w:val="20"/>
                <w:szCs w:val="20"/>
                <w:color w:val="auto"/>
              </w:rPr>
            </w:pPr>
            <w:r>
              <w:rPr>
                <w:rFonts w:ascii="Arial" w:cs="Arial" w:eastAsia="Arial" w:hAnsi="Arial"/>
                <w:sz w:val="15"/>
                <w:szCs w:val="15"/>
                <w:color w:val="auto"/>
              </w:rPr>
              <w:t>Travis D. Stice</w:t>
            </w:r>
          </w:p>
        </w:tc>
        <w:tc>
          <w:tcPr>
            <w:tcW w:w="6880" w:type="dxa"/>
            <w:vAlign w:val="bottom"/>
            <w:tcBorders>
              <w:bottom w:val="single" w:sz="8" w:color="A26F2A"/>
            </w:tcBorders>
          </w:tcPr>
          <w:p>
            <w:pPr>
              <w:ind w:left="820"/>
              <w:spacing w:after="0" w:line="169" w:lineRule="exact"/>
              <w:rPr>
                <w:sz w:val="20"/>
                <w:szCs w:val="20"/>
                <w:color w:val="auto"/>
              </w:rPr>
            </w:pPr>
            <w:r>
              <w:rPr>
                <w:rFonts w:ascii="Arial" w:cs="Arial" w:eastAsia="Arial" w:hAnsi="Arial"/>
                <w:sz w:val="15"/>
                <w:szCs w:val="15"/>
                <w:color w:val="auto"/>
              </w:rPr>
              <w:t>Kaes Van’t Hof, Teresa L. Dick, Russell Pantermuehl, Daniel N. Wesson</w:t>
            </w:r>
          </w:p>
        </w:tc>
      </w:tr>
    </w:tbl>
    <w:p>
      <w:pPr>
        <w:spacing w:after="0" w:line="164" w:lineRule="exact"/>
        <w:rPr>
          <w:sz w:val="20"/>
          <w:szCs w:val="20"/>
          <w:color w:val="auto"/>
        </w:rPr>
      </w:pPr>
    </w:p>
    <w:p>
      <w:pPr>
        <w:jc w:val="center"/>
        <w:ind w:left="1080"/>
        <w:spacing w:after="0"/>
        <w:rPr>
          <w:sz w:val="20"/>
          <w:szCs w:val="20"/>
          <w:color w:val="auto"/>
        </w:rPr>
      </w:pPr>
      <w:r>
        <w:rPr>
          <w:rFonts w:ascii="Arial" w:cs="Arial" w:eastAsia="Arial" w:hAnsi="Arial"/>
          <w:sz w:val="15"/>
          <w:szCs w:val="15"/>
          <w:b w:val="1"/>
          <w:bCs w:val="1"/>
          <w:color w:val="auto"/>
        </w:rPr>
        <w:t>Value of Initial Fixed $100</w:t>
      </w:r>
    </w:p>
    <w:p>
      <w:pPr>
        <w:spacing w:after="0" w:line="18" w:lineRule="exact"/>
        <w:rPr>
          <w:sz w:val="20"/>
          <w:szCs w:val="20"/>
          <w:color w:val="auto"/>
        </w:rPr>
      </w:pPr>
    </w:p>
    <w:p>
      <w:pPr>
        <w:jc w:val="center"/>
        <w:ind w:left="1080"/>
        <w:spacing w:after="0"/>
        <w:rPr>
          <w:sz w:val="20"/>
          <w:szCs w:val="20"/>
          <w:color w:val="auto"/>
        </w:rPr>
      </w:pPr>
      <w:r>
        <w:rPr>
          <w:rFonts w:ascii="Arial" w:cs="Arial" w:eastAsia="Arial" w:hAnsi="Arial"/>
          <w:sz w:val="15"/>
          <w:szCs w:val="15"/>
          <w:b w:val="1"/>
          <w:bCs w:val="1"/>
          <w:color w:val="auto"/>
        </w:rPr>
        <w:t>Investment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1270</wp:posOffset>
            </wp:positionV>
            <wp:extent cx="14027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02715" cy="825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Average</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7"/>
        </w:trPr>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Summary</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Average</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Arial" w:cs="Arial" w:eastAsia="Arial" w:hAnsi="Arial"/>
                <w:sz w:val="15"/>
                <w:szCs w:val="15"/>
                <w:b w:val="1"/>
                <w:bCs w:val="1"/>
                <w:color w:val="auto"/>
              </w:rPr>
              <w:t>Return on</w:t>
            </w:r>
          </w:p>
        </w:tc>
      </w:tr>
      <w:tr>
        <w:trPr>
          <w:trHeight w:val="177"/>
        </w:trPr>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Summary</w:t>
            </w:r>
          </w:p>
        </w:tc>
        <w:tc>
          <w:tcPr>
            <w:tcW w:w="1160" w:type="dxa"/>
            <w:vAlign w:val="bottom"/>
            <w:gridSpan w:val="2"/>
          </w:tcPr>
          <w:p>
            <w:pPr>
              <w:ind w:left="60"/>
              <w:spacing w:after="0"/>
              <w:rPr>
                <w:sz w:val="20"/>
                <w:szCs w:val="20"/>
                <w:color w:val="auto"/>
              </w:rPr>
            </w:pPr>
            <w:r>
              <w:rPr>
                <w:rFonts w:ascii="Arial" w:cs="Arial" w:eastAsia="Arial" w:hAnsi="Arial"/>
                <w:sz w:val="15"/>
                <w:szCs w:val="15"/>
                <w:b w:val="1"/>
                <w:bCs w:val="1"/>
                <w:color w:val="auto"/>
              </w:rPr>
              <w:t>Compensation</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Summary</w:t>
            </w:r>
          </w:p>
        </w:tc>
        <w:tc>
          <w:tcPr>
            <w:tcW w:w="1160" w:type="dxa"/>
            <w:vAlign w:val="bottom"/>
            <w:gridSpan w:val="2"/>
          </w:tcPr>
          <w:p>
            <w:pPr>
              <w:ind w:left="60"/>
              <w:spacing w:after="0"/>
              <w:rPr>
                <w:sz w:val="20"/>
                <w:szCs w:val="20"/>
                <w:color w:val="auto"/>
              </w:rPr>
            </w:pPr>
            <w:r>
              <w:rPr>
                <w:rFonts w:ascii="Arial" w:cs="Arial" w:eastAsia="Arial" w:hAnsi="Arial"/>
                <w:sz w:val="15"/>
                <w:szCs w:val="15"/>
                <w:b w:val="1"/>
                <w:bCs w:val="1"/>
                <w:color w:val="auto"/>
              </w:rPr>
              <w:t>Compensation</w:t>
            </w:r>
          </w:p>
        </w:tc>
        <w:tc>
          <w:tcPr>
            <w:tcW w:w="1140" w:type="dxa"/>
            <w:vAlign w:val="bottom"/>
            <w:gridSpan w:val="2"/>
          </w:tcPr>
          <w:p>
            <w:pPr>
              <w:ind w:left="40"/>
              <w:spacing w:after="0"/>
              <w:rPr>
                <w:sz w:val="20"/>
                <w:szCs w:val="20"/>
                <w:color w:val="auto"/>
              </w:rPr>
            </w:pPr>
            <w:r>
              <w:rPr>
                <w:rFonts w:ascii="Arial" w:cs="Arial" w:eastAsia="Arial" w:hAnsi="Arial"/>
                <w:sz w:val="15"/>
                <w:szCs w:val="15"/>
                <w:b w:val="1"/>
                <w:bCs w:val="1"/>
                <w:color w:val="auto"/>
              </w:rPr>
              <w:t>Compensation</w:t>
            </w:r>
          </w:p>
        </w:tc>
        <w:tc>
          <w:tcPr>
            <w:tcW w:w="1160" w:type="dxa"/>
            <w:vAlign w:val="bottom"/>
            <w:gridSpan w:val="2"/>
          </w:tcPr>
          <w:p>
            <w:pPr>
              <w:ind w:left="60"/>
              <w:spacing w:after="0"/>
              <w:rPr>
                <w:sz w:val="20"/>
                <w:szCs w:val="20"/>
                <w:color w:val="auto"/>
              </w:rPr>
            </w:pPr>
            <w:r>
              <w:rPr>
                <w:rFonts w:ascii="Arial" w:cs="Arial" w:eastAsia="Arial" w:hAnsi="Arial"/>
                <w:sz w:val="15"/>
                <w:szCs w:val="15"/>
                <w:b w:val="1"/>
                <w:bCs w:val="1"/>
                <w:color w:val="auto"/>
              </w:rPr>
              <w:t>Compensation</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b w:val="1"/>
                <w:bCs w:val="1"/>
                <w:color w:val="auto"/>
              </w:rPr>
              <w:t>Peer Group</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Net</w:t>
            </w:r>
          </w:p>
        </w:tc>
        <w:tc>
          <w:tcPr>
            <w:tcW w:w="1180" w:type="dxa"/>
            <w:vAlign w:val="bottom"/>
          </w:tcPr>
          <w:p>
            <w:pPr>
              <w:jc w:val="right"/>
              <w:ind w:right="104"/>
              <w:spacing w:after="0"/>
              <w:rPr>
                <w:sz w:val="20"/>
                <w:szCs w:val="20"/>
                <w:color w:val="auto"/>
              </w:rPr>
            </w:pPr>
            <w:r>
              <w:rPr>
                <w:rFonts w:ascii="Arial" w:cs="Arial" w:eastAsia="Arial" w:hAnsi="Arial"/>
                <w:sz w:val="15"/>
                <w:szCs w:val="15"/>
                <w:b w:val="1"/>
                <w:bCs w:val="1"/>
                <w:color w:val="auto"/>
              </w:rPr>
              <w:t>Average</w:t>
            </w:r>
          </w:p>
        </w:tc>
      </w:tr>
      <w:tr>
        <w:trPr>
          <w:trHeight w:val="177"/>
        </w:trPr>
        <w:tc>
          <w:tcPr>
            <w:tcW w:w="4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Compensation</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Actually</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Compensation</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w w:val="99"/>
              </w:rPr>
              <w:t>Actually Paid</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Table Total</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Actually Paid</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Total</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Income</w:t>
            </w:r>
          </w:p>
        </w:tc>
        <w:tc>
          <w:tcPr>
            <w:tcW w:w="1180" w:type="dxa"/>
            <w:vAlign w:val="bottom"/>
          </w:tcPr>
          <w:p>
            <w:pPr>
              <w:jc w:val="right"/>
              <w:ind w:right="104"/>
              <w:spacing w:after="0"/>
              <w:rPr>
                <w:sz w:val="20"/>
                <w:szCs w:val="20"/>
                <w:color w:val="auto"/>
              </w:rPr>
            </w:pPr>
            <w:r>
              <w:rPr>
                <w:rFonts w:ascii="Arial" w:cs="Arial" w:eastAsia="Arial" w:hAnsi="Arial"/>
                <w:sz w:val="15"/>
                <w:szCs w:val="15"/>
                <w:b w:val="1"/>
                <w:bCs w:val="1"/>
                <w:color w:val="auto"/>
              </w:rPr>
              <w:t>Capital</w:t>
            </w:r>
          </w:p>
        </w:tc>
      </w:tr>
      <w:tr>
        <w:trPr>
          <w:trHeight w:val="176"/>
        </w:trPr>
        <w:tc>
          <w:tcPr>
            <w:tcW w:w="4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Table Total for</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Paid to</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Table Total for</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to Former</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for Non-PEO</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to Non-PEO</w:t>
            </w:r>
          </w:p>
        </w:tc>
        <w:tc>
          <w:tcPr>
            <w:tcW w:w="98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Shareholder</w:t>
            </w:r>
          </w:p>
        </w:tc>
        <w:tc>
          <w:tcPr>
            <w:tcW w:w="1000" w:type="dxa"/>
            <w:vAlign w:val="bottom"/>
            <w:gridSpan w:val="2"/>
          </w:tcPr>
          <w:p>
            <w:pPr>
              <w:jc w:val="right"/>
              <w:spacing w:after="0"/>
              <w:rPr>
                <w:sz w:val="20"/>
                <w:szCs w:val="20"/>
                <w:color w:val="auto"/>
              </w:rPr>
            </w:pPr>
            <w:r>
              <w:rPr>
                <w:rFonts w:ascii="Arial" w:cs="Arial" w:eastAsia="Arial" w:hAnsi="Arial"/>
                <w:sz w:val="15"/>
                <w:szCs w:val="15"/>
                <w:b w:val="1"/>
                <w:bCs w:val="1"/>
                <w:color w:val="auto"/>
              </w:rPr>
              <w:t>Shareholder</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(Loss) (in</w:t>
            </w:r>
          </w:p>
        </w:tc>
        <w:tc>
          <w:tcPr>
            <w:tcW w:w="1180" w:type="dxa"/>
            <w:vAlign w:val="bottom"/>
          </w:tcPr>
          <w:p>
            <w:pPr>
              <w:jc w:val="right"/>
              <w:ind w:right="104"/>
              <w:spacing w:after="0"/>
              <w:rPr>
                <w:sz w:val="20"/>
                <w:szCs w:val="20"/>
                <w:color w:val="auto"/>
              </w:rPr>
            </w:pPr>
            <w:r>
              <w:rPr>
                <w:rFonts w:ascii="Arial" w:cs="Arial" w:eastAsia="Arial" w:hAnsi="Arial"/>
                <w:sz w:val="15"/>
                <w:szCs w:val="15"/>
                <w:b w:val="1"/>
                <w:bCs w:val="1"/>
                <w:color w:val="auto"/>
              </w:rPr>
              <w:t>Employed</w:t>
            </w:r>
          </w:p>
        </w:tc>
      </w:tr>
      <w:tr>
        <w:trPr>
          <w:trHeight w:val="232"/>
        </w:trPr>
        <w:tc>
          <w:tcPr>
            <w:tcW w:w="1560" w:type="dxa"/>
            <w:vAlign w:val="bottom"/>
            <w:tcBorders>
              <w:bottom w:val="single" w:sz="8" w:color="A26F2A"/>
            </w:tcBorders>
            <w:gridSpan w:val="3"/>
          </w:tcPr>
          <w:p>
            <w:pPr>
              <w:ind w:left="60"/>
              <w:spacing w:after="0" w:line="227" w:lineRule="exact"/>
              <w:rPr>
                <w:sz w:val="20"/>
                <w:szCs w:val="20"/>
                <w:color w:val="auto"/>
              </w:rPr>
            </w:pPr>
            <w:r>
              <w:rPr>
                <w:rFonts w:ascii="Arial" w:cs="Arial" w:eastAsia="Arial" w:hAnsi="Arial"/>
                <w:sz w:val="15"/>
                <w:szCs w:val="15"/>
                <w:b w:val="1"/>
                <w:bCs w:val="1"/>
                <w:color w:val="auto"/>
              </w:rPr>
              <w:t>Year Current PEO</w:t>
            </w:r>
            <w:r>
              <w:rPr>
                <w:rFonts w:ascii="Arial" w:cs="Arial" w:eastAsia="Arial" w:hAnsi="Arial"/>
                <w:sz w:val="25"/>
                <w:szCs w:val="25"/>
                <w:b w:val="1"/>
                <w:bCs w:val="1"/>
                <w:color w:val="auto"/>
                <w:vertAlign w:val="superscript"/>
              </w:rPr>
              <w:t>(1)</w:t>
            </w:r>
          </w:p>
        </w:tc>
        <w:tc>
          <w:tcPr>
            <w:tcW w:w="1160" w:type="dxa"/>
            <w:vAlign w:val="bottom"/>
            <w:tcBorders>
              <w:bottom w:val="single" w:sz="8" w:color="A26F2A"/>
            </w:tcBorders>
            <w:gridSpan w:val="2"/>
          </w:tcPr>
          <w:p>
            <w:pPr>
              <w:ind w:left="40"/>
              <w:spacing w:after="0" w:line="227" w:lineRule="exact"/>
              <w:rPr>
                <w:sz w:val="20"/>
                <w:szCs w:val="20"/>
                <w:color w:val="auto"/>
              </w:rPr>
            </w:pPr>
            <w:r>
              <w:rPr>
                <w:rFonts w:ascii="Arial" w:cs="Arial" w:eastAsia="Arial" w:hAnsi="Arial"/>
                <w:sz w:val="15"/>
                <w:szCs w:val="15"/>
                <w:b w:val="1"/>
                <w:bCs w:val="1"/>
                <w:color w:val="auto"/>
                <w:w w:val="99"/>
              </w:rPr>
              <w:t>Current PEO</w:t>
            </w:r>
            <w:r>
              <w:rPr>
                <w:rFonts w:ascii="Arial" w:cs="Arial" w:eastAsia="Arial" w:hAnsi="Arial"/>
                <w:sz w:val="25"/>
                <w:szCs w:val="25"/>
                <w:b w:val="1"/>
                <w:bCs w:val="1"/>
                <w:color w:val="auto"/>
                <w:w w:val="99"/>
                <w:vertAlign w:val="superscript"/>
              </w:rPr>
              <w:t>(2)</w:t>
            </w:r>
          </w:p>
        </w:tc>
        <w:tc>
          <w:tcPr>
            <w:tcW w:w="1140" w:type="dxa"/>
            <w:vAlign w:val="bottom"/>
            <w:tcBorders>
              <w:bottom w:val="single" w:sz="8" w:color="A26F2A"/>
            </w:tcBorders>
            <w:gridSpan w:val="2"/>
          </w:tcPr>
          <w:p>
            <w:pPr>
              <w:jc w:val="right"/>
              <w:spacing w:after="0" w:line="227" w:lineRule="exact"/>
              <w:rPr>
                <w:sz w:val="20"/>
                <w:szCs w:val="20"/>
                <w:color w:val="auto"/>
              </w:rPr>
            </w:pPr>
            <w:r>
              <w:rPr>
                <w:rFonts w:ascii="Arial" w:cs="Arial" w:eastAsia="Arial" w:hAnsi="Arial"/>
                <w:sz w:val="15"/>
                <w:szCs w:val="15"/>
                <w:b w:val="1"/>
                <w:bCs w:val="1"/>
                <w:color w:val="auto"/>
              </w:rPr>
              <w:t>Former PEO</w:t>
            </w:r>
            <w:r>
              <w:rPr>
                <w:rFonts w:ascii="Arial" w:cs="Arial" w:eastAsia="Arial" w:hAnsi="Arial"/>
                <w:sz w:val="25"/>
                <w:szCs w:val="25"/>
                <w:b w:val="1"/>
                <w:bCs w:val="1"/>
                <w:color w:val="auto"/>
                <w:vertAlign w:val="superscript"/>
              </w:rPr>
              <w:t>(1)</w:t>
            </w:r>
          </w:p>
        </w:tc>
        <w:tc>
          <w:tcPr>
            <w:tcW w:w="140" w:type="dxa"/>
            <w:vAlign w:val="bottom"/>
            <w:tcBorders>
              <w:bottom w:val="single" w:sz="8" w:color="A26F2A"/>
            </w:tcBorders>
          </w:tcPr>
          <w:p>
            <w:pPr>
              <w:spacing w:after="0"/>
              <w:rPr>
                <w:sz w:val="20"/>
                <w:szCs w:val="20"/>
                <w:color w:val="auto"/>
              </w:rPr>
            </w:pPr>
          </w:p>
        </w:tc>
        <w:tc>
          <w:tcPr>
            <w:tcW w:w="1020" w:type="dxa"/>
            <w:vAlign w:val="bottom"/>
            <w:tcBorders>
              <w:bottom w:val="single" w:sz="8" w:color="A26F2A"/>
            </w:tcBorders>
          </w:tcPr>
          <w:p>
            <w:pPr>
              <w:jc w:val="right"/>
              <w:spacing w:after="0" w:line="227" w:lineRule="exact"/>
              <w:rPr>
                <w:sz w:val="20"/>
                <w:szCs w:val="20"/>
                <w:color w:val="auto"/>
              </w:rPr>
            </w:pPr>
            <w:r>
              <w:rPr>
                <w:rFonts w:ascii="Arial" w:cs="Arial" w:eastAsia="Arial" w:hAnsi="Arial"/>
                <w:sz w:val="26"/>
                <w:szCs w:val="26"/>
                <w:b w:val="1"/>
                <w:bCs w:val="1"/>
                <w:color w:val="auto"/>
                <w:vertAlign w:val="subscript"/>
              </w:rPr>
              <w:t>PEO</w:t>
            </w:r>
            <w:r>
              <w:rPr>
                <w:rFonts w:ascii="Arial" w:cs="Arial" w:eastAsia="Arial" w:hAnsi="Arial"/>
                <w:sz w:val="12"/>
                <w:szCs w:val="12"/>
                <w:b w:val="1"/>
                <w:bCs w:val="1"/>
                <w:color w:val="auto"/>
              </w:rPr>
              <w:t>(2)</w:t>
            </w:r>
          </w:p>
        </w:tc>
        <w:tc>
          <w:tcPr>
            <w:tcW w:w="160" w:type="dxa"/>
            <w:vAlign w:val="bottom"/>
            <w:tcBorders>
              <w:bottom w:val="single" w:sz="8" w:color="A26F2A"/>
            </w:tcBorders>
          </w:tcPr>
          <w:p>
            <w:pPr>
              <w:spacing w:after="0"/>
              <w:rPr>
                <w:sz w:val="20"/>
                <w:szCs w:val="20"/>
                <w:color w:val="auto"/>
              </w:rPr>
            </w:pPr>
          </w:p>
        </w:tc>
        <w:tc>
          <w:tcPr>
            <w:tcW w:w="980" w:type="dxa"/>
            <w:vAlign w:val="bottom"/>
            <w:tcBorders>
              <w:bottom w:val="single" w:sz="8" w:color="A26F2A"/>
            </w:tcBorders>
          </w:tcPr>
          <w:p>
            <w:pPr>
              <w:jc w:val="right"/>
              <w:spacing w:after="0" w:line="227" w:lineRule="exact"/>
              <w:rPr>
                <w:sz w:val="20"/>
                <w:szCs w:val="20"/>
                <w:color w:val="auto"/>
              </w:rPr>
            </w:pPr>
            <w:r>
              <w:rPr>
                <w:rFonts w:ascii="Arial" w:cs="Arial" w:eastAsia="Arial" w:hAnsi="Arial"/>
                <w:sz w:val="15"/>
                <w:szCs w:val="15"/>
                <w:b w:val="1"/>
                <w:bCs w:val="1"/>
                <w:color w:val="auto"/>
              </w:rPr>
              <w:t>NEOs</w:t>
            </w:r>
            <w:r>
              <w:rPr>
                <w:rFonts w:ascii="Arial" w:cs="Arial" w:eastAsia="Arial" w:hAnsi="Arial"/>
                <w:sz w:val="25"/>
                <w:szCs w:val="25"/>
                <w:b w:val="1"/>
                <w:bCs w:val="1"/>
                <w:color w:val="auto"/>
                <w:vertAlign w:val="superscript"/>
              </w:rPr>
              <w:t>(3)</w:t>
            </w:r>
          </w:p>
        </w:tc>
        <w:tc>
          <w:tcPr>
            <w:tcW w:w="140" w:type="dxa"/>
            <w:vAlign w:val="bottom"/>
            <w:tcBorders>
              <w:bottom w:val="single" w:sz="8" w:color="A26F2A"/>
            </w:tcBorders>
          </w:tcPr>
          <w:p>
            <w:pPr>
              <w:spacing w:after="0"/>
              <w:rPr>
                <w:sz w:val="20"/>
                <w:szCs w:val="20"/>
                <w:color w:val="auto"/>
              </w:rPr>
            </w:pPr>
          </w:p>
        </w:tc>
        <w:tc>
          <w:tcPr>
            <w:tcW w:w="1020" w:type="dxa"/>
            <w:vAlign w:val="bottom"/>
            <w:tcBorders>
              <w:bottom w:val="single" w:sz="8" w:color="A26F2A"/>
            </w:tcBorders>
          </w:tcPr>
          <w:p>
            <w:pPr>
              <w:jc w:val="right"/>
              <w:spacing w:after="0" w:line="227" w:lineRule="exact"/>
              <w:rPr>
                <w:sz w:val="20"/>
                <w:szCs w:val="20"/>
                <w:color w:val="auto"/>
              </w:rPr>
            </w:pPr>
            <w:r>
              <w:rPr>
                <w:rFonts w:ascii="Arial" w:cs="Arial" w:eastAsia="Arial" w:hAnsi="Arial"/>
                <w:sz w:val="15"/>
                <w:szCs w:val="15"/>
                <w:b w:val="1"/>
                <w:bCs w:val="1"/>
                <w:color w:val="auto"/>
              </w:rPr>
              <w:t>NEOs</w:t>
            </w:r>
            <w:r>
              <w:rPr>
                <w:rFonts w:ascii="Arial" w:cs="Arial" w:eastAsia="Arial" w:hAnsi="Arial"/>
                <w:sz w:val="25"/>
                <w:szCs w:val="25"/>
                <w:b w:val="1"/>
                <w:bCs w:val="1"/>
                <w:color w:val="auto"/>
                <w:vertAlign w:val="superscript"/>
              </w:rPr>
              <w:t>(4)</w:t>
            </w:r>
          </w:p>
        </w:tc>
        <w:tc>
          <w:tcPr>
            <w:tcW w:w="220" w:type="dxa"/>
            <w:vAlign w:val="bottom"/>
            <w:tcBorders>
              <w:bottom w:val="single" w:sz="8" w:color="A26F2A"/>
            </w:tcBorders>
          </w:tcPr>
          <w:p>
            <w:pPr>
              <w:spacing w:after="0"/>
              <w:rPr>
                <w:sz w:val="20"/>
                <w:szCs w:val="20"/>
                <w:color w:val="auto"/>
              </w:rPr>
            </w:pPr>
          </w:p>
        </w:tc>
        <w:tc>
          <w:tcPr>
            <w:tcW w:w="760" w:type="dxa"/>
            <w:vAlign w:val="bottom"/>
            <w:tcBorders>
              <w:bottom w:val="single" w:sz="8" w:color="A26F2A"/>
            </w:tcBorders>
          </w:tcPr>
          <w:p>
            <w:pPr>
              <w:jc w:val="right"/>
              <w:spacing w:after="0" w:line="227" w:lineRule="exact"/>
              <w:rPr>
                <w:sz w:val="20"/>
                <w:szCs w:val="20"/>
                <w:color w:val="auto"/>
              </w:rPr>
            </w:pPr>
            <w:r>
              <w:rPr>
                <w:rFonts w:ascii="Arial" w:cs="Arial" w:eastAsia="Arial" w:hAnsi="Arial"/>
                <w:sz w:val="15"/>
                <w:szCs w:val="15"/>
                <w:b w:val="1"/>
                <w:bCs w:val="1"/>
                <w:color w:val="auto"/>
              </w:rPr>
              <w:t>Return</w:t>
            </w:r>
            <w:r>
              <w:rPr>
                <w:rFonts w:ascii="Arial" w:cs="Arial" w:eastAsia="Arial" w:hAnsi="Arial"/>
                <w:sz w:val="25"/>
                <w:szCs w:val="25"/>
                <w:b w:val="1"/>
                <w:bCs w:val="1"/>
                <w:color w:val="auto"/>
                <w:vertAlign w:val="superscript"/>
              </w:rPr>
              <w:t>(5)</w:t>
            </w:r>
          </w:p>
        </w:tc>
        <w:tc>
          <w:tcPr>
            <w:tcW w:w="220" w:type="dxa"/>
            <w:vAlign w:val="bottom"/>
            <w:tcBorders>
              <w:bottom w:val="single" w:sz="8" w:color="A26F2A"/>
            </w:tcBorders>
          </w:tcPr>
          <w:p>
            <w:pPr>
              <w:spacing w:after="0"/>
              <w:rPr>
                <w:sz w:val="20"/>
                <w:szCs w:val="20"/>
                <w:color w:val="auto"/>
              </w:rPr>
            </w:pPr>
          </w:p>
        </w:tc>
        <w:tc>
          <w:tcPr>
            <w:tcW w:w="780" w:type="dxa"/>
            <w:vAlign w:val="bottom"/>
            <w:tcBorders>
              <w:bottom w:val="single" w:sz="8" w:color="A26F2A"/>
            </w:tcBorders>
          </w:tcPr>
          <w:p>
            <w:pPr>
              <w:jc w:val="right"/>
              <w:spacing w:after="0" w:line="227" w:lineRule="exact"/>
              <w:rPr>
                <w:sz w:val="20"/>
                <w:szCs w:val="20"/>
                <w:color w:val="auto"/>
              </w:rPr>
            </w:pPr>
            <w:r>
              <w:rPr>
                <w:rFonts w:ascii="Arial" w:cs="Arial" w:eastAsia="Arial" w:hAnsi="Arial"/>
                <w:sz w:val="15"/>
                <w:szCs w:val="15"/>
                <w:b w:val="1"/>
                <w:bCs w:val="1"/>
                <w:color w:val="auto"/>
              </w:rPr>
              <w:t>Return</w:t>
            </w:r>
            <w:r>
              <w:rPr>
                <w:rFonts w:ascii="Arial" w:cs="Arial" w:eastAsia="Arial" w:hAnsi="Arial"/>
                <w:sz w:val="25"/>
                <w:szCs w:val="25"/>
                <w:b w:val="1"/>
                <w:bCs w:val="1"/>
                <w:color w:val="auto"/>
                <w:vertAlign w:val="superscript"/>
              </w:rPr>
              <w:t>(6)</w:t>
            </w:r>
          </w:p>
        </w:tc>
        <w:tc>
          <w:tcPr>
            <w:tcW w:w="860" w:type="dxa"/>
            <w:vAlign w:val="bottom"/>
            <w:tcBorders>
              <w:bottom w:val="single" w:sz="8" w:color="A26F2A"/>
            </w:tcBorders>
            <w:gridSpan w:val="2"/>
          </w:tcPr>
          <w:p>
            <w:pPr>
              <w:ind w:left="40"/>
              <w:spacing w:after="0" w:line="227" w:lineRule="exact"/>
              <w:rPr>
                <w:sz w:val="20"/>
                <w:szCs w:val="20"/>
                <w:color w:val="auto"/>
              </w:rPr>
            </w:pPr>
            <w:r>
              <w:rPr>
                <w:rFonts w:ascii="Arial" w:cs="Arial" w:eastAsia="Arial" w:hAnsi="Arial"/>
                <w:sz w:val="15"/>
                <w:szCs w:val="15"/>
                <w:b w:val="1"/>
                <w:bCs w:val="1"/>
                <w:color w:val="auto"/>
                <w:w w:val="97"/>
              </w:rPr>
              <w:t>millions)</w:t>
            </w:r>
            <w:r>
              <w:rPr>
                <w:rFonts w:ascii="Arial" w:cs="Arial" w:eastAsia="Arial" w:hAnsi="Arial"/>
                <w:sz w:val="25"/>
                <w:szCs w:val="25"/>
                <w:b w:val="1"/>
                <w:bCs w:val="1"/>
                <w:color w:val="auto"/>
                <w:w w:val="97"/>
                <w:vertAlign w:val="superscript"/>
              </w:rPr>
              <w:t>(7)</w:t>
            </w:r>
          </w:p>
        </w:tc>
        <w:tc>
          <w:tcPr>
            <w:tcW w:w="1180" w:type="dxa"/>
            <w:vAlign w:val="bottom"/>
            <w:tcBorders>
              <w:bottom w:val="single" w:sz="8" w:color="A26F2A"/>
            </w:tcBorders>
          </w:tcPr>
          <w:p>
            <w:pPr>
              <w:jc w:val="right"/>
              <w:ind w:right="104"/>
              <w:spacing w:after="0" w:line="227" w:lineRule="exact"/>
              <w:rPr>
                <w:sz w:val="20"/>
                <w:szCs w:val="20"/>
                <w:color w:val="auto"/>
              </w:rPr>
            </w:pPr>
            <w:r>
              <w:rPr>
                <w:rFonts w:ascii="Arial" w:cs="Arial" w:eastAsia="Arial" w:hAnsi="Arial"/>
                <w:sz w:val="15"/>
                <w:szCs w:val="15"/>
                <w:b w:val="1"/>
                <w:bCs w:val="1"/>
                <w:color w:val="auto"/>
                <w:w w:val="98"/>
              </w:rPr>
              <w:t>(“ROACE”)</w:t>
            </w:r>
            <w:r>
              <w:rPr>
                <w:rFonts w:ascii="Arial" w:cs="Arial" w:eastAsia="Arial" w:hAnsi="Arial"/>
                <w:sz w:val="25"/>
                <w:szCs w:val="25"/>
                <w:b w:val="1"/>
                <w:bCs w:val="1"/>
                <w:color w:val="auto"/>
                <w:w w:val="98"/>
                <w:vertAlign w:val="superscript"/>
              </w:rPr>
              <w:t>(8)</w:t>
            </w:r>
          </w:p>
        </w:tc>
      </w:tr>
      <w:tr>
        <w:trPr>
          <w:trHeight w:val="177"/>
        </w:trPr>
        <w:tc>
          <w:tcPr>
            <w:tcW w:w="420" w:type="dxa"/>
            <w:vAlign w:val="bottom"/>
            <w:tcBorders>
              <w:bottom w:val="single" w:sz="8" w:color="A8A8AC"/>
            </w:tcBorders>
          </w:tcPr>
          <w:p>
            <w:pPr>
              <w:ind w:left="60"/>
              <w:spacing w:after="0"/>
              <w:rPr>
                <w:sz w:val="20"/>
                <w:szCs w:val="20"/>
                <w:color w:val="auto"/>
              </w:rPr>
            </w:pPr>
            <w:r>
              <w:rPr>
                <w:rFonts w:ascii="Arial" w:cs="Arial" w:eastAsia="Arial" w:hAnsi="Arial"/>
                <w:sz w:val="15"/>
                <w:szCs w:val="15"/>
                <w:color w:val="auto"/>
              </w:rPr>
              <w:t>2025</w:t>
            </w:r>
          </w:p>
        </w:tc>
        <w:tc>
          <w:tcPr>
            <w:tcW w:w="2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14,931,423</w:t>
            </w:r>
          </w:p>
        </w:tc>
        <w:tc>
          <w:tcPr>
            <w:tcW w:w="240" w:type="dxa"/>
            <w:vAlign w:val="bottom"/>
            <w:tcBorders>
              <w:bottom w:val="single" w:sz="8" w:color="A8A8AC"/>
            </w:tcBorders>
          </w:tcPr>
          <w:p>
            <w:pPr>
              <w:ind w:left="4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12,578,377</w:t>
            </w:r>
          </w:p>
        </w:tc>
        <w:tc>
          <w:tcPr>
            <w:tcW w:w="260" w:type="dxa"/>
            <w:vAlign w:val="bottom"/>
            <w:tcBorders>
              <w:bottom w:val="single" w:sz="8" w:color="A8A8AC"/>
            </w:tcBorders>
          </w:tcPr>
          <w:p>
            <w:pPr>
              <w:jc w:val="right"/>
              <w:ind w:right="4"/>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20,502,775</w:t>
            </w:r>
          </w:p>
        </w:tc>
        <w:tc>
          <w:tcPr>
            <w:tcW w:w="140" w:type="dxa"/>
            <w:vAlign w:val="bottom"/>
            <w:tcBorders>
              <w:bottom w:val="single" w:sz="8" w:color="A8A8AC"/>
            </w:tcBorders>
          </w:tcPr>
          <w:p>
            <w:pPr>
              <w:ind w:left="6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16,582,404</w:t>
            </w:r>
          </w:p>
        </w:tc>
        <w:tc>
          <w:tcPr>
            <w:tcW w:w="160" w:type="dxa"/>
            <w:vAlign w:val="bottom"/>
            <w:tcBorders>
              <w:bottom w:val="single" w:sz="8" w:color="A8A8AC"/>
            </w:tcBorders>
          </w:tcPr>
          <w:p>
            <w:pPr>
              <w:ind w:left="4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5,699,824</w:t>
            </w:r>
          </w:p>
        </w:tc>
        <w:tc>
          <w:tcPr>
            <w:tcW w:w="140" w:type="dxa"/>
            <w:vAlign w:val="bottom"/>
            <w:tcBorders>
              <w:bottom w:val="single" w:sz="8" w:color="A8A8AC"/>
            </w:tcBorders>
          </w:tcPr>
          <w:p>
            <w:pPr>
              <w:ind w:left="6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4,577,975</w:t>
            </w:r>
          </w:p>
        </w:tc>
        <w:tc>
          <w:tcPr>
            <w:tcW w:w="220" w:type="dxa"/>
            <w:vAlign w:val="bottom"/>
            <w:tcBorders>
              <w:bottom w:val="single" w:sz="8" w:color="A8A8AC"/>
            </w:tcBorders>
          </w:tcPr>
          <w:p>
            <w:pPr>
              <w:ind w:left="6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383.98</w:t>
            </w:r>
          </w:p>
        </w:tc>
        <w:tc>
          <w:tcPr>
            <w:tcW w:w="220" w:type="dxa"/>
            <w:vAlign w:val="bottom"/>
            <w:tcBorders>
              <w:bottom w:val="single" w:sz="8" w:color="A8A8AC"/>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269.59</w:t>
            </w:r>
          </w:p>
        </w:tc>
        <w:tc>
          <w:tcPr>
            <w:tcW w:w="120" w:type="dxa"/>
            <w:vAlign w:val="bottom"/>
            <w:tcBorders>
              <w:bottom w:val="single" w:sz="8" w:color="A8A8AC"/>
            </w:tcBorders>
          </w:tcPr>
          <w:p>
            <w:pPr>
              <w:ind w:left="4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1,547</w:t>
            </w:r>
          </w:p>
        </w:tc>
        <w:tc>
          <w:tcPr>
            <w:tcW w:w="118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8.1%</w:t>
            </w:r>
          </w:p>
        </w:tc>
      </w:tr>
      <w:tr>
        <w:trPr>
          <w:trHeight w:val="169"/>
        </w:trPr>
        <w:tc>
          <w:tcPr>
            <w:tcW w:w="42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color w:val="auto"/>
              </w:rPr>
              <w:t>2024</w:t>
            </w:r>
          </w:p>
        </w:tc>
        <w:tc>
          <w:tcPr>
            <w:tcW w:w="2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A8A8AC"/>
            </w:tcBorders>
          </w:tcPr>
          <w:p>
            <w:pPr>
              <w:ind w:left="40"/>
              <w:spacing w:after="0" w:line="16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A8A8AC"/>
            </w:tcBorders>
          </w:tcPr>
          <w:p>
            <w:pPr>
              <w:jc w:val="right"/>
              <w:ind w:right="4"/>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21,324,079</w:t>
            </w:r>
          </w:p>
        </w:tc>
        <w:tc>
          <w:tcPr>
            <w:tcW w:w="14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29,117,415</w:t>
            </w:r>
          </w:p>
        </w:tc>
        <w:tc>
          <w:tcPr>
            <w:tcW w:w="160" w:type="dxa"/>
            <w:vAlign w:val="bottom"/>
            <w:tcBorders>
              <w:bottom w:val="single" w:sz="8" w:color="A8A8AC"/>
            </w:tcBorders>
          </w:tcPr>
          <w:p>
            <w:pPr>
              <w:ind w:left="40"/>
              <w:spacing w:after="0" w:line="169"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7,500,390</w:t>
            </w:r>
          </w:p>
        </w:tc>
        <w:tc>
          <w:tcPr>
            <w:tcW w:w="14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10,265,220</w:t>
            </w:r>
          </w:p>
        </w:tc>
        <w:tc>
          <w:tcPr>
            <w:tcW w:w="22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406.86</w:t>
            </w:r>
          </w:p>
        </w:tc>
        <w:tc>
          <w:tcPr>
            <w:tcW w:w="220" w:type="dxa"/>
            <w:vAlign w:val="bottom"/>
            <w:tcBorders>
              <w:bottom w:val="single" w:sz="8" w:color="A8A8AC"/>
            </w:tcBorders>
          </w:tcPr>
          <w:p>
            <w:pPr>
              <w:jc w:val="right"/>
              <w:ind w:right="4"/>
              <w:spacing w:after="0" w:line="16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283.83</w:t>
            </w:r>
          </w:p>
        </w:tc>
        <w:tc>
          <w:tcPr>
            <w:tcW w:w="120" w:type="dxa"/>
            <w:vAlign w:val="bottom"/>
            <w:tcBorders>
              <w:bottom w:val="single" w:sz="8" w:color="A8A8AC"/>
            </w:tcBorders>
          </w:tcPr>
          <w:p>
            <w:pPr>
              <w:ind w:left="40"/>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3,701</w:t>
            </w:r>
          </w:p>
        </w:tc>
        <w:tc>
          <w:tcPr>
            <w:tcW w:w="11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15.4%</w:t>
            </w:r>
          </w:p>
        </w:tc>
      </w:tr>
      <w:tr>
        <w:trPr>
          <w:trHeight w:val="169"/>
        </w:trPr>
        <w:tc>
          <w:tcPr>
            <w:tcW w:w="42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color w:val="auto"/>
              </w:rPr>
              <w:t>2023</w:t>
            </w:r>
          </w:p>
        </w:tc>
        <w:tc>
          <w:tcPr>
            <w:tcW w:w="2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A8A8AC"/>
            </w:tcBorders>
          </w:tcPr>
          <w:p>
            <w:pPr>
              <w:ind w:left="40"/>
              <w:spacing w:after="0" w:line="16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A8A8AC"/>
            </w:tcBorders>
          </w:tcPr>
          <w:p>
            <w:pPr>
              <w:jc w:val="right"/>
              <w:ind w:right="4"/>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17,583,386</w:t>
            </w:r>
          </w:p>
        </w:tc>
        <w:tc>
          <w:tcPr>
            <w:tcW w:w="14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34,309,377</w:t>
            </w:r>
          </w:p>
        </w:tc>
        <w:tc>
          <w:tcPr>
            <w:tcW w:w="160" w:type="dxa"/>
            <w:vAlign w:val="bottom"/>
            <w:tcBorders>
              <w:bottom w:val="single" w:sz="8" w:color="A8A8AC"/>
            </w:tcBorders>
          </w:tcPr>
          <w:p>
            <w:pPr>
              <w:ind w:left="40"/>
              <w:spacing w:after="0" w:line="169"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5,741,598</w:t>
            </w:r>
          </w:p>
        </w:tc>
        <w:tc>
          <w:tcPr>
            <w:tcW w:w="14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11,353,994</w:t>
            </w:r>
          </w:p>
        </w:tc>
        <w:tc>
          <w:tcPr>
            <w:tcW w:w="22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368.65</w:t>
            </w:r>
          </w:p>
        </w:tc>
        <w:tc>
          <w:tcPr>
            <w:tcW w:w="220" w:type="dxa"/>
            <w:vAlign w:val="bottom"/>
            <w:tcBorders>
              <w:bottom w:val="single" w:sz="8" w:color="A8A8AC"/>
            </w:tcBorders>
          </w:tcPr>
          <w:p>
            <w:pPr>
              <w:jc w:val="right"/>
              <w:ind w:right="4"/>
              <w:spacing w:after="0" w:line="16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313.17</w:t>
            </w:r>
          </w:p>
        </w:tc>
        <w:tc>
          <w:tcPr>
            <w:tcW w:w="120" w:type="dxa"/>
            <w:vAlign w:val="bottom"/>
            <w:tcBorders>
              <w:bottom w:val="single" w:sz="8" w:color="A8A8AC"/>
            </w:tcBorders>
          </w:tcPr>
          <w:p>
            <w:pPr>
              <w:ind w:left="40"/>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3,336</w:t>
            </w:r>
          </w:p>
        </w:tc>
        <w:tc>
          <w:tcPr>
            <w:tcW w:w="11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18.1%</w:t>
            </w:r>
          </w:p>
        </w:tc>
      </w:tr>
      <w:tr>
        <w:trPr>
          <w:trHeight w:val="169"/>
        </w:trPr>
        <w:tc>
          <w:tcPr>
            <w:tcW w:w="42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color w:val="auto"/>
              </w:rPr>
              <w:t>2022</w:t>
            </w:r>
          </w:p>
        </w:tc>
        <w:tc>
          <w:tcPr>
            <w:tcW w:w="2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A8A8AC"/>
            </w:tcBorders>
          </w:tcPr>
          <w:p>
            <w:pPr>
              <w:ind w:left="40"/>
              <w:spacing w:after="0" w:line="16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A8A8AC"/>
            </w:tcBorders>
          </w:tcPr>
          <w:p>
            <w:pPr>
              <w:jc w:val="right"/>
              <w:ind w:right="4"/>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17,152,470</w:t>
            </w:r>
          </w:p>
        </w:tc>
        <w:tc>
          <w:tcPr>
            <w:tcW w:w="14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17,650,787</w:t>
            </w:r>
          </w:p>
        </w:tc>
        <w:tc>
          <w:tcPr>
            <w:tcW w:w="160" w:type="dxa"/>
            <w:vAlign w:val="bottom"/>
            <w:tcBorders>
              <w:bottom w:val="single" w:sz="8" w:color="A8A8AC"/>
            </w:tcBorders>
          </w:tcPr>
          <w:p>
            <w:pPr>
              <w:ind w:left="40"/>
              <w:spacing w:after="0" w:line="169"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4,942,355</w:t>
            </w:r>
          </w:p>
        </w:tc>
        <w:tc>
          <w:tcPr>
            <w:tcW w:w="14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6,755,849</w:t>
            </w:r>
          </w:p>
        </w:tc>
        <w:tc>
          <w:tcPr>
            <w:tcW w:w="22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308.19</w:t>
            </w:r>
          </w:p>
        </w:tc>
        <w:tc>
          <w:tcPr>
            <w:tcW w:w="220" w:type="dxa"/>
            <w:vAlign w:val="bottom"/>
            <w:tcBorders>
              <w:bottom w:val="single" w:sz="8" w:color="A8A8AC"/>
            </w:tcBorders>
          </w:tcPr>
          <w:p>
            <w:pPr>
              <w:jc w:val="right"/>
              <w:ind w:right="4"/>
              <w:spacing w:after="0" w:line="16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322.61</w:t>
            </w:r>
          </w:p>
        </w:tc>
        <w:tc>
          <w:tcPr>
            <w:tcW w:w="120" w:type="dxa"/>
            <w:vAlign w:val="bottom"/>
            <w:tcBorders>
              <w:bottom w:val="single" w:sz="8" w:color="A8A8AC"/>
            </w:tcBorders>
          </w:tcPr>
          <w:p>
            <w:pPr>
              <w:ind w:left="40"/>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4,562</w:t>
            </w:r>
          </w:p>
        </w:tc>
        <w:tc>
          <w:tcPr>
            <w:tcW w:w="11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25.5%</w:t>
            </w:r>
          </w:p>
        </w:tc>
      </w:tr>
      <w:tr>
        <w:trPr>
          <w:trHeight w:val="169"/>
        </w:trPr>
        <w:tc>
          <w:tcPr>
            <w:tcW w:w="420" w:type="dxa"/>
            <w:vAlign w:val="bottom"/>
            <w:tcBorders>
              <w:bottom w:val="single" w:sz="8" w:color="A26F2A"/>
            </w:tcBorders>
          </w:tcPr>
          <w:p>
            <w:pPr>
              <w:ind w:left="60"/>
              <w:spacing w:after="0" w:line="169" w:lineRule="exact"/>
              <w:rPr>
                <w:sz w:val="20"/>
                <w:szCs w:val="20"/>
                <w:color w:val="auto"/>
              </w:rPr>
            </w:pPr>
            <w:r>
              <w:rPr>
                <w:rFonts w:ascii="Arial" w:cs="Arial" w:eastAsia="Arial" w:hAnsi="Arial"/>
                <w:sz w:val="15"/>
                <w:szCs w:val="15"/>
                <w:color w:val="auto"/>
              </w:rPr>
              <w:t>2021</w:t>
            </w:r>
          </w:p>
        </w:tc>
        <w:tc>
          <w:tcPr>
            <w:tcW w:w="24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A26F2A"/>
            </w:tcBorders>
          </w:tcPr>
          <w:p>
            <w:pPr>
              <w:ind w:left="40"/>
              <w:spacing w:after="0" w:line="16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A26F2A"/>
            </w:tcBorders>
          </w:tcPr>
          <w:p>
            <w:pPr>
              <w:jc w:val="right"/>
              <w:ind w:right="4"/>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13,529,128</w:t>
            </w:r>
          </w:p>
        </w:tc>
        <w:tc>
          <w:tcPr>
            <w:tcW w:w="140" w:type="dxa"/>
            <w:vAlign w:val="bottom"/>
            <w:tcBorders>
              <w:bottom w:val="single" w:sz="8" w:color="A26F2A"/>
            </w:tcBorders>
          </w:tcPr>
          <w:p>
            <w:pPr>
              <w:ind w:left="60"/>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23,965,903</w:t>
            </w:r>
          </w:p>
        </w:tc>
        <w:tc>
          <w:tcPr>
            <w:tcW w:w="160" w:type="dxa"/>
            <w:vAlign w:val="bottom"/>
            <w:tcBorders>
              <w:bottom w:val="single" w:sz="8" w:color="A26F2A"/>
            </w:tcBorders>
          </w:tcPr>
          <w:p>
            <w:pPr>
              <w:ind w:left="40"/>
              <w:spacing w:after="0" w:line="169"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5,073,857</w:t>
            </w:r>
          </w:p>
        </w:tc>
        <w:tc>
          <w:tcPr>
            <w:tcW w:w="140" w:type="dxa"/>
            <w:vAlign w:val="bottom"/>
            <w:tcBorders>
              <w:bottom w:val="single" w:sz="8" w:color="A26F2A"/>
            </w:tcBorders>
          </w:tcPr>
          <w:p>
            <w:pPr>
              <w:ind w:left="60"/>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9,737,527</w:t>
            </w:r>
          </w:p>
        </w:tc>
        <w:tc>
          <w:tcPr>
            <w:tcW w:w="220" w:type="dxa"/>
            <w:vAlign w:val="bottom"/>
            <w:tcBorders>
              <w:bottom w:val="single" w:sz="8" w:color="A26F2A"/>
            </w:tcBorders>
          </w:tcPr>
          <w:p>
            <w:pPr>
              <w:ind w:left="60"/>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227.44</w:t>
            </w:r>
          </w:p>
        </w:tc>
        <w:tc>
          <w:tcPr>
            <w:tcW w:w="220" w:type="dxa"/>
            <w:vAlign w:val="bottom"/>
            <w:tcBorders>
              <w:bottom w:val="single" w:sz="8" w:color="A26F2A"/>
            </w:tcBorders>
          </w:tcPr>
          <w:p>
            <w:pPr>
              <w:jc w:val="right"/>
              <w:ind w:right="4"/>
              <w:spacing w:after="0" w:line="16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189.49</w:t>
            </w:r>
          </w:p>
        </w:tc>
        <w:tc>
          <w:tcPr>
            <w:tcW w:w="120" w:type="dxa"/>
            <w:vAlign w:val="bottom"/>
            <w:tcBorders>
              <w:bottom w:val="single" w:sz="8" w:color="A26F2A"/>
            </w:tcBorders>
          </w:tcPr>
          <w:p>
            <w:pPr>
              <w:ind w:left="40"/>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2,276</w:t>
            </w:r>
          </w:p>
        </w:tc>
        <w:tc>
          <w:tcPr>
            <w:tcW w:w="118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15.7%</w:t>
            </w:r>
          </w:p>
        </w:tc>
      </w:tr>
    </w:tbl>
    <w:p>
      <w:pPr>
        <w:spacing w:after="0" w:line="56" w:lineRule="exact"/>
        <w:rPr>
          <w:sz w:val="20"/>
          <w:szCs w:val="20"/>
          <w:color w:val="auto"/>
        </w:rPr>
      </w:pPr>
    </w:p>
    <w:p>
      <w:pPr>
        <w:ind w:left="300" w:hanging="299"/>
        <w:spacing w:after="0"/>
        <w:tabs>
          <w:tab w:leader="none" w:pos="300" w:val="left"/>
        </w:tabs>
        <w:numPr>
          <w:ilvl w:val="0"/>
          <w:numId w:val="115"/>
        </w:numPr>
        <w:rPr>
          <w:rFonts w:ascii="Arial" w:cs="Arial" w:eastAsia="Arial" w:hAnsi="Arial"/>
          <w:sz w:val="13"/>
          <w:szCs w:val="13"/>
          <w:i w:val="1"/>
          <w:iCs w:val="1"/>
          <w:color w:val="auto"/>
        </w:rPr>
      </w:pPr>
      <w:r>
        <w:rPr>
          <w:rFonts w:ascii="Arial" w:cs="Arial" w:eastAsia="Arial" w:hAnsi="Arial"/>
          <w:sz w:val="13"/>
          <w:szCs w:val="13"/>
          <w:i w:val="1"/>
          <w:iCs w:val="1"/>
          <w:color w:val="auto"/>
        </w:rPr>
        <w:t>The dollar amounts reported are the amounts of total compensation reported in our Summary Compensation Table.</w:t>
      </w:r>
    </w:p>
    <w:p>
      <w:pPr>
        <w:spacing w:after="0" w:line="65" w:lineRule="exact"/>
        <w:rPr>
          <w:rFonts w:ascii="Arial" w:cs="Arial" w:eastAsia="Arial" w:hAnsi="Arial"/>
          <w:sz w:val="13"/>
          <w:szCs w:val="13"/>
          <w:i w:val="1"/>
          <w:iCs w:val="1"/>
          <w:color w:val="auto"/>
        </w:rPr>
      </w:pPr>
    </w:p>
    <w:p>
      <w:pPr>
        <w:jc w:val="both"/>
        <w:ind w:left="300" w:right="100" w:hanging="299"/>
        <w:spacing w:after="0" w:line="264" w:lineRule="auto"/>
        <w:tabs>
          <w:tab w:leader="none" w:pos="300" w:val="left"/>
        </w:tabs>
        <w:numPr>
          <w:ilvl w:val="0"/>
          <w:numId w:val="115"/>
        </w:numPr>
        <w:rPr>
          <w:rFonts w:ascii="Arial" w:cs="Arial" w:eastAsia="Arial" w:hAnsi="Arial"/>
          <w:sz w:val="13"/>
          <w:szCs w:val="13"/>
          <w:i w:val="1"/>
          <w:iCs w:val="1"/>
          <w:color w:val="auto"/>
        </w:rPr>
      </w:pPr>
      <w:r>
        <w:rPr>
          <w:rFonts w:ascii="Arial" w:cs="Arial" w:eastAsia="Arial" w:hAnsi="Arial"/>
          <w:sz w:val="13"/>
          <w:szCs w:val="13"/>
          <w:i w:val="1"/>
          <w:iCs w:val="1"/>
          <w:color w:val="auto"/>
        </w:rPr>
        <w:t>The dollar amounts reported represent the amount of “compensation actually paid,” as computed in accordance with SEC rules. The dollar amounts do not reflect the actual amount of compensation earned by or paid during the applicable year. In accordance with SEC rules, the following adjustments were made to total compensation to determine the compensation actually paid:</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69"/>
        </w:trPr>
        <w:tc>
          <w:tcPr>
            <w:tcW w:w="3200" w:type="dxa"/>
            <w:vAlign w:val="bottom"/>
          </w:tcPr>
          <w:p>
            <w:pPr>
              <w:spacing w:after="0"/>
              <w:rPr>
                <w:sz w:val="14"/>
                <w:szCs w:val="14"/>
                <w:color w:val="auto"/>
              </w:rPr>
            </w:pPr>
          </w:p>
        </w:tc>
        <w:tc>
          <w:tcPr>
            <w:tcW w:w="3780" w:type="dxa"/>
            <w:vAlign w:val="bottom"/>
          </w:tcPr>
          <w:p>
            <w:pPr>
              <w:jc w:val="right"/>
              <w:ind w:right="33"/>
              <w:spacing w:after="0"/>
              <w:rPr>
                <w:sz w:val="20"/>
                <w:szCs w:val="20"/>
                <w:color w:val="auto"/>
              </w:rPr>
            </w:pPr>
            <w:r>
              <w:rPr>
                <w:rFonts w:ascii="Arial" w:cs="Arial" w:eastAsia="Arial" w:hAnsi="Arial"/>
                <w:sz w:val="13"/>
                <w:szCs w:val="13"/>
                <w:b w:val="1"/>
                <w:bCs w:val="1"/>
                <w:color w:val="auto"/>
              </w:rPr>
              <w:t>Reported Summary</w:t>
            </w:r>
          </w:p>
        </w:tc>
        <w:tc>
          <w:tcPr>
            <w:tcW w:w="4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Deductions: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Additions</w:t>
            </w:r>
          </w:p>
        </w:tc>
        <w:tc>
          <w:tcPr>
            <w:tcW w:w="160" w:type="dxa"/>
            <w:vAlign w:val="bottom"/>
          </w:tcPr>
          <w:p>
            <w:pPr>
              <w:jc w:val="right"/>
              <w:ind w:right="81"/>
              <w:spacing w:after="0"/>
              <w:rPr>
                <w:sz w:val="20"/>
                <w:szCs w:val="20"/>
                <w:color w:val="auto"/>
              </w:rPr>
            </w:pPr>
            <w:r>
              <w:rPr>
                <w:rFonts w:ascii="Arial" w:cs="Arial" w:eastAsia="Arial" w:hAnsi="Arial"/>
                <w:sz w:val="8"/>
                <w:szCs w:val="8"/>
                <w:b w:val="1"/>
                <w:bCs w:val="1"/>
                <w:color w:val="auto"/>
                <w:w w:val="73"/>
              </w:rPr>
              <w:t>:</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4"/>
        </w:trPr>
        <w:tc>
          <w:tcPr>
            <w:tcW w:w="3200" w:type="dxa"/>
            <w:vAlign w:val="bottom"/>
          </w:tcPr>
          <w:p>
            <w:pPr>
              <w:spacing w:after="0"/>
              <w:rPr>
                <w:sz w:val="12"/>
                <w:szCs w:val="12"/>
                <w:color w:val="auto"/>
              </w:rPr>
            </w:pPr>
          </w:p>
        </w:tc>
        <w:tc>
          <w:tcPr>
            <w:tcW w:w="3780" w:type="dxa"/>
            <w:vAlign w:val="bottom"/>
          </w:tcPr>
          <w:p>
            <w:pPr>
              <w:jc w:val="right"/>
              <w:ind w:right="33"/>
              <w:spacing w:after="0" w:line="144" w:lineRule="exact"/>
              <w:rPr>
                <w:sz w:val="20"/>
                <w:szCs w:val="20"/>
                <w:color w:val="auto"/>
              </w:rPr>
            </w:pPr>
            <w:r>
              <w:rPr>
                <w:rFonts w:ascii="Arial" w:cs="Arial" w:eastAsia="Arial" w:hAnsi="Arial"/>
                <w:sz w:val="13"/>
                <w:szCs w:val="13"/>
                <w:b w:val="1"/>
                <w:bCs w:val="1"/>
                <w:color w:val="auto"/>
              </w:rPr>
              <w:t>Compensation Table</w:t>
            </w:r>
          </w:p>
        </w:tc>
        <w:tc>
          <w:tcPr>
            <w:tcW w:w="1340" w:type="dxa"/>
            <w:vAlign w:val="bottom"/>
            <w:gridSpan w:val="3"/>
          </w:tcPr>
          <w:p>
            <w:pPr>
              <w:jc w:val="right"/>
              <w:ind w:right="100"/>
              <w:spacing w:after="0" w:line="144" w:lineRule="exact"/>
              <w:rPr>
                <w:sz w:val="20"/>
                <w:szCs w:val="20"/>
                <w:color w:val="auto"/>
              </w:rPr>
            </w:pPr>
            <w:r>
              <w:rPr>
                <w:rFonts w:ascii="Arial" w:cs="Arial" w:eastAsia="Arial" w:hAnsi="Arial"/>
                <w:sz w:val="13"/>
                <w:szCs w:val="13"/>
                <w:b w:val="1"/>
                <w:bCs w:val="1"/>
                <w:color w:val="auto"/>
              </w:rPr>
              <w:t>Reported Value of</w:t>
            </w:r>
          </w:p>
        </w:tc>
        <w:tc>
          <w:tcPr>
            <w:tcW w:w="1160" w:type="dxa"/>
            <w:vAlign w:val="bottom"/>
            <w:gridSpan w:val="3"/>
          </w:tcPr>
          <w:p>
            <w:pPr>
              <w:jc w:val="right"/>
              <w:ind w:right="81"/>
              <w:spacing w:after="0" w:line="144" w:lineRule="exact"/>
              <w:rPr>
                <w:sz w:val="20"/>
                <w:szCs w:val="20"/>
                <w:color w:val="auto"/>
              </w:rPr>
            </w:pPr>
            <w:r>
              <w:rPr>
                <w:rFonts w:ascii="Arial" w:cs="Arial" w:eastAsia="Arial" w:hAnsi="Arial"/>
                <w:sz w:val="13"/>
                <w:szCs w:val="13"/>
                <w:b w:val="1"/>
                <w:bCs w:val="1"/>
                <w:color w:val="auto"/>
              </w:rPr>
              <w:t>Equity Award</w:t>
            </w:r>
          </w:p>
        </w:tc>
        <w:tc>
          <w:tcPr>
            <w:tcW w:w="480" w:type="dxa"/>
            <w:vAlign w:val="bottom"/>
          </w:tcPr>
          <w:p>
            <w:pPr>
              <w:spacing w:after="0"/>
              <w:rPr>
                <w:sz w:val="12"/>
                <w:szCs w:val="12"/>
                <w:color w:val="auto"/>
              </w:rPr>
            </w:pPr>
          </w:p>
        </w:tc>
        <w:tc>
          <w:tcPr>
            <w:tcW w:w="9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Compensation</w:t>
            </w:r>
          </w:p>
        </w:tc>
      </w:tr>
      <w:tr>
        <w:trPr>
          <w:trHeight w:val="182"/>
        </w:trPr>
        <w:tc>
          <w:tcPr>
            <w:tcW w:w="3200" w:type="dxa"/>
            <w:vAlign w:val="bottom"/>
            <w:tcBorders>
              <w:bottom w:val="single" w:sz="8" w:color="A26F2A"/>
            </w:tcBorders>
          </w:tcPr>
          <w:p>
            <w:pPr>
              <w:ind w:left="60"/>
              <w:spacing w:after="0"/>
              <w:rPr>
                <w:sz w:val="20"/>
                <w:szCs w:val="20"/>
                <w:color w:val="auto"/>
              </w:rPr>
            </w:pPr>
            <w:r>
              <w:rPr>
                <w:rFonts w:ascii="Arial" w:cs="Arial" w:eastAsia="Arial" w:hAnsi="Arial"/>
                <w:sz w:val="13"/>
                <w:szCs w:val="13"/>
                <w:b w:val="1"/>
                <w:bCs w:val="1"/>
                <w:color w:val="auto"/>
              </w:rPr>
              <w:t>Year</w:t>
            </w:r>
          </w:p>
        </w:tc>
        <w:tc>
          <w:tcPr>
            <w:tcW w:w="3780" w:type="dxa"/>
            <w:vAlign w:val="bottom"/>
            <w:tcBorders>
              <w:bottom w:val="single" w:sz="8" w:color="A26F2A"/>
            </w:tcBorders>
          </w:tcPr>
          <w:p>
            <w:pPr>
              <w:jc w:val="right"/>
              <w:ind w:right="33"/>
              <w:spacing w:after="0"/>
              <w:rPr>
                <w:sz w:val="20"/>
                <w:szCs w:val="20"/>
                <w:color w:val="auto"/>
              </w:rPr>
            </w:pPr>
            <w:r>
              <w:rPr>
                <w:rFonts w:ascii="Arial" w:cs="Arial" w:eastAsia="Arial" w:hAnsi="Arial"/>
                <w:sz w:val="13"/>
                <w:szCs w:val="13"/>
                <w:b w:val="1"/>
                <w:bCs w:val="1"/>
                <w:color w:val="auto"/>
              </w:rPr>
              <w:t>Total for PEO</w:t>
            </w:r>
          </w:p>
        </w:tc>
        <w:tc>
          <w:tcPr>
            <w:tcW w:w="1340" w:type="dxa"/>
            <w:vAlign w:val="bottom"/>
            <w:tcBorders>
              <w:bottom w:val="single" w:sz="8" w:color="A26F2A"/>
            </w:tcBorders>
            <w:gridSpan w:val="3"/>
          </w:tcPr>
          <w:p>
            <w:pPr>
              <w:jc w:val="right"/>
              <w:ind w:right="100"/>
              <w:spacing w:after="0" w:line="177" w:lineRule="exact"/>
              <w:rPr>
                <w:sz w:val="20"/>
                <w:szCs w:val="20"/>
                <w:color w:val="auto"/>
              </w:rPr>
            </w:pPr>
            <w:r>
              <w:rPr>
                <w:rFonts w:ascii="Arial" w:cs="Arial" w:eastAsia="Arial" w:hAnsi="Arial"/>
                <w:sz w:val="12"/>
                <w:szCs w:val="12"/>
                <w:b w:val="1"/>
                <w:bCs w:val="1"/>
                <w:color w:val="auto"/>
              </w:rPr>
              <w:t>Equity Awards</w:t>
            </w:r>
            <w:r>
              <w:rPr>
                <w:rFonts w:ascii="Arial" w:cs="Arial" w:eastAsia="Arial" w:hAnsi="Arial"/>
                <w:sz w:val="20"/>
                <w:szCs w:val="20"/>
                <w:b w:val="1"/>
                <w:bCs w:val="1"/>
                <w:color w:val="auto"/>
                <w:vertAlign w:val="superscript"/>
              </w:rPr>
              <w:t>(a)</w:t>
            </w:r>
          </w:p>
        </w:tc>
        <w:tc>
          <w:tcPr>
            <w:tcW w:w="1160" w:type="dxa"/>
            <w:vAlign w:val="bottom"/>
            <w:tcBorders>
              <w:bottom w:val="single" w:sz="8" w:color="A26F2A"/>
            </w:tcBorders>
            <w:gridSpan w:val="3"/>
          </w:tcPr>
          <w:p>
            <w:pPr>
              <w:jc w:val="right"/>
              <w:ind w:right="61"/>
              <w:spacing w:after="0" w:line="177" w:lineRule="exact"/>
              <w:rPr>
                <w:sz w:val="20"/>
                <w:szCs w:val="20"/>
                <w:color w:val="auto"/>
              </w:rPr>
            </w:pPr>
            <w:r>
              <w:rPr>
                <w:rFonts w:ascii="Arial" w:cs="Arial" w:eastAsia="Arial" w:hAnsi="Arial"/>
                <w:sz w:val="12"/>
                <w:szCs w:val="12"/>
                <w:b w:val="1"/>
                <w:bCs w:val="1"/>
                <w:color w:val="auto"/>
              </w:rPr>
              <w:t>Adjustments</w:t>
            </w:r>
            <w:r>
              <w:rPr>
                <w:rFonts w:ascii="Arial" w:cs="Arial" w:eastAsia="Arial" w:hAnsi="Arial"/>
                <w:sz w:val="20"/>
                <w:szCs w:val="20"/>
                <w:b w:val="1"/>
                <w:bCs w:val="1"/>
                <w:color w:val="auto"/>
                <w:vertAlign w:val="superscript"/>
              </w:rPr>
              <w:t>(b)</w:t>
            </w:r>
          </w:p>
        </w:tc>
        <w:tc>
          <w:tcPr>
            <w:tcW w:w="1460" w:type="dxa"/>
            <w:vAlign w:val="bottom"/>
            <w:tcBorders>
              <w:bottom w:val="single" w:sz="8" w:color="A26F2A"/>
            </w:tcBorders>
            <w:gridSpan w:val="2"/>
          </w:tcPr>
          <w:p>
            <w:pPr>
              <w:jc w:val="right"/>
              <w:spacing w:after="0"/>
              <w:rPr>
                <w:sz w:val="20"/>
                <w:szCs w:val="20"/>
                <w:color w:val="auto"/>
              </w:rPr>
            </w:pPr>
            <w:r>
              <w:rPr>
                <w:rFonts w:ascii="Arial" w:cs="Arial" w:eastAsia="Arial" w:hAnsi="Arial"/>
                <w:sz w:val="13"/>
                <w:szCs w:val="13"/>
                <w:b w:val="1"/>
                <w:bCs w:val="1"/>
                <w:color w:val="auto"/>
              </w:rPr>
              <w:t>Actually Paid to PEO</w:t>
            </w:r>
          </w:p>
        </w:tc>
      </w:tr>
      <w:tr>
        <w:trPr>
          <w:trHeight w:val="151"/>
        </w:trPr>
        <w:tc>
          <w:tcPr>
            <w:tcW w:w="3200" w:type="dxa"/>
            <w:vAlign w:val="bottom"/>
            <w:tcBorders>
              <w:bottom w:val="single" w:sz="8" w:color="A8A8AC"/>
            </w:tcBorders>
          </w:tcPr>
          <w:p>
            <w:pPr>
              <w:ind w:left="60"/>
              <w:spacing w:after="0"/>
              <w:rPr>
                <w:sz w:val="20"/>
                <w:szCs w:val="20"/>
                <w:color w:val="auto"/>
              </w:rPr>
            </w:pPr>
            <w:r>
              <w:rPr>
                <w:rFonts w:ascii="Arial" w:cs="Arial" w:eastAsia="Arial" w:hAnsi="Arial"/>
                <w:sz w:val="13"/>
                <w:szCs w:val="13"/>
                <w:color w:val="auto"/>
              </w:rPr>
              <w:t>Current PEO:</w:t>
            </w:r>
          </w:p>
        </w:tc>
        <w:tc>
          <w:tcPr>
            <w:tcW w:w="3780" w:type="dxa"/>
            <w:vAlign w:val="bottom"/>
            <w:tcBorders>
              <w:bottom w:val="single" w:sz="8" w:color="A8A8AC"/>
            </w:tcBorders>
          </w:tcPr>
          <w:p>
            <w:pPr>
              <w:spacing w:after="0"/>
              <w:rPr>
                <w:sz w:val="13"/>
                <w:szCs w:val="13"/>
                <w:color w:val="auto"/>
              </w:rPr>
            </w:pPr>
          </w:p>
        </w:tc>
        <w:tc>
          <w:tcPr>
            <w:tcW w:w="460" w:type="dxa"/>
            <w:vAlign w:val="bottom"/>
            <w:tcBorders>
              <w:bottom w:val="single" w:sz="8" w:color="A8A8AC"/>
            </w:tcBorders>
          </w:tcPr>
          <w:p>
            <w:pPr>
              <w:spacing w:after="0"/>
              <w:rPr>
                <w:sz w:val="13"/>
                <w:szCs w:val="13"/>
                <w:color w:val="auto"/>
              </w:rPr>
            </w:pPr>
          </w:p>
        </w:tc>
        <w:tc>
          <w:tcPr>
            <w:tcW w:w="780" w:type="dxa"/>
            <w:vAlign w:val="bottom"/>
            <w:tcBorders>
              <w:bottom w:val="single" w:sz="8" w:color="A8A8AC"/>
            </w:tcBorders>
          </w:tcPr>
          <w:p>
            <w:pPr>
              <w:spacing w:after="0"/>
              <w:rPr>
                <w:sz w:val="13"/>
                <w:szCs w:val="13"/>
                <w:color w:val="auto"/>
              </w:rPr>
            </w:pPr>
          </w:p>
        </w:tc>
        <w:tc>
          <w:tcPr>
            <w:tcW w:w="100" w:type="dxa"/>
            <w:vAlign w:val="bottom"/>
            <w:tcBorders>
              <w:bottom w:val="single" w:sz="8" w:color="A8A8AC"/>
            </w:tcBorders>
          </w:tcPr>
          <w:p>
            <w:pPr>
              <w:spacing w:after="0"/>
              <w:rPr>
                <w:sz w:val="13"/>
                <w:szCs w:val="13"/>
                <w:color w:val="auto"/>
              </w:rPr>
            </w:pPr>
          </w:p>
        </w:tc>
        <w:tc>
          <w:tcPr>
            <w:tcW w:w="380" w:type="dxa"/>
            <w:vAlign w:val="bottom"/>
            <w:tcBorders>
              <w:bottom w:val="single" w:sz="8" w:color="A8A8AC"/>
            </w:tcBorders>
          </w:tcPr>
          <w:p>
            <w:pPr>
              <w:spacing w:after="0"/>
              <w:rPr>
                <w:sz w:val="13"/>
                <w:szCs w:val="13"/>
                <w:color w:val="auto"/>
              </w:rPr>
            </w:pPr>
          </w:p>
        </w:tc>
        <w:tc>
          <w:tcPr>
            <w:tcW w:w="620" w:type="dxa"/>
            <w:vAlign w:val="bottom"/>
            <w:tcBorders>
              <w:bottom w:val="single" w:sz="8" w:color="A8A8AC"/>
            </w:tcBorders>
          </w:tcPr>
          <w:p>
            <w:pPr>
              <w:spacing w:after="0"/>
              <w:rPr>
                <w:sz w:val="13"/>
                <w:szCs w:val="13"/>
                <w:color w:val="auto"/>
              </w:rPr>
            </w:pPr>
          </w:p>
        </w:tc>
        <w:tc>
          <w:tcPr>
            <w:tcW w:w="160" w:type="dxa"/>
            <w:vAlign w:val="bottom"/>
            <w:tcBorders>
              <w:bottom w:val="single" w:sz="8" w:color="A8A8AC"/>
            </w:tcBorders>
          </w:tcPr>
          <w:p>
            <w:pPr>
              <w:spacing w:after="0"/>
              <w:rPr>
                <w:sz w:val="13"/>
                <w:szCs w:val="13"/>
                <w:color w:val="auto"/>
              </w:rPr>
            </w:pPr>
          </w:p>
        </w:tc>
        <w:tc>
          <w:tcPr>
            <w:tcW w:w="480" w:type="dxa"/>
            <w:vAlign w:val="bottom"/>
            <w:tcBorders>
              <w:bottom w:val="single" w:sz="8" w:color="A8A8AC"/>
            </w:tcBorders>
          </w:tcPr>
          <w:p>
            <w:pPr>
              <w:spacing w:after="0"/>
              <w:rPr>
                <w:sz w:val="13"/>
                <w:szCs w:val="13"/>
                <w:color w:val="auto"/>
              </w:rPr>
            </w:pPr>
          </w:p>
        </w:tc>
        <w:tc>
          <w:tcPr>
            <w:tcW w:w="980" w:type="dxa"/>
            <w:vAlign w:val="bottom"/>
            <w:tcBorders>
              <w:bottom w:val="single" w:sz="8" w:color="A8A8AC"/>
            </w:tcBorders>
          </w:tcPr>
          <w:p>
            <w:pPr>
              <w:spacing w:after="0"/>
              <w:rPr>
                <w:sz w:val="13"/>
                <w:szCs w:val="13"/>
                <w:color w:val="auto"/>
              </w:rPr>
            </w:pPr>
          </w:p>
        </w:tc>
      </w:tr>
      <w:tr>
        <w:trPr>
          <w:trHeight w:val="144"/>
        </w:trPr>
        <w:tc>
          <w:tcPr>
            <w:tcW w:w="3200" w:type="dxa"/>
            <w:vAlign w:val="bottom"/>
            <w:tcBorders>
              <w:bottom w:val="single" w:sz="8" w:color="A26F2A"/>
            </w:tcBorders>
          </w:tcPr>
          <w:p>
            <w:pPr>
              <w:ind w:left="60"/>
              <w:spacing w:after="0" w:line="144" w:lineRule="exact"/>
              <w:rPr>
                <w:sz w:val="20"/>
                <w:szCs w:val="20"/>
                <w:color w:val="auto"/>
              </w:rPr>
            </w:pPr>
            <w:r>
              <w:rPr>
                <w:rFonts w:ascii="Arial" w:cs="Arial" w:eastAsia="Arial" w:hAnsi="Arial"/>
                <w:sz w:val="13"/>
                <w:szCs w:val="13"/>
                <w:color w:val="auto"/>
              </w:rPr>
              <w:t>2025</w:t>
            </w:r>
          </w:p>
        </w:tc>
        <w:tc>
          <w:tcPr>
            <w:tcW w:w="3780" w:type="dxa"/>
            <w:vAlign w:val="bottom"/>
            <w:tcBorders>
              <w:bottom w:val="single" w:sz="8" w:color="A26F2A"/>
            </w:tcBorders>
          </w:tcPr>
          <w:p>
            <w:pPr>
              <w:jc w:val="right"/>
              <w:ind w:right="33"/>
              <w:spacing w:after="0" w:line="144" w:lineRule="exact"/>
              <w:rPr>
                <w:sz w:val="20"/>
                <w:szCs w:val="20"/>
                <w:color w:val="auto"/>
              </w:rPr>
            </w:pPr>
            <w:r>
              <w:rPr>
                <w:rFonts w:ascii="Arial" w:cs="Arial" w:eastAsia="Arial" w:hAnsi="Arial"/>
                <w:sz w:val="13"/>
                <w:szCs w:val="13"/>
                <w:color w:val="auto"/>
              </w:rPr>
              <w:t>$ 14,931,423</w:t>
            </w:r>
          </w:p>
        </w:tc>
        <w:tc>
          <w:tcPr>
            <w:tcW w:w="460" w:type="dxa"/>
            <w:vAlign w:val="bottom"/>
            <w:tcBorders>
              <w:bottom w:val="single" w:sz="8" w:color="A26F2A"/>
            </w:tcBorders>
          </w:tcPr>
          <w:p>
            <w:pPr>
              <w:jc w:val="right"/>
              <w:ind w:right="134"/>
              <w:spacing w:after="0" w:line="144"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26F2A"/>
            </w:tcBorders>
          </w:tcPr>
          <w:p>
            <w:pPr>
              <w:jc w:val="right"/>
              <w:spacing w:after="0" w:line="144" w:lineRule="exact"/>
              <w:rPr>
                <w:sz w:val="20"/>
                <w:szCs w:val="20"/>
                <w:color w:val="auto"/>
              </w:rPr>
            </w:pPr>
            <w:r>
              <w:rPr>
                <w:rFonts w:ascii="Arial" w:cs="Arial" w:eastAsia="Arial" w:hAnsi="Arial"/>
                <w:sz w:val="13"/>
                <w:szCs w:val="13"/>
                <w:color w:val="auto"/>
              </w:rPr>
              <w:t>11,101,462</w:t>
            </w:r>
          </w:p>
        </w:tc>
        <w:tc>
          <w:tcPr>
            <w:tcW w:w="100" w:type="dxa"/>
            <w:vAlign w:val="bottom"/>
            <w:tcBorders>
              <w:bottom w:val="single" w:sz="8" w:color="A26F2A"/>
            </w:tcBorders>
          </w:tcPr>
          <w:p>
            <w:pPr>
              <w:spacing w:after="0"/>
              <w:rPr>
                <w:sz w:val="12"/>
                <w:szCs w:val="12"/>
                <w:color w:val="auto"/>
              </w:rPr>
            </w:pPr>
          </w:p>
        </w:tc>
        <w:tc>
          <w:tcPr>
            <w:tcW w:w="380" w:type="dxa"/>
            <w:vAlign w:val="bottom"/>
            <w:tcBorders>
              <w:bottom w:val="single" w:sz="8" w:color="A26F2A"/>
            </w:tcBorders>
          </w:tcPr>
          <w:p>
            <w:pPr>
              <w:jc w:val="right"/>
              <w:spacing w:after="0" w:line="144"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26F2A"/>
            </w:tcBorders>
            <w:gridSpan w:val="2"/>
          </w:tcPr>
          <w:p>
            <w:pPr>
              <w:jc w:val="right"/>
              <w:ind w:right="81"/>
              <w:spacing w:after="0" w:line="144" w:lineRule="exact"/>
              <w:rPr>
                <w:sz w:val="20"/>
                <w:szCs w:val="20"/>
                <w:color w:val="auto"/>
              </w:rPr>
            </w:pPr>
            <w:r>
              <w:rPr>
                <w:rFonts w:ascii="Arial" w:cs="Arial" w:eastAsia="Arial" w:hAnsi="Arial"/>
                <w:sz w:val="13"/>
                <w:szCs w:val="13"/>
                <w:color w:val="auto"/>
              </w:rPr>
              <w:t>8,748,416</w:t>
            </w:r>
          </w:p>
        </w:tc>
        <w:tc>
          <w:tcPr>
            <w:tcW w:w="480" w:type="dxa"/>
            <w:vAlign w:val="bottom"/>
            <w:tcBorders>
              <w:bottom w:val="single" w:sz="8" w:color="A26F2A"/>
            </w:tcBorders>
          </w:tcPr>
          <w:p>
            <w:pPr>
              <w:jc w:val="right"/>
              <w:spacing w:after="0" w:line="144"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26F2A"/>
            </w:tcBorders>
          </w:tcPr>
          <w:p>
            <w:pPr>
              <w:jc w:val="right"/>
              <w:spacing w:after="0" w:line="144" w:lineRule="exact"/>
              <w:rPr>
                <w:sz w:val="20"/>
                <w:szCs w:val="20"/>
                <w:color w:val="auto"/>
              </w:rPr>
            </w:pPr>
            <w:r>
              <w:rPr>
                <w:rFonts w:ascii="Arial" w:cs="Arial" w:eastAsia="Arial" w:hAnsi="Arial"/>
                <w:sz w:val="13"/>
                <w:szCs w:val="13"/>
                <w:color w:val="auto"/>
              </w:rPr>
              <w:t>12,578,377</w:t>
            </w:r>
          </w:p>
        </w:tc>
      </w:tr>
      <w:tr>
        <w:trPr>
          <w:trHeight w:val="144"/>
        </w:trPr>
        <w:tc>
          <w:tcPr>
            <w:tcW w:w="3200" w:type="dxa"/>
            <w:vAlign w:val="bottom"/>
            <w:tcBorders>
              <w:bottom w:val="single" w:sz="8" w:color="A8A8AC"/>
            </w:tcBorders>
          </w:tcPr>
          <w:p>
            <w:pPr>
              <w:ind w:left="60"/>
              <w:spacing w:after="0" w:line="144" w:lineRule="exact"/>
              <w:rPr>
                <w:sz w:val="20"/>
                <w:szCs w:val="20"/>
                <w:color w:val="auto"/>
              </w:rPr>
            </w:pPr>
            <w:r>
              <w:rPr>
                <w:rFonts w:ascii="Arial" w:cs="Arial" w:eastAsia="Arial" w:hAnsi="Arial"/>
                <w:sz w:val="13"/>
                <w:szCs w:val="13"/>
                <w:color w:val="auto"/>
              </w:rPr>
              <w:t>Former PEO:</w:t>
            </w:r>
          </w:p>
        </w:tc>
        <w:tc>
          <w:tcPr>
            <w:tcW w:w="3780" w:type="dxa"/>
            <w:vAlign w:val="bottom"/>
            <w:tcBorders>
              <w:bottom w:val="single" w:sz="8" w:color="A8A8AC"/>
            </w:tcBorders>
          </w:tcPr>
          <w:p>
            <w:pPr>
              <w:spacing w:after="0"/>
              <w:rPr>
                <w:sz w:val="12"/>
                <w:szCs w:val="12"/>
                <w:color w:val="auto"/>
              </w:rPr>
            </w:pPr>
          </w:p>
        </w:tc>
        <w:tc>
          <w:tcPr>
            <w:tcW w:w="460" w:type="dxa"/>
            <w:vAlign w:val="bottom"/>
            <w:tcBorders>
              <w:bottom w:val="single" w:sz="8" w:color="A8A8AC"/>
            </w:tcBorders>
          </w:tcPr>
          <w:p>
            <w:pPr>
              <w:spacing w:after="0"/>
              <w:rPr>
                <w:sz w:val="12"/>
                <w:szCs w:val="12"/>
                <w:color w:val="auto"/>
              </w:rPr>
            </w:pPr>
          </w:p>
        </w:tc>
        <w:tc>
          <w:tcPr>
            <w:tcW w:w="780" w:type="dxa"/>
            <w:vAlign w:val="bottom"/>
            <w:tcBorders>
              <w:bottom w:val="single" w:sz="8" w:color="A8A8AC"/>
            </w:tcBorders>
          </w:tcPr>
          <w:p>
            <w:pPr>
              <w:spacing w:after="0"/>
              <w:rPr>
                <w:sz w:val="12"/>
                <w:szCs w:val="12"/>
                <w:color w:val="auto"/>
              </w:rPr>
            </w:pPr>
          </w:p>
        </w:tc>
        <w:tc>
          <w:tcPr>
            <w:tcW w:w="100" w:type="dxa"/>
            <w:vAlign w:val="bottom"/>
            <w:tcBorders>
              <w:bottom w:val="single" w:sz="8" w:color="A8A8AC"/>
            </w:tcBorders>
          </w:tcPr>
          <w:p>
            <w:pPr>
              <w:spacing w:after="0"/>
              <w:rPr>
                <w:sz w:val="12"/>
                <w:szCs w:val="12"/>
                <w:color w:val="auto"/>
              </w:rPr>
            </w:pPr>
          </w:p>
        </w:tc>
        <w:tc>
          <w:tcPr>
            <w:tcW w:w="380" w:type="dxa"/>
            <w:vAlign w:val="bottom"/>
            <w:tcBorders>
              <w:bottom w:val="single" w:sz="8" w:color="A8A8AC"/>
            </w:tcBorders>
          </w:tcPr>
          <w:p>
            <w:pPr>
              <w:spacing w:after="0"/>
              <w:rPr>
                <w:sz w:val="12"/>
                <w:szCs w:val="12"/>
                <w:color w:val="auto"/>
              </w:rPr>
            </w:pPr>
          </w:p>
        </w:tc>
        <w:tc>
          <w:tcPr>
            <w:tcW w:w="620" w:type="dxa"/>
            <w:vAlign w:val="bottom"/>
            <w:tcBorders>
              <w:bottom w:val="single" w:sz="8" w:color="A8A8AC"/>
            </w:tcBorders>
          </w:tcPr>
          <w:p>
            <w:pPr>
              <w:spacing w:after="0"/>
              <w:rPr>
                <w:sz w:val="12"/>
                <w:szCs w:val="12"/>
                <w:color w:val="auto"/>
              </w:rPr>
            </w:pPr>
          </w:p>
        </w:tc>
        <w:tc>
          <w:tcPr>
            <w:tcW w:w="160" w:type="dxa"/>
            <w:vAlign w:val="bottom"/>
            <w:tcBorders>
              <w:bottom w:val="single" w:sz="8" w:color="A8A8AC"/>
            </w:tcBorders>
          </w:tcPr>
          <w:p>
            <w:pPr>
              <w:spacing w:after="0"/>
              <w:rPr>
                <w:sz w:val="12"/>
                <w:szCs w:val="12"/>
                <w:color w:val="auto"/>
              </w:rPr>
            </w:pPr>
          </w:p>
        </w:tc>
        <w:tc>
          <w:tcPr>
            <w:tcW w:w="480" w:type="dxa"/>
            <w:vAlign w:val="bottom"/>
            <w:tcBorders>
              <w:bottom w:val="single" w:sz="8" w:color="A8A8AC"/>
            </w:tcBorders>
          </w:tcPr>
          <w:p>
            <w:pPr>
              <w:spacing w:after="0"/>
              <w:rPr>
                <w:sz w:val="12"/>
                <w:szCs w:val="12"/>
                <w:color w:val="auto"/>
              </w:rPr>
            </w:pPr>
          </w:p>
        </w:tc>
        <w:tc>
          <w:tcPr>
            <w:tcW w:w="980" w:type="dxa"/>
            <w:vAlign w:val="bottom"/>
            <w:tcBorders>
              <w:bottom w:val="single" w:sz="8" w:color="A8A8AC"/>
            </w:tcBorders>
          </w:tcPr>
          <w:p>
            <w:pPr>
              <w:spacing w:after="0"/>
              <w:rPr>
                <w:sz w:val="12"/>
                <w:szCs w:val="12"/>
                <w:color w:val="auto"/>
              </w:rPr>
            </w:pPr>
          </w:p>
        </w:tc>
      </w:tr>
      <w:tr>
        <w:trPr>
          <w:trHeight w:val="144"/>
        </w:trPr>
        <w:tc>
          <w:tcPr>
            <w:tcW w:w="3200" w:type="dxa"/>
            <w:vAlign w:val="bottom"/>
            <w:tcBorders>
              <w:bottom w:val="single" w:sz="8" w:color="A26F2A"/>
            </w:tcBorders>
          </w:tcPr>
          <w:p>
            <w:pPr>
              <w:ind w:left="60"/>
              <w:spacing w:after="0" w:line="144" w:lineRule="exact"/>
              <w:rPr>
                <w:sz w:val="20"/>
                <w:szCs w:val="20"/>
                <w:color w:val="auto"/>
              </w:rPr>
            </w:pPr>
            <w:r>
              <w:rPr>
                <w:rFonts w:ascii="Arial" w:cs="Arial" w:eastAsia="Arial" w:hAnsi="Arial"/>
                <w:sz w:val="13"/>
                <w:szCs w:val="13"/>
                <w:color w:val="auto"/>
              </w:rPr>
              <w:t>2025</w:t>
            </w:r>
          </w:p>
        </w:tc>
        <w:tc>
          <w:tcPr>
            <w:tcW w:w="3780" w:type="dxa"/>
            <w:vAlign w:val="bottom"/>
            <w:tcBorders>
              <w:bottom w:val="single" w:sz="8" w:color="A26F2A"/>
            </w:tcBorders>
          </w:tcPr>
          <w:p>
            <w:pPr>
              <w:jc w:val="right"/>
              <w:ind w:right="33"/>
              <w:spacing w:after="0" w:line="144" w:lineRule="exact"/>
              <w:rPr>
                <w:sz w:val="20"/>
                <w:szCs w:val="20"/>
                <w:color w:val="auto"/>
              </w:rPr>
            </w:pPr>
            <w:r>
              <w:rPr>
                <w:rFonts w:ascii="Arial" w:cs="Arial" w:eastAsia="Arial" w:hAnsi="Arial"/>
                <w:sz w:val="13"/>
                <w:szCs w:val="13"/>
                <w:color w:val="auto"/>
              </w:rPr>
              <w:t>$ 20,502,775</w:t>
            </w:r>
          </w:p>
        </w:tc>
        <w:tc>
          <w:tcPr>
            <w:tcW w:w="460" w:type="dxa"/>
            <w:vAlign w:val="bottom"/>
            <w:tcBorders>
              <w:bottom w:val="single" w:sz="8" w:color="A26F2A"/>
            </w:tcBorders>
          </w:tcPr>
          <w:p>
            <w:pPr>
              <w:jc w:val="right"/>
              <w:ind w:right="134"/>
              <w:spacing w:after="0" w:line="144"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26F2A"/>
            </w:tcBorders>
          </w:tcPr>
          <w:p>
            <w:pPr>
              <w:jc w:val="right"/>
              <w:spacing w:after="0" w:line="144" w:lineRule="exact"/>
              <w:rPr>
                <w:sz w:val="20"/>
                <w:szCs w:val="20"/>
                <w:color w:val="auto"/>
              </w:rPr>
            </w:pPr>
            <w:r>
              <w:rPr>
                <w:rFonts w:ascii="Arial" w:cs="Arial" w:eastAsia="Arial" w:hAnsi="Arial"/>
                <w:sz w:val="13"/>
                <w:szCs w:val="13"/>
                <w:color w:val="auto"/>
              </w:rPr>
              <w:t>16,600,783</w:t>
            </w:r>
          </w:p>
        </w:tc>
        <w:tc>
          <w:tcPr>
            <w:tcW w:w="100" w:type="dxa"/>
            <w:vAlign w:val="bottom"/>
            <w:tcBorders>
              <w:bottom w:val="single" w:sz="8" w:color="A26F2A"/>
            </w:tcBorders>
          </w:tcPr>
          <w:p>
            <w:pPr>
              <w:spacing w:after="0"/>
              <w:rPr>
                <w:sz w:val="12"/>
                <w:szCs w:val="12"/>
                <w:color w:val="auto"/>
              </w:rPr>
            </w:pPr>
          </w:p>
        </w:tc>
        <w:tc>
          <w:tcPr>
            <w:tcW w:w="380" w:type="dxa"/>
            <w:vAlign w:val="bottom"/>
            <w:tcBorders>
              <w:bottom w:val="single" w:sz="8" w:color="A26F2A"/>
            </w:tcBorders>
          </w:tcPr>
          <w:p>
            <w:pPr>
              <w:jc w:val="right"/>
              <w:spacing w:after="0" w:line="144"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26F2A"/>
            </w:tcBorders>
            <w:gridSpan w:val="2"/>
          </w:tcPr>
          <w:p>
            <w:pPr>
              <w:jc w:val="right"/>
              <w:ind w:right="81"/>
              <w:spacing w:after="0" w:line="144" w:lineRule="exact"/>
              <w:rPr>
                <w:sz w:val="20"/>
                <w:szCs w:val="20"/>
                <w:color w:val="auto"/>
              </w:rPr>
            </w:pPr>
            <w:r>
              <w:rPr>
                <w:rFonts w:ascii="Arial" w:cs="Arial" w:eastAsia="Arial" w:hAnsi="Arial"/>
                <w:sz w:val="13"/>
                <w:szCs w:val="13"/>
                <w:color w:val="auto"/>
                <w:w w:val="98"/>
              </w:rPr>
              <w:t>12,680,412</w:t>
            </w:r>
          </w:p>
        </w:tc>
        <w:tc>
          <w:tcPr>
            <w:tcW w:w="480" w:type="dxa"/>
            <w:vAlign w:val="bottom"/>
            <w:tcBorders>
              <w:bottom w:val="single" w:sz="8" w:color="A26F2A"/>
            </w:tcBorders>
          </w:tcPr>
          <w:p>
            <w:pPr>
              <w:jc w:val="right"/>
              <w:spacing w:after="0" w:line="144"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26F2A"/>
            </w:tcBorders>
          </w:tcPr>
          <w:p>
            <w:pPr>
              <w:jc w:val="right"/>
              <w:spacing w:after="0" w:line="144" w:lineRule="exact"/>
              <w:rPr>
                <w:sz w:val="20"/>
                <w:szCs w:val="20"/>
                <w:color w:val="auto"/>
              </w:rPr>
            </w:pPr>
            <w:r>
              <w:rPr>
                <w:rFonts w:ascii="Arial" w:cs="Arial" w:eastAsia="Arial" w:hAnsi="Arial"/>
                <w:sz w:val="13"/>
                <w:szCs w:val="13"/>
                <w:color w:val="auto"/>
              </w:rPr>
              <w:t>16,582,404</w:t>
            </w:r>
          </w:p>
        </w:tc>
      </w:tr>
    </w:tbl>
    <w:p>
      <w:pPr>
        <w:spacing w:after="0" w:line="56" w:lineRule="exact"/>
        <w:rPr>
          <w:sz w:val="20"/>
          <w:szCs w:val="20"/>
          <w:color w:val="auto"/>
        </w:rPr>
      </w:pPr>
    </w:p>
    <w:p>
      <w:pPr>
        <w:ind w:left="600" w:hanging="296"/>
        <w:spacing w:after="0"/>
        <w:tabs>
          <w:tab w:leader="none" w:pos="600" w:val="left"/>
        </w:tabs>
        <w:numPr>
          <w:ilvl w:val="0"/>
          <w:numId w:val="116"/>
        </w:numPr>
        <w:rPr>
          <w:rFonts w:ascii="Arial" w:cs="Arial" w:eastAsia="Arial" w:hAnsi="Arial"/>
          <w:sz w:val="13"/>
          <w:szCs w:val="13"/>
          <w:i w:val="1"/>
          <w:iCs w:val="1"/>
          <w:color w:val="auto"/>
        </w:rPr>
      </w:pPr>
      <w:r>
        <w:rPr>
          <w:rFonts w:ascii="Arial" w:cs="Arial" w:eastAsia="Arial" w:hAnsi="Arial"/>
          <w:sz w:val="13"/>
          <w:szCs w:val="13"/>
          <w:i w:val="1"/>
          <w:iCs w:val="1"/>
          <w:color w:val="auto"/>
        </w:rPr>
        <w:t>The grant date fair value of equity awards represents the total of the amounts reported in the “Stock Awards” columns in the Summary Compensation Table for the applicable year.</w:t>
      </w:r>
    </w:p>
    <w:p>
      <w:pPr>
        <w:spacing w:after="0" w:line="174" w:lineRule="exact"/>
        <w:rPr>
          <w:sz w:val="20"/>
          <w:szCs w:val="20"/>
          <w:color w:val="auto"/>
        </w:rPr>
      </w:pPr>
    </w:p>
    <w:p>
      <w:pPr>
        <w:jc w:val="right"/>
        <w:ind w:right="100"/>
        <w:spacing w:after="0"/>
        <w:tabs>
          <w:tab w:leader="none" w:pos="2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340"/>
          </w:cols>
          <w:pgMar w:left="320" w:top="231" w:right="239" w:bottom="1440" w:gutter="0" w:footer="0" w:header="0"/>
        </w:sectPr>
      </w:pPr>
    </w:p>
    <w:bookmarkStart w:id="80" w:name="page81"/>
    <w:bookmarkEnd w:id="8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395" w:lineRule="exact"/>
        <w:rPr>
          <w:sz w:val="20"/>
          <w:szCs w:val="20"/>
          <w:color w:val="auto"/>
        </w:rPr>
      </w:pPr>
    </w:p>
    <w:p>
      <w:pPr>
        <w:jc w:val="both"/>
        <w:ind w:left="600" w:hanging="296"/>
        <w:spacing w:after="0" w:line="248" w:lineRule="auto"/>
        <w:tabs>
          <w:tab w:leader="none" w:pos="600" w:val="left"/>
        </w:tabs>
        <w:numPr>
          <w:ilvl w:val="0"/>
          <w:numId w:val="117"/>
        </w:numPr>
        <w:rPr>
          <w:rFonts w:ascii="Arial" w:cs="Arial" w:eastAsia="Arial" w:hAnsi="Arial"/>
          <w:sz w:val="13"/>
          <w:szCs w:val="13"/>
          <w:i w:val="1"/>
          <w:iCs w:val="1"/>
          <w:color w:val="auto"/>
        </w:rPr>
      </w:pPr>
      <w:r>
        <w:rPr>
          <w:rFonts w:ascii="Arial" w:cs="Arial" w:eastAsia="Arial" w:hAnsi="Arial"/>
          <w:sz w:val="13"/>
          <w:szCs w:val="13"/>
          <w:i w:val="1"/>
          <w:iCs w:val="1"/>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302" w:lineRule="exact"/>
        <w:rPr>
          <w:sz w:val="20"/>
          <w:szCs w:val="20"/>
          <w:color w:val="auto"/>
        </w:rPr>
      </w:pPr>
    </w:p>
    <w:tbl>
      <w:tblPr>
        <w:tblLayout w:type="fixed"/>
        <w:tblInd w:w="600" w:type="dxa"/>
        <w:tblCellMar>
          <w:top w:w="0" w:type="dxa"/>
          <w:left w:w="0" w:type="dxa"/>
          <w:bottom w:w="0" w:type="dxa"/>
          <w:right w:w="0" w:type="dxa"/>
        </w:tblCellMar>
      </w:tblPr>
      <w:tr>
        <w:trPr>
          <w:trHeight w:val="151"/>
        </w:trPr>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Fair Value at</w:t>
            </w: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1"/>
        </w:trPr>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20" w:type="dxa"/>
            <w:vAlign w:val="bottom"/>
          </w:tcPr>
          <w:p>
            <w:pPr>
              <w:jc w:val="right"/>
              <w:ind w:right="153"/>
              <w:spacing w:after="0"/>
              <w:rPr>
                <w:sz w:val="20"/>
                <w:szCs w:val="20"/>
                <w:color w:val="auto"/>
              </w:rPr>
            </w:pPr>
            <w:r>
              <w:rPr>
                <w:rFonts w:ascii="Arial" w:cs="Arial" w:eastAsia="Arial" w:hAnsi="Arial"/>
                <w:sz w:val="13"/>
                <w:szCs w:val="13"/>
                <w:b w:val="1"/>
                <w:bCs w:val="1"/>
                <w:color w:val="auto"/>
              </w:rPr>
              <w:t>Change in</w:t>
            </w: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the End of the</w:t>
            </w:r>
          </w:p>
        </w:tc>
        <w:tc>
          <w:tcPr>
            <w:tcW w:w="158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Value of Dividends</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1"/>
        </w:trPr>
        <w:tc>
          <w:tcPr>
            <w:tcW w:w="1020" w:type="dxa"/>
            <w:vAlign w:val="bottom"/>
          </w:tcPr>
          <w:p>
            <w:pPr>
              <w:spacing w:after="0"/>
              <w:rPr>
                <w:sz w:val="13"/>
                <w:szCs w:val="13"/>
                <w:color w:val="auto"/>
              </w:rPr>
            </w:pPr>
          </w:p>
        </w:tc>
        <w:tc>
          <w:tcPr>
            <w:tcW w:w="148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Year End Fair</w:t>
            </w:r>
          </w:p>
        </w:tc>
        <w:tc>
          <w:tcPr>
            <w:tcW w:w="1420" w:type="dxa"/>
            <w:vAlign w:val="bottom"/>
          </w:tcPr>
          <w:p>
            <w:pPr>
              <w:jc w:val="right"/>
              <w:ind w:right="153"/>
              <w:spacing w:after="0"/>
              <w:rPr>
                <w:sz w:val="20"/>
                <w:szCs w:val="20"/>
                <w:color w:val="auto"/>
              </w:rPr>
            </w:pPr>
            <w:r>
              <w:rPr>
                <w:rFonts w:ascii="Arial" w:cs="Arial" w:eastAsia="Arial" w:hAnsi="Arial"/>
                <w:sz w:val="13"/>
                <w:szCs w:val="13"/>
                <w:b w:val="1"/>
                <w:bCs w:val="1"/>
                <w:color w:val="auto"/>
              </w:rPr>
              <w:t>Fair Value of</w:t>
            </w:r>
          </w:p>
        </w:tc>
        <w:tc>
          <w:tcPr>
            <w:tcW w:w="1260" w:type="dxa"/>
            <w:vAlign w:val="bottom"/>
          </w:tcPr>
          <w:p>
            <w:pPr>
              <w:jc w:val="right"/>
              <w:ind w:right="53"/>
              <w:spacing w:after="0"/>
              <w:rPr>
                <w:sz w:val="20"/>
                <w:szCs w:val="20"/>
                <w:color w:val="auto"/>
              </w:rPr>
            </w:pPr>
            <w:r>
              <w:rPr>
                <w:rFonts w:ascii="Arial" w:cs="Arial" w:eastAsia="Arial" w:hAnsi="Arial"/>
                <w:sz w:val="13"/>
                <w:szCs w:val="13"/>
                <w:b w:val="1"/>
                <w:bCs w:val="1"/>
                <w:color w:val="auto"/>
              </w:rPr>
              <w:t>Fair Value as of</w:t>
            </w:r>
          </w:p>
        </w:tc>
        <w:tc>
          <w:tcPr>
            <w:tcW w:w="138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Change in Fair</w:t>
            </w:r>
          </w:p>
        </w:tc>
        <w:tc>
          <w:tcPr>
            <w:tcW w:w="132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Prior Year of</w:t>
            </w:r>
          </w:p>
        </w:tc>
        <w:tc>
          <w:tcPr>
            <w:tcW w:w="158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or other Earnings</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1"/>
        </w:trPr>
        <w:tc>
          <w:tcPr>
            <w:tcW w:w="1020" w:type="dxa"/>
            <w:vAlign w:val="bottom"/>
          </w:tcPr>
          <w:p>
            <w:pPr>
              <w:spacing w:after="0"/>
              <w:rPr>
                <w:sz w:val="13"/>
                <w:szCs w:val="13"/>
                <w:color w:val="auto"/>
              </w:rPr>
            </w:pPr>
          </w:p>
        </w:tc>
        <w:tc>
          <w:tcPr>
            <w:tcW w:w="148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Value of Current</w:t>
            </w:r>
          </w:p>
        </w:tc>
        <w:tc>
          <w:tcPr>
            <w:tcW w:w="1420" w:type="dxa"/>
            <w:vAlign w:val="bottom"/>
          </w:tcPr>
          <w:p>
            <w:pPr>
              <w:jc w:val="right"/>
              <w:ind w:right="153"/>
              <w:spacing w:after="0"/>
              <w:rPr>
                <w:sz w:val="20"/>
                <w:szCs w:val="20"/>
                <w:color w:val="auto"/>
              </w:rPr>
            </w:pPr>
            <w:r>
              <w:rPr>
                <w:rFonts w:ascii="Arial" w:cs="Arial" w:eastAsia="Arial" w:hAnsi="Arial"/>
                <w:sz w:val="13"/>
                <w:szCs w:val="13"/>
                <w:b w:val="1"/>
                <w:bCs w:val="1"/>
                <w:color w:val="auto"/>
              </w:rPr>
              <w:t>Equity Awards</w:t>
            </w:r>
          </w:p>
        </w:tc>
        <w:tc>
          <w:tcPr>
            <w:tcW w:w="1260" w:type="dxa"/>
            <w:vAlign w:val="bottom"/>
          </w:tcPr>
          <w:p>
            <w:pPr>
              <w:jc w:val="right"/>
              <w:ind w:right="53"/>
              <w:spacing w:after="0"/>
              <w:rPr>
                <w:sz w:val="20"/>
                <w:szCs w:val="20"/>
                <w:color w:val="auto"/>
              </w:rPr>
            </w:pPr>
            <w:r>
              <w:rPr>
                <w:rFonts w:ascii="Arial" w:cs="Arial" w:eastAsia="Arial" w:hAnsi="Arial"/>
                <w:sz w:val="13"/>
                <w:szCs w:val="13"/>
                <w:b w:val="1"/>
                <w:bCs w:val="1"/>
                <w:color w:val="auto"/>
              </w:rPr>
              <w:t>Vesting Date of</w:t>
            </w:r>
          </w:p>
        </w:tc>
        <w:tc>
          <w:tcPr>
            <w:tcW w:w="138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Value of Equity</w:t>
            </w:r>
          </w:p>
        </w:tc>
        <w:tc>
          <w:tcPr>
            <w:tcW w:w="132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Equity Awards</w:t>
            </w:r>
          </w:p>
        </w:tc>
        <w:tc>
          <w:tcPr>
            <w:tcW w:w="158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Paid on Stock or</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1"/>
        </w:trPr>
        <w:tc>
          <w:tcPr>
            <w:tcW w:w="1020" w:type="dxa"/>
            <w:vAlign w:val="bottom"/>
          </w:tcPr>
          <w:p>
            <w:pPr>
              <w:spacing w:after="0"/>
              <w:rPr>
                <w:sz w:val="13"/>
                <w:szCs w:val="13"/>
                <w:color w:val="auto"/>
              </w:rPr>
            </w:pPr>
          </w:p>
        </w:tc>
        <w:tc>
          <w:tcPr>
            <w:tcW w:w="148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Year Equity</w:t>
            </w:r>
          </w:p>
        </w:tc>
        <w:tc>
          <w:tcPr>
            <w:tcW w:w="1420" w:type="dxa"/>
            <w:vAlign w:val="bottom"/>
          </w:tcPr>
          <w:p>
            <w:pPr>
              <w:jc w:val="right"/>
              <w:ind w:right="153"/>
              <w:spacing w:after="0"/>
              <w:rPr>
                <w:sz w:val="20"/>
                <w:szCs w:val="20"/>
                <w:color w:val="auto"/>
              </w:rPr>
            </w:pPr>
            <w:r>
              <w:rPr>
                <w:rFonts w:ascii="Arial" w:cs="Arial" w:eastAsia="Arial" w:hAnsi="Arial"/>
                <w:sz w:val="13"/>
                <w:szCs w:val="13"/>
                <w:b w:val="1"/>
                <w:bCs w:val="1"/>
                <w:color w:val="auto"/>
              </w:rPr>
              <w:t>Granted in</w:t>
            </w:r>
          </w:p>
        </w:tc>
        <w:tc>
          <w:tcPr>
            <w:tcW w:w="1260" w:type="dxa"/>
            <w:vAlign w:val="bottom"/>
          </w:tcPr>
          <w:p>
            <w:pPr>
              <w:jc w:val="right"/>
              <w:ind w:right="53"/>
              <w:spacing w:after="0"/>
              <w:rPr>
                <w:sz w:val="20"/>
                <w:szCs w:val="20"/>
                <w:color w:val="auto"/>
              </w:rPr>
            </w:pPr>
            <w:r>
              <w:rPr>
                <w:rFonts w:ascii="Arial" w:cs="Arial" w:eastAsia="Arial" w:hAnsi="Arial"/>
                <w:sz w:val="13"/>
                <w:szCs w:val="13"/>
                <w:b w:val="1"/>
                <w:bCs w:val="1"/>
                <w:color w:val="auto"/>
              </w:rPr>
              <w:t>Equity Awards</w:t>
            </w:r>
          </w:p>
        </w:tc>
        <w:tc>
          <w:tcPr>
            <w:tcW w:w="138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Awards Granted</w:t>
            </w:r>
          </w:p>
        </w:tc>
        <w:tc>
          <w:tcPr>
            <w:tcW w:w="132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that Failed to</w:t>
            </w:r>
          </w:p>
        </w:tc>
        <w:tc>
          <w:tcPr>
            <w:tcW w:w="158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Option Awards</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1"/>
        </w:trPr>
        <w:tc>
          <w:tcPr>
            <w:tcW w:w="1020" w:type="dxa"/>
            <w:vAlign w:val="bottom"/>
          </w:tcPr>
          <w:p>
            <w:pPr>
              <w:spacing w:after="0"/>
              <w:rPr>
                <w:sz w:val="13"/>
                <w:szCs w:val="13"/>
                <w:color w:val="auto"/>
              </w:rPr>
            </w:pPr>
          </w:p>
        </w:tc>
        <w:tc>
          <w:tcPr>
            <w:tcW w:w="148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Awards that</w:t>
            </w:r>
          </w:p>
        </w:tc>
        <w:tc>
          <w:tcPr>
            <w:tcW w:w="1420" w:type="dxa"/>
            <w:vAlign w:val="bottom"/>
          </w:tcPr>
          <w:p>
            <w:pPr>
              <w:jc w:val="right"/>
              <w:ind w:right="153"/>
              <w:spacing w:after="0"/>
              <w:rPr>
                <w:sz w:val="20"/>
                <w:szCs w:val="20"/>
                <w:color w:val="auto"/>
              </w:rPr>
            </w:pPr>
            <w:r>
              <w:rPr>
                <w:rFonts w:ascii="Arial" w:cs="Arial" w:eastAsia="Arial" w:hAnsi="Arial"/>
                <w:sz w:val="13"/>
                <w:szCs w:val="13"/>
                <w:b w:val="1"/>
                <w:bCs w:val="1"/>
                <w:color w:val="auto"/>
              </w:rPr>
              <w:t>Prior Years that</w:t>
            </w:r>
          </w:p>
        </w:tc>
        <w:tc>
          <w:tcPr>
            <w:tcW w:w="1260" w:type="dxa"/>
            <w:vAlign w:val="bottom"/>
          </w:tcPr>
          <w:p>
            <w:pPr>
              <w:jc w:val="right"/>
              <w:ind w:right="53"/>
              <w:spacing w:after="0"/>
              <w:rPr>
                <w:sz w:val="20"/>
                <w:szCs w:val="20"/>
                <w:color w:val="auto"/>
              </w:rPr>
            </w:pPr>
            <w:r>
              <w:rPr>
                <w:rFonts w:ascii="Arial" w:cs="Arial" w:eastAsia="Arial" w:hAnsi="Arial"/>
                <w:sz w:val="13"/>
                <w:szCs w:val="13"/>
                <w:b w:val="1"/>
                <w:bCs w:val="1"/>
                <w:color w:val="auto"/>
              </w:rPr>
              <w:t>Granted and</w:t>
            </w:r>
          </w:p>
        </w:tc>
        <w:tc>
          <w:tcPr>
            <w:tcW w:w="138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in Prior Years that</w:t>
            </w:r>
          </w:p>
        </w:tc>
        <w:tc>
          <w:tcPr>
            <w:tcW w:w="132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Meet Vesting</w:t>
            </w:r>
          </w:p>
        </w:tc>
        <w:tc>
          <w:tcPr>
            <w:tcW w:w="158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not Otherwise</w:t>
            </w:r>
          </w:p>
        </w:tc>
        <w:tc>
          <w:tcPr>
            <w:tcW w:w="4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151"/>
        </w:trPr>
        <w:tc>
          <w:tcPr>
            <w:tcW w:w="1020" w:type="dxa"/>
            <w:vAlign w:val="bottom"/>
          </w:tcPr>
          <w:p>
            <w:pPr>
              <w:spacing w:after="0"/>
              <w:rPr>
                <w:sz w:val="13"/>
                <w:szCs w:val="13"/>
                <w:color w:val="auto"/>
              </w:rPr>
            </w:pPr>
          </w:p>
        </w:tc>
        <w:tc>
          <w:tcPr>
            <w:tcW w:w="148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Remain Unvested</w:t>
            </w:r>
          </w:p>
        </w:tc>
        <w:tc>
          <w:tcPr>
            <w:tcW w:w="1420" w:type="dxa"/>
            <w:vAlign w:val="bottom"/>
          </w:tcPr>
          <w:p>
            <w:pPr>
              <w:jc w:val="right"/>
              <w:ind w:right="153"/>
              <w:spacing w:after="0"/>
              <w:rPr>
                <w:sz w:val="20"/>
                <w:szCs w:val="20"/>
                <w:color w:val="auto"/>
              </w:rPr>
            </w:pPr>
            <w:r>
              <w:rPr>
                <w:rFonts w:ascii="Arial" w:cs="Arial" w:eastAsia="Arial" w:hAnsi="Arial"/>
                <w:sz w:val="13"/>
                <w:szCs w:val="13"/>
                <w:b w:val="1"/>
                <w:bCs w:val="1"/>
                <w:color w:val="auto"/>
              </w:rPr>
              <w:t>are Unvested</w:t>
            </w:r>
          </w:p>
        </w:tc>
        <w:tc>
          <w:tcPr>
            <w:tcW w:w="1260" w:type="dxa"/>
            <w:vAlign w:val="bottom"/>
          </w:tcPr>
          <w:p>
            <w:pPr>
              <w:jc w:val="right"/>
              <w:ind w:right="53"/>
              <w:spacing w:after="0"/>
              <w:rPr>
                <w:sz w:val="20"/>
                <w:szCs w:val="20"/>
                <w:color w:val="auto"/>
              </w:rPr>
            </w:pPr>
            <w:r>
              <w:rPr>
                <w:rFonts w:ascii="Arial" w:cs="Arial" w:eastAsia="Arial" w:hAnsi="Arial"/>
                <w:sz w:val="13"/>
                <w:szCs w:val="13"/>
                <w:b w:val="1"/>
                <w:bCs w:val="1"/>
                <w:color w:val="auto"/>
              </w:rPr>
              <w:t>Vested in the</w:t>
            </w:r>
          </w:p>
        </w:tc>
        <w:tc>
          <w:tcPr>
            <w:tcW w:w="680" w:type="dxa"/>
            <w:vAlign w:val="bottom"/>
          </w:tcPr>
          <w:p>
            <w:pPr>
              <w:spacing w:after="0"/>
              <w:rPr>
                <w:sz w:val="13"/>
                <w:szCs w:val="13"/>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b w:val="1"/>
                <w:bCs w:val="1"/>
                <w:color w:val="auto"/>
              </w:rPr>
              <w:t>Vested in</w:t>
            </w:r>
          </w:p>
        </w:tc>
        <w:tc>
          <w:tcPr>
            <w:tcW w:w="132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Conditions in the</w:t>
            </w:r>
          </w:p>
        </w:tc>
        <w:tc>
          <w:tcPr>
            <w:tcW w:w="158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Reflected in</w:t>
            </w: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auto"/>
              </w:rPr>
              <w:t>Equity Award</w:t>
            </w:r>
          </w:p>
        </w:tc>
      </w:tr>
      <w:tr>
        <w:trPr>
          <w:trHeight w:val="166"/>
        </w:trPr>
        <w:tc>
          <w:tcPr>
            <w:tcW w:w="1020" w:type="dxa"/>
            <w:vAlign w:val="bottom"/>
            <w:tcBorders>
              <w:bottom w:val="single" w:sz="8" w:color="A26F2A"/>
            </w:tcBorders>
          </w:tcPr>
          <w:p>
            <w:pPr>
              <w:ind w:left="60"/>
              <w:spacing w:after="0"/>
              <w:rPr>
                <w:sz w:val="20"/>
                <w:szCs w:val="20"/>
                <w:color w:val="auto"/>
              </w:rPr>
            </w:pPr>
            <w:r>
              <w:rPr>
                <w:rFonts w:ascii="Arial" w:cs="Arial" w:eastAsia="Arial" w:hAnsi="Arial"/>
                <w:sz w:val="13"/>
                <w:szCs w:val="13"/>
                <w:b w:val="1"/>
                <w:bCs w:val="1"/>
                <w:color w:val="auto"/>
              </w:rPr>
              <w:t>Year</w:t>
            </w:r>
          </w:p>
        </w:tc>
        <w:tc>
          <w:tcPr>
            <w:tcW w:w="1480" w:type="dxa"/>
            <w:vAlign w:val="bottom"/>
            <w:tcBorders>
              <w:bottom w:val="single" w:sz="8" w:color="A26F2A"/>
            </w:tcBorders>
            <w:gridSpan w:val="2"/>
          </w:tcPr>
          <w:p>
            <w:pPr>
              <w:jc w:val="right"/>
              <w:ind w:right="133"/>
              <w:spacing w:after="0"/>
              <w:rPr>
                <w:sz w:val="20"/>
                <w:szCs w:val="20"/>
                <w:color w:val="auto"/>
              </w:rPr>
            </w:pPr>
            <w:r>
              <w:rPr>
                <w:rFonts w:ascii="Arial" w:cs="Arial" w:eastAsia="Arial" w:hAnsi="Arial"/>
                <w:sz w:val="13"/>
                <w:szCs w:val="13"/>
                <w:b w:val="1"/>
                <w:bCs w:val="1"/>
                <w:color w:val="auto"/>
              </w:rPr>
              <w:t>at Year-End</w:t>
            </w:r>
          </w:p>
        </w:tc>
        <w:tc>
          <w:tcPr>
            <w:tcW w:w="1420" w:type="dxa"/>
            <w:vAlign w:val="bottom"/>
            <w:tcBorders>
              <w:bottom w:val="single" w:sz="8" w:color="A26F2A"/>
            </w:tcBorders>
          </w:tcPr>
          <w:p>
            <w:pPr>
              <w:jc w:val="right"/>
              <w:ind w:right="153"/>
              <w:spacing w:after="0"/>
              <w:rPr>
                <w:sz w:val="20"/>
                <w:szCs w:val="20"/>
                <w:color w:val="auto"/>
              </w:rPr>
            </w:pPr>
            <w:r>
              <w:rPr>
                <w:rFonts w:ascii="Arial" w:cs="Arial" w:eastAsia="Arial" w:hAnsi="Arial"/>
                <w:sz w:val="13"/>
                <w:szCs w:val="13"/>
                <w:b w:val="1"/>
                <w:bCs w:val="1"/>
                <w:color w:val="auto"/>
              </w:rPr>
              <w:t>at Year-End</w:t>
            </w:r>
          </w:p>
        </w:tc>
        <w:tc>
          <w:tcPr>
            <w:tcW w:w="1260" w:type="dxa"/>
            <w:vAlign w:val="bottom"/>
            <w:tcBorders>
              <w:bottom w:val="single" w:sz="8" w:color="A26F2A"/>
            </w:tcBorders>
          </w:tcPr>
          <w:p>
            <w:pPr>
              <w:jc w:val="right"/>
              <w:ind w:right="53"/>
              <w:spacing w:after="0"/>
              <w:rPr>
                <w:sz w:val="20"/>
                <w:szCs w:val="20"/>
                <w:color w:val="auto"/>
              </w:rPr>
            </w:pPr>
            <w:r>
              <w:rPr>
                <w:rFonts w:ascii="Arial" w:cs="Arial" w:eastAsia="Arial" w:hAnsi="Arial"/>
                <w:sz w:val="13"/>
                <w:szCs w:val="13"/>
                <w:b w:val="1"/>
                <w:bCs w:val="1"/>
                <w:color w:val="auto"/>
              </w:rPr>
              <w:t>Year</w:t>
            </w:r>
          </w:p>
        </w:tc>
        <w:tc>
          <w:tcPr>
            <w:tcW w:w="680" w:type="dxa"/>
            <w:vAlign w:val="bottom"/>
            <w:tcBorders>
              <w:bottom w:val="single" w:sz="8" w:color="A26F2A"/>
            </w:tcBorders>
          </w:tcPr>
          <w:p>
            <w:pPr>
              <w:spacing w:after="0"/>
              <w:rPr>
                <w:sz w:val="14"/>
                <w:szCs w:val="14"/>
                <w:color w:val="auto"/>
              </w:rPr>
            </w:pPr>
          </w:p>
        </w:tc>
        <w:tc>
          <w:tcPr>
            <w:tcW w:w="700" w:type="dxa"/>
            <w:vAlign w:val="bottom"/>
            <w:tcBorders>
              <w:bottom w:val="single" w:sz="8" w:color="A26F2A"/>
            </w:tcBorders>
          </w:tcPr>
          <w:p>
            <w:pPr>
              <w:jc w:val="right"/>
              <w:ind w:right="33"/>
              <w:spacing w:after="0"/>
              <w:rPr>
                <w:sz w:val="20"/>
                <w:szCs w:val="20"/>
                <w:color w:val="auto"/>
              </w:rPr>
            </w:pPr>
            <w:r>
              <w:rPr>
                <w:rFonts w:ascii="Arial" w:cs="Arial" w:eastAsia="Arial" w:hAnsi="Arial"/>
                <w:sz w:val="13"/>
                <w:szCs w:val="13"/>
                <w:b w:val="1"/>
                <w:bCs w:val="1"/>
                <w:color w:val="auto"/>
              </w:rPr>
              <w:t>the Year</w:t>
            </w:r>
          </w:p>
        </w:tc>
        <w:tc>
          <w:tcPr>
            <w:tcW w:w="780" w:type="dxa"/>
            <w:vAlign w:val="bottom"/>
            <w:tcBorders>
              <w:bottom w:val="single" w:sz="8" w:color="A26F2A"/>
            </w:tcBorders>
          </w:tcPr>
          <w:p>
            <w:pPr>
              <w:spacing w:after="0"/>
              <w:rPr>
                <w:sz w:val="14"/>
                <w:szCs w:val="14"/>
                <w:color w:val="auto"/>
              </w:rPr>
            </w:pPr>
          </w:p>
        </w:tc>
        <w:tc>
          <w:tcPr>
            <w:tcW w:w="540" w:type="dxa"/>
            <w:vAlign w:val="bottom"/>
            <w:tcBorders>
              <w:bottom w:val="single" w:sz="8" w:color="A26F2A"/>
            </w:tcBorders>
          </w:tcPr>
          <w:p>
            <w:pPr>
              <w:jc w:val="right"/>
              <w:ind w:right="53"/>
              <w:spacing w:after="0"/>
              <w:rPr>
                <w:sz w:val="20"/>
                <w:szCs w:val="20"/>
                <w:color w:val="auto"/>
              </w:rPr>
            </w:pPr>
            <w:r>
              <w:rPr>
                <w:rFonts w:ascii="Arial" w:cs="Arial" w:eastAsia="Arial" w:hAnsi="Arial"/>
                <w:sz w:val="13"/>
                <w:szCs w:val="13"/>
                <w:b w:val="1"/>
                <w:bCs w:val="1"/>
                <w:color w:val="auto"/>
              </w:rPr>
              <w:t>Year</w:t>
            </w:r>
          </w:p>
        </w:tc>
        <w:tc>
          <w:tcPr>
            <w:tcW w:w="1580" w:type="dxa"/>
            <w:vAlign w:val="bottom"/>
            <w:tcBorders>
              <w:bottom w:val="single" w:sz="8" w:color="A26F2A"/>
            </w:tcBorders>
            <w:gridSpan w:val="2"/>
          </w:tcPr>
          <w:p>
            <w:pPr>
              <w:jc w:val="right"/>
              <w:ind w:right="233"/>
              <w:spacing w:after="0"/>
              <w:rPr>
                <w:sz w:val="20"/>
                <w:szCs w:val="20"/>
                <w:color w:val="auto"/>
              </w:rPr>
            </w:pPr>
            <w:r>
              <w:rPr>
                <w:rFonts w:ascii="Arial" w:cs="Arial" w:eastAsia="Arial" w:hAnsi="Arial"/>
                <w:sz w:val="13"/>
                <w:szCs w:val="13"/>
                <w:b w:val="1"/>
                <w:bCs w:val="1"/>
                <w:color w:val="auto"/>
              </w:rPr>
              <w:t>Fair Value</w:t>
            </w:r>
          </w:p>
        </w:tc>
        <w:tc>
          <w:tcPr>
            <w:tcW w:w="1180" w:type="dxa"/>
            <w:vAlign w:val="bottom"/>
            <w:tcBorders>
              <w:bottom w:val="single" w:sz="8" w:color="A26F2A"/>
            </w:tcBorders>
            <w:gridSpan w:val="2"/>
          </w:tcPr>
          <w:p>
            <w:pPr>
              <w:jc w:val="right"/>
              <w:spacing w:after="0"/>
              <w:rPr>
                <w:sz w:val="20"/>
                <w:szCs w:val="20"/>
                <w:color w:val="auto"/>
              </w:rPr>
            </w:pPr>
            <w:r>
              <w:rPr>
                <w:rFonts w:ascii="Arial" w:cs="Arial" w:eastAsia="Arial" w:hAnsi="Arial"/>
                <w:sz w:val="13"/>
                <w:szCs w:val="13"/>
                <w:b w:val="1"/>
                <w:bCs w:val="1"/>
                <w:color w:val="auto"/>
              </w:rPr>
              <w:t>Adjustments</w:t>
            </w:r>
          </w:p>
        </w:tc>
      </w:tr>
      <w:tr>
        <w:trPr>
          <w:trHeight w:val="164"/>
        </w:trPr>
        <w:tc>
          <w:tcPr>
            <w:tcW w:w="1020" w:type="dxa"/>
            <w:vAlign w:val="bottom"/>
            <w:tcBorders>
              <w:bottom w:val="single" w:sz="8" w:color="A8A8AC"/>
            </w:tcBorders>
          </w:tcPr>
          <w:p>
            <w:pPr>
              <w:ind w:left="60"/>
              <w:spacing w:after="0"/>
              <w:rPr>
                <w:sz w:val="20"/>
                <w:szCs w:val="20"/>
                <w:color w:val="auto"/>
              </w:rPr>
            </w:pPr>
            <w:r>
              <w:rPr>
                <w:rFonts w:ascii="Arial" w:cs="Arial" w:eastAsia="Arial" w:hAnsi="Arial"/>
                <w:sz w:val="13"/>
                <w:szCs w:val="13"/>
                <w:color w:val="auto"/>
              </w:rPr>
              <w:t>Current PEO:</w:t>
            </w:r>
          </w:p>
        </w:tc>
        <w:tc>
          <w:tcPr>
            <w:tcW w:w="600" w:type="dxa"/>
            <w:vAlign w:val="bottom"/>
            <w:tcBorders>
              <w:bottom w:val="single" w:sz="8" w:color="A8A8AC"/>
            </w:tcBorders>
          </w:tcPr>
          <w:p>
            <w:pPr>
              <w:spacing w:after="0"/>
              <w:rPr>
                <w:sz w:val="14"/>
                <w:szCs w:val="14"/>
                <w:color w:val="auto"/>
              </w:rPr>
            </w:pPr>
          </w:p>
        </w:tc>
        <w:tc>
          <w:tcPr>
            <w:tcW w:w="880" w:type="dxa"/>
            <w:vAlign w:val="bottom"/>
            <w:tcBorders>
              <w:bottom w:val="single" w:sz="8" w:color="A8A8AC"/>
            </w:tcBorders>
          </w:tcPr>
          <w:p>
            <w:pPr>
              <w:spacing w:after="0"/>
              <w:rPr>
                <w:sz w:val="14"/>
                <w:szCs w:val="14"/>
                <w:color w:val="auto"/>
              </w:rPr>
            </w:pPr>
          </w:p>
        </w:tc>
        <w:tc>
          <w:tcPr>
            <w:tcW w:w="1420" w:type="dxa"/>
            <w:vAlign w:val="bottom"/>
            <w:tcBorders>
              <w:bottom w:val="single" w:sz="8" w:color="A8A8AC"/>
            </w:tcBorders>
          </w:tcPr>
          <w:p>
            <w:pPr>
              <w:spacing w:after="0"/>
              <w:rPr>
                <w:sz w:val="14"/>
                <w:szCs w:val="14"/>
                <w:color w:val="auto"/>
              </w:rPr>
            </w:pPr>
          </w:p>
        </w:tc>
        <w:tc>
          <w:tcPr>
            <w:tcW w:w="1260" w:type="dxa"/>
            <w:vAlign w:val="bottom"/>
            <w:tcBorders>
              <w:bottom w:val="single" w:sz="8" w:color="A8A8AC"/>
            </w:tcBorders>
          </w:tcPr>
          <w:p>
            <w:pPr>
              <w:spacing w:after="0"/>
              <w:rPr>
                <w:sz w:val="14"/>
                <w:szCs w:val="14"/>
                <w:color w:val="auto"/>
              </w:rPr>
            </w:pPr>
          </w:p>
        </w:tc>
        <w:tc>
          <w:tcPr>
            <w:tcW w:w="680" w:type="dxa"/>
            <w:vAlign w:val="bottom"/>
            <w:tcBorders>
              <w:bottom w:val="single" w:sz="8" w:color="A8A8AC"/>
            </w:tcBorders>
          </w:tcPr>
          <w:p>
            <w:pPr>
              <w:spacing w:after="0"/>
              <w:rPr>
                <w:sz w:val="14"/>
                <w:szCs w:val="14"/>
                <w:color w:val="auto"/>
              </w:rPr>
            </w:pPr>
          </w:p>
        </w:tc>
        <w:tc>
          <w:tcPr>
            <w:tcW w:w="700" w:type="dxa"/>
            <w:vAlign w:val="bottom"/>
            <w:tcBorders>
              <w:bottom w:val="single" w:sz="8" w:color="A8A8AC"/>
            </w:tcBorders>
          </w:tcPr>
          <w:p>
            <w:pPr>
              <w:spacing w:after="0"/>
              <w:rPr>
                <w:sz w:val="14"/>
                <w:szCs w:val="14"/>
                <w:color w:val="auto"/>
              </w:rPr>
            </w:pPr>
          </w:p>
        </w:tc>
        <w:tc>
          <w:tcPr>
            <w:tcW w:w="780" w:type="dxa"/>
            <w:vAlign w:val="bottom"/>
            <w:tcBorders>
              <w:bottom w:val="single" w:sz="8" w:color="A8A8AC"/>
            </w:tcBorders>
          </w:tcPr>
          <w:p>
            <w:pPr>
              <w:spacing w:after="0"/>
              <w:rPr>
                <w:sz w:val="14"/>
                <w:szCs w:val="14"/>
                <w:color w:val="auto"/>
              </w:rPr>
            </w:pPr>
          </w:p>
        </w:tc>
        <w:tc>
          <w:tcPr>
            <w:tcW w:w="540" w:type="dxa"/>
            <w:vAlign w:val="bottom"/>
            <w:tcBorders>
              <w:bottom w:val="single" w:sz="8" w:color="A8A8AC"/>
            </w:tcBorders>
          </w:tcPr>
          <w:p>
            <w:pPr>
              <w:spacing w:after="0"/>
              <w:rPr>
                <w:sz w:val="14"/>
                <w:szCs w:val="14"/>
                <w:color w:val="auto"/>
              </w:rPr>
            </w:pPr>
          </w:p>
        </w:tc>
        <w:tc>
          <w:tcPr>
            <w:tcW w:w="740" w:type="dxa"/>
            <w:vAlign w:val="bottom"/>
            <w:tcBorders>
              <w:bottom w:val="single" w:sz="8" w:color="A8A8AC"/>
            </w:tcBorders>
          </w:tcPr>
          <w:p>
            <w:pPr>
              <w:spacing w:after="0"/>
              <w:rPr>
                <w:sz w:val="14"/>
                <w:szCs w:val="14"/>
                <w:color w:val="auto"/>
              </w:rPr>
            </w:pPr>
          </w:p>
        </w:tc>
        <w:tc>
          <w:tcPr>
            <w:tcW w:w="840" w:type="dxa"/>
            <w:vAlign w:val="bottom"/>
            <w:tcBorders>
              <w:bottom w:val="single" w:sz="8" w:color="A8A8AC"/>
            </w:tcBorders>
          </w:tcPr>
          <w:p>
            <w:pPr>
              <w:spacing w:after="0"/>
              <w:rPr>
                <w:sz w:val="14"/>
                <w:szCs w:val="14"/>
                <w:color w:val="auto"/>
              </w:rPr>
            </w:pPr>
          </w:p>
        </w:tc>
        <w:tc>
          <w:tcPr>
            <w:tcW w:w="460" w:type="dxa"/>
            <w:vAlign w:val="bottom"/>
            <w:tcBorders>
              <w:bottom w:val="single" w:sz="8" w:color="A8A8AC"/>
            </w:tcBorders>
          </w:tcPr>
          <w:p>
            <w:pPr>
              <w:spacing w:after="0"/>
              <w:rPr>
                <w:sz w:val="14"/>
                <w:szCs w:val="14"/>
                <w:color w:val="auto"/>
              </w:rPr>
            </w:pPr>
          </w:p>
        </w:tc>
        <w:tc>
          <w:tcPr>
            <w:tcW w:w="720" w:type="dxa"/>
            <w:vAlign w:val="bottom"/>
            <w:tcBorders>
              <w:bottom w:val="single" w:sz="8" w:color="A8A8AC"/>
            </w:tcBorders>
          </w:tcPr>
          <w:p>
            <w:pPr>
              <w:spacing w:after="0"/>
              <w:rPr>
                <w:sz w:val="14"/>
                <w:szCs w:val="14"/>
                <w:color w:val="auto"/>
              </w:rPr>
            </w:pPr>
          </w:p>
        </w:tc>
      </w:tr>
      <w:tr>
        <w:trPr>
          <w:trHeight w:val="157"/>
        </w:trPr>
        <w:tc>
          <w:tcPr>
            <w:tcW w:w="1020" w:type="dxa"/>
            <w:vAlign w:val="bottom"/>
            <w:tcBorders>
              <w:bottom w:val="single" w:sz="8" w:color="A26F2A"/>
            </w:tcBorders>
          </w:tcPr>
          <w:p>
            <w:pPr>
              <w:ind w:left="60"/>
              <w:spacing w:after="0"/>
              <w:rPr>
                <w:sz w:val="20"/>
                <w:szCs w:val="20"/>
                <w:color w:val="auto"/>
              </w:rPr>
            </w:pPr>
            <w:r>
              <w:rPr>
                <w:rFonts w:ascii="Arial" w:cs="Arial" w:eastAsia="Arial" w:hAnsi="Arial"/>
                <w:sz w:val="13"/>
                <w:szCs w:val="13"/>
                <w:color w:val="auto"/>
              </w:rPr>
              <w:t>2025</w:t>
            </w:r>
          </w:p>
        </w:tc>
        <w:tc>
          <w:tcPr>
            <w:tcW w:w="600" w:type="dxa"/>
            <w:vAlign w:val="bottom"/>
            <w:tcBorders>
              <w:bottom w:val="single" w:sz="8" w:color="A26F2A"/>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26F2A"/>
            </w:tcBorders>
          </w:tcPr>
          <w:p>
            <w:pPr>
              <w:jc w:val="right"/>
              <w:ind w:right="133"/>
              <w:spacing w:after="0"/>
              <w:rPr>
                <w:sz w:val="20"/>
                <w:szCs w:val="20"/>
                <w:color w:val="auto"/>
              </w:rPr>
            </w:pPr>
            <w:r>
              <w:rPr>
                <w:rFonts w:ascii="Arial" w:cs="Arial" w:eastAsia="Arial" w:hAnsi="Arial"/>
                <w:sz w:val="13"/>
                <w:szCs w:val="13"/>
                <w:color w:val="auto"/>
              </w:rPr>
              <w:t>7,789,568</w:t>
            </w:r>
          </w:p>
        </w:tc>
        <w:tc>
          <w:tcPr>
            <w:tcW w:w="1420" w:type="dxa"/>
            <w:vAlign w:val="bottom"/>
            <w:tcBorders>
              <w:bottom w:val="single" w:sz="8" w:color="A26F2A"/>
            </w:tcBorders>
          </w:tcPr>
          <w:p>
            <w:pPr>
              <w:jc w:val="right"/>
              <w:ind w:right="113"/>
              <w:spacing w:after="0"/>
              <w:rPr>
                <w:sz w:val="20"/>
                <w:szCs w:val="20"/>
                <w:color w:val="auto"/>
              </w:rPr>
            </w:pPr>
            <w:r>
              <w:rPr>
                <w:rFonts w:ascii="Arial" w:cs="Arial" w:eastAsia="Arial" w:hAnsi="Arial"/>
                <w:sz w:val="13"/>
                <w:szCs w:val="13"/>
                <w:color w:val="auto"/>
              </w:rPr>
              <w:t>$(1,236,155)</w:t>
            </w:r>
          </w:p>
        </w:tc>
        <w:tc>
          <w:tcPr>
            <w:tcW w:w="1260" w:type="dxa"/>
            <w:vAlign w:val="bottom"/>
            <w:tcBorders>
              <w:bottom w:val="single" w:sz="8" w:color="A26F2A"/>
            </w:tcBorders>
          </w:tcPr>
          <w:p>
            <w:pPr>
              <w:jc w:val="right"/>
              <w:ind w:right="53"/>
              <w:spacing w:after="0"/>
              <w:rPr>
                <w:sz w:val="20"/>
                <w:szCs w:val="20"/>
                <w:color w:val="auto"/>
              </w:rPr>
            </w:pPr>
            <w:r>
              <w:rPr>
                <w:rFonts w:ascii="Arial" w:cs="Arial" w:eastAsia="Arial" w:hAnsi="Arial"/>
                <w:sz w:val="13"/>
                <w:szCs w:val="13"/>
                <w:color w:val="auto"/>
              </w:rPr>
              <w:t>$1,041,542</w:t>
            </w:r>
          </w:p>
        </w:tc>
        <w:tc>
          <w:tcPr>
            <w:tcW w:w="680" w:type="dxa"/>
            <w:vAlign w:val="bottom"/>
            <w:tcBorders>
              <w:bottom w:val="single" w:sz="8" w:color="A26F2A"/>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26F2A"/>
            </w:tcBorders>
          </w:tcPr>
          <w:p>
            <w:pPr>
              <w:jc w:val="right"/>
              <w:ind w:right="33"/>
              <w:spacing w:after="0"/>
              <w:rPr>
                <w:sz w:val="20"/>
                <w:szCs w:val="20"/>
                <w:color w:val="auto"/>
              </w:rPr>
            </w:pPr>
            <w:r>
              <w:rPr>
                <w:rFonts w:ascii="Arial" w:cs="Arial" w:eastAsia="Arial" w:hAnsi="Arial"/>
                <w:sz w:val="13"/>
                <w:szCs w:val="13"/>
                <w:color w:val="auto"/>
              </w:rPr>
              <w:t>693,993</w:t>
            </w:r>
          </w:p>
        </w:tc>
        <w:tc>
          <w:tcPr>
            <w:tcW w:w="780" w:type="dxa"/>
            <w:vAlign w:val="bottom"/>
            <w:tcBorders>
              <w:bottom w:val="single" w:sz="8" w:color="A26F2A"/>
            </w:tcBorders>
          </w:tcPr>
          <w:p>
            <w:pPr>
              <w:jc w:val="right"/>
              <w:ind w:right="53"/>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26F2A"/>
            </w:tcBorders>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26F2A"/>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26F2A"/>
            </w:tcBorders>
          </w:tcPr>
          <w:p>
            <w:pPr>
              <w:jc w:val="right"/>
              <w:ind w:right="233"/>
              <w:spacing w:after="0"/>
              <w:rPr>
                <w:sz w:val="20"/>
                <w:szCs w:val="20"/>
                <w:color w:val="auto"/>
              </w:rPr>
            </w:pPr>
            <w:r>
              <w:rPr>
                <w:rFonts w:ascii="Arial" w:cs="Arial" w:eastAsia="Arial" w:hAnsi="Arial"/>
                <w:sz w:val="13"/>
                <w:szCs w:val="13"/>
                <w:color w:val="auto"/>
              </w:rPr>
              <w:t>459,468</w:t>
            </w:r>
          </w:p>
        </w:tc>
        <w:tc>
          <w:tcPr>
            <w:tcW w:w="460" w:type="dxa"/>
            <w:vAlign w:val="bottom"/>
            <w:tcBorders>
              <w:bottom w:val="single" w:sz="8" w:color="A26F2A"/>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26F2A"/>
            </w:tcBorders>
          </w:tcPr>
          <w:p>
            <w:pPr>
              <w:jc w:val="right"/>
              <w:spacing w:after="0"/>
              <w:rPr>
                <w:sz w:val="20"/>
                <w:szCs w:val="20"/>
                <w:color w:val="auto"/>
              </w:rPr>
            </w:pPr>
            <w:r>
              <w:rPr>
                <w:rFonts w:ascii="Arial" w:cs="Arial" w:eastAsia="Arial" w:hAnsi="Arial"/>
                <w:sz w:val="13"/>
                <w:szCs w:val="13"/>
                <w:color w:val="auto"/>
              </w:rPr>
              <w:t>8,748,416</w:t>
            </w:r>
          </w:p>
        </w:tc>
      </w:tr>
      <w:tr>
        <w:trPr>
          <w:trHeight w:val="157"/>
        </w:trPr>
        <w:tc>
          <w:tcPr>
            <w:tcW w:w="1020" w:type="dxa"/>
            <w:vAlign w:val="bottom"/>
            <w:tcBorders>
              <w:bottom w:val="single" w:sz="8" w:color="A8A8AC"/>
            </w:tcBorders>
          </w:tcPr>
          <w:p>
            <w:pPr>
              <w:ind w:left="60"/>
              <w:spacing w:after="0"/>
              <w:rPr>
                <w:sz w:val="20"/>
                <w:szCs w:val="20"/>
                <w:color w:val="auto"/>
              </w:rPr>
            </w:pPr>
            <w:r>
              <w:rPr>
                <w:rFonts w:ascii="Arial" w:cs="Arial" w:eastAsia="Arial" w:hAnsi="Arial"/>
                <w:sz w:val="13"/>
                <w:szCs w:val="13"/>
                <w:color w:val="auto"/>
              </w:rPr>
              <w:t>Former PEO:</w:t>
            </w:r>
          </w:p>
        </w:tc>
        <w:tc>
          <w:tcPr>
            <w:tcW w:w="600" w:type="dxa"/>
            <w:vAlign w:val="bottom"/>
            <w:tcBorders>
              <w:bottom w:val="single" w:sz="8" w:color="A8A8AC"/>
            </w:tcBorders>
          </w:tcPr>
          <w:p>
            <w:pPr>
              <w:spacing w:after="0"/>
              <w:rPr>
                <w:sz w:val="13"/>
                <w:szCs w:val="13"/>
                <w:color w:val="auto"/>
              </w:rPr>
            </w:pPr>
          </w:p>
        </w:tc>
        <w:tc>
          <w:tcPr>
            <w:tcW w:w="880" w:type="dxa"/>
            <w:vAlign w:val="bottom"/>
            <w:tcBorders>
              <w:bottom w:val="single" w:sz="8" w:color="A8A8AC"/>
            </w:tcBorders>
          </w:tcPr>
          <w:p>
            <w:pPr>
              <w:spacing w:after="0"/>
              <w:rPr>
                <w:sz w:val="13"/>
                <w:szCs w:val="13"/>
                <w:color w:val="auto"/>
              </w:rPr>
            </w:pPr>
          </w:p>
        </w:tc>
        <w:tc>
          <w:tcPr>
            <w:tcW w:w="1420" w:type="dxa"/>
            <w:vAlign w:val="bottom"/>
            <w:tcBorders>
              <w:bottom w:val="single" w:sz="8" w:color="A8A8AC"/>
            </w:tcBorders>
          </w:tcPr>
          <w:p>
            <w:pPr>
              <w:spacing w:after="0"/>
              <w:rPr>
                <w:sz w:val="13"/>
                <w:szCs w:val="13"/>
                <w:color w:val="auto"/>
              </w:rPr>
            </w:pPr>
          </w:p>
        </w:tc>
        <w:tc>
          <w:tcPr>
            <w:tcW w:w="1260" w:type="dxa"/>
            <w:vAlign w:val="bottom"/>
            <w:tcBorders>
              <w:bottom w:val="single" w:sz="8" w:color="A8A8AC"/>
            </w:tcBorders>
          </w:tcPr>
          <w:p>
            <w:pPr>
              <w:spacing w:after="0"/>
              <w:rPr>
                <w:sz w:val="13"/>
                <w:szCs w:val="13"/>
                <w:color w:val="auto"/>
              </w:rPr>
            </w:pPr>
          </w:p>
        </w:tc>
        <w:tc>
          <w:tcPr>
            <w:tcW w:w="680" w:type="dxa"/>
            <w:vAlign w:val="bottom"/>
            <w:tcBorders>
              <w:bottom w:val="single" w:sz="8" w:color="A8A8AC"/>
            </w:tcBorders>
          </w:tcPr>
          <w:p>
            <w:pPr>
              <w:spacing w:after="0"/>
              <w:rPr>
                <w:sz w:val="13"/>
                <w:szCs w:val="13"/>
                <w:color w:val="auto"/>
              </w:rPr>
            </w:pPr>
          </w:p>
        </w:tc>
        <w:tc>
          <w:tcPr>
            <w:tcW w:w="700" w:type="dxa"/>
            <w:vAlign w:val="bottom"/>
            <w:tcBorders>
              <w:bottom w:val="single" w:sz="8" w:color="A8A8AC"/>
            </w:tcBorders>
          </w:tcPr>
          <w:p>
            <w:pPr>
              <w:spacing w:after="0"/>
              <w:rPr>
                <w:sz w:val="13"/>
                <w:szCs w:val="13"/>
                <w:color w:val="auto"/>
              </w:rPr>
            </w:pPr>
          </w:p>
        </w:tc>
        <w:tc>
          <w:tcPr>
            <w:tcW w:w="780" w:type="dxa"/>
            <w:vAlign w:val="bottom"/>
            <w:tcBorders>
              <w:bottom w:val="single" w:sz="8" w:color="A8A8AC"/>
            </w:tcBorders>
          </w:tcPr>
          <w:p>
            <w:pPr>
              <w:spacing w:after="0"/>
              <w:rPr>
                <w:sz w:val="13"/>
                <w:szCs w:val="13"/>
                <w:color w:val="auto"/>
              </w:rPr>
            </w:pPr>
          </w:p>
        </w:tc>
        <w:tc>
          <w:tcPr>
            <w:tcW w:w="540" w:type="dxa"/>
            <w:vAlign w:val="bottom"/>
            <w:tcBorders>
              <w:bottom w:val="single" w:sz="8" w:color="A8A8AC"/>
            </w:tcBorders>
          </w:tcPr>
          <w:p>
            <w:pPr>
              <w:spacing w:after="0"/>
              <w:rPr>
                <w:sz w:val="13"/>
                <w:szCs w:val="13"/>
                <w:color w:val="auto"/>
              </w:rPr>
            </w:pPr>
          </w:p>
        </w:tc>
        <w:tc>
          <w:tcPr>
            <w:tcW w:w="740" w:type="dxa"/>
            <w:vAlign w:val="bottom"/>
            <w:tcBorders>
              <w:bottom w:val="single" w:sz="8" w:color="A8A8AC"/>
            </w:tcBorders>
          </w:tcPr>
          <w:p>
            <w:pPr>
              <w:spacing w:after="0"/>
              <w:rPr>
                <w:sz w:val="13"/>
                <w:szCs w:val="13"/>
                <w:color w:val="auto"/>
              </w:rPr>
            </w:pPr>
          </w:p>
        </w:tc>
        <w:tc>
          <w:tcPr>
            <w:tcW w:w="840" w:type="dxa"/>
            <w:vAlign w:val="bottom"/>
            <w:tcBorders>
              <w:bottom w:val="single" w:sz="8" w:color="A8A8AC"/>
            </w:tcBorders>
          </w:tcPr>
          <w:p>
            <w:pPr>
              <w:spacing w:after="0"/>
              <w:rPr>
                <w:sz w:val="13"/>
                <w:szCs w:val="13"/>
                <w:color w:val="auto"/>
              </w:rPr>
            </w:pPr>
          </w:p>
        </w:tc>
        <w:tc>
          <w:tcPr>
            <w:tcW w:w="460" w:type="dxa"/>
            <w:vAlign w:val="bottom"/>
            <w:tcBorders>
              <w:bottom w:val="single" w:sz="8" w:color="A8A8AC"/>
            </w:tcBorders>
          </w:tcPr>
          <w:p>
            <w:pPr>
              <w:spacing w:after="0"/>
              <w:rPr>
                <w:sz w:val="13"/>
                <w:szCs w:val="13"/>
                <w:color w:val="auto"/>
              </w:rPr>
            </w:pPr>
          </w:p>
        </w:tc>
        <w:tc>
          <w:tcPr>
            <w:tcW w:w="720" w:type="dxa"/>
            <w:vAlign w:val="bottom"/>
            <w:tcBorders>
              <w:bottom w:val="single" w:sz="8" w:color="A8A8AC"/>
            </w:tcBorders>
          </w:tcPr>
          <w:p>
            <w:pPr>
              <w:spacing w:after="0"/>
              <w:rPr>
                <w:sz w:val="13"/>
                <w:szCs w:val="13"/>
                <w:color w:val="auto"/>
              </w:rPr>
            </w:pPr>
          </w:p>
        </w:tc>
      </w:tr>
      <w:tr>
        <w:trPr>
          <w:trHeight w:val="157"/>
        </w:trPr>
        <w:tc>
          <w:tcPr>
            <w:tcW w:w="1020" w:type="dxa"/>
            <w:vAlign w:val="bottom"/>
            <w:tcBorders>
              <w:bottom w:val="single" w:sz="8" w:color="A26F2A"/>
            </w:tcBorders>
          </w:tcPr>
          <w:p>
            <w:pPr>
              <w:ind w:left="60"/>
              <w:spacing w:after="0"/>
              <w:rPr>
                <w:sz w:val="20"/>
                <w:szCs w:val="20"/>
                <w:color w:val="auto"/>
              </w:rPr>
            </w:pPr>
            <w:r>
              <w:rPr>
                <w:rFonts w:ascii="Arial" w:cs="Arial" w:eastAsia="Arial" w:hAnsi="Arial"/>
                <w:sz w:val="13"/>
                <w:szCs w:val="13"/>
                <w:color w:val="auto"/>
              </w:rPr>
              <w:t>2025</w:t>
            </w:r>
          </w:p>
        </w:tc>
        <w:tc>
          <w:tcPr>
            <w:tcW w:w="600" w:type="dxa"/>
            <w:vAlign w:val="bottom"/>
            <w:tcBorders>
              <w:bottom w:val="single" w:sz="8" w:color="A26F2A"/>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26F2A"/>
            </w:tcBorders>
          </w:tcPr>
          <w:p>
            <w:pPr>
              <w:jc w:val="right"/>
              <w:ind w:right="133"/>
              <w:spacing w:after="0"/>
              <w:rPr>
                <w:sz w:val="20"/>
                <w:szCs w:val="20"/>
                <w:color w:val="auto"/>
              </w:rPr>
            </w:pPr>
            <w:r>
              <w:rPr>
                <w:rFonts w:ascii="Arial" w:cs="Arial" w:eastAsia="Arial" w:hAnsi="Arial"/>
                <w:sz w:val="13"/>
                <w:szCs w:val="13"/>
                <w:color w:val="auto"/>
              </w:rPr>
              <w:t>10,629,843</w:t>
            </w:r>
          </w:p>
        </w:tc>
        <w:tc>
          <w:tcPr>
            <w:tcW w:w="1420" w:type="dxa"/>
            <w:vAlign w:val="bottom"/>
            <w:tcBorders>
              <w:bottom w:val="single" w:sz="8" w:color="A26F2A"/>
            </w:tcBorders>
          </w:tcPr>
          <w:p>
            <w:pPr>
              <w:jc w:val="right"/>
              <w:ind w:right="113"/>
              <w:spacing w:after="0"/>
              <w:rPr>
                <w:sz w:val="20"/>
                <w:szCs w:val="20"/>
                <w:color w:val="auto"/>
              </w:rPr>
            </w:pPr>
            <w:r>
              <w:rPr>
                <w:rFonts w:ascii="Arial" w:cs="Arial" w:eastAsia="Arial" w:hAnsi="Arial"/>
                <w:sz w:val="13"/>
                <w:szCs w:val="13"/>
                <w:color w:val="auto"/>
              </w:rPr>
              <w:t>$(1,987,114)</w:t>
            </w:r>
          </w:p>
        </w:tc>
        <w:tc>
          <w:tcPr>
            <w:tcW w:w="1260" w:type="dxa"/>
            <w:vAlign w:val="bottom"/>
            <w:tcBorders>
              <w:bottom w:val="single" w:sz="8" w:color="A26F2A"/>
            </w:tcBorders>
          </w:tcPr>
          <w:p>
            <w:pPr>
              <w:jc w:val="right"/>
              <w:ind w:right="53"/>
              <w:spacing w:after="0"/>
              <w:rPr>
                <w:sz w:val="20"/>
                <w:szCs w:val="20"/>
                <w:color w:val="auto"/>
              </w:rPr>
            </w:pPr>
            <w:r>
              <w:rPr>
                <w:rFonts w:ascii="Arial" w:cs="Arial" w:eastAsia="Arial" w:hAnsi="Arial"/>
                <w:sz w:val="13"/>
                <w:szCs w:val="13"/>
                <w:color w:val="auto"/>
              </w:rPr>
              <w:t>$1,786,234</w:t>
            </w:r>
          </w:p>
        </w:tc>
        <w:tc>
          <w:tcPr>
            <w:tcW w:w="680" w:type="dxa"/>
            <w:vAlign w:val="bottom"/>
            <w:tcBorders>
              <w:bottom w:val="single" w:sz="8" w:color="A26F2A"/>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26F2A"/>
            </w:tcBorders>
          </w:tcPr>
          <w:p>
            <w:pPr>
              <w:jc w:val="right"/>
              <w:ind w:right="33"/>
              <w:spacing w:after="0"/>
              <w:rPr>
                <w:sz w:val="20"/>
                <w:szCs w:val="20"/>
                <w:color w:val="auto"/>
              </w:rPr>
            </w:pPr>
            <w:r>
              <w:rPr>
                <w:rFonts w:ascii="Arial" w:cs="Arial" w:eastAsia="Arial" w:hAnsi="Arial"/>
                <w:sz w:val="13"/>
                <w:szCs w:val="13"/>
                <w:color w:val="auto"/>
              </w:rPr>
              <w:t>1,587,590</w:t>
            </w:r>
          </w:p>
        </w:tc>
        <w:tc>
          <w:tcPr>
            <w:tcW w:w="780" w:type="dxa"/>
            <w:vAlign w:val="bottom"/>
            <w:tcBorders>
              <w:bottom w:val="single" w:sz="8" w:color="A26F2A"/>
            </w:tcBorders>
          </w:tcPr>
          <w:p>
            <w:pPr>
              <w:jc w:val="right"/>
              <w:ind w:right="53"/>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26F2A"/>
            </w:tcBorders>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26F2A"/>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26F2A"/>
            </w:tcBorders>
          </w:tcPr>
          <w:p>
            <w:pPr>
              <w:jc w:val="right"/>
              <w:ind w:right="233"/>
              <w:spacing w:after="0"/>
              <w:rPr>
                <w:sz w:val="20"/>
                <w:szCs w:val="20"/>
                <w:color w:val="auto"/>
              </w:rPr>
            </w:pPr>
            <w:r>
              <w:rPr>
                <w:rFonts w:ascii="Arial" w:cs="Arial" w:eastAsia="Arial" w:hAnsi="Arial"/>
                <w:sz w:val="13"/>
                <w:szCs w:val="13"/>
                <w:color w:val="auto"/>
              </w:rPr>
              <w:t>663,859</w:t>
            </w:r>
          </w:p>
        </w:tc>
        <w:tc>
          <w:tcPr>
            <w:tcW w:w="460" w:type="dxa"/>
            <w:vAlign w:val="bottom"/>
            <w:tcBorders>
              <w:bottom w:val="single" w:sz="8" w:color="A26F2A"/>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26F2A"/>
            </w:tcBorders>
          </w:tcPr>
          <w:p>
            <w:pPr>
              <w:jc w:val="right"/>
              <w:spacing w:after="0"/>
              <w:rPr>
                <w:sz w:val="20"/>
                <w:szCs w:val="20"/>
                <w:color w:val="auto"/>
              </w:rPr>
            </w:pPr>
            <w:r>
              <w:rPr>
                <w:rFonts w:ascii="Arial" w:cs="Arial" w:eastAsia="Arial" w:hAnsi="Arial"/>
                <w:sz w:val="13"/>
                <w:szCs w:val="13"/>
                <w:color w:val="auto"/>
              </w:rPr>
              <w:t>12,680,412</w:t>
            </w:r>
          </w:p>
        </w:tc>
      </w:tr>
    </w:tbl>
    <w:p>
      <w:pPr>
        <w:spacing w:after="0" w:line="56" w:lineRule="exact"/>
        <w:rPr>
          <w:sz w:val="20"/>
          <w:szCs w:val="20"/>
          <w:color w:val="auto"/>
        </w:rPr>
      </w:pPr>
    </w:p>
    <w:p>
      <w:pPr>
        <w:ind w:left="300" w:hanging="299"/>
        <w:spacing w:after="0" w:line="283" w:lineRule="auto"/>
        <w:tabs>
          <w:tab w:leader="none" w:pos="300" w:val="left"/>
        </w:tabs>
        <w:numPr>
          <w:ilvl w:val="0"/>
          <w:numId w:val="118"/>
        </w:numPr>
        <w:rPr>
          <w:rFonts w:ascii="Arial" w:cs="Arial" w:eastAsia="Arial" w:hAnsi="Arial"/>
          <w:sz w:val="13"/>
          <w:szCs w:val="13"/>
          <w:i w:val="1"/>
          <w:iCs w:val="1"/>
          <w:color w:val="auto"/>
        </w:rPr>
      </w:pPr>
      <w:r>
        <w:rPr>
          <w:rFonts w:ascii="Arial" w:cs="Arial" w:eastAsia="Arial" w:hAnsi="Arial"/>
          <w:sz w:val="13"/>
          <w:szCs w:val="13"/>
          <w:i w:val="1"/>
          <w:iCs w:val="1"/>
          <w:color w:val="auto"/>
        </w:rPr>
        <w:t>The dollar amounts reported represent the average of the amounts reported for our Non-PEO NEOs as a group in the “Total” column of the Summary Compensation Table in each applicable year.</w:t>
      </w:r>
    </w:p>
    <w:p>
      <w:pPr>
        <w:jc w:val="both"/>
        <w:ind w:left="300" w:hanging="299"/>
        <w:spacing w:after="0" w:line="264" w:lineRule="auto"/>
        <w:tabs>
          <w:tab w:leader="none" w:pos="300" w:val="left"/>
        </w:tabs>
        <w:numPr>
          <w:ilvl w:val="0"/>
          <w:numId w:val="118"/>
        </w:numPr>
        <w:rPr>
          <w:rFonts w:ascii="Arial" w:cs="Arial" w:eastAsia="Arial" w:hAnsi="Arial"/>
          <w:sz w:val="13"/>
          <w:szCs w:val="13"/>
          <w:i w:val="1"/>
          <w:iCs w:val="1"/>
          <w:color w:val="auto"/>
        </w:rPr>
      </w:pPr>
      <w:r>
        <w:rPr>
          <w:rFonts w:ascii="Arial" w:cs="Arial" w:eastAsia="Arial" w:hAnsi="Arial"/>
          <w:sz w:val="13"/>
          <w:szCs w:val="13"/>
          <w:i w:val="1"/>
          <w:iCs w:val="1"/>
          <w:color w:val="auto"/>
        </w:rPr>
        <w:t>The dollar amounts reported represent the average amount of “compensation actually paid” to our Non-PEO NEOs, as computed in accordance with SEC rules. The dollar amounts do not reflect the actual average amount of compensation earned by or paid to our Non-PEO NEOs during the applicable year. In accordance with the SEC rules, the following adjustments were made to average total compensation for our Non-PEO NEOs for each year to determine the compensation actually paid, using the same methodology described above in Note 2:</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51"/>
        </w:trPr>
        <w:tc>
          <w:tcPr>
            <w:tcW w:w="2960" w:type="dxa"/>
            <w:vAlign w:val="bottom"/>
          </w:tcPr>
          <w:p>
            <w:pPr>
              <w:spacing w:after="0"/>
              <w:rPr>
                <w:sz w:val="13"/>
                <w:szCs w:val="13"/>
                <w:color w:val="auto"/>
              </w:rPr>
            </w:pPr>
          </w:p>
        </w:tc>
        <w:tc>
          <w:tcPr>
            <w:tcW w:w="3880" w:type="dxa"/>
            <w:vAlign w:val="bottom"/>
          </w:tcPr>
          <w:p>
            <w:pPr>
              <w:jc w:val="right"/>
              <w:ind w:right="33"/>
              <w:spacing w:after="0"/>
              <w:rPr>
                <w:sz w:val="20"/>
                <w:szCs w:val="20"/>
                <w:color w:val="auto"/>
              </w:rPr>
            </w:pPr>
            <w:r>
              <w:rPr>
                <w:rFonts w:ascii="Arial" w:cs="Arial" w:eastAsia="Arial" w:hAnsi="Arial"/>
                <w:sz w:val="13"/>
                <w:szCs w:val="13"/>
                <w:b w:val="1"/>
                <w:bCs w:val="1"/>
                <w:color w:val="auto"/>
              </w:rPr>
              <w:t>Average Reported</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3880" w:type="dxa"/>
            <w:vAlign w:val="bottom"/>
          </w:tcPr>
          <w:p>
            <w:pPr>
              <w:jc w:val="right"/>
              <w:ind w:right="33"/>
              <w:spacing w:after="0" w:line="149" w:lineRule="exact"/>
              <w:rPr>
                <w:sz w:val="20"/>
                <w:szCs w:val="20"/>
                <w:color w:val="auto"/>
              </w:rPr>
            </w:pPr>
            <w:r>
              <w:rPr>
                <w:rFonts w:ascii="Arial" w:cs="Arial" w:eastAsia="Arial" w:hAnsi="Arial"/>
                <w:sz w:val="13"/>
                <w:szCs w:val="13"/>
                <w:b w:val="1"/>
                <w:bCs w:val="1"/>
                <w:color w:val="auto"/>
              </w:rPr>
              <w:t>Summary</w:t>
            </w:r>
          </w:p>
        </w:tc>
        <w:tc>
          <w:tcPr>
            <w:tcW w:w="4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3"/>
                <w:szCs w:val="13"/>
                <w:b w:val="1"/>
                <w:bCs w:val="1"/>
                <w:color w:val="auto"/>
              </w:rPr>
              <w:t>Deductions:</w:t>
            </w:r>
          </w:p>
        </w:tc>
        <w:tc>
          <w:tcPr>
            <w:tcW w:w="82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3"/>
                <w:szCs w:val="13"/>
                <w:b w:val="1"/>
                <w:bCs w:val="1"/>
                <w:color w:val="auto"/>
              </w:rPr>
              <w:t>Additions</w:t>
            </w:r>
          </w:p>
        </w:tc>
        <w:tc>
          <w:tcPr>
            <w:tcW w:w="16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w w:val="91"/>
              </w:rPr>
              <w:t>:</w:t>
            </w:r>
          </w:p>
        </w:tc>
        <w:tc>
          <w:tcPr>
            <w:tcW w:w="116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880" w:type="dxa"/>
            <w:vAlign w:val="bottom"/>
            <w:vMerge w:val="restart"/>
          </w:tcPr>
          <w:p>
            <w:pPr>
              <w:jc w:val="right"/>
              <w:ind w:right="33"/>
              <w:spacing w:after="0" w:line="119" w:lineRule="exact"/>
              <w:rPr>
                <w:sz w:val="20"/>
                <w:szCs w:val="20"/>
                <w:color w:val="auto"/>
              </w:rPr>
            </w:pPr>
            <w:r>
              <w:rPr>
                <w:rFonts w:ascii="Arial" w:cs="Arial" w:eastAsia="Arial" w:hAnsi="Arial"/>
                <w:sz w:val="13"/>
                <w:szCs w:val="13"/>
                <w:b w:val="1"/>
                <w:bCs w:val="1"/>
                <w:color w:val="auto"/>
              </w:rPr>
              <w:t>Compensation</w:t>
            </w: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960" w:type="dxa"/>
            <w:vAlign w:val="bottom"/>
          </w:tcPr>
          <w:p>
            <w:pPr>
              <w:spacing w:after="0"/>
              <w:rPr>
                <w:sz w:val="9"/>
                <w:szCs w:val="9"/>
                <w:color w:val="auto"/>
              </w:rPr>
            </w:pPr>
          </w:p>
        </w:tc>
        <w:tc>
          <w:tcPr>
            <w:tcW w:w="3880" w:type="dxa"/>
            <w:vAlign w:val="bottom"/>
            <w:vMerge w:val="continue"/>
          </w:tcPr>
          <w:p>
            <w:pPr>
              <w:spacing w:after="0"/>
              <w:rPr>
                <w:sz w:val="9"/>
                <w:szCs w:val="9"/>
                <w:color w:val="auto"/>
              </w:rPr>
            </w:pPr>
          </w:p>
        </w:tc>
        <w:tc>
          <w:tcPr>
            <w:tcW w:w="1240" w:type="dxa"/>
            <w:vAlign w:val="bottom"/>
            <w:gridSpan w:val="2"/>
          </w:tcPr>
          <w:p>
            <w:pPr>
              <w:jc w:val="right"/>
              <w:spacing w:after="0" w:line="106" w:lineRule="exact"/>
              <w:rPr>
                <w:sz w:val="20"/>
                <w:szCs w:val="20"/>
                <w:color w:val="auto"/>
              </w:rPr>
            </w:pPr>
            <w:r>
              <w:rPr>
                <w:rFonts w:ascii="Arial" w:cs="Arial" w:eastAsia="Arial" w:hAnsi="Arial"/>
                <w:sz w:val="12"/>
                <w:szCs w:val="12"/>
                <w:b w:val="1"/>
                <w:bCs w:val="1"/>
                <w:color w:val="auto"/>
              </w:rPr>
              <w:t>Average Reported</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160" w:type="dxa"/>
            <w:vAlign w:val="bottom"/>
          </w:tcPr>
          <w:p>
            <w:pPr>
              <w:jc w:val="right"/>
              <w:spacing w:after="0" w:line="106" w:lineRule="exact"/>
              <w:rPr>
                <w:sz w:val="20"/>
                <w:szCs w:val="20"/>
                <w:color w:val="auto"/>
              </w:rPr>
            </w:pPr>
            <w:r>
              <w:rPr>
                <w:rFonts w:ascii="Arial" w:cs="Arial" w:eastAsia="Arial" w:hAnsi="Arial"/>
                <w:sz w:val="12"/>
                <w:szCs w:val="12"/>
                <w:b w:val="1"/>
                <w:bCs w:val="1"/>
                <w:color w:val="auto"/>
              </w:rPr>
              <w:t>Compensation</w:t>
            </w: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3880" w:type="dxa"/>
            <w:vAlign w:val="bottom"/>
          </w:tcPr>
          <w:p>
            <w:pPr>
              <w:jc w:val="right"/>
              <w:ind w:right="33"/>
              <w:spacing w:after="0" w:line="144" w:lineRule="exact"/>
              <w:rPr>
                <w:sz w:val="20"/>
                <w:szCs w:val="20"/>
                <w:color w:val="auto"/>
              </w:rPr>
            </w:pPr>
            <w:r>
              <w:rPr>
                <w:rFonts w:ascii="Arial" w:cs="Arial" w:eastAsia="Arial" w:hAnsi="Arial"/>
                <w:sz w:val="13"/>
                <w:szCs w:val="13"/>
                <w:b w:val="1"/>
                <w:bCs w:val="1"/>
                <w:color w:val="auto"/>
              </w:rPr>
              <w:t>Table Total for</w:t>
            </w:r>
          </w:p>
        </w:tc>
        <w:tc>
          <w:tcPr>
            <w:tcW w:w="1340" w:type="dxa"/>
            <w:vAlign w:val="bottom"/>
            <w:gridSpan w:val="3"/>
          </w:tcPr>
          <w:p>
            <w:pPr>
              <w:jc w:val="right"/>
              <w:ind w:right="100"/>
              <w:spacing w:after="0" w:line="144" w:lineRule="exact"/>
              <w:rPr>
                <w:sz w:val="20"/>
                <w:szCs w:val="20"/>
                <w:color w:val="auto"/>
              </w:rPr>
            </w:pPr>
            <w:r>
              <w:rPr>
                <w:rFonts w:ascii="Arial" w:cs="Arial" w:eastAsia="Arial" w:hAnsi="Arial"/>
                <w:sz w:val="13"/>
                <w:szCs w:val="13"/>
                <w:b w:val="1"/>
                <w:bCs w:val="1"/>
                <w:color w:val="auto"/>
              </w:rPr>
              <w:t>Value of Equity</w:t>
            </w:r>
          </w:p>
        </w:tc>
        <w:tc>
          <w:tcPr>
            <w:tcW w:w="1600" w:type="dxa"/>
            <w:vAlign w:val="bottom"/>
            <w:gridSpan w:val="3"/>
          </w:tcPr>
          <w:p>
            <w:pPr>
              <w:jc w:val="right"/>
              <w:ind w:right="33"/>
              <w:spacing w:after="0" w:line="144" w:lineRule="exact"/>
              <w:rPr>
                <w:sz w:val="20"/>
                <w:szCs w:val="20"/>
                <w:color w:val="auto"/>
              </w:rPr>
            </w:pPr>
            <w:r>
              <w:rPr>
                <w:rFonts w:ascii="Arial" w:cs="Arial" w:eastAsia="Arial" w:hAnsi="Arial"/>
                <w:sz w:val="13"/>
                <w:szCs w:val="13"/>
                <w:b w:val="1"/>
                <w:bCs w:val="1"/>
                <w:color w:val="auto"/>
              </w:rPr>
              <w:t>Average Equity</w:t>
            </w:r>
          </w:p>
        </w:tc>
        <w:tc>
          <w:tcPr>
            <w:tcW w:w="11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Actually Paid to</w:t>
            </w:r>
          </w:p>
        </w:tc>
        <w:tc>
          <w:tcPr>
            <w:tcW w:w="0" w:type="dxa"/>
            <w:vAlign w:val="bottom"/>
          </w:tcPr>
          <w:p>
            <w:pPr>
              <w:spacing w:after="0"/>
              <w:rPr>
                <w:sz w:val="1"/>
                <w:szCs w:val="1"/>
                <w:color w:val="auto"/>
              </w:rPr>
            </w:pPr>
          </w:p>
        </w:tc>
      </w:tr>
      <w:tr>
        <w:trPr>
          <w:trHeight w:val="182"/>
        </w:trPr>
        <w:tc>
          <w:tcPr>
            <w:tcW w:w="2960" w:type="dxa"/>
            <w:vAlign w:val="bottom"/>
            <w:tcBorders>
              <w:bottom w:val="single" w:sz="8" w:color="A26F2A"/>
            </w:tcBorders>
          </w:tcPr>
          <w:p>
            <w:pPr>
              <w:ind w:left="60"/>
              <w:spacing w:after="0"/>
              <w:rPr>
                <w:sz w:val="20"/>
                <w:szCs w:val="20"/>
                <w:color w:val="auto"/>
              </w:rPr>
            </w:pPr>
            <w:r>
              <w:rPr>
                <w:rFonts w:ascii="Arial" w:cs="Arial" w:eastAsia="Arial" w:hAnsi="Arial"/>
                <w:sz w:val="13"/>
                <w:szCs w:val="13"/>
                <w:b w:val="1"/>
                <w:bCs w:val="1"/>
                <w:color w:val="auto"/>
              </w:rPr>
              <w:t>Year</w:t>
            </w:r>
          </w:p>
        </w:tc>
        <w:tc>
          <w:tcPr>
            <w:tcW w:w="3880" w:type="dxa"/>
            <w:vAlign w:val="bottom"/>
            <w:tcBorders>
              <w:bottom w:val="single" w:sz="8" w:color="A26F2A"/>
            </w:tcBorders>
          </w:tcPr>
          <w:p>
            <w:pPr>
              <w:jc w:val="right"/>
              <w:ind w:right="33"/>
              <w:spacing w:after="0"/>
              <w:rPr>
                <w:sz w:val="20"/>
                <w:szCs w:val="20"/>
                <w:color w:val="auto"/>
              </w:rPr>
            </w:pPr>
            <w:r>
              <w:rPr>
                <w:rFonts w:ascii="Arial" w:cs="Arial" w:eastAsia="Arial" w:hAnsi="Arial"/>
                <w:sz w:val="13"/>
                <w:szCs w:val="13"/>
                <w:b w:val="1"/>
                <w:bCs w:val="1"/>
                <w:color w:val="auto"/>
              </w:rPr>
              <w:t>Non-PEO NEOs</w:t>
            </w:r>
          </w:p>
        </w:tc>
        <w:tc>
          <w:tcPr>
            <w:tcW w:w="460" w:type="dxa"/>
            <w:vAlign w:val="bottom"/>
            <w:tcBorders>
              <w:bottom w:val="single" w:sz="8" w:color="A26F2A"/>
            </w:tcBorders>
          </w:tcPr>
          <w:p>
            <w:pPr>
              <w:spacing w:after="0"/>
              <w:rPr>
                <w:sz w:val="15"/>
                <w:szCs w:val="15"/>
                <w:color w:val="auto"/>
              </w:rPr>
            </w:pPr>
          </w:p>
        </w:tc>
        <w:tc>
          <w:tcPr>
            <w:tcW w:w="880" w:type="dxa"/>
            <w:vAlign w:val="bottom"/>
            <w:tcBorders>
              <w:bottom w:val="single" w:sz="8" w:color="A26F2A"/>
            </w:tcBorders>
            <w:gridSpan w:val="2"/>
          </w:tcPr>
          <w:p>
            <w:pPr>
              <w:jc w:val="right"/>
              <w:ind w:right="100"/>
              <w:spacing w:after="0"/>
              <w:rPr>
                <w:sz w:val="20"/>
                <w:szCs w:val="20"/>
                <w:color w:val="auto"/>
              </w:rPr>
            </w:pPr>
            <w:r>
              <w:rPr>
                <w:rFonts w:ascii="Arial" w:cs="Arial" w:eastAsia="Arial" w:hAnsi="Arial"/>
                <w:sz w:val="13"/>
                <w:szCs w:val="13"/>
                <w:b w:val="1"/>
                <w:bCs w:val="1"/>
                <w:color w:val="auto"/>
              </w:rPr>
              <w:t>Awards</w:t>
            </w:r>
          </w:p>
        </w:tc>
        <w:tc>
          <w:tcPr>
            <w:tcW w:w="1600" w:type="dxa"/>
            <w:vAlign w:val="bottom"/>
            <w:tcBorders>
              <w:bottom w:val="single" w:sz="8" w:color="A26F2A"/>
            </w:tcBorders>
            <w:gridSpan w:val="3"/>
          </w:tcPr>
          <w:p>
            <w:pPr>
              <w:jc w:val="right"/>
              <w:ind w:right="33"/>
              <w:spacing w:after="0" w:line="177" w:lineRule="exact"/>
              <w:rPr>
                <w:sz w:val="20"/>
                <w:szCs w:val="20"/>
                <w:color w:val="auto"/>
              </w:rPr>
            </w:pPr>
            <w:r>
              <w:rPr>
                <w:rFonts w:ascii="Arial" w:cs="Arial" w:eastAsia="Arial" w:hAnsi="Arial"/>
                <w:sz w:val="12"/>
                <w:szCs w:val="12"/>
                <w:b w:val="1"/>
                <w:bCs w:val="1"/>
                <w:color w:val="auto"/>
              </w:rPr>
              <w:t>Award Adjustments</w:t>
            </w:r>
            <w:r>
              <w:rPr>
                <w:rFonts w:ascii="Arial" w:cs="Arial" w:eastAsia="Arial" w:hAnsi="Arial"/>
                <w:sz w:val="20"/>
                <w:szCs w:val="20"/>
                <w:b w:val="1"/>
                <w:bCs w:val="1"/>
                <w:color w:val="auto"/>
                <w:vertAlign w:val="superscript"/>
              </w:rPr>
              <w:t>(a)</w:t>
            </w:r>
          </w:p>
        </w:tc>
        <w:tc>
          <w:tcPr>
            <w:tcW w:w="1160" w:type="dxa"/>
            <w:vAlign w:val="bottom"/>
            <w:tcBorders>
              <w:bottom w:val="single" w:sz="8" w:color="A26F2A"/>
            </w:tcBorders>
          </w:tcPr>
          <w:p>
            <w:pPr>
              <w:jc w:val="right"/>
              <w:spacing w:after="0"/>
              <w:rPr>
                <w:sz w:val="20"/>
                <w:szCs w:val="20"/>
                <w:color w:val="auto"/>
              </w:rPr>
            </w:pPr>
            <w:r>
              <w:rPr>
                <w:rFonts w:ascii="Arial" w:cs="Arial" w:eastAsia="Arial" w:hAnsi="Arial"/>
                <w:sz w:val="13"/>
                <w:szCs w:val="13"/>
                <w:b w:val="1"/>
                <w:bCs w:val="1"/>
                <w:color w:val="auto"/>
              </w:rPr>
              <w:t>Non-PEO NEOs</w:t>
            </w:r>
          </w:p>
        </w:tc>
        <w:tc>
          <w:tcPr>
            <w:tcW w:w="0" w:type="dxa"/>
            <w:vAlign w:val="bottom"/>
          </w:tcPr>
          <w:p>
            <w:pPr>
              <w:spacing w:after="0"/>
              <w:rPr>
                <w:sz w:val="1"/>
                <w:szCs w:val="1"/>
                <w:color w:val="auto"/>
              </w:rPr>
            </w:pPr>
          </w:p>
        </w:tc>
      </w:tr>
      <w:tr>
        <w:trPr>
          <w:trHeight w:val="164"/>
        </w:trPr>
        <w:tc>
          <w:tcPr>
            <w:tcW w:w="2960" w:type="dxa"/>
            <w:vAlign w:val="bottom"/>
            <w:tcBorders>
              <w:bottom w:val="single" w:sz="8" w:color="A26F2A"/>
            </w:tcBorders>
          </w:tcPr>
          <w:p>
            <w:pPr>
              <w:ind w:left="60"/>
              <w:spacing w:after="0"/>
              <w:rPr>
                <w:sz w:val="20"/>
                <w:szCs w:val="20"/>
                <w:color w:val="auto"/>
              </w:rPr>
            </w:pPr>
            <w:r>
              <w:rPr>
                <w:rFonts w:ascii="Arial" w:cs="Arial" w:eastAsia="Arial" w:hAnsi="Arial"/>
                <w:sz w:val="13"/>
                <w:szCs w:val="13"/>
                <w:color w:val="auto"/>
              </w:rPr>
              <w:t>2025</w:t>
            </w:r>
          </w:p>
        </w:tc>
        <w:tc>
          <w:tcPr>
            <w:tcW w:w="3880" w:type="dxa"/>
            <w:vAlign w:val="bottom"/>
            <w:tcBorders>
              <w:bottom w:val="single" w:sz="8" w:color="A26F2A"/>
            </w:tcBorders>
          </w:tcPr>
          <w:p>
            <w:pPr>
              <w:jc w:val="right"/>
              <w:ind w:right="33"/>
              <w:spacing w:after="0"/>
              <w:rPr>
                <w:sz w:val="20"/>
                <w:szCs w:val="20"/>
                <w:color w:val="auto"/>
              </w:rPr>
            </w:pPr>
            <w:r>
              <w:rPr>
                <w:rFonts w:ascii="Arial" w:cs="Arial" w:eastAsia="Arial" w:hAnsi="Arial"/>
                <w:sz w:val="13"/>
                <w:szCs w:val="13"/>
                <w:color w:val="auto"/>
              </w:rPr>
              <w:t>$  5,699,824</w:t>
            </w:r>
          </w:p>
        </w:tc>
        <w:tc>
          <w:tcPr>
            <w:tcW w:w="1240" w:type="dxa"/>
            <w:vAlign w:val="bottom"/>
            <w:tcBorders>
              <w:bottom w:val="single" w:sz="8" w:color="A26F2A"/>
            </w:tcBorders>
            <w:gridSpan w:val="2"/>
          </w:tcPr>
          <w:p>
            <w:pPr>
              <w:jc w:val="right"/>
              <w:spacing w:after="0"/>
              <w:rPr>
                <w:sz w:val="20"/>
                <w:szCs w:val="20"/>
                <w:color w:val="auto"/>
              </w:rPr>
            </w:pPr>
            <w:r>
              <w:rPr>
                <w:rFonts w:ascii="Arial" w:cs="Arial" w:eastAsia="Arial" w:hAnsi="Arial"/>
                <w:sz w:val="13"/>
                <w:szCs w:val="13"/>
                <w:color w:val="auto"/>
              </w:rPr>
              <w:t>$  4,105,038</w:t>
            </w:r>
          </w:p>
        </w:tc>
        <w:tc>
          <w:tcPr>
            <w:tcW w:w="100" w:type="dxa"/>
            <w:vAlign w:val="bottom"/>
            <w:tcBorders>
              <w:bottom w:val="single" w:sz="8" w:color="A26F2A"/>
            </w:tcBorders>
          </w:tcPr>
          <w:p>
            <w:pPr>
              <w:spacing w:after="0"/>
              <w:rPr>
                <w:sz w:val="14"/>
                <w:szCs w:val="14"/>
                <w:color w:val="auto"/>
              </w:rPr>
            </w:pPr>
          </w:p>
        </w:tc>
        <w:tc>
          <w:tcPr>
            <w:tcW w:w="1600" w:type="dxa"/>
            <w:vAlign w:val="bottom"/>
            <w:tcBorders>
              <w:bottom w:val="single" w:sz="8" w:color="A26F2A"/>
            </w:tcBorders>
            <w:gridSpan w:val="3"/>
          </w:tcPr>
          <w:p>
            <w:pPr>
              <w:jc w:val="right"/>
              <w:ind w:right="33"/>
              <w:spacing w:after="0"/>
              <w:rPr>
                <w:sz w:val="20"/>
                <w:szCs w:val="20"/>
                <w:color w:val="auto"/>
              </w:rPr>
            </w:pPr>
            <w:r>
              <w:rPr>
                <w:rFonts w:ascii="Arial" w:cs="Arial" w:eastAsia="Arial" w:hAnsi="Arial"/>
                <w:sz w:val="13"/>
                <w:szCs w:val="13"/>
                <w:color w:val="auto"/>
              </w:rPr>
              <w:t>$   2,983,189</w:t>
            </w:r>
          </w:p>
        </w:tc>
        <w:tc>
          <w:tcPr>
            <w:tcW w:w="1160" w:type="dxa"/>
            <w:vAlign w:val="bottom"/>
            <w:tcBorders>
              <w:bottom w:val="single" w:sz="8" w:color="A26F2A"/>
            </w:tcBorders>
          </w:tcPr>
          <w:p>
            <w:pPr>
              <w:jc w:val="right"/>
              <w:spacing w:after="0"/>
              <w:rPr>
                <w:sz w:val="20"/>
                <w:szCs w:val="20"/>
                <w:color w:val="auto"/>
              </w:rPr>
            </w:pPr>
            <w:r>
              <w:rPr>
                <w:rFonts w:ascii="Arial" w:cs="Arial" w:eastAsia="Arial" w:hAnsi="Arial"/>
                <w:sz w:val="13"/>
                <w:szCs w:val="13"/>
                <w:color w:val="auto"/>
              </w:rPr>
              <w:t>$4,577,975</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00" w:hanging="296"/>
        <w:spacing w:after="0"/>
        <w:tabs>
          <w:tab w:leader="none" w:pos="600" w:val="left"/>
        </w:tabs>
        <w:numPr>
          <w:ilvl w:val="0"/>
          <w:numId w:val="119"/>
        </w:numPr>
        <w:rPr>
          <w:rFonts w:ascii="Arial" w:cs="Arial" w:eastAsia="Arial" w:hAnsi="Arial"/>
          <w:sz w:val="13"/>
          <w:szCs w:val="13"/>
          <w:i w:val="1"/>
          <w:iCs w:val="1"/>
          <w:color w:val="auto"/>
        </w:rPr>
      </w:pPr>
      <w:r>
        <w:rPr>
          <w:rFonts w:ascii="Arial" w:cs="Arial" w:eastAsia="Arial" w:hAnsi="Arial"/>
          <w:sz w:val="13"/>
          <w:szCs w:val="13"/>
          <w:i w:val="1"/>
          <w:iCs w:val="1"/>
          <w:color w:val="auto"/>
        </w:rPr>
        <w:t>The amounts deducted or added in calculating the total average equity award adjustments are as follows:</w:t>
      </w:r>
    </w:p>
    <w:p>
      <w:pPr>
        <w:spacing w:after="0" w:line="177" w:lineRule="exact"/>
        <w:rPr>
          <w:sz w:val="20"/>
          <w:szCs w:val="20"/>
          <w:color w:val="auto"/>
        </w:rPr>
      </w:pPr>
    </w:p>
    <w:tbl>
      <w:tblPr>
        <w:tblLayout w:type="fixed"/>
        <w:tblInd w:w="600" w:type="dxa"/>
        <w:tblCellMar>
          <w:top w:w="0" w:type="dxa"/>
          <w:left w:w="0" w:type="dxa"/>
          <w:bottom w:w="0" w:type="dxa"/>
          <w:right w:w="0" w:type="dxa"/>
        </w:tblCellMar>
      </w:tblPr>
      <w:tr>
        <w:trPr>
          <w:trHeight w:val="151"/>
        </w:trPr>
        <w:tc>
          <w:tcPr>
            <w:tcW w:w="960" w:type="dxa"/>
            <w:vAlign w:val="bottom"/>
          </w:tcPr>
          <w:p>
            <w:pPr>
              <w:spacing w:after="0"/>
              <w:rPr>
                <w:sz w:val="13"/>
                <w:szCs w:val="13"/>
                <w:color w:val="auto"/>
              </w:rPr>
            </w:pPr>
          </w:p>
        </w:tc>
        <w:tc>
          <w:tcPr>
            <w:tcW w:w="1640" w:type="dxa"/>
            <w:vAlign w:val="bottom"/>
          </w:tcPr>
          <w:p>
            <w:pPr>
              <w:jc w:val="right"/>
              <w:ind w:right="33"/>
              <w:spacing w:after="0"/>
              <w:rPr>
                <w:sz w:val="20"/>
                <w:szCs w:val="20"/>
                <w:color w:val="auto"/>
              </w:rPr>
            </w:pPr>
            <w:r>
              <w:rPr>
                <w:rFonts w:ascii="Arial" w:cs="Arial" w:eastAsia="Arial" w:hAnsi="Arial"/>
                <w:sz w:val="13"/>
                <w:szCs w:val="13"/>
                <w:b w:val="1"/>
                <w:bCs w:val="1"/>
                <w:color w:val="auto"/>
              </w:rPr>
              <w:t>Year End</w:t>
            </w:r>
          </w:p>
        </w:tc>
        <w:tc>
          <w:tcPr>
            <w:tcW w:w="1260" w:type="dxa"/>
            <w:vAlign w:val="bottom"/>
          </w:tcPr>
          <w:p>
            <w:pPr>
              <w:jc w:val="right"/>
              <w:ind w:right="53"/>
              <w:spacing w:after="0"/>
              <w:rPr>
                <w:sz w:val="20"/>
                <w:szCs w:val="20"/>
                <w:color w:val="auto"/>
              </w:rPr>
            </w:pPr>
            <w:r>
              <w:rPr>
                <w:rFonts w:ascii="Arial" w:cs="Arial" w:eastAsia="Arial" w:hAnsi="Arial"/>
                <w:sz w:val="13"/>
                <w:szCs w:val="13"/>
                <w:b w:val="1"/>
                <w:bCs w:val="1"/>
                <w:color w:val="auto"/>
              </w:rPr>
              <w:t>Change in</w:t>
            </w: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Fair Value at the</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1"/>
        </w:trPr>
        <w:tc>
          <w:tcPr>
            <w:tcW w:w="960" w:type="dxa"/>
            <w:vAlign w:val="bottom"/>
          </w:tcPr>
          <w:p>
            <w:pPr>
              <w:spacing w:after="0"/>
              <w:rPr>
                <w:sz w:val="13"/>
                <w:szCs w:val="13"/>
                <w:color w:val="auto"/>
              </w:rPr>
            </w:pPr>
          </w:p>
        </w:tc>
        <w:tc>
          <w:tcPr>
            <w:tcW w:w="1640" w:type="dxa"/>
            <w:vAlign w:val="bottom"/>
          </w:tcPr>
          <w:p>
            <w:pPr>
              <w:jc w:val="right"/>
              <w:ind w:right="33"/>
              <w:spacing w:after="0"/>
              <w:rPr>
                <w:sz w:val="20"/>
                <w:szCs w:val="20"/>
                <w:color w:val="auto"/>
              </w:rPr>
            </w:pPr>
            <w:r>
              <w:rPr>
                <w:rFonts w:ascii="Arial" w:cs="Arial" w:eastAsia="Arial" w:hAnsi="Arial"/>
                <w:sz w:val="13"/>
                <w:szCs w:val="13"/>
                <w:b w:val="1"/>
                <w:bCs w:val="1"/>
                <w:color w:val="auto"/>
              </w:rPr>
              <w:t>Fair Value of</w:t>
            </w:r>
          </w:p>
        </w:tc>
        <w:tc>
          <w:tcPr>
            <w:tcW w:w="1260" w:type="dxa"/>
            <w:vAlign w:val="bottom"/>
          </w:tcPr>
          <w:p>
            <w:pPr>
              <w:jc w:val="right"/>
              <w:ind w:right="53"/>
              <w:spacing w:after="0"/>
              <w:rPr>
                <w:sz w:val="20"/>
                <w:szCs w:val="20"/>
                <w:color w:val="auto"/>
              </w:rPr>
            </w:pPr>
            <w:r>
              <w:rPr>
                <w:rFonts w:ascii="Arial" w:cs="Arial" w:eastAsia="Arial" w:hAnsi="Arial"/>
                <w:sz w:val="13"/>
                <w:szCs w:val="13"/>
                <w:b w:val="1"/>
                <w:bCs w:val="1"/>
                <w:color w:val="auto"/>
              </w:rPr>
              <w:t>Fair Value of</w:t>
            </w:r>
          </w:p>
        </w:tc>
        <w:tc>
          <w:tcPr>
            <w:tcW w:w="1160" w:type="dxa"/>
            <w:vAlign w:val="bottom"/>
          </w:tcPr>
          <w:p>
            <w:pPr>
              <w:jc w:val="right"/>
              <w:ind w:right="33"/>
              <w:spacing w:after="0"/>
              <w:rPr>
                <w:sz w:val="20"/>
                <w:szCs w:val="20"/>
                <w:color w:val="auto"/>
              </w:rPr>
            </w:pPr>
            <w:r>
              <w:rPr>
                <w:rFonts w:ascii="Arial" w:cs="Arial" w:eastAsia="Arial" w:hAnsi="Arial"/>
                <w:sz w:val="13"/>
                <w:szCs w:val="13"/>
                <w:b w:val="1"/>
                <w:bCs w:val="1"/>
                <w:color w:val="auto"/>
              </w:rPr>
              <w:t>Fair Value as of</w:t>
            </w: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End of the Prior</w:t>
            </w:r>
          </w:p>
        </w:tc>
        <w:tc>
          <w:tcPr>
            <w:tcW w:w="1540" w:type="dxa"/>
            <w:vAlign w:val="bottom"/>
            <w:gridSpan w:val="2"/>
          </w:tcPr>
          <w:p>
            <w:pPr>
              <w:jc w:val="right"/>
              <w:ind w:right="93"/>
              <w:spacing w:after="0"/>
              <w:rPr>
                <w:sz w:val="20"/>
                <w:szCs w:val="20"/>
                <w:color w:val="auto"/>
              </w:rPr>
            </w:pPr>
            <w:r>
              <w:rPr>
                <w:rFonts w:ascii="Arial" w:cs="Arial" w:eastAsia="Arial" w:hAnsi="Arial"/>
                <w:sz w:val="13"/>
                <w:szCs w:val="13"/>
                <w:b w:val="1"/>
                <w:bCs w:val="1"/>
                <w:color w:val="auto"/>
              </w:rPr>
              <w:t>Value of Dividends</w:t>
            </w:r>
          </w:p>
        </w:tc>
        <w:tc>
          <w:tcPr>
            <w:tcW w:w="1060" w:type="dxa"/>
            <w:vAlign w:val="bottom"/>
          </w:tcPr>
          <w:p>
            <w:pPr>
              <w:spacing w:after="0"/>
              <w:rPr>
                <w:sz w:val="13"/>
                <w:szCs w:val="13"/>
                <w:color w:val="auto"/>
              </w:rPr>
            </w:pPr>
          </w:p>
        </w:tc>
      </w:tr>
      <w:tr>
        <w:trPr>
          <w:trHeight w:val="151"/>
        </w:trPr>
        <w:tc>
          <w:tcPr>
            <w:tcW w:w="960" w:type="dxa"/>
            <w:vAlign w:val="bottom"/>
          </w:tcPr>
          <w:p>
            <w:pPr>
              <w:spacing w:after="0"/>
              <w:rPr>
                <w:sz w:val="13"/>
                <w:szCs w:val="13"/>
                <w:color w:val="auto"/>
              </w:rPr>
            </w:pPr>
          </w:p>
        </w:tc>
        <w:tc>
          <w:tcPr>
            <w:tcW w:w="1640" w:type="dxa"/>
            <w:vAlign w:val="bottom"/>
          </w:tcPr>
          <w:p>
            <w:pPr>
              <w:jc w:val="right"/>
              <w:ind w:right="33"/>
              <w:spacing w:after="0"/>
              <w:rPr>
                <w:sz w:val="20"/>
                <w:szCs w:val="20"/>
                <w:color w:val="auto"/>
              </w:rPr>
            </w:pPr>
            <w:r>
              <w:rPr>
                <w:rFonts w:ascii="Arial" w:cs="Arial" w:eastAsia="Arial" w:hAnsi="Arial"/>
                <w:sz w:val="13"/>
                <w:szCs w:val="13"/>
                <w:b w:val="1"/>
                <w:bCs w:val="1"/>
                <w:color w:val="auto"/>
              </w:rPr>
              <w:t>Current Year</w:t>
            </w:r>
          </w:p>
        </w:tc>
        <w:tc>
          <w:tcPr>
            <w:tcW w:w="1260" w:type="dxa"/>
            <w:vAlign w:val="bottom"/>
          </w:tcPr>
          <w:p>
            <w:pPr>
              <w:jc w:val="right"/>
              <w:ind w:right="53"/>
              <w:spacing w:after="0"/>
              <w:rPr>
                <w:sz w:val="20"/>
                <w:szCs w:val="20"/>
                <w:color w:val="auto"/>
              </w:rPr>
            </w:pPr>
            <w:r>
              <w:rPr>
                <w:rFonts w:ascii="Arial" w:cs="Arial" w:eastAsia="Arial" w:hAnsi="Arial"/>
                <w:sz w:val="13"/>
                <w:szCs w:val="13"/>
                <w:b w:val="1"/>
                <w:bCs w:val="1"/>
                <w:color w:val="auto"/>
              </w:rPr>
              <w:t>Equity Awards</w:t>
            </w:r>
          </w:p>
        </w:tc>
        <w:tc>
          <w:tcPr>
            <w:tcW w:w="1160" w:type="dxa"/>
            <w:vAlign w:val="bottom"/>
          </w:tcPr>
          <w:p>
            <w:pPr>
              <w:jc w:val="right"/>
              <w:ind w:right="33"/>
              <w:spacing w:after="0"/>
              <w:rPr>
                <w:sz w:val="20"/>
                <w:szCs w:val="20"/>
                <w:color w:val="auto"/>
              </w:rPr>
            </w:pPr>
            <w:r>
              <w:rPr>
                <w:rFonts w:ascii="Arial" w:cs="Arial" w:eastAsia="Arial" w:hAnsi="Arial"/>
                <w:sz w:val="13"/>
                <w:szCs w:val="13"/>
                <w:b w:val="1"/>
                <w:bCs w:val="1"/>
                <w:color w:val="auto"/>
              </w:rPr>
              <w:t>Vesting Date of</w:t>
            </w:r>
          </w:p>
        </w:tc>
        <w:tc>
          <w:tcPr>
            <w:tcW w:w="162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Change in Fair Value</w:t>
            </w:r>
          </w:p>
        </w:tc>
        <w:tc>
          <w:tcPr>
            <w:tcW w:w="140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Year of Equity</w:t>
            </w:r>
          </w:p>
        </w:tc>
        <w:tc>
          <w:tcPr>
            <w:tcW w:w="1540" w:type="dxa"/>
            <w:vAlign w:val="bottom"/>
            <w:gridSpan w:val="2"/>
          </w:tcPr>
          <w:p>
            <w:pPr>
              <w:jc w:val="right"/>
              <w:ind w:right="93"/>
              <w:spacing w:after="0"/>
              <w:rPr>
                <w:sz w:val="20"/>
                <w:szCs w:val="20"/>
                <w:color w:val="auto"/>
              </w:rPr>
            </w:pPr>
            <w:r>
              <w:rPr>
                <w:rFonts w:ascii="Arial" w:cs="Arial" w:eastAsia="Arial" w:hAnsi="Arial"/>
                <w:sz w:val="13"/>
                <w:szCs w:val="13"/>
                <w:b w:val="1"/>
                <w:bCs w:val="1"/>
                <w:color w:val="auto"/>
              </w:rPr>
              <w:t>or other Earnings</w:t>
            </w:r>
          </w:p>
        </w:tc>
        <w:tc>
          <w:tcPr>
            <w:tcW w:w="1060" w:type="dxa"/>
            <w:vAlign w:val="bottom"/>
          </w:tcPr>
          <w:p>
            <w:pPr>
              <w:spacing w:after="0"/>
              <w:rPr>
                <w:sz w:val="13"/>
                <w:szCs w:val="13"/>
                <w:color w:val="auto"/>
              </w:rPr>
            </w:pPr>
          </w:p>
        </w:tc>
      </w:tr>
      <w:tr>
        <w:trPr>
          <w:trHeight w:val="151"/>
        </w:trPr>
        <w:tc>
          <w:tcPr>
            <w:tcW w:w="960" w:type="dxa"/>
            <w:vAlign w:val="bottom"/>
          </w:tcPr>
          <w:p>
            <w:pPr>
              <w:spacing w:after="0"/>
              <w:rPr>
                <w:sz w:val="13"/>
                <w:szCs w:val="13"/>
                <w:color w:val="auto"/>
              </w:rPr>
            </w:pPr>
          </w:p>
        </w:tc>
        <w:tc>
          <w:tcPr>
            <w:tcW w:w="1640" w:type="dxa"/>
            <w:vAlign w:val="bottom"/>
          </w:tcPr>
          <w:p>
            <w:pPr>
              <w:jc w:val="right"/>
              <w:ind w:right="33"/>
              <w:spacing w:after="0"/>
              <w:rPr>
                <w:sz w:val="20"/>
                <w:szCs w:val="20"/>
                <w:color w:val="auto"/>
              </w:rPr>
            </w:pPr>
            <w:r>
              <w:rPr>
                <w:rFonts w:ascii="Arial" w:cs="Arial" w:eastAsia="Arial" w:hAnsi="Arial"/>
                <w:sz w:val="13"/>
                <w:szCs w:val="13"/>
                <w:b w:val="1"/>
                <w:bCs w:val="1"/>
                <w:color w:val="auto"/>
              </w:rPr>
              <w:t>Equity Awards</w:t>
            </w:r>
          </w:p>
        </w:tc>
        <w:tc>
          <w:tcPr>
            <w:tcW w:w="1260" w:type="dxa"/>
            <w:vAlign w:val="bottom"/>
          </w:tcPr>
          <w:p>
            <w:pPr>
              <w:jc w:val="right"/>
              <w:ind w:right="53"/>
              <w:spacing w:after="0"/>
              <w:rPr>
                <w:sz w:val="20"/>
                <w:szCs w:val="20"/>
                <w:color w:val="auto"/>
              </w:rPr>
            </w:pPr>
            <w:r>
              <w:rPr>
                <w:rFonts w:ascii="Arial" w:cs="Arial" w:eastAsia="Arial" w:hAnsi="Arial"/>
                <w:sz w:val="13"/>
                <w:szCs w:val="13"/>
                <w:b w:val="1"/>
                <w:bCs w:val="1"/>
                <w:color w:val="auto"/>
              </w:rPr>
              <w:t>Granted in Prior</w:t>
            </w:r>
          </w:p>
        </w:tc>
        <w:tc>
          <w:tcPr>
            <w:tcW w:w="1160" w:type="dxa"/>
            <w:vAlign w:val="bottom"/>
          </w:tcPr>
          <w:p>
            <w:pPr>
              <w:jc w:val="right"/>
              <w:ind w:right="33"/>
              <w:spacing w:after="0"/>
              <w:rPr>
                <w:sz w:val="20"/>
                <w:szCs w:val="20"/>
                <w:color w:val="auto"/>
              </w:rPr>
            </w:pPr>
            <w:r>
              <w:rPr>
                <w:rFonts w:ascii="Arial" w:cs="Arial" w:eastAsia="Arial" w:hAnsi="Arial"/>
                <w:sz w:val="13"/>
                <w:szCs w:val="13"/>
                <w:b w:val="1"/>
                <w:bCs w:val="1"/>
                <w:color w:val="auto"/>
              </w:rPr>
              <w:t>Equity Awards</w:t>
            </w:r>
          </w:p>
        </w:tc>
        <w:tc>
          <w:tcPr>
            <w:tcW w:w="162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of Equity Awards</w:t>
            </w:r>
          </w:p>
        </w:tc>
        <w:tc>
          <w:tcPr>
            <w:tcW w:w="140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Awards that Failed</w:t>
            </w:r>
          </w:p>
        </w:tc>
        <w:tc>
          <w:tcPr>
            <w:tcW w:w="1540" w:type="dxa"/>
            <w:vAlign w:val="bottom"/>
            <w:gridSpan w:val="2"/>
          </w:tcPr>
          <w:p>
            <w:pPr>
              <w:jc w:val="right"/>
              <w:ind w:right="93"/>
              <w:spacing w:after="0"/>
              <w:rPr>
                <w:sz w:val="20"/>
                <w:szCs w:val="20"/>
                <w:color w:val="auto"/>
              </w:rPr>
            </w:pPr>
            <w:r>
              <w:rPr>
                <w:rFonts w:ascii="Arial" w:cs="Arial" w:eastAsia="Arial" w:hAnsi="Arial"/>
                <w:sz w:val="13"/>
                <w:szCs w:val="13"/>
                <w:b w:val="1"/>
                <w:bCs w:val="1"/>
                <w:color w:val="auto"/>
              </w:rPr>
              <w:t>Paid on Stock or</w:t>
            </w:r>
          </w:p>
        </w:tc>
        <w:tc>
          <w:tcPr>
            <w:tcW w:w="1060" w:type="dxa"/>
            <w:vAlign w:val="bottom"/>
          </w:tcPr>
          <w:p>
            <w:pPr>
              <w:spacing w:after="0"/>
              <w:rPr>
                <w:sz w:val="13"/>
                <w:szCs w:val="13"/>
                <w:color w:val="auto"/>
              </w:rPr>
            </w:pPr>
          </w:p>
        </w:tc>
      </w:tr>
      <w:tr>
        <w:trPr>
          <w:trHeight w:val="151"/>
        </w:trPr>
        <w:tc>
          <w:tcPr>
            <w:tcW w:w="960" w:type="dxa"/>
            <w:vAlign w:val="bottom"/>
          </w:tcPr>
          <w:p>
            <w:pPr>
              <w:spacing w:after="0"/>
              <w:rPr>
                <w:sz w:val="13"/>
                <w:szCs w:val="13"/>
                <w:color w:val="auto"/>
              </w:rPr>
            </w:pPr>
          </w:p>
        </w:tc>
        <w:tc>
          <w:tcPr>
            <w:tcW w:w="1640" w:type="dxa"/>
            <w:vAlign w:val="bottom"/>
          </w:tcPr>
          <w:p>
            <w:pPr>
              <w:jc w:val="right"/>
              <w:ind w:right="33"/>
              <w:spacing w:after="0"/>
              <w:rPr>
                <w:sz w:val="20"/>
                <w:szCs w:val="20"/>
                <w:color w:val="auto"/>
              </w:rPr>
            </w:pPr>
            <w:r>
              <w:rPr>
                <w:rFonts w:ascii="Arial" w:cs="Arial" w:eastAsia="Arial" w:hAnsi="Arial"/>
                <w:sz w:val="13"/>
                <w:szCs w:val="13"/>
                <w:b w:val="1"/>
                <w:bCs w:val="1"/>
                <w:color w:val="auto"/>
              </w:rPr>
              <w:t>that Remain</w:t>
            </w:r>
          </w:p>
        </w:tc>
        <w:tc>
          <w:tcPr>
            <w:tcW w:w="1260" w:type="dxa"/>
            <w:vAlign w:val="bottom"/>
          </w:tcPr>
          <w:p>
            <w:pPr>
              <w:jc w:val="right"/>
              <w:ind w:right="53"/>
              <w:spacing w:after="0"/>
              <w:rPr>
                <w:sz w:val="20"/>
                <w:szCs w:val="20"/>
                <w:color w:val="auto"/>
              </w:rPr>
            </w:pPr>
            <w:r>
              <w:rPr>
                <w:rFonts w:ascii="Arial" w:cs="Arial" w:eastAsia="Arial" w:hAnsi="Arial"/>
                <w:sz w:val="13"/>
                <w:szCs w:val="13"/>
                <w:b w:val="1"/>
                <w:bCs w:val="1"/>
                <w:color w:val="auto"/>
              </w:rPr>
              <w:t>Years that are</w:t>
            </w:r>
          </w:p>
        </w:tc>
        <w:tc>
          <w:tcPr>
            <w:tcW w:w="1160" w:type="dxa"/>
            <w:vAlign w:val="bottom"/>
          </w:tcPr>
          <w:p>
            <w:pPr>
              <w:jc w:val="right"/>
              <w:ind w:right="33"/>
              <w:spacing w:after="0"/>
              <w:rPr>
                <w:sz w:val="20"/>
                <w:szCs w:val="20"/>
                <w:color w:val="auto"/>
              </w:rPr>
            </w:pPr>
            <w:r>
              <w:rPr>
                <w:rFonts w:ascii="Arial" w:cs="Arial" w:eastAsia="Arial" w:hAnsi="Arial"/>
                <w:sz w:val="13"/>
                <w:szCs w:val="13"/>
                <w:b w:val="1"/>
                <w:bCs w:val="1"/>
                <w:color w:val="auto"/>
              </w:rPr>
              <w:t>Granted and</w:t>
            </w:r>
          </w:p>
        </w:tc>
        <w:tc>
          <w:tcPr>
            <w:tcW w:w="162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Granted in Prior Years</w:t>
            </w:r>
          </w:p>
        </w:tc>
        <w:tc>
          <w:tcPr>
            <w:tcW w:w="140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to Meet Vesting</w:t>
            </w:r>
          </w:p>
        </w:tc>
        <w:tc>
          <w:tcPr>
            <w:tcW w:w="1540" w:type="dxa"/>
            <w:vAlign w:val="bottom"/>
            <w:gridSpan w:val="2"/>
          </w:tcPr>
          <w:p>
            <w:pPr>
              <w:jc w:val="right"/>
              <w:ind w:right="93"/>
              <w:spacing w:after="0"/>
              <w:rPr>
                <w:sz w:val="20"/>
                <w:szCs w:val="20"/>
                <w:color w:val="auto"/>
              </w:rPr>
            </w:pPr>
            <w:r>
              <w:rPr>
                <w:rFonts w:ascii="Arial" w:cs="Arial" w:eastAsia="Arial" w:hAnsi="Arial"/>
                <w:sz w:val="13"/>
                <w:szCs w:val="13"/>
                <w:b w:val="1"/>
                <w:bCs w:val="1"/>
                <w:color w:val="auto"/>
              </w:rPr>
              <w:t>Option Awards not</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Total Average</w:t>
            </w:r>
          </w:p>
        </w:tc>
      </w:tr>
      <w:tr>
        <w:trPr>
          <w:trHeight w:val="151"/>
        </w:trPr>
        <w:tc>
          <w:tcPr>
            <w:tcW w:w="960" w:type="dxa"/>
            <w:vAlign w:val="bottom"/>
          </w:tcPr>
          <w:p>
            <w:pPr>
              <w:spacing w:after="0"/>
              <w:rPr>
                <w:sz w:val="13"/>
                <w:szCs w:val="13"/>
                <w:color w:val="auto"/>
              </w:rPr>
            </w:pPr>
          </w:p>
        </w:tc>
        <w:tc>
          <w:tcPr>
            <w:tcW w:w="1640" w:type="dxa"/>
            <w:vAlign w:val="bottom"/>
          </w:tcPr>
          <w:p>
            <w:pPr>
              <w:jc w:val="right"/>
              <w:ind w:right="33"/>
              <w:spacing w:after="0"/>
              <w:rPr>
                <w:sz w:val="20"/>
                <w:szCs w:val="20"/>
                <w:color w:val="auto"/>
              </w:rPr>
            </w:pPr>
            <w:r>
              <w:rPr>
                <w:rFonts w:ascii="Arial" w:cs="Arial" w:eastAsia="Arial" w:hAnsi="Arial"/>
                <w:sz w:val="13"/>
                <w:szCs w:val="13"/>
                <w:b w:val="1"/>
                <w:bCs w:val="1"/>
                <w:color w:val="auto"/>
              </w:rPr>
              <w:t>Unvested at</w:t>
            </w:r>
          </w:p>
        </w:tc>
        <w:tc>
          <w:tcPr>
            <w:tcW w:w="1260" w:type="dxa"/>
            <w:vAlign w:val="bottom"/>
          </w:tcPr>
          <w:p>
            <w:pPr>
              <w:jc w:val="right"/>
              <w:ind w:right="53"/>
              <w:spacing w:after="0"/>
              <w:rPr>
                <w:sz w:val="20"/>
                <w:szCs w:val="20"/>
                <w:color w:val="auto"/>
              </w:rPr>
            </w:pPr>
            <w:r>
              <w:rPr>
                <w:rFonts w:ascii="Arial" w:cs="Arial" w:eastAsia="Arial" w:hAnsi="Arial"/>
                <w:sz w:val="13"/>
                <w:szCs w:val="13"/>
                <w:b w:val="1"/>
                <w:bCs w:val="1"/>
                <w:color w:val="auto"/>
              </w:rPr>
              <w:t>Unvested at</w:t>
            </w:r>
          </w:p>
        </w:tc>
        <w:tc>
          <w:tcPr>
            <w:tcW w:w="1160" w:type="dxa"/>
            <w:vAlign w:val="bottom"/>
          </w:tcPr>
          <w:p>
            <w:pPr>
              <w:jc w:val="right"/>
              <w:ind w:right="33"/>
              <w:spacing w:after="0"/>
              <w:rPr>
                <w:sz w:val="20"/>
                <w:szCs w:val="20"/>
                <w:color w:val="auto"/>
              </w:rPr>
            </w:pPr>
            <w:r>
              <w:rPr>
                <w:rFonts w:ascii="Arial" w:cs="Arial" w:eastAsia="Arial" w:hAnsi="Arial"/>
                <w:sz w:val="13"/>
                <w:szCs w:val="13"/>
                <w:b w:val="1"/>
                <w:bCs w:val="1"/>
                <w:color w:val="auto"/>
              </w:rPr>
              <w:t>Vested in the</w:t>
            </w:r>
          </w:p>
        </w:tc>
        <w:tc>
          <w:tcPr>
            <w:tcW w:w="74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that Vested</w:t>
            </w:r>
          </w:p>
        </w:tc>
        <w:tc>
          <w:tcPr>
            <w:tcW w:w="140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Conditions in the</w:t>
            </w:r>
          </w:p>
        </w:tc>
        <w:tc>
          <w:tcPr>
            <w:tcW w:w="1540" w:type="dxa"/>
            <w:vAlign w:val="bottom"/>
            <w:gridSpan w:val="2"/>
          </w:tcPr>
          <w:p>
            <w:pPr>
              <w:jc w:val="right"/>
              <w:ind w:right="93"/>
              <w:spacing w:after="0"/>
              <w:rPr>
                <w:sz w:val="20"/>
                <w:szCs w:val="20"/>
                <w:color w:val="auto"/>
              </w:rPr>
            </w:pPr>
            <w:r>
              <w:rPr>
                <w:rFonts w:ascii="Arial" w:cs="Arial" w:eastAsia="Arial" w:hAnsi="Arial"/>
                <w:sz w:val="13"/>
                <w:szCs w:val="13"/>
                <w:b w:val="1"/>
                <w:bCs w:val="1"/>
                <w:color w:val="auto"/>
              </w:rPr>
              <w:t>Otherwise Reflected</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Equity Award</w:t>
            </w:r>
          </w:p>
        </w:tc>
      </w:tr>
      <w:tr>
        <w:trPr>
          <w:trHeight w:val="166"/>
        </w:trPr>
        <w:tc>
          <w:tcPr>
            <w:tcW w:w="960" w:type="dxa"/>
            <w:vAlign w:val="bottom"/>
            <w:tcBorders>
              <w:bottom w:val="single" w:sz="8" w:color="A26F2A"/>
            </w:tcBorders>
          </w:tcPr>
          <w:p>
            <w:pPr>
              <w:ind w:left="60"/>
              <w:spacing w:after="0"/>
              <w:rPr>
                <w:sz w:val="20"/>
                <w:szCs w:val="20"/>
                <w:color w:val="auto"/>
              </w:rPr>
            </w:pPr>
            <w:r>
              <w:rPr>
                <w:rFonts w:ascii="Arial" w:cs="Arial" w:eastAsia="Arial" w:hAnsi="Arial"/>
                <w:sz w:val="13"/>
                <w:szCs w:val="13"/>
                <w:b w:val="1"/>
                <w:bCs w:val="1"/>
                <w:color w:val="auto"/>
              </w:rPr>
              <w:t>Year</w:t>
            </w:r>
          </w:p>
        </w:tc>
        <w:tc>
          <w:tcPr>
            <w:tcW w:w="1640" w:type="dxa"/>
            <w:vAlign w:val="bottom"/>
            <w:tcBorders>
              <w:bottom w:val="single" w:sz="8" w:color="A26F2A"/>
            </w:tcBorders>
          </w:tcPr>
          <w:p>
            <w:pPr>
              <w:jc w:val="right"/>
              <w:ind w:right="33"/>
              <w:spacing w:after="0"/>
              <w:rPr>
                <w:sz w:val="20"/>
                <w:szCs w:val="20"/>
                <w:color w:val="auto"/>
              </w:rPr>
            </w:pPr>
            <w:r>
              <w:rPr>
                <w:rFonts w:ascii="Arial" w:cs="Arial" w:eastAsia="Arial" w:hAnsi="Arial"/>
                <w:sz w:val="13"/>
                <w:szCs w:val="13"/>
                <w:b w:val="1"/>
                <w:bCs w:val="1"/>
                <w:color w:val="auto"/>
              </w:rPr>
              <w:t>Year-End</w:t>
            </w:r>
          </w:p>
        </w:tc>
        <w:tc>
          <w:tcPr>
            <w:tcW w:w="1260" w:type="dxa"/>
            <w:vAlign w:val="bottom"/>
            <w:tcBorders>
              <w:bottom w:val="single" w:sz="8" w:color="A26F2A"/>
            </w:tcBorders>
          </w:tcPr>
          <w:p>
            <w:pPr>
              <w:jc w:val="right"/>
              <w:ind w:right="53"/>
              <w:spacing w:after="0"/>
              <w:rPr>
                <w:sz w:val="20"/>
                <w:szCs w:val="20"/>
                <w:color w:val="auto"/>
              </w:rPr>
            </w:pPr>
            <w:r>
              <w:rPr>
                <w:rFonts w:ascii="Arial" w:cs="Arial" w:eastAsia="Arial" w:hAnsi="Arial"/>
                <w:sz w:val="13"/>
                <w:szCs w:val="13"/>
                <w:b w:val="1"/>
                <w:bCs w:val="1"/>
                <w:color w:val="auto"/>
              </w:rPr>
              <w:t>Year-End</w:t>
            </w:r>
          </w:p>
        </w:tc>
        <w:tc>
          <w:tcPr>
            <w:tcW w:w="1160" w:type="dxa"/>
            <w:vAlign w:val="bottom"/>
            <w:tcBorders>
              <w:bottom w:val="single" w:sz="8" w:color="A26F2A"/>
            </w:tcBorders>
          </w:tcPr>
          <w:p>
            <w:pPr>
              <w:jc w:val="right"/>
              <w:ind w:right="33"/>
              <w:spacing w:after="0"/>
              <w:rPr>
                <w:sz w:val="20"/>
                <w:szCs w:val="20"/>
                <w:color w:val="auto"/>
              </w:rPr>
            </w:pPr>
            <w:r>
              <w:rPr>
                <w:rFonts w:ascii="Arial" w:cs="Arial" w:eastAsia="Arial" w:hAnsi="Arial"/>
                <w:sz w:val="13"/>
                <w:szCs w:val="13"/>
                <w:b w:val="1"/>
                <w:bCs w:val="1"/>
                <w:color w:val="auto"/>
              </w:rPr>
              <w:t>Year</w:t>
            </w:r>
          </w:p>
        </w:tc>
        <w:tc>
          <w:tcPr>
            <w:tcW w:w="740" w:type="dxa"/>
            <w:vAlign w:val="bottom"/>
            <w:tcBorders>
              <w:bottom w:val="single" w:sz="8" w:color="A26F2A"/>
            </w:tcBorders>
          </w:tcPr>
          <w:p>
            <w:pPr>
              <w:spacing w:after="0"/>
              <w:rPr>
                <w:sz w:val="14"/>
                <w:szCs w:val="14"/>
                <w:color w:val="auto"/>
              </w:rPr>
            </w:pPr>
          </w:p>
        </w:tc>
        <w:tc>
          <w:tcPr>
            <w:tcW w:w="880" w:type="dxa"/>
            <w:vAlign w:val="bottom"/>
            <w:tcBorders>
              <w:bottom w:val="single" w:sz="8" w:color="A26F2A"/>
            </w:tcBorders>
          </w:tcPr>
          <w:p>
            <w:pPr>
              <w:jc w:val="right"/>
              <w:ind w:right="33"/>
              <w:spacing w:after="0"/>
              <w:rPr>
                <w:sz w:val="20"/>
                <w:szCs w:val="20"/>
                <w:color w:val="auto"/>
              </w:rPr>
            </w:pPr>
            <w:r>
              <w:rPr>
                <w:rFonts w:ascii="Arial" w:cs="Arial" w:eastAsia="Arial" w:hAnsi="Arial"/>
                <w:sz w:val="13"/>
                <w:szCs w:val="13"/>
                <w:b w:val="1"/>
                <w:bCs w:val="1"/>
                <w:color w:val="auto"/>
              </w:rPr>
              <w:t>in the Year</w:t>
            </w:r>
          </w:p>
        </w:tc>
        <w:tc>
          <w:tcPr>
            <w:tcW w:w="800" w:type="dxa"/>
            <w:vAlign w:val="bottom"/>
            <w:tcBorders>
              <w:bottom w:val="single" w:sz="8" w:color="A26F2A"/>
            </w:tcBorders>
          </w:tcPr>
          <w:p>
            <w:pPr>
              <w:spacing w:after="0"/>
              <w:rPr>
                <w:sz w:val="14"/>
                <w:szCs w:val="14"/>
                <w:color w:val="auto"/>
              </w:rPr>
            </w:pPr>
          </w:p>
        </w:tc>
        <w:tc>
          <w:tcPr>
            <w:tcW w:w="600" w:type="dxa"/>
            <w:vAlign w:val="bottom"/>
            <w:tcBorders>
              <w:bottom w:val="single" w:sz="8" w:color="A26F2A"/>
            </w:tcBorders>
          </w:tcPr>
          <w:p>
            <w:pPr>
              <w:jc w:val="right"/>
              <w:ind w:right="33"/>
              <w:spacing w:after="0"/>
              <w:rPr>
                <w:sz w:val="20"/>
                <w:szCs w:val="20"/>
                <w:color w:val="auto"/>
              </w:rPr>
            </w:pPr>
            <w:r>
              <w:rPr>
                <w:rFonts w:ascii="Arial" w:cs="Arial" w:eastAsia="Arial" w:hAnsi="Arial"/>
                <w:sz w:val="13"/>
                <w:szCs w:val="13"/>
                <w:b w:val="1"/>
                <w:bCs w:val="1"/>
                <w:color w:val="auto"/>
              </w:rPr>
              <w:t>Year</w:t>
            </w:r>
          </w:p>
        </w:tc>
        <w:tc>
          <w:tcPr>
            <w:tcW w:w="1540" w:type="dxa"/>
            <w:vAlign w:val="bottom"/>
            <w:tcBorders>
              <w:bottom w:val="single" w:sz="8" w:color="A26F2A"/>
            </w:tcBorders>
            <w:gridSpan w:val="2"/>
          </w:tcPr>
          <w:p>
            <w:pPr>
              <w:jc w:val="right"/>
              <w:ind w:right="93"/>
              <w:spacing w:after="0"/>
              <w:rPr>
                <w:sz w:val="20"/>
                <w:szCs w:val="20"/>
                <w:color w:val="auto"/>
              </w:rPr>
            </w:pPr>
            <w:r>
              <w:rPr>
                <w:rFonts w:ascii="Arial" w:cs="Arial" w:eastAsia="Arial" w:hAnsi="Arial"/>
                <w:sz w:val="13"/>
                <w:szCs w:val="13"/>
                <w:b w:val="1"/>
                <w:bCs w:val="1"/>
                <w:color w:val="auto"/>
              </w:rPr>
              <w:t>in Fair Value</w:t>
            </w:r>
          </w:p>
        </w:tc>
        <w:tc>
          <w:tcPr>
            <w:tcW w:w="1060" w:type="dxa"/>
            <w:vAlign w:val="bottom"/>
            <w:tcBorders>
              <w:bottom w:val="single" w:sz="8" w:color="A26F2A"/>
            </w:tcBorders>
          </w:tcPr>
          <w:p>
            <w:pPr>
              <w:jc w:val="right"/>
              <w:spacing w:after="0"/>
              <w:rPr>
                <w:sz w:val="20"/>
                <w:szCs w:val="20"/>
                <w:color w:val="auto"/>
              </w:rPr>
            </w:pPr>
            <w:r>
              <w:rPr>
                <w:rFonts w:ascii="Arial" w:cs="Arial" w:eastAsia="Arial" w:hAnsi="Arial"/>
                <w:sz w:val="13"/>
                <w:szCs w:val="13"/>
                <w:b w:val="1"/>
                <w:bCs w:val="1"/>
                <w:color w:val="auto"/>
              </w:rPr>
              <w:t>Adjustments</w:t>
            </w:r>
          </w:p>
        </w:tc>
      </w:tr>
      <w:tr>
        <w:trPr>
          <w:trHeight w:val="164"/>
        </w:trPr>
        <w:tc>
          <w:tcPr>
            <w:tcW w:w="960" w:type="dxa"/>
            <w:vAlign w:val="bottom"/>
            <w:tcBorders>
              <w:bottom w:val="single" w:sz="8" w:color="A26F2A"/>
            </w:tcBorders>
          </w:tcPr>
          <w:p>
            <w:pPr>
              <w:ind w:left="60"/>
              <w:spacing w:after="0"/>
              <w:rPr>
                <w:sz w:val="20"/>
                <w:szCs w:val="20"/>
                <w:color w:val="auto"/>
              </w:rPr>
            </w:pPr>
            <w:r>
              <w:rPr>
                <w:rFonts w:ascii="Arial" w:cs="Arial" w:eastAsia="Arial" w:hAnsi="Arial"/>
                <w:sz w:val="13"/>
                <w:szCs w:val="13"/>
                <w:color w:val="auto"/>
              </w:rPr>
              <w:t>2025</w:t>
            </w:r>
          </w:p>
        </w:tc>
        <w:tc>
          <w:tcPr>
            <w:tcW w:w="1640" w:type="dxa"/>
            <w:vAlign w:val="bottom"/>
            <w:tcBorders>
              <w:bottom w:val="single" w:sz="8" w:color="A26F2A"/>
            </w:tcBorders>
          </w:tcPr>
          <w:p>
            <w:pPr>
              <w:jc w:val="right"/>
              <w:ind w:right="33"/>
              <w:spacing w:after="0"/>
              <w:rPr>
                <w:sz w:val="20"/>
                <w:szCs w:val="20"/>
                <w:color w:val="auto"/>
              </w:rPr>
            </w:pPr>
            <w:r>
              <w:rPr>
                <w:rFonts w:ascii="Arial" w:cs="Arial" w:eastAsia="Arial" w:hAnsi="Arial"/>
                <w:sz w:val="13"/>
                <w:szCs w:val="13"/>
                <w:color w:val="auto"/>
              </w:rPr>
              <w:t>$2,633,447</w:t>
            </w:r>
          </w:p>
        </w:tc>
        <w:tc>
          <w:tcPr>
            <w:tcW w:w="1260" w:type="dxa"/>
            <w:vAlign w:val="bottom"/>
            <w:tcBorders>
              <w:bottom w:val="single" w:sz="8" w:color="A26F2A"/>
            </w:tcBorders>
          </w:tcPr>
          <w:p>
            <w:pPr>
              <w:jc w:val="right"/>
              <w:ind w:right="13"/>
              <w:spacing w:after="0"/>
              <w:rPr>
                <w:sz w:val="20"/>
                <w:szCs w:val="20"/>
                <w:color w:val="auto"/>
              </w:rPr>
            </w:pPr>
            <w:r>
              <w:rPr>
                <w:rFonts w:ascii="Arial" w:cs="Arial" w:eastAsia="Arial" w:hAnsi="Arial"/>
                <w:sz w:val="13"/>
                <w:szCs w:val="13"/>
                <w:color w:val="auto"/>
              </w:rPr>
              <w:t>$ (572,947)</w:t>
            </w:r>
          </w:p>
        </w:tc>
        <w:tc>
          <w:tcPr>
            <w:tcW w:w="1160" w:type="dxa"/>
            <w:vAlign w:val="bottom"/>
            <w:tcBorders>
              <w:bottom w:val="single" w:sz="8" w:color="A26F2A"/>
            </w:tcBorders>
          </w:tcPr>
          <w:p>
            <w:pPr>
              <w:jc w:val="right"/>
              <w:ind w:right="33"/>
              <w:spacing w:after="0"/>
              <w:rPr>
                <w:sz w:val="20"/>
                <w:szCs w:val="20"/>
                <w:color w:val="auto"/>
              </w:rPr>
            </w:pPr>
            <w:r>
              <w:rPr>
                <w:rFonts w:ascii="Arial" w:cs="Arial" w:eastAsia="Arial" w:hAnsi="Arial"/>
                <w:sz w:val="13"/>
                <w:szCs w:val="13"/>
                <w:color w:val="auto"/>
              </w:rPr>
              <w:t>$  384,763</w:t>
            </w:r>
          </w:p>
        </w:tc>
        <w:tc>
          <w:tcPr>
            <w:tcW w:w="740" w:type="dxa"/>
            <w:vAlign w:val="bottom"/>
            <w:tcBorders>
              <w:bottom w:val="single" w:sz="8" w:color="A26F2A"/>
            </w:tcBorders>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26F2A"/>
            </w:tcBorders>
          </w:tcPr>
          <w:p>
            <w:pPr>
              <w:jc w:val="right"/>
              <w:ind w:right="33"/>
              <w:spacing w:after="0"/>
              <w:rPr>
                <w:sz w:val="20"/>
                <w:szCs w:val="20"/>
                <w:color w:val="auto"/>
              </w:rPr>
            </w:pPr>
            <w:r>
              <w:rPr>
                <w:rFonts w:ascii="Arial" w:cs="Arial" w:eastAsia="Arial" w:hAnsi="Arial"/>
                <w:sz w:val="13"/>
                <w:szCs w:val="13"/>
                <w:color w:val="auto"/>
              </w:rPr>
              <w:t>343,431</w:t>
            </w:r>
          </w:p>
        </w:tc>
        <w:tc>
          <w:tcPr>
            <w:tcW w:w="800" w:type="dxa"/>
            <w:vAlign w:val="bottom"/>
            <w:tcBorders>
              <w:bottom w:val="single" w:sz="8" w:color="A26F2A"/>
            </w:tcBorders>
          </w:tcPr>
          <w:p>
            <w:pPr>
              <w:jc w:val="right"/>
              <w:ind w:right="153"/>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26F2A"/>
            </w:tcBorders>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26F2A"/>
            </w:tcBorders>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26F2A"/>
            </w:tcBorders>
          </w:tcPr>
          <w:p>
            <w:pPr>
              <w:jc w:val="right"/>
              <w:ind w:right="93"/>
              <w:spacing w:after="0"/>
              <w:rPr>
                <w:sz w:val="20"/>
                <w:szCs w:val="20"/>
                <w:color w:val="auto"/>
              </w:rPr>
            </w:pPr>
            <w:r>
              <w:rPr>
                <w:rFonts w:ascii="Arial" w:cs="Arial" w:eastAsia="Arial" w:hAnsi="Arial"/>
                <w:sz w:val="13"/>
                <w:szCs w:val="13"/>
                <w:color w:val="auto"/>
              </w:rPr>
              <w:t>194,495</w:t>
            </w:r>
          </w:p>
        </w:tc>
        <w:tc>
          <w:tcPr>
            <w:tcW w:w="1060" w:type="dxa"/>
            <w:vAlign w:val="bottom"/>
            <w:tcBorders>
              <w:bottom w:val="single" w:sz="8" w:color="A26F2A"/>
            </w:tcBorders>
          </w:tcPr>
          <w:p>
            <w:pPr>
              <w:jc w:val="right"/>
              <w:spacing w:after="0"/>
              <w:rPr>
                <w:sz w:val="20"/>
                <w:szCs w:val="20"/>
                <w:color w:val="auto"/>
              </w:rPr>
            </w:pPr>
            <w:r>
              <w:rPr>
                <w:rFonts w:ascii="Arial" w:cs="Arial" w:eastAsia="Arial" w:hAnsi="Arial"/>
                <w:sz w:val="13"/>
                <w:szCs w:val="13"/>
                <w:color w:val="auto"/>
              </w:rPr>
              <w:t>$2,983,189</w:t>
            </w:r>
          </w:p>
        </w:tc>
      </w:tr>
    </w:tbl>
    <w:p>
      <w:pPr>
        <w:spacing w:after="0" w:line="56" w:lineRule="exact"/>
        <w:rPr>
          <w:sz w:val="20"/>
          <w:szCs w:val="20"/>
          <w:color w:val="auto"/>
        </w:rPr>
      </w:pPr>
    </w:p>
    <w:p>
      <w:pPr>
        <w:ind w:left="300" w:hanging="299"/>
        <w:spacing w:after="0" w:line="285" w:lineRule="auto"/>
        <w:tabs>
          <w:tab w:leader="none" w:pos="300" w:val="left"/>
        </w:tabs>
        <w:numPr>
          <w:ilvl w:val="0"/>
          <w:numId w:val="120"/>
        </w:numPr>
        <w:rPr>
          <w:rFonts w:ascii="Arial" w:cs="Arial" w:eastAsia="Arial" w:hAnsi="Arial"/>
          <w:sz w:val="13"/>
          <w:szCs w:val="13"/>
          <w:i w:val="1"/>
          <w:iCs w:val="1"/>
          <w:color w:val="auto"/>
        </w:rPr>
      </w:pPr>
      <w:r>
        <w:rPr>
          <w:rFonts w:ascii="Arial" w:cs="Arial" w:eastAsia="Arial" w:hAnsi="Arial"/>
          <w:sz w:val="13"/>
          <w:szCs w:val="13"/>
          <w:i w:val="1"/>
          <w:iCs w:val="1"/>
          <w:color w:val="auto"/>
        </w:rPr>
        <w:t>Cumulative TSR is calculated by dividing the sum of the cumulative amount of dividends for the four-year period included in this table, assuming dividend reinvestment, and the difference between the Company’s share price at the end and the beginning of the measurement period by the Company’s share price at the beginning of the measurement period.</w:t>
      </w:r>
    </w:p>
    <w:p>
      <w:pPr>
        <w:spacing w:after="0" w:line="10" w:lineRule="exact"/>
        <w:rPr>
          <w:rFonts w:ascii="Arial" w:cs="Arial" w:eastAsia="Arial" w:hAnsi="Arial"/>
          <w:sz w:val="13"/>
          <w:szCs w:val="13"/>
          <w:i w:val="1"/>
          <w:iCs w:val="1"/>
          <w:color w:val="auto"/>
        </w:rPr>
      </w:pPr>
    </w:p>
    <w:p>
      <w:pPr>
        <w:jc w:val="both"/>
        <w:ind w:left="300" w:hanging="299"/>
        <w:spacing w:after="0" w:line="248" w:lineRule="auto"/>
        <w:tabs>
          <w:tab w:leader="none" w:pos="300" w:val="left"/>
        </w:tabs>
        <w:numPr>
          <w:ilvl w:val="0"/>
          <w:numId w:val="120"/>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weighted peer group TSR, weighted according to the respective companies’ stock market capitalization at December 31, 2020. The peer group used for this purpose in 2024 consisted of the following companies: APA Corporation, Coterra Energy, Inc., Devon Energy Corporation, EOG Resources, Inc., Marathon Oil Corporation, Ovintiv Inc. and Permian Resources Corporation. The peer group used for this purpose in 2023 consists of the following companies: APA Corporation, Coterra Energy, Inc., Devon Energy Corporation, EOG Resources, Inc., Hess Corporation, Marathon Oil Corporation, Ovintiv Inc. and Pioneer Natural Resources Company. The peer group used for this purpose in 2022 consisted of the following companies: APA Corporation, Continental Resources, Inc., Coterra Energy, Inc., Devon Energy Corporation, EOG Resources, Inc., Hess Corporation, Marathon Oil Corporation, Ovintiv Inc. and Pioneer Natural Resources Company. In 2025, Marathon Oil Corporation was removed from the 2025 peer group due to its acquisition by ConocoPhillips in November 2024. ConocoPhillips and Occidental Petroleum Corp were added to the 2025 peer group. After the removal of Marathon Oil Corporation, Continental Resources, Inc., Hess Corporation and Pioneer Natural Resources Company, and the addition of ConocoPhillips, Occidental Petroleum Corp and Permian Resources Corporation, the 2022 peer group, 2023 peer group, 2024 peer group and 2025 peer group are made up of the same companies.</w:t>
      </w:r>
    </w:p>
    <w:p>
      <w:pPr>
        <w:spacing w:after="0" w:line="35" w:lineRule="exact"/>
        <w:rPr>
          <w:rFonts w:ascii="Arial" w:cs="Arial" w:eastAsia="Arial" w:hAnsi="Arial"/>
          <w:sz w:val="13"/>
          <w:szCs w:val="13"/>
          <w:i w:val="1"/>
          <w:iCs w:val="1"/>
          <w:color w:val="auto"/>
        </w:rPr>
      </w:pPr>
    </w:p>
    <w:p>
      <w:pPr>
        <w:ind w:left="300" w:hanging="299"/>
        <w:spacing w:after="0"/>
        <w:tabs>
          <w:tab w:leader="none" w:pos="300" w:val="left"/>
        </w:tabs>
        <w:numPr>
          <w:ilvl w:val="0"/>
          <w:numId w:val="120"/>
        </w:numPr>
        <w:rPr>
          <w:rFonts w:ascii="Arial" w:cs="Arial" w:eastAsia="Arial" w:hAnsi="Arial"/>
          <w:sz w:val="13"/>
          <w:szCs w:val="13"/>
          <w:i w:val="1"/>
          <w:iCs w:val="1"/>
          <w:color w:val="auto"/>
        </w:rPr>
      </w:pPr>
      <w:r>
        <w:rPr>
          <w:rFonts w:ascii="Arial" w:cs="Arial" w:eastAsia="Arial" w:hAnsi="Arial"/>
          <w:sz w:val="13"/>
          <w:szCs w:val="13"/>
          <w:i w:val="1"/>
          <w:iCs w:val="1"/>
          <w:color w:val="auto"/>
        </w:rPr>
        <w:t>The dollar amounts reported represent the amount of net income reflected in the Company’s audited financial statements for the applicable year.</w:t>
      </w:r>
    </w:p>
    <w:p>
      <w:pPr>
        <w:spacing w:after="0" w:line="65" w:lineRule="exact"/>
        <w:rPr>
          <w:rFonts w:ascii="Arial" w:cs="Arial" w:eastAsia="Arial" w:hAnsi="Arial"/>
          <w:sz w:val="13"/>
          <w:szCs w:val="13"/>
          <w:i w:val="1"/>
          <w:iCs w:val="1"/>
          <w:color w:val="auto"/>
        </w:rPr>
      </w:pPr>
    </w:p>
    <w:p>
      <w:pPr>
        <w:jc w:val="both"/>
        <w:ind w:left="300" w:hanging="299"/>
        <w:spacing w:after="0" w:line="272" w:lineRule="auto"/>
        <w:tabs>
          <w:tab w:leader="none" w:pos="300" w:val="left"/>
        </w:tabs>
        <w:numPr>
          <w:ilvl w:val="0"/>
          <w:numId w:val="120"/>
        </w:numPr>
        <w:rPr>
          <w:rFonts w:ascii="Arial" w:cs="Arial" w:eastAsia="Arial" w:hAnsi="Arial"/>
          <w:sz w:val="13"/>
          <w:szCs w:val="13"/>
          <w:i w:val="1"/>
          <w:iCs w:val="1"/>
          <w:color w:val="auto"/>
        </w:rPr>
      </w:pPr>
      <w:r>
        <w:rPr>
          <w:rFonts w:ascii="Arial" w:cs="Arial" w:eastAsia="Arial" w:hAnsi="Arial"/>
          <w:sz w:val="13"/>
          <w:szCs w:val="13"/>
          <w:i w:val="1"/>
          <w:iCs w:val="1"/>
          <w:color w:val="auto"/>
        </w:rPr>
        <w:t>ROACE (%) is a non-GAAP financial measure. See Schedule A for the definition of this non-GAAP financial measure and its reconciliation to the most directly comparable GAAP measure, and for other important financial information. For 2024, the calculation of ROACE has been further adjusted to exclude the effects of the Endeavor Merger as shown in Schedule A.</w:t>
      </w:r>
    </w:p>
    <w:p>
      <w:pPr>
        <w:spacing w:after="0" w:line="28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81" w:name="page82"/>
    <w:bookmarkEnd w:id="8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Financial Performance Measure</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As described in greater detail in “Compensation – Compensation Discussion and Analysis,”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stockholders. The most important financial performance measures used by the Company to link executive compensation actually paid to the Company’s NEOs, for the most recently completed fiscal year, to the Company’s performance are as follows:</w:t>
      </w:r>
    </w:p>
    <w:p>
      <w:pPr>
        <w:spacing w:after="0" w:line="142" w:lineRule="exact"/>
        <w:rPr>
          <w:sz w:val="20"/>
          <w:szCs w:val="20"/>
          <w:color w:val="auto"/>
        </w:rPr>
      </w:pPr>
    </w:p>
    <w:p>
      <w:pPr>
        <w:ind w:left="460" w:hanging="156"/>
        <w:spacing w:after="0"/>
        <w:tabs>
          <w:tab w:leader="none" w:pos="460" w:val="left"/>
        </w:tabs>
        <w:numPr>
          <w:ilvl w:val="0"/>
          <w:numId w:val="121"/>
        </w:numPr>
        <w:rPr>
          <w:rFonts w:ascii="Arial" w:cs="Arial" w:eastAsia="Arial" w:hAnsi="Arial"/>
          <w:sz w:val="15"/>
          <w:szCs w:val="15"/>
          <w:color w:val="808080"/>
        </w:rPr>
      </w:pPr>
      <w:r>
        <w:rPr>
          <w:rFonts w:ascii="Arial" w:cs="Arial" w:eastAsia="Arial" w:hAnsi="Arial"/>
          <w:sz w:val="15"/>
          <w:szCs w:val="15"/>
          <w:color w:val="auto"/>
        </w:rPr>
        <w:t>ROACE;</w:t>
      </w:r>
    </w:p>
    <w:p>
      <w:pPr>
        <w:spacing w:after="0" w:line="79" w:lineRule="exact"/>
        <w:rPr>
          <w:rFonts w:ascii="Arial" w:cs="Arial" w:eastAsia="Arial" w:hAnsi="Arial"/>
          <w:sz w:val="15"/>
          <w:szCs w:val="15"/>
          <w:color w:val="808080"/>
        </w:rPr>
      </w:pPr>
    </w:p>
    <w:p>
      <w:pPr>
        <w:ind w:left="460" w:hanging="156"/>
        <w:spacing w:after="0"/>
        <w:tabs>
          <w:tab w:leader="none" w:pos="460" w:val="left"/>
        </w:tabs>
        <w:numPr>
          <w:ilvl w:val="0"/>
          <w:numId w:val="121"/>
        </w:numPr>
        <w:rPr>
          <w:rFonts w:ascii="Arial" w:cs="Arial" w:eastAsia="Arial" w:hAnsi="Arial"/>
          <w:sz w:val="15"/>
          <w:szCs w:val="15"/>
          <w:color w:val="808080"/>
        </w:rPr>
      </w:pPr>
      <w:r>
        <w:rPr>
          <w:rFonts w:ascii="Arial" w:cs="Arial" w:eastAsia="Arial" w:hAnsi="Arial"/>
          <w:sz w:val="15"/>
          <w:szCs w:val="15"/>
          <w:color w:val="auto"/>
        </w:rPr>
        <w:t>Free Cash Flow (as defined and reconciled in Schedule A to this proxy statement);</w:t>
      </w:r>
    </w:p>
    <w:p>
      <w:pPr>
        <w:spacing w:after="0" w:line="79" w:lineRule="exact"/>
        <w:rPr>
          <w:rFonts w:ascii="Arial" w:cs="Arial" w:eastAsia="Arial" w:hAnsi="Arial"/>
          <w:sz w:val="15"/>
          <w:szCs w:val="15"/>
          <w:color w:val="808080"/>
        </w:rPr>
      </w:pPr>
    </w:p>
    <w:p>
      <w:pPr>
        <w:ind w:left="460" w:hanging="156"/>
        <w:spacing w:after="0"/>
        <w:tabs>
          <w:tab w:leader="none" w:pos="460" w:val="left"/>
        </w:tabs>
        <w:numPr>
          <w:ilvl w:val="0"/>
          <w:numId w:val="121"/>
        </w:numPr>
        <w:rPr>
          <w:rFonts w:ascii="Arial" w:cs="Arial" w:eastAsia="Arial" w:hAnsi="Arial"/>
          <w:sz w:val="15"/>
          <w:szCs w:val="15"/>
          <w:color w:val="808080"/>
        </w:rPr>
      </w:pPr>
      <w:r>
        <w:rPr>
          <w:rFonts w:ascii="Arial" w:cs="Arial" w:eastAsia="Arial" w:hAnsi="Arial"/>
          <w:sz w:val="15"/>
          <w:szCs w:val="15"/>
          <w:color w:val="auto"/>
        </w:rPr>
        <w:t>PDP F&amp;D Cost (as defined in “Compensation Discussion and Analysis – Performance-Based Annual Incentive Bonus” above); and</w:t>
      </w:r>
    </w:p>
    <w:p>
      <w:pPr>
        <w:spacing w:after="0" w:line="79" w:lineRule="exact"/>
        <w:rPr>
          <w:rFonts w:ascii="Arial" w:cs="Arial" w:eastAsia="Arial" w:hAnsi="Arial"/>
          <w:sz w:val="15"/>
          <w:szCs w:val="15"/>
          <w:color w:val="808080"/>
        </w:rPr>
      </w:pPr>
    </w:p>
    <w:p>
      <w:pPr>
        <w:ind w:left="460" w:hanging="156"/>
        <w:spacing w:after="0" w:line="282" w:lineRule="auto"/>
        <w:tabs>
          <w:tab w:leader="none" w:pos="460" w:val="left"/>
        </w:tabs>
        <w:numPr>
          <w:ilvl w:val="0"/>
          <w:numId w:val="121"/>
        </w:numPr>
        <w:rPr>
          <w:rFonts w:ascii="Arial" w:cs="Arial" w:eastAsia="Arial" w:hAnsi="Arial"/>
          <w:sz w:val="15"/>
          <w:szCs w:val="15"/>
          <w:color w:val="808080"/>
        </w:rPr>
      </w:pPr>
      <w:r>
        <w:rPr>
          <w:rFonts w:ascii="Arial" w:cs="Arial" w:eastAsia="Arial" w:hAnsi="Arial"/>
          <w:sz w:val="15"/>
          <w:szCs w:val="15"/>
          <w:color w:val="auto"/>
        </w:rPr>
        <w:t>Relative Total Stockholder Return (as modified by an absolute TSR modifier) (as discussed in “Compensation Discussion and Analysis—Long-Term Equity Incentive Compensation—2025 Performance-Based and Time-Based Awards”).</w:t>
      </w:r>
    </w:p>
    <w:p>
      <w:pPr>
        <w:spacing w:after="0" w:line="215"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Analysis of the Information Presented in the Pay Versus Performance Table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As described in more detail in the section “Compensation Discussion and Analysis,” the Company’s executive compensation program reflects a variable pay-for-performance philosophy. While the Company utilizes several performance measures to align executive compensation with Company performance, not all of those Company measures are presented in the Pay versus Performance table consistent with SEC rules. Moreover, the Company generally seeks to incentivize long-term performance, and therefore does not specifically align the Company’s performance measures with compensation that is actually paid (as computed in accordance with SEC rules) for a particular year. In accordance with SEC rules, the Company is providing the following descriptions of the relationships between information presented in the Pay versus Performance table.</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Compensation Actually Paid, Cumulative TSR and Peer Group TSR</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PAY VS. PERFORMANCE: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882015</wp:posOffset>
            </wp:positionH>
            <wp:positionV relativeFrom="paragraph">
              <wp:posOffset>127000</wp:posOffset>
            </wp:positionV>
            <wp:extent cx="5377815" cy="25406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377815" cy="2540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82" w:name="page83"/>
    <w:bookmarkEnd w:id="8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PAY VS. PERFORMANCE: COMPANY VS.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1210945</wp:posOffset>
            </wp:positionH>
            <wp:positionV relativeFrom="paragraph">
              <wp:posOffset>127000</wp:posOffset>
            </wp:positionV>
            <wp:extent cx="4720590" cy="2324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20590"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Compensation Actually Paid and Net Income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PAY VS. PERFORMANCE: NET INCOME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127000</wp:posOffset>
            </wp:positionV>
            <wp:extent cx="5521960" cy="24364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21960" cy="243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83" w:name="page84"/>
    <w:bookmarkEnd w:id="8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Compensation Actually Paid and ROACE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PAY VS. PERFORMANCE: ROACE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127000</wp:posOffset>
            </wp:positionV>
            <wp:extent cx="5337810" cy="24364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337810" cy="243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82" w:lineRule="auto"/>
        <w:rPr>
          <w:sz w:val="20"/>
          <w:szCs w:val="20"/>
          <w:color w:val="auto"/>
        </w:rPr>
      </w:pPr>
      <w:r>
        <w:rPr>
          <w:rFonts w:ascii="Arial" w:cs="Arial" w:eastAsia="Arial" w:hAnsi="Arial"/>
          <w:sz w:val="15"/>
          <w:szCs w:val="15"/>
          <w:i w:val="1"/>
          <w:iCs w:val="1"/>
          <w:color w:val="auto"/>
        </w:rPr>
        <w:t>All information provided above under the “Pay Versus Performance” heading will not be deemed to be incorporated by reference in any filing of our Company under the Securities Act of 1933, as amended, whether made before or after the date hereof and irrespective of any general incorporation language in any such filing.</w:t>
      </w:r>
    </w:p>
    <w:p>
      <w:pPr>
        <w:spacing w:after="0" w:line="320"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2025 EQUITY COMPENSATION PLAN INFORMATION</w:t>
      </w:r>
    </w:p>
    <w:p>
      <w:pPr>
        <w:spacing w:after="0" w:line="201"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following table sets forth, as of December 31, 2025, certain information with respect to all compensation plans under which equity securities are authorized for issuance.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5"/>
                <w:szCs w:val="15"/>
                <w:b w:val="1"/>
                <w:bCs w:val="1"/>
                <w:color w:val="auto"/>
              </w:rPr>
              <w:t>Number of securities</w:t>
            </w:r>
          </w:p>
        </w:tc>
        <w:tc>
          <w:tcPr>
            <w:tcW w:w="0" w:type="dxa"/>
            <w:vAlign w:val="bottom"/>
          </w:tcPr>
          <w:p>
            <w:pPr>
              <w:spacing w:after="0"/>
              <w:rPr>
                <w:sz w:val="1"/>
                <w:szCs w:val="1"/>
                <w:color w:val="auto"/>
              </w:rPr>
            </w:pPr>
          </w:p>
        </w:tc>
      </w:tr>
      <w:tr>
        <w:trPr>
          <w:trHeight w:val="177"/>
        </w:trPr>
        <w:tc>
          <w:tcPr>
            <w:tcW w:w="5300" w:type="dxa"/>
            <w:vAlign w:val="bottom"/>
          </w:tcPr>
          <w:p>
            <w:pPr>
              <w:spacing w:after="0"/>
              <w:rPr>
                <w:sz w:val="15"/>
                <w:szCs w:val="15"/>
                <w:color w:val="auto"/>
              </w:rPr>
            </w:pPr>
          </w:p>
        </w:tc>
        <w:tc>
          <w:tcPr>
            <w:tcW w:w="2640" w:type="dxa"/>
            <w:vAlign w:val="bottom"/>
          </w:tcPr>
          <w:p>
            <w:pPr>
              <w:jc w:val="right"/>
              <w:ind w:right="4"/>
              <w:spacing w:after="0"/>
              <w:rPr>
                <w:sz w:val="20"/>
                <w:szCs w:val="20"/>
                <w:color w:val="auto"/>
              </w:rPr>
            </w:pPr>
            <w:r>
              <w:rPr>
                <w:rFonts w:ascii="Arial" w:cs="Arial" w:eastAsia="Arial" w:hAnsi="Arial"/>
                <w:sz w:val="15"/>
                <w:szCs w:val="15"/>
                <w:b w:val="1"/>
                <w:bCs w:val="1"/>
                <w:color w:val="auto"/>
              </w:rPr>
              <w:t>Number of</w:t>
            </w:r>
          </w:p>
        </w:tc>
        <w:tc>
          <w:tcPr>
            <w:tcW w:w="1500" w:type="dxa"/>
            <w:vAlign w:val="bottom"/>
            <w:gridSpan w:val="2"/>
            <w:vMerge w:val="restart"/>
          </w:tcPr>
          <w:p>
            <w:pPr>
              <w:jc w:val="right"/>
              <w:ind w:right="29"/>
              <w:spacing w:after="0"/>
              <w:rPr>
                <w:sz w:val="20"/>
                <w:szCs w:val="20"/>
                <w:color w:val="auto"/>
              </w:rPr>
            </w:pPr>
            <w:r>
              <w:rPr>
                <w:rFonts w:ascii="Arial" w:cs="Arial" w:eastAsia="Arial" w:hAnsi="Arial"/>
                <w:sz w:val="15"/>
                <w:szCs w:val="15"/>
                <w:b w:val="1"/>
                <w:bCs w:val="1"/>
                <w:color w:val="auto"/>
              </w:rPr>
              <w:t>Weighted average</w:t>
            </w:r>
          </w:p>
        </w:tc>
        <w:tc>
          <w:tcPr>
            <w:tcW w:w="1800" w:type="dxa"/>
            <w:vAlign w:val="bottom"/>
          </w:tcPr>
          <w:p>
            <w:pPr>
              <w:jc w:val="right"/>
              <w:spacing w:after="0"/>
              <w:rPr>
                <w:sz w:val="20"/>
                <w:szCs w:val="20"/>
                <w:color w:val="auto"/>
              </w:rPr>
            </w:pPr>
            <w:r>
              <w:rPr>
                <w:rFonts w:ascii="Arial" w:cs="Arial" w:eastAsia="Arial" w:hAnsi="Arial"/>
                <w:sz w:val="15"/>
                <w:szCs w:val="15"/>
                <w:b w:val="1"/>
                <w:bCs w:val="1"/>
                <w:color w:val="auto"/>
              </w:rPr>
              <w:t>remaining available for</w:t>
            </w:r>
          </w:p>
        </w:tc>
        <w:tc>
          <w:tcPr>
            <w:tcW w:w="0" w:type="dxa"/>
            <w:vAlign w:val="bottom"/>
          </w:tcPr>
          <w:p>
            <w:pPr>
              <w:spacing w:after="0"/>
              <w:rPr>
                <w:sz w:val="1"/>
                <w:szCs w:val="1"/>
                <w:color w:val="auto"/>
              </w:rPr>
            </w:pPr>
          </w:p>
        </w:tc>
      </w:tr>
      <w:tr>
        <w:trPr>
          <w:trHeight w:val="151"/>
        </w:trPr>
        <w:tc>
          <w:tcPr>
            <w:tcW w:w="5300" w:type="dxa"/>
            <w:vAlign w:val="bottom"/>
          </w:tcPr>
          <w:p>
            <w:pPr>
              <w:spacing w:after="0"/>
              <w:rPr>
                <w:sz w:val="13"/>
                <w:szCs w:val="13"/>
                <w:color w:val="auto"/>
              </w:rPr>
            </w:pPr>
          </w:p>
        </w:tc>
        <w:tc>
          <w:tcPr>
            <w:tcW w:w="2640" w:type="dxa"/>
            <w:vAlign w:val="bottom"/>
          </w:tcPr>
          <w:p>
            <w:pPr>
              <w:jc w:val="right"/>
              <w:ind w:right="4"/>
              <w:spacing w:after="0" w:line="151" w:lineRule="exact"/>
              <w:rPr>
                <w:sz w:val="20"/>
                <w:szCs w:val="20"/>
                <w:color w:val="auto"/>
              </w:rPr>
            </w:pPr>
            <w:r>
              <w:rPr>
                <w:rFonts w:ascii="Arial" w:cs="Arial" w:eastAsia="Arial" w:hAnsi="Arial"/>
                <w:sz w:val="15"/>
                <w:szCs w:val="15"/>
                <w:b w:val="1"/>
                <w:bCs w:val="1"/>
                <w:color w:val="auto"/>
              </w:rPr>
              <w:t>securities to be</w:t>
            </w:r>
          </w:p>
        </w:tc>
        <w:tc>
          <w:tcPr>
            <w:tcW w:w="1500" w:type="dxa"/>
            <w:vAlign w:val="bottom"/>
            <w:gridSpan w:val="2"/>
            <w:vMerge w:val="continue"/>
          </w:tcPr>
          <w:p>
            <w:pPr>
              <w:spacing w:after="0"/>
              <w:rPr>
                <w:sz w:val="13"/>
                <w:szCs w:val="13"/>
                <w:color w:val="auto"/>
              </w:rPr>
            </w:pPr>
          </w:p>
        </w:tc>
        <w:tc>
          <w:tcPr>
            <w:tcW w:w="180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future issuance under</w:t>
            </w:r>
          </w:p>
        </w:tc>
        <w:tc>
          <w:tcPr>
            <w:tcW w:w="0" w:type="dxa"/>
            <w:vAlign w:val="bottom"/>
          </w:tcPr>
          <w:p>
            <w:pPr>
              <w:spacing w:after="0"/>
              <w:rPr>
                <w:sz w:val="1"/>
                <w:szCs w:val="1"/>
                <w:color w:val="auto"/>
              </w:rPr>
            </w:pPr>
          </w:p>
        </w:tc>
      </w:tr>
      <w:tr>
        <w:trPr>
          <w:trHeight w:val="177"/>
        </w:trPr>
        <w:tc>
          <w:tcPr>
            <w:tcW w:w="5300" w:type="dxa"/>
            <w:vAlign w:val="bottom"/>
          </w:tcPr>
          <w:p>
            <w:pPr>
              <w:spacing w:after="0"/>
              <w:rPr>
                <w:sz w:val="15"/>
                <w:szCs w:val="15"/>
                <w:color w:val="auto"/>
              </w:rPr>
            </w:pPr>
          </w:p>
        </w:tc>
        <w:tc>
          <w:tcPr>
            <w:tcW w:w="2640" w:type="dxa"/>
            <w:vAlign w:val="bottom"/>
          </w:tcPr>
          <w:p>
            <w:pPr>
              <w:jc w:val="right"/>
              <w:ind w:right="4"/>
              <w:spacing w:after="0"/>
              <w:rPr>
                <w:sz w:val="20"/>
                <w:szCs w:val="20"/>
                <w:color w:val="auto"/>
              </w:rPr>
            </w:pPr>
            <w:r>
              <w:rPr>
                <w:rFonts w:ascii="Arial" w:cs="Arial" w:eastAsia="Arial" w:hAnsi="Arial"/>
                <w:sz w:val="15"/>
                <w:szCs w:val="15"/>
                <w:b w:val="1"/>
                <w:bCs w:val="1"/>
                <w:color w:val="auto"/>
              </w:rPr>
              <w:t>issued</w:t>
            </w:r>
          </w:p>
        </w:tc>
        <w:tc>
          <w:tcPr>
            <w:tcW w:w="1500" w:type="dxa"/>
            <w:vAlign w:val="bottom"/>
            <w:gridSpan w:val="2"/>
          </w:tcPr>
          <w:p>
            <w:pPr>
              <w:jc w:val="right"/>
              <w:ind w:right="49"/>
              <w:spacing w:after="0"/>
              <w:rPr>
                <w:sz w:val="20"/>
                <w:szCs w:val="20"/>
                <w:color w:val="auto"/>
              </w:rPr>
            </w:pPr>
            <w:r>
              <w:rPr>
                <w:rFonts w:ascii="Arial" w:cs="Arial" w:eastAsia="Arial" w:hAnsi="Arial"/>
                <w:sz w:val="15"/>
                <w:szCs w:val="15"/>
                <w:b w:val="1"/>
                <w:bCs w:val="1"/>
                <w:color w:val="auto"/>
              </w:rPr>
              <w:t>exercise price</w:t>
            </w:r>
          </w:p>
        </w:tc>
        <w:tc>
          <w:tcPr>
            <w:tcW w:w="1800" w:type="dxa"/>
            <w:vAlign w:val="bottom"/>
          </w:tcPr>
          <w:p>
            <w:pPr>
              <w:jc w:val="right"/>
              <w:spacing w:after="0"/>
              <w:rPr>
                <w:sz w:val="20"/>
                <w:szCs w:val="20"/>
                <w:color w:val="auto"/>
              </w:rPr>
            </w:pPr>
            <w:r>
              <w:rPr>
                <w:rFonts w:ascii="Arial" w:cs="Arial" w:eastAsia="Arial" w:hAnsi="Arial"/>
                <w:sz w:val="15"/>
                <w:szCs w:val="15"/>
                <w:b w:val="1"/>
                <w:bCs w:val="1"/>
                <w:color w:val="auto"/>
              </w:rPr>
              <w:t>equity compensation</w:t>
            </w:r>
          </w:p>
        </w:tc>
        <w:tc>
          <w:tcPr>
            <w:tcW w:w="0" w:type="dxa"/>
            <w:vAlign w:val="bottom"/>
          </w:tcPr>
          <w:p>
            <w:pPr>
              <w:spacing w:after="0"/>
              <w:rPr>
                <w:sz w:val="1"/>
                <w:szCs w:val="1"/>
                <w:color w:val="auto"/>
              </w:rPr>
            </w:pPr>
          </w:p>
        </w:tc>
      </w:tr>
      <w:tr>
        <w:trPr>
          <w:trHeight w:val="177"/>
        </w:trPr>
        <w:tc>
          <w:tcPr>
            <w:tcW w:w="5300" w:type="dxa"/>
            <w:vAlign w:val="bottom"/>
          </w:tcPr>
          <w:p>
            <w:pPr>
              <w:spacing w:after="0"/>
              <w:rPr>
                <w:sz w:val="15"/>
                <w:szCs w:val="15"/>
                <w:color w:val="auto"/>
              </w:rPr>
            </w:pPr>
          </w:p>
        </w:tc>
        <w:tc>
          <w:tcPr>
            <w:tcW w:w="2640" w:type="dxa"/>
            <w:vAlign w:val="bottom"/>
          </w:tcPr>
          <w:p>
            <w:pPr>
              <w:jc w:val="right"/>
              <w:ind w:right="4"/>
              <w:spacing w:after="0"/>
              <w:rPr>
                <w:sz w:val="20"/>
                <w:szCs w:val="20"/>
                <w:color w:val="auto"/>
              </w:rPr>
            </w:pPr>
            <w:r>
              <w:rPr>
                <w:rFonts w:ascii="Arial" w:cs="Arial" w:eastAsia="Arial" w:hAnsi="Arial"/>
                <w:sz w:val="15"/>
                <w:szCs w:val="15"/>
                <w:b w:val="1"/>
                <w:bCs w:val="1"/>
                <w:color w:val="auto"/>
              </w:rPr>
              <w:t>upon exercise of</w:t>
            </w:r>
          </w:p>
        </w:tc>
        <w:tc>
          <w:tcPr>
            <w:tcW w:w="1500" w:type="dxa"/>
            <w:vAlign w:val="bottom"/>
            <w:gridSpan w:val="2"/>
          </w:tcPr>
          <w:p>
            <w:pPr>
              <w:jc w:val="right"/>
              <w:ind w:right="49"/>
              <w:spacing w:after="0"/>
              <w:rPr>
                <w:sz w:val="20"/>
                <w:szCs w:val="20"/>
                <w:color w:val="auto"/>
              </w:rPr>
            </w:pPr>
            <w:r>
              <w:rPr>
                <w:rFonts w:ascii="Arial" w:cs="Arial" w:eastAsia="Arial" w:hAnsi="Arial"/>
                <w:sz w:val="15"/>
                <w:szCs w:val="15"/>
                <w:b w:val="1"/>
                <w:bCs w:val="1"/>
                <w:color w:val="auto"/>
              </w:rPr>
              <w:t>of outstanding</w:t>
            </w:r>
          </w:p>
        </w:tc>
        <w:tc>
          <w:tcPr>
            <w:tcW w:w="1800" w:type="dxa"/>
            <w:vAlign w:val="bottom"/>
          </w:tcPr>
          <w:p>
            <w:pPr>
              <w:jc w:val="right"/>
              <w:spacing w:after="0"/>
              <w:rPr>
                <w:sz w:val="20"/>
                <w:szCs w:val="20"/>
                <w:color w:val="auto"/>
              </w:rPr>
            </w:pPr>
            <w:r>
              <w:rPr>
                <w:rFonts w:ascii="Arial" w:cs="Arial" w:eastAsia="Arial" w:hAnsi="Arial"/>
                <w:sz w:val="15"/>
                <w:szCs w:val="15"/>
                <w:b w:val="1"/>
                <w:bCs w:val="1"/>
                <w:color w:val="auto"/>
              </w:rPr>
              <w:t>plans (excluding</w:t>
            </w:r>
          </w:p>
        </w:tc>
        <w:tc>
          <w:tcPr>
            <w:tcW w:w="0" w:type="dxa"/>
            <w:vAlign w:val="bottom"/>
          </w:tcPr>
          <w:p>
            <w:pPr>
              <w:spacing w:after="0"/>
              <w:rPr>
                <w:sz w:val="1"/>
                <w:szCs w:val="1"/>
                <w:color w:val="auto"/>
              </w:rPr>
            </w:pPr>
          </w:p>
        </w:tc>
      </w:tr>
      <w:tr>
        <w:trPr>
          <w:trHeight w:val="177"/>
        </w:trPr>
        <w:tc>
          <w:tcPr>
            <w:tcW w:w="5300" w:type="dxa"/>
            <w:vAlign w:val="bottom"/>
          </w:tcPr>
          <w:p>
            <w:pPr>
              <w:spacing w:after="0"/>
              <w:rPr>
                <w:sz w:val="15"/>
                <w:szCs w:val="15"/>
                <w:color w:val="auto"/>
              </w:rPr>
            </w:pPr>
          </w:p>
        </w:tc>
        <w:tc>
          <w:tcPr>
            <w:tcW w:w="2640" w:type="dxa"/>
            <w:vAlign w:val="bottom"/>
          </w:tcPr>
          <w:p>
            <w:pPr>
              <w:jc w:val="right"/>
              <w:ind w:right="4"/>
              <w:spacing w:after="0"/>
              <w:rPr>
                <w:sz w:val="20"/>
                <w:szCs w:val="20"/>
                <w:color w:val="auto"/>
              </w:rPr>
            </w:pPr>
            <w:r>
              <w:rPr>
                <w:rFonts w:ascii="Arial" w:cs="Arial" w:eastAsia="Arial" w:hAnsi="Arial"/>
                <w:sz w:val="15"/>
                <w:szCs w:val="15"/>
                <w:b w:val="1"/>
                <w:bCs w:val="1"/>
                <w:color w:val="auto"/>
              </w:rPr>
              <w:t>outstanding options,</w:t>
            </w:r>
          </w:p>
        </w:tc>
        <w:tc>
          <w:tcPr>
            <w:tcW w:w="1500" w:type="dxa"/>
            <w:vAlign w:val="bottom"/>
            <w:gridSpan w:val="2"/>
          </w:tcPr>
          <w:p>
            <w:pPr>
              <w:jc w:val="right"/>
              <w:ind w:right="49"/>
              <w:spacing w:after="0"/>
              <w:rPr>
                <w:sz w:val="20"/>
                <w:szCs w:val="20"/>
                <w:color w:val="auto"/>
              </w:rPr>
            </w:pPr>
            <w:r>
              <w:rPr>
                <w:rFonts w:ascii="Arial" w:cs="Arial" w:eastAsia="Arial" w:hAnsi="Arial"/>
                <w:sz w:val="15"/>
                <w:szCs w:val="15"/>
                <w:b w:val="1"/>
                <w:bCs w:val="1"/>
                <w:color w:val="auto"/>
              </w:rPr>
              <w:t>options, warrants</w:t>
            </w:r>
          </w:p>
        </w:tc>
        <w:tc>
          <w:tcPr>
            <w:tcW w:w="1800" w:type="dxa"/>
            <w:vAlign w:val="bottom"/>
          </w:tcPr>
          <w:p>
            <w:pPr>
              <w:jc w:val="right"/>
              <w:spacing w:after="0"/>
              <w:rPr>
                <w:sz w:val="20"/>
                <w:szCs w:val="20"/>
                <w:color w:val="auto"/>
              </w:rPr>
            </w:pPr>
            <w:r>
              <w:rPr>
                <w:rFonts w:ascii="Arial" w:cs="Arial" w:eastAsia="Arial" w:hAnsi="Arial"/>
                <w:sz w:val="15"/>
                <w:szCs w:val="15"/>
                <w:b w:val="1"/>
                <w:bCs w:val="1"/>
                <w:color w:val="auto"/>
              </w:rPr>
              <w:t>securities</w:t>
            </w:r>
          </w:p>
        </w:tc>
        <w:tc>
          <w:tcPr>
            <w:tcW w:w="0" w:type="dxa"/>
            <w:vAlign w:val="bottom"/>
          </w:tcPr>
          <w:p>
            <w:pPr>
              <w:spacing w:after="0"/>
              <w:rPr>
                <w:sz w:val="1"/>
                <w:szCs w:val="1"/>
                <w:color w:val="auto"/>
              </w:rPr>
            </w:pPr>
          </w:p>
        </w:tc>
      </w:tr>
      <w:tr>
        <w:trPr>
          <w:trHeight w:val="177"/>
        </w:trPr>
        <w:tc>
          <w:tcPr>
            <w:tcW w:w="5300" w:type="dxa"/>
            <w:vAlign w:val="bottom"/>
          </w:tcPr>
          <w:p>
            <w:pPr>
              <w:spacing w:after="0"/>
              <w:rPr>
                <w:sz w:val="15"/>
                <w:szCs w:val="15"/>
                <w:color w:val="auto"/>
              </w:rPr>
            </w:pPr>
          </w:p>
        </w:tc>
        <w:tc>
          <w:tcPr>
            <w:tcW w:w="2640" w:type="dxa"/>
            <w:vAlign w:val="bottom"/>
          </w:tcPr>
          <w:p>
            <w:pPr>
              <w:jc w:val="right"/>
              <w:ind w:right="4"/>
              <w:spacing w:after="0"/>
              <w:rPr>
                <w:sz w:val="20"/>
                <w:szCs w:val="20"/>
                <w:color w:val="auto"/>
              </w:rPr>
            </w:pPr>
            <w:r>
              <w:rPr>
                <w:rFonts w:ascii="Arial" w:cs="Arial" w:eastAsia="Arial" w:hAnsi="Arial"/>
                <w:sz w:val="15"/>
                <w:szCs w:val="15"/>
                <w:b w:val="1"/>
                <w:bCs w:val="1"/>
                <w:color w:val="auto"/>
              </w:rPr>
              <w:t>warrants and rights</w:t>
            </w:r>
          </w:p>
        </w:tc>
        <w:tc>
          <w:tcPr>
            <w:tcW w:w="64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5"/>
                <w:szCs w:val="15"/>
                <w:b w:val="1"/>
                <w:bCs w:val="1"/>
                <w:color w:val="auto"/>
                <w:w w:val="99"/>
              </w:rPr>
              <w:t>and rights</w:t>
            </w:r>
          </w:p>
        </w:tc>
        <w:tc>
          <w:tcPr>
            <w:tcW w:w="1800" w:type="dxa"/>
            <w:vAlign w:val="bottom"/>
          </w:tcPr>
          <w:p>
            <w:pPr>
              <w:jc w:val="right"/>
              <w:spacing w:after="0"/>
              <w:rPr>
                <w:sz w:val="20"/>
                <w:szCs w:val="20"/>
                <w:color w:val="auto"/>
              </w:rPr>
            </w:pPr>
            <w:r>
              <w:rPr>
                <w:rFonts w:ascii="Arial" w:cs="Arial" w:eastAsia="Arial" w:hAnsi="Arial"/>
                <w:sz w:val="15"/>
                <w:szCs w:val="15"/>
                <w:b w:val="1"/>
                <w:bCs w:val="1"/>
                <w:color w:val="auto"/>
              </w:rPr>
              <w:t>reflected in column (a))</w:t>
            </w:r>
          </w:p>
        </w:tc>
        <w:tc>
          <w:tcPr>
            <w:tcW w:w="0" w:type="dxa"/>
            <w:vAlign w:val="bottom"/>
          </w:tcPr>
          <w:p>
            <w:pPr>
              <w:spacing w:after="0"/>
              <w:rPr>
                <w:sz w:val="1"/>
                <w:szCs w:val="1"/>
                <w:color w:val="auto"/>
              </w:rPr>
            </w:pPr>
          </w:p>
        </w:tc>
      </w:tr>
      <w:tr>
        <w:trPr>
          <w:trHeight w:val="220"/>
        </w:trPr>
        <w:tc>
          <w:tcPr>
            <w:tcW w:w="530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Plan Category</w:t>
            </w:r>
          </w:p>
        </w:tc>
        <w:tc>
          <w:tcPr>
            <w:tcW w:w="2640" w:type="dxa"/>
            <w:vAlign w:val="bottom"/>
            <w:tcBorders>
              <w:bottom w:val="single" w:sz="8" w:color="A26F2A"/>
            </w:tcBorders>
          </w:tcPr>
          <w:p>
            <w:pPr>
              <w:jc w:val="right"/>
              <w:ind w:right="4"/>
              <w:spacing w:after="0"/>
              <w:rPr>
                <w:sz w:val="20"/>
                <w:szCs w:val="20"/>
                <w:color w:val="auto"/>
              </w:rPr>
            </w:pPr>
            <w:r>
              <w:rPr>
                <w:rFonts w:ascii="Arial" w:cs="Arial" w:eastAsia="Arial" w:hAnsi="Arial"/>
                <w:sz w:val="15"/>
                <w:szCs w:val="15"/>
                <w:b w:val="1"/>
                <w:bCs w:val="1"/>
                <w:color w:val="auto"/>
              </w:rPr>
              <w:t>(a)</w:t>
            </w:r>
          </w:p>
        </w:tc>
        <w:tc>
          <w:tcPr>
            <w:tcW w:w="640" w:type="dxa"/>
            <w:vAlign w:val="bottom"/>
            <w:tcBorders>
              <w:bottom w:val="single" w:sz="8" w:color="A26F2A"/>
            </w:tcBorders>
          </w:tcPr>
          <w:p>
            <w:pPr>
              <w:spacing w:after="0"/>
              <w:rPr>
                <w:sz w:val="19"/>
                <w:szCs w:val="19"/>
                <w:color w:val="auto"/>
              </w:rPr>
            </w:pPr>
          </w:p>
        </w:tc>
        <w:tc>
          <w:tcPr>
            <w:tcW w:w="860" w:type="dxa"/>
            <w:vAlign w:val="bottom"/>
            <w:tcBorders>
              <w:bottom w:val="single" w:sz="8" w:color="A26F2A"/>
            </w:tcBorders>
          </w:tcPr>
          <w:p>
            <w:pPr>
              <w:jc w:val="right"/>
              <w:ind w:right="49"/>
              <w:spacing w:after="0" w:line="214" w:lineRule="exact"/>
              <w:rPr>
                <w:sz w:val="20"/>
                <w:szCs w:val="20"/>
                <w:color w:val="auto"/>
              </w:rPr>
            </w:pPr>
            <w:r>
              <w:rPr>
                <w:rFonts w:ascii="Arial" w:cs="Arial" w:eastAsia="Arial" w:hAnsi="Arial"/>
                <w:sz w:val="24"/>
                <w:szCs w:val="24"/>
                <w:b w:val="1"/>
                <w:bCs w:val="1"/>
                <w:color w:val="auto"/>
                <w:vertAlign w:val="subscript"/>
              </w:rPr>
              <w:t>(b)</w:t>
            </w:r>
            <w:r>
              <w:rPr>
                <w:rFonts w:ascii="Arial" w:cs="Arial" w:eastAsia="Arial" w:hAnsi="Arial"/>
                <w:sz w:val="11"/>
                <w:szCs w:val="11"/>
                <w:b w:val="1"/>
                <w:bCs w:val="1"/>
                <w:color w:val="auto"/>
              </w:rPr>
              <w:t>(2)</w:t>
            </w:r>
          </w:p>
        </w:tc>
        <w:tc>
          <w:tcPr>
            <w:tcW w:w="1800" w:type="dxa"/>
            <w:vAlign w:val="bottom"/>
            <w:tcBorders>
              <w:bottom w:val="single" w:sz="8" w:color="A26F2A"/>
            </w:tcBorders>
          </w:tcPr>
          <w:p>
            <w:pPr>
              <w:jc w:val="right"/>
              <w:spacing w:after="0"/>
              <w:rPr>
                <w:sz w:val="20"/>
                <w:szCs w:val="20"/>
                <w:color w:val="auto"/>
              </w:rPr>
            </w:pPr>
            <w:r>
              <w:rPr>
                <w:rFonts w:ascii="Arial" w:cs="Arial" w:eastAsia="Arial" w:hAnsi="Arial"/>
                <w:sz w:val="15"/>
                <w:szCs w:val="15"/>
                <w:b w:val="1"/>
                <w:bCs w:val="1"/>
                <w:color w:val="auto"/>
              </w:rPr>
              <w:t>(c)</w:t>
            </w:r>
          </w:p>
        </w:tc>
        <w:tc>
          <w:tcPr>
            <w:tcW w:w="0" w:type="dxa"/>
            <w:vAlign w:val="bottom"/>
          </w:tcPr>
          <w:p>
            <w:pPr>
              <w:spacing w:after="0"/>
              <w:rPr>
                <w:sz w:val="1"/>
                <w:szCs w:val="1"/>
                <w:color w:val="auto"/>
              </w:rPr>
            </w:pPr>
          </w:p>
        </w:tc>
      </w:tr>
      <w:tr>
        <w:trPr>
          <w:trHeight w:val="215"/>
        </w:trPr>
        <w:tc>
          <w:tcPr>
            <w:tcW w:w="5300" w:type="dxa"/>
            <w:vAlign w:val="bottom"/>
            <w:tcBorders>
              <w:bottom w:val="single" w:sz="8" w:color="A8A8AC"/>
            </w:tcBorders>
          </w:tcPr>
          <w:p>
            <w:pPr>
              <w:ind w:left="60"/>
              <w:spacing w:after="0" w:line="214" w:lineRule="exact"/>
              <w:rPr>
                <w:sz w:val="20"/>
                <w:szCs w:val="20"/>
                <w:color w:val="auto"/>
              </w:rPr>
            </w:pPr>
            <w:r>
              <w:rPr>
                <w:rFonts w:ascii="Arial" w:cs="Arial" w:eastAsia="Arial" w:hAnsi="Arial"/>
                <w:sz w:val="15"/>
                <w:szCs w:val="15"/>
                <w:color w:val="auto"/>
              </w:rPr>
              <w:t>Equity compensation plans approved by security holders</w:t>
            </w:r>
            <w:r>
              <w:rPr>
                <w:rFonts w:ascii="Arial" w:cs="Arial" w:eastAsia="Arial" w:hAnsi="Arial"/>
                <w:sz w:val="24"/>
                <w:szCs w:val="24"/>
                <w:color w:val="auto"/>
                <w:vertAlign w:val="superscript"/>
              </w:rPr>
              <w:t>(1)</w:t>
            </w:r>
          </w:p>
        </w:tc>
        <w:tc>
          <w:tcPr>
            <w:tcW w:w="2640" w:type="dxa"/>
            <w:vAlign w:val="bottom"/>
            <w:tcBorders>
              <w:bottom w:val="single" w:sz="8" w:color="A8A8AC"/>
            </w:tcBorders>
          </w:tcPr>
          <w:p>
            <w:pPr>
              <w:jc w:val="right"/>
              <w:ind w:right="4"/>
              <w:spacing w:after="0"/>
              <w:rPr>
                <w:sz w:val="20"/>
                <w:szCs w:val="20"/>
                <w:color w:val="auto"/>
              </w:rPr>
            </w:pPr>
            <w:r>
              <w:rPr>
                <w:rFonts w:ascii="Arial" w:cs="Arial" w:eastAsia="Arial" w:hAnsi="Arial"/>
                <w:sz w:val="15"/>
                <w:szCs w:val="15"/>
                <w:color w:val="auto"/>
              </w:rPr>
              <w:t>1,670,338</w:t>
            </w:r>
          </w:p>
        </w:tc>
        <w:tc>
          <w:tcPr>
            <w:tcW w:w="6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8A8AC"/>
            </w:tcBorders>
          </w:tcPr>
          <w:p>
            <w:pPr>
              <w:jc w:val="right"/>
              <w:ind w:right="49"/>
              <w:spacing w:after="0"/>
              <w:rPr>
                <w:sz w:val="20"/>
                <w:szCs w:val="20"/>
                <w:color w:val="auto"/>
              </w:rPr>
            </w:pPr>
            <w:r>
              <w:rPr>
                <w:rFonts w:ascii="Arial" w:cs="Arial" w:eastAsia="Arial" w:hAnsi="Arial"/>
                <w:sz w:val="15"/>
                <w:szCs w:val="15"/>
                <w:color w:val="auto"/>
              </w:rPr>
              <w:t>—</w:t>
            </w:r>
          </w:p>
        </w:tc>
        <w:tc>
          <w:tcPr>
            <w:tcW w:w="180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3,800,434</w:t>
            </w:r>
          </w:p>
        </w:tc>
        <w:tc>
          <w:tcPr>
            <w:tcW w:w="0" w:type="dxa"/>
            <w:vAlign w:val="bottom"/>
          </w:tcPr>
          <w:p>
            <w:pPr>
              <w:spacing w:after="0"/>
              <w:rPr>
                <w:sz w:val="1"/>
                <w:szCs w:val="1"/>
                <w:color w:val="auto"/>
              </w:rPr>
            </w:pPr>
          </w:p>
        </w:tc>
      </w:tr>
      <w:tr>
        <w:trPr>
          <w:trHeight w:val="207"/>
        </w:trPr>
        <w:tc>
          <w:tcPr>
            <w:tcW w:w="5300" w:type="dxa"/>
            <w:vAlign w:val="bottom"/>
            <w:tcBorders>
              <w:bottom w:val="single" w:sz="8" w:color="A26F2A"/>
            </w:tcBorders>
          </w:tcPr>
          <w:p>
            <w:pPr>
              <w:ind w:left="60"/>
              <w:spacing w:after="0" w:line="207" w:lineRule="exact"/>
              <w:rPr>
                <w:sz w:val="20"/>
                <w:szCs w:val="20"/>
                <w:color w:val="auto"/>
              </w:rPr>
            </w:pPr>
            <w:r>
              <w:rPr>
                <w:rFonts w:ascii="Arial" w:cs="Arial" w:eastAsia="Arial" w:hAnsi="Arial"/>
                <w:sz w:val="15"/>
                <w:szCs w:val="15"/>
                <w:color w:val="auto"/>
              </w:rPr>
              <w:t>Equity compensation plans not approved by security holders</w:t>
            </w:r>
            <w:r>
              <w:rPr>
                <w:rFonts w:ascii="Arial" w:cs="Arial" w:eastAsia="Arial" w:hAnsi="Arial"/>
                <w:sz w:val="24"/>
                <w:szCs w:val="24"/>
                <w:color w:val="auto"/>
                <w:vertAlign w:val="superscript"/>
              </w:rPr>
              <w:t>(3)</w:t>
            </w:r>
          </w:p>
        </w:tc>
        <w:tc>
          <w:tcPr>
            <w:tcW w:w="2640" w:type="dxa"/>
            <w:vAlign w:val="bottom"/>
            <w:tcBorders>
              <w:bottom w:val="single" w:sz="8" w:color="A26F2A"/>
            </w:tcBorders>
          </w:tcPr>
          <w:p>
            <w:pPr>
              <w:jc w:val="right"/>
              <w:ind w:right="4"/>
              <w:spacing w:after="0"/>
              <w:rPr>
                <w:sz w:val="20"/>
                <w:szCs w:val="20"/>
                <w:color w:val="auto"/>
              </w:rPr>
            </w:pPr>
            <w:r>
              <w:rPr>
                <w:rFonts w:ascii="Arial" w:cs="Arial" w:eastAsia="Arial" w:hAnsi="Arial"/>
                <w:sz w:val="15"/>
                <w:szCs w:val="15"/>
                <w:color w:val="auto"/>
              </w:rPr>
              <w:t>578,094</w:t>
            </w:r>
          </w:p>
        </w:tc>
        <w:tc>
          <w:tcPr>
            <w:tcW w:w="64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26F2A"/>
            </w:tcBorders>
          </w:tcPr>
          <w:p>
            <w:pPr>
              <w:jc w:val="right"/>
              <w:ind w:right="49"/>
              <w:spacing w:after="0"/>
              <w:rPr>
                <w:sz w:val="20"/>
                <w:szCs w:val="20"/>
                <w:color w:val="auto"/>
              </w:rPr>
            </w:pPr>
            <w:r>
              <w:rPr>
                <w:rFonts w:ascii="Arial" w:cs="Arial" w:eastAsia="Arial" w:hAnsi="Arial"/>
                <w:sz w:val="15"/>
                <w:szCs w:val="15"/>
                <w:color w:val="auto"/>
              </w:rPr>
              <w:t>—</w:t>
            </w:r>
          </w:p>
        </w:tc>
        <w:tc>
          <w:tcPr>
            <w:tcW w:w="180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7,887,804</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00" w:hanging="299"/>
        <w:spacing w:after="0"/>
        <w:tabs>
          <w:tab w:leader="none" w:pos="300" w:val="left"/>
        </w:tabs>
        <w:numPr>
          <w:ilvl w:val="0"/>
          <w:numId w:val="123"/>
        </w:numPr>
        <w:rPr>
          <w:rFonts w:ascii="Arial" w:cs="Arial" w:eastAsia="Arial" w:hAnsi="Arial"/>
          <w:sz w:val="13"/>
          <w:szCs w:val="13"/>
          <w:i w:val="1"/>
          <w:iCs w:val="1"/>
          <w:color w:val="auto"/>
        </w:rPr>
      </w:pPr>
      <w:r>
        <w:rPr>
          <w:rFonts w:ascii="Arial" w:cs="Arial" w:eastAsia="Arial" w:hAnsi="Arial"/>
          <w:sz w:val="13"/>
          <w:szCs w:val="13"/>
          <w:i w:val="1"/>
          <w:iCs w:val="1"/>
          <w:color w:val="auto"/>
        </w:rPr>
        <w:t>Refers to the Equity Incentive Plan and assumes that awards of restricted stock units will vest at maximum levels.</w:t>
      </w:r>
    </w:p>
    <w:p>
      <w:pPr>
        <w:spacing w:after="0" w:line="65" w:lineRule="exact"/>
        <w:rPr>
          <w:rFonts w:ascii="Arial" w:cs="Arial" w:eastAsia="Arial" w:hAnsi="Arial"/>
          <w:sz w:val="13"/>
          <w:szCs w:val="13"/>
          <w:i w:val="1"/>
          <w:iCs w:val="1"/>
          <w:color w:val="auto"/>
        </w:rPr>
      </w:pPr>
    </w:p>
    <w:p>
      <w:pPr>
        <w:ind w:left="300" w:hanging="299"/>
        <w:spacing w:after="0"/>
        <w:tabs>
          <w:tab w:leader="none" w:pos="300" w:val="left"/>
        </w:tabs>
        <w:numPr>
          <w:ilvl w:val="0"/>
          <w:numId w:val="123"/>
        </w:numPr>
        <w:rPr>
          <w:rFonts w:ascii="Arial" w:cs="Arial" w:eastAsia="Arial" w:hAnsi="Arial"/>
          <w:sz w:val="13"/>
          <w:szCs w:val="13"/>
          <w:i w:val="1"/>
          <w:iCs w:val="1"/>
          <w:color w:val="auto"/>
        </w:rPr>
      </w:pPr>
      <w:r>
        <w:rPr>
          <w:rFonts w:ascii="Arial" w:cs="Arial" w:eastAsia="Arial" w:hAnsi="Arial"/>
          <w:sz w:val="13"/>
          <w:szCs w:val="13"/>
          <w:i w:val="1"/>
          <w:iCs w:val="1"/>
          <w:color w:val="auto"/>
        </w:rPr>
        <w:t>The weighted average exercise price does not take into account restricted stock units because they have no exercise price.</w:t>
      </w:r>
    </w:p>
    <w:p>
      <w:pPr>
        <w:spacing w:after="0" w:line="65" w:lineRule="exact"/>
        <w:rPr>
          <w:rFonts w:ascii="Arial" w:cs="Arial" w:eastAsia="Arial" w:hAnsi="Arial"/>
          <w:sz w:val="13"/>
          <w:szCs w:val="13"/>
          <w:i w:val="1"/>
          <w:iCs w:val="1"/>
          <w:color w:val="auto"/>
        </w:rPr>
      </w:pPr>
    </w:p>
    <w:p>
      <w:pPr>
        <w:ind w:left="300" w:hanging="299"/>
        <w:spacing w:after="0"/>
        <w:tabs>
          <w:tab w:leader="none" w:pos="300" w:val="left"/>
        </w:tabs>
        <w:numPr>
          <w:ilvl w:val="0"/>
          <w:numId w:val="123"/>
        </w:numPr>
        <w:rPr>
          <w:rFonts w:ascii="Arial" w:cs="Arial" w:eastAsia="Arial" w:hAnsi="Arial"/>
          <w:sz w:val="13"/>
          <w:szCs w:val="13"/>
          <w:i w:val="1"/>
          <w:iCs w:val="1"/>
          <w:color w:val="auto"/>
        </w:rPr>
      </w:pPr>
      <w:r>
        <w:rPr>
          <w:rFonts w:ascii="Arial" w:cs="Arial" w:eastAsia="Arial" w:hAnsi="Arial"/>
          <w:sz w:val="13"/>
          <w:szCs w:val="13"/>
          <w:i w:val="1"/>
          <w:iCs w:val="1"/>
          <w:color w:val="auto"/>
        </w:rPr>
        <w:t>Refers to the restricted stock units of Viper (settled in Viper common stock), granted under the Viper LTIP that was approved by Viper’s stockholders.</w:t>
      </w:r>
    </w:p>
    <w:p>
      <w:pPr>
        <w:spacing w:after="0" w:line="17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84" w:name="page85"/>
    <w:bookmarkEnd w:id="8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2025 DIRECTOR COMPENSATION</w:t>
      </w:r>
    </w:p>
    <w:p>
      <w:pPr>
        <w:spacing w:after="0" w:line="31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non-employee directors receive a combination of cash and equity compensation designed to attract and retain qualified candidates to serve on our board of directors. In setting non-employee director compensation, our board of directors considers the significant amount of time that directors spend in fulfilling their duties to the Company and our stockholders as well as the skill level required by our non-employee directors. The compensation committee is responsible for determining the type and amount of compensation for our non-employee directors. The compensation committee engaged Meridian, as its independent compensation consultant, to assist in the annual review of non-employee director compensation with a view to provide a pay program that compensates non-employee directors near the median of our peers by providing benchmark compensation data and recommendations for non-employee director compensation program design. Employee directors are not separately compensated for their service on the Board.</w:t>
      </w:r>
    </w:p>
    <w:p>
      <w:pPr>
        <w:spacing w:after="0" w:line="249"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Director Compensation</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table below describes the non-employee director compensation program for 2025. The annual retainers for director, Lead Independent Director, committee chair and committee member are payable quarterly in advance to each non-employee director. Under our director compensation program, our non-employee directors may annually elect to defer payment of up to 100% of his or her annual grant of restricted stock units and any related dividend equivalent rights until separation from service as a non-employee director of the Company. A deferral election may be made on a form provided by the compensation committee during the election period established by the compensation committee, which shall end no later than December 31 of the calendar year prior to the award date. Our non-employee directors are also reimbursed for customary expenses incurred while attending meetings of the Board and its committees.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8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Amount</w:t>
            </w:r>
          </w:p>
        </w:tc>
      </w:tr>
      <w:tr>
        <w:trPr>
          <w:trHeight w:val="194"/>
        </w:trPr>
        <w:tc>
          <w:tcPr>
            <w:tcW w:w="684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Type of Fee</w:t>
            </w:r>
          </w:p>
        </w:tc>
        <w:tc>
          <w:tcPr>
            <w:tcW w:w="3760" w:type="dxa"/>
            <w:vAlign w:val="bottom"/>
            <w:tcBorders>
              <w:bottom w:val="single" w:sz="8" w:color="A26F2A"/>
            </w:tcBorders>
          </w:tcPr>
          <w:p>
            <w:pPr>
              <w:spacing w:after="0"/>
              <w:rPr>
                <w:sz w:val="16"/>
                <w:szCs w:val="16"/>
                <w:color w:val="auto"/>
              </w:rPr>
            </w:pPr>
          </w:p>
        </w:tc>
        <w:tc>
          <w:tcPr>
            <w:tcW w:w="640" w:type="dxa"/>
            <w:vAlign w:val="bottom"/>
            <w:tcBorders>
              <w:bottom w:val="single" w:sz="8" w:color="A26F2A"/>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189"/>
        </w:trPr>
        <w:tc>
          <w:tcPr>
            <w:tcW w:w="6840" w:type="dxa"/>
            <w:vAlign w:val="bottom"/>
            <w:tcBorders>
              <w:bottom w:val="single" w:sz="8" w:color="A8A8AC"/>
            </w:tcBorders>
          </w:tcPr>
          <w:p>
            <w:pPr>
              <w:ind w:left="60"/>
              <w:spacing w:after="0"/>
              <w:rPr>
                <w:sz w:val="20"/>
                <w:szCs w:val="20"/>
                <w:color w:val="auto"/>
              </w:rPr>
            </w:pPr>
            <w:r>
              <w:rPr>
                <w:rFonts w:ascii="Arial" w:cs="Arial" w:eastAsia="Arial" w:hAnsi="Arial"/>
                <w:sz w:val="15"/>
                <w:szCs w:val="15"/>
                <w:b w:val="1"/>
                <w:bCs w:val="1"/>
                <w:color w:val="auto"/>
              </w:rPr>
              <w:t>Annual Director Retainer</w:t>
            </w:r>
          </w:p>
        </w:tc>
        <w:tc>
          <w:tcPr>
            <w:tcW w:w="376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100,000</w:t>
            </w:r>
          </w:p>
        </w:tc>
      </w:tr>
      <w:tr>
        <w:trPr>
          <w:trHeight w:val="182"/>
        </w:trPr>
        <w:tc>
          <w:tcPr>
            <w:tcW w:w="6840" w:type="dxa"/>
            <w:vAlign w:val="bottom"/>
            <w:tcBorders>
              <w:bottom w:val="single" w:sz="8" w:color="A8A8AC"/>
            </w:tcBorders>
          </w:tcPr>
          <w:p>
            <w:pPr>
              <w:ind w:left="60"/>
              <w:spacing w:after="0"/>
              <w:rPr>
                <w:sz w:val="20"/>
                <w:szCs w:val="20"/>
                <w:color w:val="auto"/>
              </w:rPr>
            </w:pPr>
            <w:r>
              <w:rPr>
                <w:rFonts w:ascii="Arial" w:cs="Arial" w:eastAsia="Arial" w:hAnsi="Arial"/>
                <w:sz w:val="15"/>
                <w:szCs w:val="15"/>
                <w:b w:val="1"/>
                <w:bCs w:val="1"/>
                <w:color w:val="auto"/>
              </w:rPr>
              <w:t>Annual Lead Independent Director Retainer</w:t>
            </w:r>
          </w:p>
        </w:tc>
        <w:tc>
          <w:tcPr>
            <w:tcW w:w="376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25,000</w:t>
            </w:r>
          </w:p>
        </w:tc>
      </w:tr>
      <w:tr>
        <w:trPr>
          <w:trHeight w:val="182"/>
        </w:trPr>
        <w:tc>
          <w:tcPr>
            <w:tcW w:w="6840" w:type="dxa"/>
            <w:vAlign w:val="bottom"/>
            <w:tcBorders>
              <w:bottom w:val="single" w:sz="8" w:color="A8A8AC"/>
            </w:tcBorders>
          </w:tcPr>
          <w:p>
            <w:pPr>
              <w:ind w:left="60"/>
              <w:spacing w:after="0"/>
              <w:rPr>
                <w:sz w:val="20"/>
                <w:szCs w:val="20"/>
                <w:color w:val="auto"/>
              </w:rPr>
            </w:pPr>
            <w:r>
              <w:rPr>
                <w:rFonts w:ascii="Arial" w:cs="Arial" w:eastAsia="Arial" w:hAnsi="Arial"/>
                <w:sz w:val="15"/>
                <w:szCs w:val="15"/>
                <w:b w:val="1"/>
                <w:bCs w:val="1"/>
                <w:color w:val="auto"/>
              </w:rPr>
              <w:t>Annual Audit Committee Chair Retainer</w:t>
            </w:r>
          </w:p>
        </w:tc>
        <w:tc>
          <w:tcPr>
            <w:tcW w:w="376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25,000</w:t>
            </w:r>
          </w:p>
        </w:tc>
      </w:tr>
      <w:tr>
        <w:trPr>
          <w:trHeight w:val="182"/>
        </w:trPr>
        <w:tc>
          <w:tcPr>
            <w:tcW w:w="6840" w:type="dxa"/>
            <w:vAlign w:val="bottom"/>
            <w:tcBorders>
              <w:bottom w:val="single" w:sz="8" w:color="A8A8AC"/>
            </w:tcBorders>
          </w:tcPr>
          <w:p>
            <w:pPr>
              <w:ind w:left="60"/>
              <w:spacing w:after="0"/>
              <w:rPr>
                <w:sz w:val="20"/>
                <w:szCs w:val="20"/>
                <w:color w:val="auto"/>
              </w:rPr>
            </w:pPr>
            <w:r>
              <w:rPr>
                <w:rFonts w:ascii="Arial" w:cs="Arial" w:eastAsia="Arial" w:hAnsi="Arial"/>
                <w:sz w:val="15"/>
                <w:szCs w:val="15"/>
                <w:b w:val="1"/>
                <w:bCs w:val="1"/>
                <w:color w:val="auto"/>
              </w:rPr>
              <w:t>Annual Audit Committee Member Retainer</w:t>
            </w:r>
          </w:p>
        </w:tc>
        <w:tc>
          <w:tcPr>
            <w:tcW w:w="376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10,000</w:t>
            </w:r>
          </w:p>
        </w:tc>
      </w:tr>
      <w:tr>
        <w:trPr>
          <w:trHeight w:val="182"/>
        </w:trPr>
        <w:tc>
          <w:tcPr>
            <w:tcW w:w="6840" w:type="dxa"/>
            <w:vAlign w:val="bottom"/>
            <w:tcBorders>
              <w:bottom w:val="single" w:sz="8" w:color="A8A8AC"/>
            </w:tcBorders>
          </w:tcPr>
          <w:p>
            <w:pPr>
              <w:ind w:left="60"/>
              <w:spacing w:after="0"/>
              <w:rPr>
                <w:sz w:val="20"/>
                <w:szCs w:val="20"/>
                <w:color w:val="auto"/>
              </w:rPr>
            </w:pPr>
            <w:r>
              <w:rPr>
                <w:rFonts w:ascii="Arial" w:cs="Arial" w:eastAsia="Arial" w:hAnsi="Arial"/>
                <w:sz w:val="15"/>
                <w:szCs w:val="15"/>
                <w:b w:val="1"/>
                <w:bCs w:val="1"/>
                <w:color w:val="auto"/>
              </w:rPr>
              <w:t>Annual Other Committee Chair Retainer</w:t>
            </w:r>
          </w:p>
        </w:tc>
        <w:tc>
          <w:tcPr>
            <w:tcW w:w="376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20,000</w:t>
            </w:r>
          </w:p>
        </w:tc>
      </w:tr>
      <w:tr>
        <w:trPr>
          <w:trHeight w:val="182"/>
        </w:trPr>
        <w:tc>
          <w:tcPr>
            <w:tcW w:w="6840" w:type="dxa"/>
            <w:vAlign w:val="bottom"/>
            <w:tcBorders>
              <w:bottom w:val="single" w:sz="8" w:color="A8A8AC"/>
            </w:tcBorders>
          </w:tcPr>
          <w:p>
            <w:pPr>
              <w:ind w:left="60"/>
              <w:spacing w:after="0"/>
              <w:rPr>
                <w:sz w:val="20"/>
                <w:szCs w:val="20"/>
                <w:color w:val="auto"/>
              </w:rPr>
            </w:pPr>
            <w:r>
              <w:rPr>
                <w:rFonts w:ascii="Arial" w:cs="Arial" w:eastAsia="Arial" w:hAnsi="Arial"/>
                <w:sz w:val="15"/>
                <w:szCs w:val="15"/>
                <w:b w:val="1"/>
                <w:bCs w:val="1"/>
                <w:color w:val="auto"/>
              </w:rPr>
              <w:t>Annual Other Committee Member Retainer</w:t>
            </w:r>
          </w:p>
        </w:tc>
        <w:tc>
          <w:tcPr>
            <w:tcW w:w="376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5,000</w:t>
            </w:r>
          </w:p>
        </w:tc>
      </w:tr>
      <w:tr>
        <w:trPr>
          <w:trHeight w:val="220"/>
        </w:trPr>
        <w:tc>
          <w:tcPr>
            <w:tcW w:w="6840" w:type="dxa"/>
            <w:vAlign w:val="bottom"/>
            <w:tcBorders>
              <w:bottom w:val="single" w:sz="8" w:color="A26F2A"/>
            </w:tcBorders>
          </w:tcPr>
          <w:p>
            <w:pPr>
              <w:ind w:left="60"/>
              <w:spacing w:after="0" w:line="220" w:lineRule="exact"/>
              <w:rPr>
                <w:sz w:val="20"/>
                <w:szCs w:val="20"/>
                <w:color w:val="auto"/>
              </w:rPr>
            </w:pPr>
            <w:r>
              <w:rPr>
                <w:rFonts w:ascii="Arial" w:cs="Arial" w:eastAsia="Arial" w:hAnsi="Arial"/>
                <w:sz w:val="15"/>
                <w:szCs w:val="15"/>
                <w:b w:val="1"/>
                <w:bCs w:val="1"/>
                <w:color w:val="auto"/>
              </w:rPr>
              <w:t>Annual Restricted Stock Unit Award</w:t>
            </w:r>
            <w:r>
              <w:rPr>
                <w:rFonts w:ascii="Arial" w:cs="Arial" w:eastAsia="Arial" w:hAnsi="Arial"/>
                <w:sz w:val="25"/>
                <w:szCs w:val="25"/>
                <w:b w:val="1"/>
                <w:bCs w:val="1"/>
                <w:color w:val="auto"/>
                <w:vertAlign w:val="superscript"/>
              </w:rPr>
              <w:t>(1)</w:t>
            </w:r>
          </w:p>
        </w:tc>
        <w:tc>
          <w:tcPr>
            <w:tcW w:w="376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200,000</w:t>
            </w:r>
          </w:p>
        </w:tc>
      </w:tr>
    </w:tbl>
    <w:p>
      <w:pPr>
        <w:spacing w:after="0" w:line="56" w:lineRule="exact"/>
        <w:rPr>
          <w:sz w:val="20"/>
          <w:szCs w:val="20"/>
          <w:color w:val="auto"/>
        </w:rPr>
      </w:pPr>
    </w:p>
    <w:p>
      <w:pPr>
        <w:jc w:val="both"/>
        <w:ind w:left="300" w:hanging="299"/>
        <w:spacing w:after="0" w:line="252" w:lineRule="auto"/>
        <w:tabs>
          <w:tab w:leader="none" w:pos="300" w:val="left"/>
        </w:tabs>
        <w:numPr>
          <w:ilvl w:val="0"/>
          <w:numId w:val="125"/>
        </w:numPr>
        <w:rPr>
          <w:rFonts w:ascii="Arial" w:cs="Arial" w:eastAsia="Arial" w:hAnsi="Arial"/>
          <w:sz w:val="13"/>
          <w:szCs w:val="13"/>
          <w:i w:val="1"/>
          <w:iCs w:val="1"/>
          <w:color w:val="auto"/>
        </w:rPr>
      </w:pPr>
      <w:r>
        <w:rPr>
          <w:rFonts w:ascii="Arial" w:cs="Arial" w:eastAsia="Arial" w:hAnsi="Arial"/>
          <w:sz w:val="13"/>
          <w:szCs w:val="13"/>
          <w:i w:val="1"/>
          <w:iCs w:val="1"/>
          <w:color w:val="auto"/>
        </w:rPr>
        <w:t>During 2025, we provided our non-employee directors with equity compensation under our equity incentive plan valued at $200,000. The number of restricted stock units awarded to each non-employee director in 2025 equaled $200,000 divided by $141.12 (the average closing price of a share of our common stock for the five trading days immediately preceding the date of grant). The annual grant of restricted stock units is generally made to our non-employee directors at the close of business on the date of each annual meeting of our stockholders. On May 21, 2025, each non-employee director was granted 1,417 restricted stock units which will vest on the earlier of May 21, 2026 and the date of the 2026 Annual Meeting. Non-employee directors that joined the board subsequent to May 21, 2025 received a prorated grant of restricted stock units with the same vesting terms as the annual non-employee director grant.</w:t>
      </w:r>
    </w:p>
    <w:p>
      <w:pPr>
        <w:spacing w:after="0" w:line="296"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85" w:name="page86"/>
    <w:bookmarkEnd w:id="8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following table contains information with respect to 2025 compensation of our non-employee directors who served in such capacity during that year, except that the 2025 compensation of each of Mr. Stice, our Chairman of the Board and Mr. Van’t Hof, our Chief Executive Officer, is disclosed in the Summary Compensation Table above.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320" w:type="dxa"/>
            <w:vAlign w:val="bottom"/>
          </w:tcPr>
          <w:p>
            <w:pPr>
              <w:spacing w:after="0"/>
              <w:rPr>
                <w:sz w:val="15"/>
                <w:szCs w:val="15"/>
                <w:color w:val="auto"/>
              </w:rPr>
            </w:pPr>
          </w:p>
        </w:tc>
        <w:tc>
          <w:tcPr>
            <w:tcW w:w="4200" w:type="dxa"/>
            <w:vAlign w:val="bottom"/>
            <w:gridSpan w:val="2"/>
          </w:tcPr>
          <w:p>
            <w:pPr>
              <w:jc w:val="right"/>
              <w:ind w:right="204"/>
              <w:spacing w:after="0"/>
              <w:rPr>
                <w:sz w:val="20"/>
                <w:szCs w:val="20"/>
                <w:color w:val="auto"/>
              </w:rPr>
            </w:pPr>
            <w:r>
              <w:rPr>
                <w:rFonts w:ascii="Arial" w:cs="Arial" w:eastAsia="Arial" w:hAnsi="Arial"/>
                <w:sz w:val="15"/>
                <w:szCs w:val="15"/>
                <w:b w:val="1"/>
                <w:bCs w:val="1"/>
                <w:color w:val="auto"/>
              </w:rPr>
              <w:t>Fees Earned or</w:t>
            </w: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9"/>
        </w:trPr>
        <w:tc>
          <w:tcPr>
            <w:tcW w:w="43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20" w:type="dxa"/>
            <w:vAlign w:val="bottom"/>
          </w:tcPr>
          <w:p>
            <w:pPr>
              <w:jc w:val="right"/>
              <w:ind w:right="204"/>
              <w:spacing w:after="0"/>
              <w:rPr>
                <w:sz w:val="20"/>
                <w:szCs w:val="20"/>
                <w:color w:val="auto"/>
              </w:rPr>
            </w:pPr>
            <w:r>
              <w:rPr>
                <w:rFonts w:ascii="Arial" w:cs="Arial" w:eastAsia="Arial" w:hAnsi="Arial"/>
                <w:sz w:val="15"/>
                <w:szCs w:val="15"/>
                <w:b w:val="1"/>
                <w:bCs w:val="1"/>
                <w:color w:val="auto"/>
              </w:rPr>
              <w:t>Paid in Cash</w:t>
            </w:r>
          </w:p>
        </w:tc>
        <w:tc>
          <w:tcPr>
            <w:tcW w:w="1520" w:type="dxa"/>
            <w:vAlign w:val="bottom"/>
            <w:gridSpan w:val="2"/>
          </w:tcPr>
          <w:p>
            <w:pPr>
              <w:ind w:left="300"/>
              <w:spacing w:after="0"/>
              <w:rPr>
                <w:sz w:val="20"/>
                <w:szCs w:val="20"/>
                <w:color w:val="auto"/>
              </w:rPr>
            </w:pPr>
            <w:r>
              <w:rPr>
                <w:rFonts w:ascii="Arial" w:cs="Arial" w:eastAsia="Arial" w:hAnsi="Arial"/>
                <w:sz w:val="15"/>
                <w:szCs w:val="15"/>
                <w:b w:val="1"/>
                <w:bCs w:val="1"/>
                <w:color w:val="auto"/>
              </w:rPr>
              <w:t>Stock Awards</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Total</w:t>
            </w:r>
          </w:p>
        </w:tc>
      </w:tr>
      <w:tr>
        <w:trPr>
          <w:trHeight w:val="220"/>
        </w:trPr>
        <w:tc>
          <w:tcPr>
            <w:tcW w:w="432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Name</w:t>
            </w:r>
          </w:p>
        </w:tc>
        <w:tc>
          <w:tcPr>
            <w:tcW w:w="2980" w:type="dxa"/>
            <w:vAlign w:val="bottom"/>
            <w:tcBorders>
              <w:bottom w:val="single" w:sz="8" w:color="A26F2A"/>
            </w:tcBorders>
          </w:tcPr>
          <w:p>
            <w:pPr>
              <w:spacing w:after="0"/>
              <w:rPr>
                <w:sz w:val="19"/>
                <w:szCs w:val="19"/>
                <w:color w:val="auto"/>
              </w:rPr>
            </w:pPr>
          </w:p>
        </w:tc>
        <w:tc>
          <w:tcPr>
            <w:tcW w:w="1220" w:type="dxa"/>
            <w:vAlign w:val="bottom"/>
            <w:tcBorders>
              <w:bottom w:val="single" w:sz="8" w:color="A26F2A"/>
            </w:tcBorders>
          </w:tcPr>
          <w:p>
            <w:pPr>
              <w:jc w:val="right"/>
              <w:ind w:right="204"/>
              <w:spacing w:after="0" w:line="214"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4"/>
                <w:szCs w:val="24"/>
                <w:b w:val="1"/>
                <w:bCs w:val="1"/>
                <w:color w:val="auto"/>
                <w:vertAlign w:val="superscript"/>
              </w:rPr>
              <w:t>(1)</w:t>
            </w:r>
          </w:p>
        </w:tc>
        <w:tc>
          <w:tcPr>
            <w:tcW w:w="580" w:type="dxa"/>
            <w:vAlign w:val="bottom"/>
            <w:tcBorders>
              <w:bottom w:val="single" w:sz="8" w:color="A26F2A"/>
            </w:tcBorders>
          </w:tcPr>
          <w:p>
            <w:pPr>
              <w:spacing w:after="0"/>
              <w:rPr>
                <w:sz w:val="19"/>
                <w:szCs w:val="19"/>
                <w:color w:val="auto"/>
              </w:rPr>
            </w:pPr>
          </w:p>
        </w:tc>
        <w:tc>
          <w:tcPr>
            <w:tcW w:w="940" w:type="dxa"/>
            <w:vAlign w:val="bottom"/>
            <w:tcBorders>
              <w:bottom w:val="single" w:sz="8" w:color="A26F2A"/>
            </w:tcBorders>
          </w:tcPr>
          <w:p>
            <w:pPr>
              <w:jc w:val="right"/>
              <w:ind w:right="144"/>
              <w:spacing w:after="0" w:line="214"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4"/>
                <w:szCs w:val="24"/>
                <w:b w:val="1"/>
                <w:bCs w:val="1"/>
                <w:color w:val="auto"/>
                <w:vertAlign w:val="superscript"/>
              </w:rPr>
              <w:t>(2)</w:t>
            </w:r>
          </w:p>
        </w:tc>
        <w:tc>
          <w:tcPr>
            <w:tcW w:w="460" w:type="dxa"/>
            <w:vAlign w:val="bottom"/>
            <w:tcBorders>
              <w:bottom w:val="single" w:sz="8" w:color="A26F2A"/>
            </w:tcBorders>
          </w:tcPr>
          <w:p>
            <w:pPr>
              <w:spacing w:after="0"/>
              <w:rPr>
                <w:sz w:val="19"/>
                <w:szCs w:val="19"/>
                <w:color w:val="auto"/>
              </w:rPr>
            </w:pPr>
          </w:p>
        </w:tc>
        <w:tc>
          <w:tcPr>
            <w:tcW w:w="740" w:type="dxa"/>
            <w:vAlign w:val="bottom"/>
            <w:tcBorders>
              <w:bottom w:val="single" w:sz="8" w:color="A26F2A"/>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177"/>
        </w:trPr>
        <w:tc>
          <w:tcPr>
            <w:tcW w:w="4320" w:type="dxa"/>
            <w:vAlign w:val="bottom"/>
            <w:tcBorders>
              <w:bottom w:val="single" w:sz="8" w:color="A8A8AC"/>
            </w:tcBorders>
          </w:tcPr>
          <w:p>
            <w:pPr>
              <w:ind w:left="60"/>
              <w:spacing w:after="0"/>
              <w:rPr>
                <w:sz w:val="20"/>
                <w:szCs w:val="20"/>
                <w:color w:val="auto"/>
              </w:rPr>
            </w:pPr>
            <w:r>
              <w:rPr>
                <w:rFonts w:ascii="Arial" w:cs="Arial" w:eastAsia="Arial" w:hAnsi="Arial"/>
                <w:sz w:val="15"/>
                <w:szCs w:val="15"/>
                <w:b w:val="1"/>
                <w:bCs w:val="1"/>
                <w:color w:val="auto"/>
              </w:rPr>
              <w:t>Vincent K. Brooks</w:t>
            </w:r>
          </w:p>
        </w:tc>
        <w:tc>
          <w:tcPr>
            <w:tcW w:w="298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8A8AC"/>
            </w:tcBorders>
          </w:tcPr>
          <w:p>
            <w:pPr>
              <w:jc w:val="right"/>
              <w:ind w:right="204"/>
              <w:spacing w:after="0"/>
              <w:rPr>
                <w:sz w:val="20"/>
                <w:szCs w:val="20"/>
                <w:color w:val="auto"/>
              </w:rPr>
            </w:pPr>
            <w:r>
              <w:rPr>
                <w:rFonts w:ascii="Arial" w:cs="Arial" w:eastAsia="Arial" w:hAnsi="Arial"/>
                <w:sz w:val="15"/>
                <w:szCs w:val="15"/>
                <w:color w:val="auto"/>
              </w:rPr>
              <w:t>131,250</w:t>
            </w:r>
          </w:p>
        </w:tc>
        <w:tc>
          <w:tcPr>
            <w:tcW w:w="580" w:type="dxa"/>
            <w:vAlign w:val="bottom"/>
            <w:tcBorders>
              <w:bottom w:val="single" w:sz="8" w:color="A8A8AC"/>
            </w:tcBorders>
          </w:tcPr>
          <w:p>
            <w:pPr>
              <w:ind w:left="32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8A8AC"/>
            </w:tcBorders>
          </w:tcPr>
          <w:p>
            <w:pPr>
              <w:jc w:val="right"/>
              <w:ind w:right="144"/>
              <w:spacing w:after="0"/>
              <w:rPr>
                <w:sz w:val="20"/>
                <w:szCs w:val="20"/>
                <w:color w:val="auto"/>
              </w:rPr>
            </w:pPr>
            <w:r>
              <w:rPr>
                <w:rFonts w:ascii="Arial" w:cs="Arial" w:eastAsia="Arial" w:hAnsi="Arial"/>
                <w:sz w:val="15"/>
                <w:szCs w:val="15"/>
                <w:color w:val="auto"/>
              </w:rPr>
              <w:t>193,151</w:t>
            </w:r>
          </w:p>
        </w:tc>
        <w:tc>
          <w:tcPr>
            <w:tcW w:w="460" w:type="dxa"/>
            <w:vAlign w:val="bottom"/>
            <w:tcBorders>
              <w:bottom w:val="single" w:sz="8" w:color="A8A8AC"/>
            </w:tcBorders>
          </w:tcPr>
          <w:p>
            <w:pPr>
              <w:jc w:val="right"/>
              <w:ind w:right="8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324,401</w:t>
            </w:r>
          </w:p>
        </w:tc>
      </w:tr>
      <w:tr>
        <w:trPr>
          <w:trHeight w:val="207"/>
        </w:trPr>
        <w:tc>
          <w:tcPr>
            <w:tcW w:w="4320" w:type="dxa"/>
            <w:vAlign w:val="bottom"/>
            <w:tcBorders>
              <w:bottom w:val="single" w:sz="8" w:color="A8A8AC"/>
            </w:tcBorders>
          </w:tcPr>
          <w:p>
            <w:pPr>
              <w:ind w:left="60"/>
              <w:spacing w:after="0" w:line="207" w:lineRule="exact"/>
              <w:rPr>
                <w:sz w:val="20"/>
                <w:szCs w:val="20"/>
                <w:color w:val="auto"/>
              </w:rPr>
            </w:pPr>
            <w:r>
              <w:rPr>
                <w:rFonts w:ascii="Arial" w:cs="Arial" w:eastAsia="Arial" w:hAnsi="Arial"/>
                <w:sz w:val="15"/>
                <w:szCs w:val="15"/>
                <w:b w:val="1"/>
                <w:bCs w:val="1"/>
                <w:color w:val="auto"/>
              </w:rPr>
              <w:t>David L. Houston</w:t>
            </w:r>
            <w:r>
              <w:rPr>
                <w:rFonts w:ascii="Arial" w:cs="Arial" w:eastAsia="Arial" w:hAnsi="Arial"/>
                <w:sz w:val="24"/>
                <w:szCs w:val="24"/>
                <w:b w:val="1"/>
                <w:bCs w:val="1"/>
                <w:color w:val="auto"/>
                <w:vertAlign w:val="superscript"/>
              </w:rPr>
              <w:t>(3)</w:t>
            </w:r>
          </w:p>
        </w:tc>
        <w:tc>
          <w:tcPr>
            <w:tcW w:w="298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8A8AC"/>
            </w:tcBorders>
          </w:tcPr>
          <w:p>
            <w:pPr>
              <w:jc w:val="right"/>
              <w:ind w:right="204"/>
              <w:spacing w:after="0"/>
              <w:rPr>
                <w:sz w:val="20"/>
                <w:szCs w:val="20"/>
                <w:color w:val="auto"/>
              </w:rPr>
            </w:pPr>
            <w:r>
              <w:rPr>
                <w:rFonts w:ascii="Arial" w:cs="Arial" w:eastAsia="Arial" w:hAnsi="Arial"/>
                <w:sz w:val="15"/>
                <w:szCs w:val="15"/>
                <w:color w:val="auto"/>
              </w:rPr>
              <w:t>42,350</w:t>
            </w:r>
          </w:p>
        </w:tc>
        <w:tc>
          <w:tcPr>
            <w:tcW w:w="580" w:type="dxa"/>
            <w:vAlign w:val="bottom"/>
            <w:tcBorders>
              <w:bottom w:val="single" w:sz="8" w:color="A8A8AC"/>
            </w:tcBorders>
          </w:tcPr>
          <w:p>
            <w:pPr>
              <w:ind w:left="32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8A8AC"/>
            </w:tcBorders>
          </w:tcPr>
          <w:p>
            <w:pPr>
              <w:jc w:val="right"/>
              <w:ind w:right="144"/>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8A8AC"/>
            </w:tcBorders>
          </w:tcPr>
          <w:p>
            <w:pPr>
              <w:jc w:val="right"/>
              <w:ind w:right="8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42,350</w:t>
            </w:r>
          </w:p>
        </w:tc>
      </w:tr>
      <w:tr>
        <w:trPr>
          <w:trHeight w:val="169"/>
        </w:trPr>
        <w:tc>
          <w:tcPr>
            <w:tcW w:w="432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Darin G. Holderness</w:t>
            </w:r>
          </w:p>
        </w:tc>
        <w:tc>
          <w:tcPr>
            <w:tcW w:w="29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A8A8AC"/>
            </w:tcBorders>
          </w:tcPr>
          <w:p>
            <w:pPr>
              <w:jc w:val="right"/>
              <w:ind w:right="204"/>
              <w:spacing w:after="0" w:line="169" w:lineRule="exact"/>
              <w:rPr>
                <w:sz w:val="20"/>
                <w:szCs w:val="20"/>
                <w:color w:val="auto"/>
              </w:rPr>
            </w:pPr>
            <w:r>
              <w:rPr>
                <w:rFonts w:ascii="Arial" w:cs="Arial" w:eastAsia="Arial" w:hAnsi="Arial"/>
                <w:sz w:val="15"/>
                <w:szCs w:val="15"/>
                <w:color w:val="auto"/>
              </w:rPr>
              <w:t>98,325</w:t>
            </w:r>
          </w:p>
        </w:tc>
        <w:tc>
          <w:tcPr>
            <w:tcW w:w="580" w:type="dxa"/>
            <w:vAlign w:val="bottom"/>
            <w:tcBorders>
              <w:bottom w:val="single" w:sz="8" w:color="A8A8AC"/>
            </w:tcBorders>
          </w:tcPr>
          <w:p>
            <w:pPr>
              <w:ind w:left="320"/>
              <w:spacing w:after="0" w:line="169"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8A8AC"/>
            </w:tcBorders>
          </w:tcPr>
          <w:p>
            <w:pPr>
              <w:jc w:val="right"/>
              <w:ind w:right="144"/>
              <w:spacing w:after="0" w:line="169" w:lineRule="exact"/>
              <w:rPr>
                <w:sz w:val="20"/>
                <w:szCs w:val="20"/>
                <w:color w:val="auto"/>
              </w:rPr>
            </w:pPr>
            <w:r>
              <w:rPr>
                <w:rFonts w:ascii="Arial" w:cs="Arial" w:eastAsia="Arial" w:hAnsi="Arial"/>
                <w:sz w:val="15"/>
                <w:szCs w:val="15"/>
                <w:color w:val="auto"/>
              </w:rPr>
              <w:t>258,779</w:t>
            </w:r>
          </w:p>
        </w:tc>
        <w:tc>
          <w:tcPr>
            <w:tcW w:w="46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357,104</w:t>
            </w:r>
          </w:p>
        </w:tc>
      </w:tr>
      <w:tr>
        <w:trPr>
          <w:trHeight w:val="169"/>
        </w:trPr>
        <w:tc>
          <w:tcPr>
            <w:tcW w:w="432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Rebecca A. Klein</w:t>
            </w:r>
          </w:p>
        </w:tc>
        <w:tc>
          <w:tcPr>
            <w:tcW w:w="29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A8A8AC"/>
            </w:tcBorders>
          </w:tcPr>
          <w:p>
            <w:pPr>
              <w:jc w:val="right"/>
              <w:ind w:right="204"/>
              <w:spacing w:after="0" w:line="169" w:lineRule="exact"/>
              <w:rPr>
                <w:sz w:val="20"/>
                <w:szCs w:val="20"/>
                <w:color w:val="auto"/>
              </w:rPr>
            </w:pPr>
            <w:r>
              <w:rPr>
                <w:rFonts w:ascii="Arial" w:cs="Arial" w:eastAsia="Arial" w:hAnsi="Arial"/>
                <w:sz w:val="15"/>
                <w:szCs w:val="15"/>
                <w:color w:val="auto"/>
              </w:rPr>
              <w:t>116,250</w:t>
            </w:r>
          </w:p>
        </w:tc>
        <w:tc>
          <w:tcPr>
            <w:tcW w:w="580" w:type="dxa"/>
            <w:vAlign w:val="bottom"/>
            <w:tcBorders>
              <w:bottom w:val="single" w:sz="8" w:color="A8A8AC"/>
            </w:tcBorders>
          </w:tcPr>
          <w:p>
            <w:pPr>
              <w:ind w:left="320"/>
              <w:spacing w:after="0" w:line="169"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8A8AC"/>
            </w:tcBorders>
          </w:tcPr>
          <w:p>
            <w:pPr>
              <w:jc w:val="right"/>
              <w:ind w:right="144"/>
              <w:spacing w:after="0" w:line="169" w:lineRule="exact"/>
              <w:rPr>
                <w:sz w:val="20"/>
                <w:szCs w:val="20"/>
                <w:color w:val="auto"/>
              </w:rPr>
            </w:pPr>
            <w:r>
              <w:rPr>
                <w:rFonts w:ascii="Arial" w:cs="Arial" w:eastAsia="Arial" w:hAnsi="Arial"/>
                <w:sz w:val="15"/>
                <w:szCs w:val="15"/>
                <w:color w:val="auto"/>
              </w:rPr>
              <w:t>193,151</w:t>
            </w:r>
          </w:p>
        </w:tc>
        <w:tc>
          <w:tcPr>
            <w:tcW w:w="46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309,401</w:t>
            </w:r>
          </w:p>
        </w:tc>
      </w:tr>
      <w:tr>
        <w:trPr>
          <w:trHeight w:val="169"/>
        </w:trPr>
        <w:tc>
          <w:tcPr>
            <w:tcW w:w="432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Stephanie K. Mains</w:t>
            </w:r>
          </w:p>
        </w:tc>
        <w:tc>
          <w:tcPr>
            <w:tcW w:w="29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A8A8AC"/>
            </w:tcBorders>
          </w:tcPr>
          <w:p>
            <w:pPr>
              <w:jc w:val="right"/>
              <w:ind w:right="204"/>
              <w:spacing w:after="0" w:line="169" w:lineRule="exact"/>
              <w:rPr>
                <w:sz w:val="20"/>
                <w:szCs w:val="20"/>
                <w:color w:val="auto"/>
              </w:rPr>
            </w:pPr>
            <w:r>
              <w:rPr>
                <w:rFonts w:ascii="Arial" w:cs="Arial" w:eastAsia="Arial" w:hAnsi="Arial"/>
                <w:sz w:val="15"/>
                <w:szCs w:val="15"/>
                <w:color w:val="auto"/>
              </w:rPr>
              <w:t>126,250</w:t>
            </w:r>
          </w:p>
        </w:tc>
        <w:tc>
          <w:tcPr>
            <w:tcW w:w="580" w:type="dxa"/>
            <w:vAlign w:val="bottom"/>
            <w:tcBorders>
              <w:bottom w:val="single" w:sz="8" w:color="A8A8AC"/>
            </w:tcBorders>
          </w:tcPr>
          <w:p>
            <w:pPr>
              <w:ind w:left="320"/>
              <w:spacing w:after="0" w:line="169"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8A8AC"/>
            </w:tcBorders>
          </w:tcPr>
          <w:p>
            <w:pPr>
              <w:jc w:val="right"/>
              <w:ind w:right="144"/>
              <w:spacing w:after="0" w:line="169" w:lineRule="exact"/>
              <w:rPr>
                <w:sz w:val="20"/>
                <w:szCs w:val="20"/>
                <w:color w:val="auto"/>
              </w:rPr>
            </w:pPr>
            <w:r>
              <w:rPr>
                <w:rFonts w:ascii="Arial" w:cs="Arial" w:eastAsia="Arial" w:hAnsi="Arial"/>
                <w:sz w:val="15"/>
                <w:szCs w:val="15"/>
                <w:color w:val="auto"/>
              </w:rPr>
              <w:t>193,151</w:t>
            </w:r>
          </w:p>
        </w:tc>
        <w:tc>
          <w:tcPr>
            <w:tcW w:w="46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319,401</w:t>
            </w:r>
          </w:p>
        </w:tc>
      </w:tr>
      <w:tr>
        <w:trPr>
          <w:trHeight w:val="169"/>
        </w:trPr>
        <w:tc>
          <w:tcPr>
            <w:tcW w:w="432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Charles A. Meloy</w:t>
            </w:r>
          </w:p>
        </w:tc>
        <w:tc>
          <w:tcPr>
            <w:tcW w:w="29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A8A8AC"/>
            </w:tcBorders>
          </w:tcPr>
          <w:p>
            <w:pPr>
              <w:jc w:val="right"/>
              <w:ind w:right="204"/>
              <w:spacing w:after="0" w:line="169" w:lineRule="exact"/>
              <w:rPr>
                <w:sz w:val="20"/>
                <w:szCs w:val="20"/>
                <w:color w:val="auto"/>
              </w:rPr>
            </w:pPr>
            <w:r>
              <w:rPr>
                <w:rFonts w:ascii="Arial" w:cs="Arial" w:eastAsia="Arial" w:hAnsi="Arial"/>
                <w:sz w:val="15"/>
                <w:szCs w:val="15"/>
                <w:color w:val="auto"/>
              </w:rPr>
              <w:t>102,500</w:t>
            </w:r>
          </w:p>
        </w:tc>
        <w:tc>
          <w:tcPr>
            <w:tcW w:w="580" w:type="dxa"/>
            <w:vAlign w:val="bottom"/>
            <w:tcBorders>
              <w:bottom w:val="single" w:sz="8" w:color="A8A8AC"/>
            </w:tcBorders>
          </w:tcPr>
          <w:p>
            <w:pPr>
              <w:ind w:left="320"/>
              <w:spacing w:after="0" w:line="169"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8A8AC"/>
            </w:tcBorders>
          </w:tcPr>
          <w:p>
            <w:pPr>
              <w:jc w:val="right"/>
              <w:ind w:right="144"/>
              <w:spacing w:after="0" w:line="169" w:lineRule="exact"/>
              <w:rPr>
                <w:sz w:val="20"/>
                <w:szCs w:val="20"/>
                <w:color w:val="auto"/>
              </w:rPr>
            </w:pPr>
            <w:r>
              <w:rPr>
                <w:rFonts w:ascii="Arial" w:cs="Arial" w:eastAsia="Arial" w:hAnsi="Arial"/>
                <w:sz w:val="15"/>
                <w:szCs w:val="15"/>
                <w:color w:val="auto"/>
              </w:rPr>
              <w:t>193,151</w:t>
            </w:r>
          </w:p>
        </w:tc>
        <w:tc>
          <w:tcPr>
            <w:tcW w:w="46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295,651</w:t>
            </w:r>
          </w:p>
        </w:tc>
      </w:tr>
      <w:tr>
        <w:trPr>
          <w:trHeight w:val="169"/>
        </w:trPr>
        <w:tc>
          <w:tcPr>
            <w:tcW w:w="432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Mark L. Plaumann</w:t>
            </w:r>
          </w:p>
        </w:tc>
        <w:tc>
          <w:tcPr>
            <w:tcW w:w="29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A8A8AC"/>
            </w:tcBorders>
          </w:tcPr>
          <w:p>
            <w:pPr>
              <w:jc w:val="right"/>
              <w:ind w:right="204"/>
              <w:spacing w:after="0" w:line="169" w:lineRule="exact"/>
              <w:rPr>
                <w:sz w:val="20"/>
                <w:szCs w:val="20"/>
                <w:color w:val="auto"/>
              </w:rPr>
            </w:pPr>
            <w:r>
              <w:rPr>
                <w:rFonts w:ascii="Arial" w:cs="Arial" w:eastAsia="Arial" w:hAnsi="Arial"/>
                <w:sz w:val="15"/>
                <w:szCs w:val="15"/>
                <w:color w:val="auto"/>
              </w:rPr>
              <w:t>117,500</w:t>
            </w:r>
          </w:p>
        </w:tc>
        <w:tc>
          <w:tcPr>
            <w:tcW w:w="580" w:type="dxa"/>
            <w:vAlign w:val="bottom"/>
            <w:tcBorders>
              <w:bottom w:val="single" w:sz="8" w:color="A8A8AC"/>
            </w:tcBorders>
          </w:tcPr>
          <w:p>
            <w:pPr>
              <w:ind w:left="320"/>
              <w:spacing w:after="0" w:line="169"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8A8AC"/>
            </w:tcBorders>
          </w:tcPr>
          <w:p>
            <w:pPr>
              <w:jc w:val="right"/>
              <w:ind w:right="144"/>
              <w:spacing w:after="0" w:line="169" w:lineRule="exact"/>
              <w:rPr>
                <w:sz w:val="20"/>
                <w:szCs w:val="20"/>
                <w:color w:val="auto"/>
              </w:rPr>
            </w:pPr>
            <w:r>
              <w:rPr>
                <w:rFonts w:ascii="Arial" w:cs="Arial" w:eastAsia="Arial" w:hAnsi="Arial"/>
                <w:sz w:val="15"/>
                <w:szCs w:val="15"/>
                <w:color w:val="auto"/>
              </w:rPr>
              <w:t>193,151</w:t>
            </w:r>
          </w:p>
        </w:tc>
        <w:tc>
          <w:tcPr>
            <w:tcW w:w="46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310,651</w:t>
            </w:r>
          </w:p>
        </w:tc>
      </w:tr>
      <w:tr>
        <w:trPr>
          <w:trHeight w:val="169"/>
        </w:trPr>
        <w:tc>
          <w:tcPr>
            <w:tcW w:w="432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Robert K. Reeves</w:t>
            </w:r>
          </w:p>
        </w:tc>
        <w:tc>
          <w:tcPr>
            <w:tcW w:w="29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A8A8AC"/>
            </w:tcBorders>
          </w:tcPr>
          <w:p>
            <w:pPr>
              <w:jc w:val="right"/>
              <w:ind w:right="204"/>
              <w:spacing w:after="0" w:line="169" w:lineRule="exact"/>
              <w:rPr>
                <w:sz w:val="20"/>
                <w:szCs w:val="20"/>
                <w:color w:val="auto"/>
              </w:rPr>
            </w:pPr>
            <w:r>
              <w:rPr>
                <w:rFonts w:ascii="Arial" w:cs="Arial" w:eastAsia="Arial" w:hAnsi="Arial"/>
                <w:sz w:val="15"/>
                <w:szCs w:val="15"/>
                <w:color w:val="auto"/>
              </w:rPr>
              <w:t>117,500</w:t>
            </w:r>
          </w:p>
        </w:tc>
        <w:tc>
          <w:tcPr>
            <w:tcW w:w="580" w:type="dxa"/>
            <w:vAlign w:val="bottom"/>
            <w:tcBorders>
              <w:bottom w:val="single" w:sz="8" w:color="A8A8AC"/>
            </w:tcBorders>
          </w:tcPr>
          <w:p>
            <w:pPr>
              <w:ind w:left="320"/>
              <w:spacing w:after="0" w:line="169"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8A8AC"/>
            </w:tcBorders>
          </w:tcPr>
          <w:p>
            <w:pPr>
              <w:jc w:val="right"/>
              <w:ind w:right="144"/>
              <w:spacing w:after="0" w:line="169" w:lineRule="exact"/>
              <w:rPr>
                <w:sz w:val="20"/>
                <w:szCs w:val="20"/>
                <w:color w:val="auto"/>
              </w:rPr>
            </w:pPr>
            <w:r>
              <w:rPr>
                <w:rFonts w:ascii="Arial" w:cs="Arial" w:eastAsia="Arial" w:hAnsi="Arial"/>
                <w:sz w:val="15"/>
                <w:szCs w:val="15"/>
                <w:color w:val="auto"/>
              </w:rPr>
              <w:t>193,151</w:t>
            </w:r>
          </w:p>
        </w:tc>
        <w:tc>
          <w:tcPr>
            <w:tcW w:w="46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310,651</w:t>
            </w:r>
          </w:p>
        </w:tc>
      </w:tr>
      <w:tr>
        <w:trPr>
          <w:trHeight w:val="169"/>
        </w:trPr>
        <w:tc>
          <w:tcPr>
            <w:tcW w:w="432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Lance W. Robertson</w:t>
            </w:r>
          </w:p>
        </w:tc>
        <w:tc>
          <w:tcPr>
            <w:tcW w:w="29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A8A8AC"/>
            </w:tcBorders>
          </w:tcPr>
          <w:p>
            <w:pPr>
              <w:jc w:val="right"/>
              <w:ind w:right="204"/>
              <w:spacing w:after="0" w:line="169" w:lineRule="exact"/>
              <w:rPr>
                <w:sz w:val="20"/>
                <w:szCs w:val="20"/>
                <w:color w:val="auto"/>
              </w:rPr>
            </w:pPr>
            <w:r>
              <w:rPr>
                <w:rFonts w:ascii="Arial" w:cs="Arial" w:eastAsia="Arial" w:hAnsi="Arial"/>
                <w:sz w:val="15"/>
                <w:szCs w:val="15"/>
                <w:color w:val="auto"/>
              </w:rPr>
              <w:t>97,500</w:t>
            </w:r>
          </w:p>
        </w:tc>
        <w:tc>
          <w:tcPr>
            <w:tcW w:w="580" w:type="dxa"/>
            <w:vAlign w:val="bottom"/>
            <w:tcBorders>
              <w:bottom w:val="single" w:sz="8" w:color="A8A8AC"/>
            </w:tcBorders>
          </w:tcPr>
          <w:p>
            <w:pPr>
              <w:ind w:left="320"/>
              <w:spacing w:after="0" w:line="169"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8A8AC"/>
            </w:tcBorders>
          </w:tcPr>
          <w:p>
            <w:pPr>
              <w:jc w:val="right"/>
              <w:ind w:right="144"/>
              <w:spacing w:after="0" w:line="169" w:lineRule="exact"/>
              <w:rPr>
                <w:sz w:val="20"/>
                <w:szCs w:val="20"/>
                <w:color w:val="auto"/>
              </w:rPr>
            </w:pPr>
            <w:r>
              <w:rPr>
                <w:rFonts w:ascii="Arial" w:cs="Arial" w:eastAsia="Arial" w:hAnsi="Arial"/>
                <w:sz w:val="15"/>
                <w:szCs w:val="15"/>
                <w:color w:val="auto"/>
              </w:rPr>
              <w:t>193,151</w:t>
            </w:r>
          </w:p>
        </w:tc>
        <w:tc>
          <w:tcPr>
            <w:tcW w:w="46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290,651</w:t>
            </w:r>
          </w:p>
        </w:tc>
      </w:tr>
      <w:tr>
        <w:trPr>
          <w:trHeight w:val="169"/>
        </w:trPr>
        <w:tc>
          <w:tcPr>
            <w:tcW w:w="432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Melanie M. Trent</w:t>
            </w:r>
          </w:p>
        </w:tc>
        <w:tc>
          <w:tcPr>
            <w:tcW w:w="29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A8A8AC"/>
            </w:tcBorders>
          </w:tcPr>
          <w:p>
            <w:pPr>
              <w:jc w:val="right"/>
              <w:ind w:right="204"/>
              <w:spacing w:after="0" w:line="169" w:lineRule="exact"/>
              <w:rPr>
                <w:sz w:val="20"/>
                <w:szCs w:val="20"/>
                <w:color w:val="auto"/>
              </w:rPr>
            </w:pPr>
            <w:r>
              <w:rPr>
                <w:rFonts w:ascii="Arial" w:cs="Arial" w:eastAsia="Arial" w:hAnsi="Arial"/>
                <w:sz w:val="15"/>
                <w:szCs w:val="15"/>
                <w:color w:val="auto"/>
              </w:rPr>
              <w:t>146,250</w:t>
            </w:r>
          </w:p>
        </w:tc>
        <w:tc>
          <w:tcPr>
            <w:tcW w:w="580" w:type="dxa"/>
            <w:vAlign w:val="bottom"/>
            <w:tcBorders>
              <w:bottom w:val="single" w:sz="8" w:color="A8A8AC"/>
            </w:tcBorders>
          </w:tcPr>
          <w:p>
            <w:pPr>
              <w:ind w:left="320"/>
              <w:spacing w:after="0" w:line="169"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8A8AC"/>
            </w:tcBorders>
          </w:tcPr>
          <w:p>
            <w:pPr>
              <w:jc w:val="right"/>
              <w:ind w:right="144"/>
              <w:spacing w:after="0" w:line="169" w:lineRule="exact"/>
              <w:rPr>
                <w:sz w:val="20"/>
                <w:szCs w:val="20"/>
                <w:color w:val="auto"/>
              </w:rPr>
            </w:pPr>
            <w:r>
              <w:rPr>
                <w:rFonts w:ascii="Arial" w:cs="Arial" w:eastAsia="Arial" w:hAnsi="Arial"/>
                <w:sz w:val="15"/>
                <w:szCs w:val="15"/>
                <w:color w:val="auto"/>
              </w:rPr>
              <w:t>193,151</w:t>
            </w:r>
          </w:p>
        </w:tc>
        <w:tc>
          <w:tcPr>
            <w:tcW w:w="46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339,401</w:t>
            </w:r>
          </w:p>
        </w:tc>
      </w:tr>
      <w:tr>
        <w:trPr>
          <w:trHeight w:val="169"/>
        </w:trPr>
        <w:tc>
          <w:tcPr>
            <w:tcW w:w="4320" w:type="dxa"/>
            <w:vAlign w:val="bottom"/>
            <w:tcBorders>
              <w:bottom w:val="single" w:sz="8" w:color="A8A8AC"/>
            </w:tcBorders>
          </w:tcPr>
          <w:p>
            <w:pPr>
              <w:ind w:left="60"/>
              <w:spacing w:after="0" w:line="169" w:lineRule="exact"/>
              <w:rPr>
                <w:sz w:val="20"/>
                <w:szCs w:val="20"/>
                <w:color w:val="auto"/>
              </w:rPr>
            </w:pPr>
            <w:r>
              <w:rPr>
                <w:rFonts w:ascii="Arial" w:cs="Arial" w:eastAsia="Arial" w:hAnsi="Arial"/>
                <w:sz w:val="15"/>
                <w:szCs w:val="15"/>
                <w:b w:val="1"/>
                <w:bCs w:val="1"/>
                <w:color w:val="auto"/>
              </w:rPr>
              <w:t>Frank D. Tsuru</w:t>
            </w:r>
          </w:p>
        </w:tc>
        <w:tc>
          <w:tcPr>
            <w:tcW w:w="298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A8A8AC"/>
            </w:tcBorders>
          </w:tcPr>
          <w:p>
            <w:pPr>
              <w:jc w:val="right"/>
              <w:ind w:right="204"/>
              <w:spacing w:after="0" w:line="169" w:lineRule="exact"/>
              <w:rPr>
                <w:sz w:val="20"/>
                <w:szCs w:val="20"/>
                <w:color w:val="auto"/>
              </w:rPr>
            </w:pPr>
            <w:r>
              <w:rPr>
                <w:rFonts w:ascii="Arial" w:cs="Arial" w:eastAsia="Arial" w:hAnsi="Arial"/>
                <w:sz w:val="15"/>
                <w:szCs w:val="15"/>
                <w:color w:val="auto"/>
              </w:rPr>
              <w:t>107,500</w:t>
            </w:r>
          </w:p>
        </w:tc>
        <w:tc>
          <w:tcPr>
            <w:tcW w:w="580" w:type="dxa"/>
            <w:vAlign w:val="bottom"/>
            <w:tcBorders>
              <w:bottom w:val="single" w:sz="8" w:color="A8A8AC"/>
            </w:tcBorders>
          </w:tcPr>
          <w:p>
            <w:pPr>
              <w:ind w:left="320"/>
              <w:spacing w:after="0" w:line="169"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8A8AC"/>
            </w:tcBorders>
          </w:tcPr>
          <w:p>
            <w:pPr>
              <w:jc w:val="right"/>
              <w:ind w:right="144"/>
              <w:spacing w:after="0" w:line="169" w:lineRule="exact"/>
              <w:rPr>
                <w:sz w:val="20"/>
                <w:szCs w:val="20"/>
                <w:color w:val="auto"/>
              </w:rPr>
            </w:pPr>
            <w:r>
              <w:rPr>
                <w:rFonts w:ascii="Arial" w:cs="Arial" w:eastAsia="Arial" w:hAnsi="Arial"/>
                <w:sz w:val="15"/>
                <w:szCs w:val="15"/>
                <w:color w:val="auto"/>
              </w:rPr>
              <w:t>193,151</w:t>
            </w:r>
          </w:p>
        </w:tc>
        <w:tc>
          <w:tcPr>
            <w:tcW w:w="460" w:type="dxa"/>
            <w:vAlign w:val="bottom"/>
            <w:tcBorders>
              <w:bottom w:val="single" w:sz="8" w:color="A8A8AC"/>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8A8AC"/>
            </w:tcBorders>
          </w:tcPr>
          <w:p>
            <w:pPr>
              <w:jc w:val="right"/>
              <w:spacing w:after="0" w:line="169" w:lineRule="exact"/>
              <w:rPr>
                <w:sz w:val="20"/>
                <w:szCs w:val="20"/>
                <w:color w:val="auto"/>
              </w:rPr>
            </w:pPr>
            <w:r>
              <w:rPr>
                <w:rFonts w:ascii="Arial" w:cs="Arial" w:eastAsia="Arial" w:hAnsi="Arial"/>
                <w:sz w:val="15"/>
                <w:szCs w:val="15"/>
                <w:color w:val="auto"/>
              </w:rPr>
              <w:t>300,651</w:t>
            </w:r>
          </w:p>
        </w:tc>
      </w:tr>
      <w:tr>
        <w:trPr>
          <w:trHeight w:val="207"/>
        </w:trPr>
        <w:tc>
          <w:tcPr>
            <w:tcW w:w="4320" w:type="dxa"/>
            <w:vAlign w:val="bottom"/>
            <w:tcBorders>
              <w:bottom w:val="single" w:sz="8" w:color="A26F2A"/>
            </w:tcBorders>
          </w:tcPr>
          <w:p>
            <w:pPr>
              <w:ind w:left="60"/>
              <w:spacing w:after="0" w:line="207" w:lineRule="exact"/>
              <w:rPr>
                <w:sz w:val="20"/>
                <w:szCs w:val="20"/>
                <w:color w:val="auto"/>
              </w:rPr>
            </w:pPr>
            <w:r>
              <w:rPr>
                <w:rFonts w:ascii="Arial" w:cs="Arial" w:eastAsia="Arial" w:hAnsi="Arial"/>
                <w:sz w:val="15"/>
                <w:szCs w:val="15"/>
                <w:b w:val="1"/>
                <w:bCs w:val="1"/>
                <w:color w:val="auto"/>
              </w:rPr>
              <w:t>Steven E. West</w:t>
            </w:r>
            <w:r>
              <w:rPr>
                <w:rFonts w:ascii="Arial" w:cs="Arial" w:eastAsia="Arial" w:hAnsi="Arial"/>
                <w:sz w:val="24"/>
                <w:szCs w:val="24"/>
                <w:b w:val="1"/>
                <w:bCs w:val="1"/>
                <w:color w:val="auto"/>
                <w:vertAlign w:val="superscript"/>
              </w:rPr>
              <w:t>(4)</w:t>
            </w:r>
          </w:p>
        </w:tc>
        <w:tc>
          <w:tcPr>
            <w:tcW w:w="298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26F2A"/>
            </w:tcBorders>
          </w:tcPr>
          <w:p>
            <w:pPr>
              <w:jc w:val="right"/>
              <w:ind w:right="204"/>
              <w:spacing w:after="0"/>
              <w:rPr>
                <w:sz w:val="20"/>
                <w:szCs w:val="20"/>
                <w:color w:val="auto"/>
              </w:rPr>
            </w:pPr>
            <w:r>
              <w:rPr>
                <w:rFonts w:ascii="Arial" w:cs="Arial" w:eastAsia="Arial" w:hAnsi="Arial"/>
                <w:sz w:val="15"/>
                <w:szCs w:val="15"/>
                <w:color w:val="auto"/>
              </w:rPr>
              <w:t>125,000</w:t>
            </w:r>
          </w:p>
        </w:tc>
        <w:tc>
          <w:tcPr>
            <w:tcW w:w="580" w:type="dxa"/>
            <w:vAlign w:val="bottom"/>
            <w:tcBorders>
              <w:bottom w:val="single" w:sz="8" w:color="A26F2A"/>
            </w:tcBorders>
          </w:tcPr>
          <w:p>
            <w:pPr>
              <w:ind w:left="32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26F2A"/>
            </w:tcBorders>
          </w:tcPr>
          <w:p>
            <w:pPr>
              <w:jc w:val="right"/>
              <w:ind w:right="144"/>
              <w:spacing w:after="0"/>
              <w:rPr>
                <w:sz w:val="20"/>
                <w:szCs w:val="20"/>
                <w:color w:val="auto"/>
              </w:rPr>
            </w:pPr>
            <w:r>
              <w:rPr>
                <w:rFonts w:ascii="Arial" w:cs="Arial" w:eastAsia="Arial" w:hAnsi="Arial"/>
                <w:sz w:val="15"/>
                <w:szCs w:val="15"/>
                <w:color w:val="auto"/>
              </w:rPr>
              <w:t>193,151</w:t>
            </w:r>
          </w:p>
        </w:tc>
        <w:tc>
          <w:tcPr>
            <w:tcW w:w="460" w:type="dxa"/>
            <w:vAlign w:val="bottom"/>
            <w:tcBorders>
              <w:bottom w:val="single" w:sz="8" w:color="A26F2A"/>
            </w:tcBorders>
          </w:tcPr>
          <w:p>
            <w:pPr>
              <w:jc w:val="right"/>
              <w:ind w:right="8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318,151</w:t>
            </w:r>
          </w:p>
        </w:tc>
      </w:tr>
    </w:tbl>
    <w:p>
      <w:pPr>
        <w:spacing w:after="0" w:line="56" w:lineRule="exact"/>
        <w:rPr>
          <w:sz w:val="20"/>
          <w:szCs w:val="20"/>
          <w:color w:val="auto"/>
        </w:rPr>
      </w:pPr>
    </w:p>
    <w:p>
      <w:pPr>
        <w:jc w:val="both"/>
        <w:ind w:left="300" w:hanging="299"/>
        <w:spacing w:after="0" w:line="253" w:lineRule="auto"/>
        <w:tabs>
          <w:tab w:leader="none" w:pos="300" w:val="left"/>
        </w:tabs>
        <w:numPr>
          <w:ilvl w:val="0"/>
          <w:numId w:val="126"/>
        </w:numPr>
        <w:rPr>
          <w:rFonts w:ascii="Arial" w:cs="Arial" w:eastAsia="Arial" w:hAnsi="Arial"/>
          <w:sz w:val="13"/>
          <w:szCs w:val="13"/>
          <w:i w:val="1"/>
          <w:iCs w:val="1"/>
          <w:color w:val="auto"/>
        </w:rPr>
      </w:pPr>
      <w:r>
        <w:rPr>
          <w:rFonts w:ascii="Arial" w:cs="Arial" w:eastAsia="Arial" w:hAnsi="Arial"/>
          <w:sz w:val="13"/>
          <w:szCs w:val="13"/>
          <w:i w:val="1"/>
          <w:iCs w:val="1"/>
          <w:color w:val="auto"/>
        </w:rPr>
        <w:t>Of these amounts, $30,000, $26,250, $26,250, $28,750, $23,750, $27,500, $27,500, $22,500, $33,750, $25,000 and $50,000 were payments made in December 2024 to General Brooks, Mr. Houston, Ms. Klein, Ms. Mains, Mr. Meloy, Mr. Plaumann, Mr. Reeves, Mr. Robertson, Ms. Trent, Mr. Tsuru and Mr. West, respectively, for services to be performed in the first quarter of 2025. Excluded from these amounts were payments of $33,750, $27,500, $30,000, $32,500, $26,250, $30,000, $30,000, $25,000, $37,500, $27,500 and $25,000 made in December 2025 to General Brooks, Mr. Holderness, Ms. Klein, Ms. Mains, Mr. Meloy, Mr. Plaumann, Mr. Reeves, Mr. Robertson, Ms. Trent, Mr. Tsuru and Mr. West, respectively, for services to be performed in the first quarter of 2026.</w:t>
      </w:r>
    </w:p>
    <w:p>
      <w:pPr>
        <w:spacing w:after="0" w:line="32" w:lineRule="exact"/>
        <w:rPr>
          <w:rFonts w:ascii="Arial" w:cs="Arial" w:eastAsia="Arial" w:hAnsi="Arial"/>
          <w:sz w:val="13"/>
          <w:szCs w:val="13"/>
          <w:i w:val="1"/>
          <w:iCs w:val="1"/>
          <w:color w:val="auto"/>
        </w:rPr>
      </w:pPr>
    </w:p>
    <w:p>
      <w:pPr>
        <w:jc w:val="both"/>
        <w:ind w:left="300" w:hanging="299"/>
        <w:spacing w:after="0" w:line="250" w:lineRule="auto"/>
        <w:tabs>
          <w:tab w:leader="none" w:pos="300" w:val="left"/>
        </w:tabs>
        <w:numPr>
          <w:ilvl w:val="0"/>
          <w:numId w:val="126"/>
        </w:numPr>
        <w:rPr>
          <w:rFonts w:ascii="Arial" w:cs="Arial" w:eastAsia="Arial" w:hAnsi="Arial"/>
          <w:sz w:val="13"/>
          <w:szCs w:val="13"/>
          <w:i w:val="1"/>
          <w:iCs w:val="1"/>
          <w:color w:val="auto"/>
        </w:rPr>
      </w:pPr>
      <w:r>
        <w:rPr>
          <w:rFonts w:ascii="Arial" w:cs="Arial" w:eastAsia="Arial" w:hAnsi="Arial"/>
          <w:sz w:val="13"/>
          <w:szCs w:val="13"/>
          <w:i w:val="1"/>
          <w:iCs w:val="1"/>
          <w:color w:val="auto"/>
        </w:rPr>
        <w:t>The amounts shown reflect the grant date fair value of restricted stock units granted, determined in accordance with FASB ASC Topic 718. See Note 10 to our consolidated financial statements for the fiscal year ended December 31, 2025, included in our Annual Report on Form 10-K, filed with the SEC on February 25, 2026, regarding assumptions underlying valuations of equity awards for 2025. Each non-employee director serving on the Board after the 2025 Annual Meeting on May 21, 2025 was awarded 1,417 restricted stock units on May 21, 2025, which will vest on the earlier of the one-year anniversary of the date of grant and the date of the 2026 Annual Meeting. Except for General Brooks, Mr. Holderness, Mr. Meloy, Mr. Plaumann, Mr. Reeves, Mr. Robertson and Mr. West, each of the other non-employee directors elected to defer the receipt of the vested restricted stock units granted in 2025 until separation from service as a non-employee director of the Company. No additional equity awards were received by our non-employee directors to date in 2026. Dividend equivalent rights are not reflected in the aggregate grant date fair value of the restricted stock unit awards.</w:t>
      </w:r>
    </w:p>
    <w:p>
      <w:pPr>
        <w:spacing w:after="0" w:line="33" w:lineRule="exact"/>
        <w:rPr>
          <w:rFonts w:ascii="Arial" w:cs="Arial" w:eastAsia="Arial" w:hAnsi="Arial"/>
          <w:sz w:val="13"/>
          <w:szCs w:val="13"/>
          <w:i w:val="1"/>
          <w:iCs w:val="1"/>
          <w:color w:val="auto"/>
        </w:rPr>
      </w:pPr>
    </w:p>
    <w:p>
      <w:pPr>
        <w:ind w:left="300" w:hanging="299"/>
        <w:spacing w:after="0"/>
        <w:tabs>
          <w:tab w:leader="none" w:pos="300" w:val="left"/>
        </w:tabs>
        <w:numPr>
          <w:ilvl w:val="0"/>
          <w:numId w:val="126"/>
        </w:numPr>
        <w:rPr>
          <w:rFonts w:ascii="Arial" w:cs="Arial" w:eastAsia="Arial" w:hAnsi="Arial"/>
          <w:sz w:val="13"/>
          <w:szCs w:val="13"/>
          <w:i w:val="1"/>
          <w:iCs w:val="1"/>
          <w:color w:val="auto"/>
        </w:rPr>
      </w:pPr>
      <w:r>
        <w:rPr>
          <w:rFonts w:ascii="Arial" w:cs="Arial" w:eastAsia="Arial" w:hAnsi="Arial"/>
          <w:sz w:val="13"/>
          <w:szCs w:val="13"/>
          <w:i w:val="1"/>
          <w:iCs w:val="1"/>
          <w:color w:val="auto"/>
        </w:rPr>
        <w:t>Mr. Houston did not stand for reelection at the 2025 Annual Meeting.</w:t>
      </w:r>
    </w:p>
    <w:p>
      <w:pPr>
        <w:spacing w:after="0" w:line="65" w:lineRule="exact"/>
        <w:rPr>
          <w:rFonts w:ascii="Arial" w:cs="Arial" w:eastAsia="Arial" w:hAnsi="Arial"/>
          <w:sz w:val="13"/>
          <w:szCs w:val="13"/>
          <w:i w:val="1"/>
          <w:iCs w:val="1"/>
          <w:color w:val="auto"/>
        </w:rPr>
      </w:pPr>
    </w:p>
    <w:p>
      <w:pPr>
        <w:ind w:left="300" w:hanging="299"/>
        <w:spacing w:after="0" w:line="285" w:lineRule="auto"/>
        <w:tabs>
          <w:tab w:leader="none" w:pos="300" w:val="left"/>
        </w:tabs>
        <w:numPr>
          <w:ilvl w:val="0"/>
          <w:numId w:val="126"/>
        </w:numPr>
        <w:rPr>
          <w:rFonts w:ascii="Arial" w:cs="Arial" w:eastAsia="Arial" w:hAnsi="Arial"/>
          <w:sz w:val="13"/>
          <w:szCs w:val="13"/>
          <w:i w:val="1"/>
          <w:iCs w:val="1"/>
          <w:color w:val="auto"/>
        </w:rPr>
      </w:pPr>
      <w:r>
        <w:rPr>
          <w:rFonts w:ascii="Arial" w:cs="Arial" w:eastAsia="Arial" w:hAnsi="Arial"/>
          <w:sz w:val="13"/>
          <w:szCs w:val="13"/>
          <w:i w:val="1"/>
          <w:iCs w:val="1"/>
          <w:color w:val="auto"/>
        </w:rPr>
        <w:t>Excludes the compensation awarded to Mr. West for his services as (i) a director and Chairman of the Board of Viper in 2025, which consisted of (a) $75,000 in cash and (b) a grant of 4,173 phantom units on May 20, 2025, with the grant date fair value of $172,595, and a vesting date of May 20, 2026.</w:t>
      </w:r>
    </w:p>
    <w:p>
      <w:pPr>
        <w:spacing w:after="0" w:line="211"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Director Stock Ownership Guidelines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compensation committee has adopted stock ownership and retention guidelines for our non-employee directors. The stock ownership guidelines for our executive officers who are classified as Vice President and above and described in the “Compensation Discussion and Analysis” above. The stock ownership guidelines for our non-employee directors were adopted to encourage our non-employee directors to have a meaningful stake in the Company, which encourages a focus on our long-term success, aligns directors’ interests with the interests of our stockholders and further promotes our commitment to sound corporate governance.</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Under their stock ownership guidelines, each of our non-employee directors must own an amount of our common stock equal in value to five times of the base annual retainer for non-employee directors. Stock options (whether vested or unvested) and unvested performance-based awards are not counted as shares owned for the purpose of calculating stock ownership under the guidelines.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determination of a non-employee director’s stock ownership requirement will be calculated on an annual measurement date specified by the compensation committee based on the current base retainer of such non-employee director on the measurement date. For purposes of the stock ownership and retention guidelines, the term “base retainer” means the base annual cash retainer that each non-employee director receives for his or her service on our board of directors, which does not include any fees that any non-employee director receives for his or her service as a chair of our board of directors, Chairman Emeritus (or similar role or title), Lead Independent Director, a member of a committee of our board of directors or a chair of a committee of our board of directors.</w:t>
      </w:r>
    </w:p>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compensation committee reviews compliance with the stock ownership and retention guidelines on an annual basis. As of December 31, 2025, all non-employee directors were in compliance with the stock ownership and retention guidelines.</w:t>
      </w:r>
    </w:p>
    <w:p>
      <w:pPr>
        <w:spacing w:after="0" w:line="125"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86" w:name="page87"/>
    <w:bookmarkEnd w:id="8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111760</wp:posOffset>
            </wp:positionV>
            <wp:extent cx="136525" cy="1170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6525" cy="117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80"/>
        <w:spacing w:after="0"/>
        <w:rPr>
          <w:sz w:val="20"/>
          <w:szCs w:val="20"/>
          <w:color w:val="auto"/>
        </w:rPr>
      </w:pPr>
      <w:r>
        <w:rPr>
          <w:rFonts w:ascii="Arial" w:cs="Arial" w:eastAsia="Arial" w:hAnsi="Arial"/>
          <w:sz w:val="44"/>
          <w:szCs w:val="44"/>
          <w:b w:val="1"/>
          <w:bCs w:val="1"/>
          <w:color w:val="auto"/>
        </w:rPr>
        <w:t>STOCK OWNERSHIP</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HOLDINGS OF MAJOR STOCKHOLDERS</w:t>
      </w:r>
    </w:p>
    <w:p>
      <w:pPr>
        <w:spacing w:after="0" w:line="31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following table sets forth certain information regarding the beneficial ownership as of March 30, 2026 of shares of our common stock by each person or entity known to us to be a beneficial owner of 5% or more of our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26F2A"/>
        </w:rPr>
        <w:t>MAJOR STOCKHOLDER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4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Name and Address of Beneficial Owner</w:t>
            </w:r>
            <w:r>
              <w:rPr>
                <w:rFonts w:ascii="Arial" w:cs="Arial" w:eastAsia="Arial" w:hAnsi="Arial"/>
                <w:sz w:val="25"/>
                <w:szCs w:val="25"/>
                <w:b w:val="1"/>
                <w:bCs w:val="1"/>
                <w:color w:val="auto"/>
                <w:vertAlign w:val="superscript"/>
              </w:rPr>
              <w:t>(1)</w:t>
            </w:r>
          </w:p>
        </w:tc>
        <w:tc>
          <w:tcPr>
            <w:tcW w:w="4360" w:type="dxa"/>
            <w:vAlign w:val="bottom"/>
          </w:tcPr>
          <w:p>
            <w:pPr>
              <w:jc w:val="right"/>
              <w:ind w:right="308"/>
              <w:spacing w:after="0"/>
              <w:rPr>
                <w:sz w:val="20"/>
                <w:szCs w:val="20"/>
                <w:color w:val="auto"/>
              </w:rPr>
            </w:pPr>
            <w:r>
              <w:rPr>
                <w:rFonts w:ascii="Arial" w:cs="Arial" w:eastAsia="Arial" w:hAnsi="Arial"/>
                <w:sz w:val="15"/>
                <w:szCs w:val="15"/>
                <w:b w:val="1"/>
                <w:bCs w:val="1"/>
                <w:color w:val="auto"/>
              </w:rPr>
              <w:t>Amount and Nature of</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420" w:type="dxa"/>
            <w:vAlign w:val="bottom"/>
            <w:tcBorders>
              <w:bottom w:val="single" w:sz="8" w:color="A26F2A"/>
            </w:tcBorders>
            <w:vMerge w:val="continue"/>
          </w:tcPr>
          <w:p>
            <w:pPr>
              <w:spacing w:after="0"/>
              <w:rPr>
                <w:sz w:val="17"/>
                <w:szCs w:val="17"/>
                <w:color w:val="auto"/>
              </w:rPr>
            </w:pPr>
          </w:p>
        </w:tc>
        <w:tc>
          <w:tcPr>
            <w:tcW w:w="4360" w:type="dxa"/>
            <w:vAlign w:val="bottom"/>
            <w:tcBorders>
              <w:bottom w:val="single" w:sz="8" w:color="A26F2A"/>
            </w:tcBorders>
          </w:tcPr>
          <w:p>
            <w:pPr>
              <w:jc w:val="right"/>
              <w:ind w:right="308"/>
              <w:spacing w:after="0"/>
              <w:rPr>
                <w:sz w:val="20"/>
                <w:szCs w:val="20"/>
                <w:color w:val="auto"/>
              </w:rPr>
            </w:pPr>
            <w:r>
              <w:rPr>
                <w:rFonts w:ascii="Arial" w:cs="Arial" w:eastAsia="Arial" w:hAnsi="Arial"/>
                <w:sz w:val="15"/>
                <w:szCs w:val="15"/>
                <w:b w:val="1"/>
                <w:bCs w:val="1"/>
                <w:color w:val="auto"/>
              </w:rPr>
              <w:t>Beneficial Ownership</w:t>
            </w:r>
          </w:p>
        </w:tc>
        <w:tc>
          <w:tcPr>
            <w:tcW w:w="1460" w:type="dxa"/>
            <w:vAlign w:val="bottom"/>
            <w:tcBorders>
              <w:bottom w:val="single" w:sz="8" w:color="A26F2A"/>
            </w:tcBorders>
          </w:tcPr>
          <w:p>
            <w:pPr>
              <w:jc w:val="right"/>
              <w:spacing w:after="0"/>
              <w:rPr>
                <w:sz w:val="20"/>
                <w:szCs w:val="20"/>
                <w:color w:val="auto"/>
              </w:rPr>
            </w:pPr>
            <w:r>
              <w:rPr>
                <w:rFonts w:ascii="Arial" w:cs="Arial" w:eastAsia="Arial" w:hAnsi="Arial"/>
                <w:sz w:val="15"/>
                <w:szCs w:val="15"/>
                <w:b w:val="1"/>
                <w:bCs w:val="1"/>
                <w:color w:val="auto"/>
              </w:rPr>
              <w:t>Percent of Class</w:t>
            </w:r>
          </w:p>
        </w:tc>
        <w:tc>
          <w:tcPr>
            <w:tcW w:w="0" w:type="dxa"/>
            <w:vAlign w:val="bottom"/>
          </w:tcPr>
          <w:p>
            <w:pPr>
              <w:spacing w:after="0"/>
              <w:rPr>
                <w:sz w:val="1"/>
                <w:szCs w:val="1"/>
                <w:color w:val="auto"/>
              </w:rPr>
            </w:pPr>
          </w:p>
        </w:tc>
      </w:tr>
      <w:tr>
        <w:trPr>
          <w:trHeight w:val="215"/>
        </w:trPr>
        <w:tc>
          <w:tcPr>
            <w:tcW w:w="5420" w:type="dxa"/>
            <w:vAlign w:val="bottom"/>
          </w:tcPr>
          <w:p>
            <w:pPr>
              <w:ind w:left="60"/>
              <w:spacing w:after="0" w:line="214" w:lineRule="exact"/>
              <w:rPr>
                <w:sz w:val="20"/>
                <w:szCs w:val="20"/>
                <w:color w:val="auto"/>
              </w:rPr>
            </w:pPr>
            <w:r>
              <w:rPr>
                <w:rFonts w:ascii="Arial" w:cs="Arial" w:eastAsia="Arial" w:hAnsi="Arial"/>
                <w:sz w:val="15"/>
                <w:szCs w:val="15"/>
                <w:b w:val="1"/>
                <w:bCs w:val="1"/>
                <w:color w:val="auto"/>
              </w:rPr>
              <w:t>SGF FANG Holdings, LP</w:t>
            </w:r>
            <w:r>
              <w:rPr>
                <w:rFonts w:ascii="Arial" w:cs="Arial" w:eastAsia="Arial" w:hAnsi="Arial"/>
                <w:sz w:val="24"/>
                <w:szCs w:val="24"/>
                <w:b w:val="1"/>
                <w:bCs w:val="1"/>
                <w:color w:val="auto"/>
                <w:vertAlign w:val="superscript"/>
              </w:rPr>
              <w:t>(2)</w:t>
            </w:r>
          </w:p>
        </w:tc>
        <w:tc>
          <w:tcPr>
            <w:tcW w:w="4360" w:type="dxa"/>
            <w:vAlign w:val="bottom"/>
          </w:tcPr>
          <w:p>
            <w:pPr>
              <w:jc w:val="right"/>
              <w:ind w:right="168"/>
              <w:spacing w:after="0" w:line="214" w:lineRule="exact"/>
              <w:rPr>
                <w:sz w:val="20"/>
                <w:szCs w:val="20"/>
                <w:color w:val="auto"/>
              </w:rPr>
            </w:pPr>
            <w:r>
              <w:rPr>
                <w:rFonts w:ascii="Arial" w:cs="Arial" w:eastAsia="Arial" w:hAnsi="Arial"/>
                <w:sz w:val="15"/>
                <w:szCs w:val="15"/>
                <w:color w:val="auto"/>
              </w:rPr>
              <w:t>84,036,722</w:t>
            </w:r>
            <w:r>
              <w:rPr>
                <w:rFonts w:ascii="Arial" w:cs="Arial" w:eastAsia="Arial" w:hAnsi="Arial"/>
                <w:sz w:val="24"/>
                <w:szCs w:val="24"/>
                <w:color w:val="auto"/>
                <w:vertAlign w:val="superscript"/>
              </w:rPr>
              <w:t>(2)</w:t>
            </w:r>
          </w:p>
        </w:tc>
        <w:tc>
          <w:tcPr>
            <w:tcW w:w="1460" w:type="dxa"/>
            <w:vAlign w:val="bottom"/>
          </w:tcPr>
          <w:p>
            <w:pPr>
              <w:jc w:val="right"/>
              <w:spacing w:after="0"/>
              <w:rPr>
                <w:sz w:val="20"/>
                <w:szCs w:val="20"/>
                <w:color w:val="auto"/>
              </w:rPr>
            </w:pPr>
            <w:r>
              <w:rPr>
                <w:rFonts w:ascii="Arial" w:cs="Arial" w:eastAsia="Arial" w:hAnsi="Arial"/>
                <w:sz w:val="15"/>
                <w:szCs w:val="15"/>
                <w:color w:val="auto"/>
              </w:rPr>
              <w:t>29.87%</w:t>
            </w:r>
          </w:p>
        </w:tc>
        <w:tc>
          <w:tcPr>
            <w:tcW w:w="0" w:type="dxa"/>
            <w:vAlign w:val="bottom"/>
          </w:tcPr>
          <w:p>
            <w:pPr>
              <w:spacing w:after="0"/>
              <w:rPr>
                <w:sz w:val="1"/>
                <w:szCs w:val="1"/>
                <w:color w:val="auto"/>
              </w:rPr>
            </w:pPr>
          </w:p>
        </w:tc>
      </w:tr>
      <w:tr>
        <w:trPr>
          <w:trHeight w:val="177"/>
        </w:trPr>
        <w:tc>
          <w:tcPr>
            <w:tcW w:w="5420" w:type="dxa"/>
            <w:vAlign w:val="bottom"/>
          </w:tcPr>
          <w:p>
            <w:pPr>
              <w:ind w:left="220"/>
              <w:spacing w:after="0"/>
              <w:rPr>
                <w:sz w:val="20"/>
                <w:szCs w:val="20"/>
                <w:color w:val="auto"/>
              </w:rPr>
            </w:pPr>
            <w:r>
              <w:rPr>
                <w:rFonts w:ascii="Arial" w:cs="Arial" w:eastAsia="Arial" w:hAnsi="Arial"/>
                <w:sz w:val="15"/>
                <w:szCs w:val="15"/>
                <w:color w:val="auto"/>
              </w:rPr>
              <w:t>c/o Kevin T. Keen, Esq.</w:t>
            </w:r>
          </w:p>
        </w:tc>
        <w:tc>
          <w:tcPr>
            <w:tcW w:w="4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420" w:type="dxa"/>
            <w:vAlign w:val="bottom"/>
          </w:tcPr>
          <w:p>
            <w:pPr>
              <w:ind w:left="220"/>
              <w:spacing w:after="0"/>
              <w:rPr>
                <w:sz w:val="20"/>
                <w:szCs w:val="20"/>
                <w:color w:val="auto"/>
              </w:rPr>
            </w:pPr>
            <w:r>
              <w:rPr>
                <w:rFonts w:ascii="Arial" w:cs="Arial" w:eastAsia="Arial" w:hAnsi="Arial"/>
                <w:sz w:val="15"/>
                <w:szCs w:val="15"/>
                <w:color w:val="auto"/>
              </w:rPr>
              <w:t>2121 N. Pearl, Suite 1100</w:t>
            </w:r>
          </w:p>
        </w:tc>
        <w:tc>
          <w:tcPr>
            <w:tcW w:w="4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420" w:type="dxa"/>
            <w:vAlign w:val="bottom"/>
            <w:tcBorders>
              <w:bottom w:val="single" w:sz="8" w:color="A8A8AC"/>
            </w:tcBorders>
          </w:tcPr>
          <w:p>
            <w:pPr>
              <w:ind w:left="220"/>
              <w:spacing w:after="0"/>
              <w:rPr>
                <w:sz w:val="20"/>
                <w:szCs w:val="20"/>
                <w:color w:val="auto"/>
              </w:rPr>
            </w:pPr>
            <w:r>
              <w:rPr>
                <w:rFonts w:ascii="Arial" w:cs="Arial" w:eastAsia="Arial" w:hAnsi="Arial"/>
                <w:sz w:val="15"/>
                <w:szCs w:val="15"/>
                <w:color w:val="auto"/>
              </w:rPr>
              <w:t>Dallas, TX 75201</w:t>
            </w:r>
          </w:p>
        </w:tc>
        <w:tc>
          <w:tcPr>
            <w:tcW w:w="4360" w:type="dxa"/>
            <w:vAlign w:val="bottom"/>
            <w:tcBorders>
              <w:bottom w:val="single" w:sz="8" w:color="A8A8AC"/>
            </w:tcBorders>
          </w:tcPr>
          <w:p>
            <w:pPr>
              <w:spacing w:after="0"/>
              <w:rPr>
                <w:sz w:val="17"/>
                <w:szCs w:val="17"/>
                <w:color w:val="auto"/>
              </w:rPr>
            </w:pPr>
          </w:p>
        </w:tc>
        <w:tc>
          <w:tcPr>
            <w:tcW w:w="1460" w:type="dxa"/>
            <w:vAlign w:val="bottom"/>
            <w:tcBorders>
              <w:bottom w:val="single" w:sz="8" w:color="A8A8AC"/>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420" w:type="dxa"/>
            <w:vAlign w:val="bottom"/>
          </w:tcPr>
          <w:p>
            <w:pPr>
              <w:ind w:left="60"/>
              <w:spacing w:after="0" w:line="171" w:lineRule="exact"/>
              <w:rPr>
                <w:sz w:val="20"/>
                <w:szCs w:val="20"/>
                <w:color w:val="auto"/>
              </w:rPr>
            </w:pPr>
            <w:r>
              <w:rPr>
                <w:rFonts w:ascii="Arial" w:cs="Arial" w:eastAsia="Arial" w:hAnsi="Arial"/>
                <w:sz w:val="15"/>
                <w:szCs w:val="15"/>
                <w:b w:val="1"/>
                <w:bCs w:val="1"/>
                <w:color w:val="auto"/>
              </w:rPr>
              <w:t>BlackRock, Inc.</w:t>
            </w:r>
          </w:p>
        </w:tc>
        <w:tc>
          <w:tcPr>
            <w:tcW w:w="4360" w:type="dxa"/>
            <w:vAlign w:val="bottom"/>
          </w:tcPr>
          <w:p>
            <w:pPr>
              <w:jc w:val="right"/>
              <w:ind w:right="168"/>
              <w:spacing w:after="0" w:line="171" w:lineRule="exact"/>
              <w:rPr>
                <w:sz w:val="20"/>
                <w:szCs w:val="20"/>
                <w:color w:val="auto"/>
              </w:rPr>
            </w:pPr>
            <w:r>
              <w:rPr>
                <w:rFonts w:ascii="Arial" w:cs="Arial" w:eastAsia="Arial" w:hAnsi="Arial"/>
                <w:sz w:val="12"/>
                <w:szCs w:val="12"/>
                <w:color w:val="auto"/>
              </w:rPr>
              <w:t>15,358,918</w:t>
            </w:r>
            <w:r>
              <w:rPr>
                <w:rFonts w:ascii="Arial" w:cs="Arial" w:eastAsia="Arial" w:hAnsi="Arial"/>
                <w:sz w:val="19"/>
                <w:szCs w:val="19"/>
                <w:color w:val="auto"/>
                <w:vertAlign w:val="superscript"/>
              </w:rPr>
              <w:t>(3)</w:t>
            </w:r>
          </w:p>
        </w:tc>
        <w:tc>
          <w:tcPr>
            <w:tcW w:w="1460" w:type="dxa"/>
            <w:vAlign w:val="bottom"/>
          </w:tcPr>
          <w:p>
            <w:pPr>
              <w:jc w:val="right"/>
              <w:spacing w:after="0" w:line="171" w:lineRule="exact"/>
              <w:rPr>
                <w:sz w:val="20"/>
                <w:szCs w:val="20"/>
                <w:color w:val="auto"/>
              </w:rPr>
            </w:pPr>
            <w:r>
              <w:rPr>
                <w:rFonts w:ascii="Arial" w:cs="Arial" w:eastAsia="Arial" w:hAnsi="Arial"/>
                <w:sz w:val="15"/>
                <w:szCs w:val="15"/>
                <w:color w:val="auto"/>
              </w:rPr>
              <w:t>5.46%</w:t>
            </w:r>
          </w:p>
        </w:tc>
        <w:tc>
          <w:tcPr>
            <w:tcW w:w="0" w:type="dxa"/>
            <w:vAlign w:val="bottom"/>
          </w:tcPr>
          <w:p>
            <w:pPr>
              <w:spacing w:after="0"/>
              <w:rPr>
                <w:sz w:val="1"/>
                <w:szCs w:val="1"/>
                <w:color w:val="auto"/>
              </w:rPr>
            </w:pPr>
          </w:p>
        </w:tc>
      </w:tr>
      <w:tr>
        <w:trPr>
          <w:trHeight w:val="177"/>
        </w:trPr>
        <w:tc>
          <w:tcPr>
            <w:tcW w:w="5420" w:type="dxa"/>
            <w:vAlign w:val="bottom"/>
          </w:tcPr>
          <w:p>
            <w:pPr>
              <w:ind w:left="220"/>
              <w:spacing w:after="0"/>
              <w:rPr>
                <w:sz w:val="20"/>
                <w:szCs w:val="20"/>
                <w:color w:val="auto"/>
              </w:rPr>
            </w:pPr>
            <w:r>
              <w:rPr>
                <w:rFonts w:ascii="Arial" w:cs="Arial" w:eastAsia="Arial" w:hAnsi="Arial"/>
                <w:sz w:val="15"/>
                <w:szCs w:val="15"/>
                <w:color w:val="auto"/>
              </w:rPr>
              <w:t>50 Hudson Yards</w:t>
            </w:r>
          </w:p>
        </w:tc>
        <w:tc>
          <w:tcPr>
            <w:tcW w:w="4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420" w:type="dxa"/>
            <w:vAlign w:val="bottom"/>
            <w:tcBorders>
              <w:bottom w:val="single" w:sz="8" w:color="A26F2A"/>
            </w:tcBorders>
          </w:tcPr>
          <w:p>
            <w:pPr>
              <w:ind w:left="220"/>
              <w:spacing w:after="0"/>
              <w:rPr>
                <w:sz w:val="20"/>
                <w:szCs w:val="20"/>
                <w:color w:val="auto"/>
              </w:rPr>
            </w:pPr>
            <w:r>
              <w:rPr>
                <w:rFonts w:ascii="Arial" w:cs="Arial" w:eastAsia="Arial" w:hAnsi="Arial"/>
                <w:sz w:val="15"/>
                <w:szCs w:val="15"/>
                <w:color w:val="auto"/>
              </w:rPr>
              <w:t>New York, NY 10001</w:t>
            </w:r>
          </w:p>
        </w:tc>
        <w:tc>
          <w:tcPr>
            <w:tcW w:w="4360" w:type="dxa"/>
            <w:vAlign w:val="bottom"/>
            <w:tcBorders>
              <w:bottom w:val="single" w:sz="8" w:color="A26F2A"/>
            </w:tcBorders>
          </w:tcPr>
          <w:p>
            <w:pPr>
              <w:spacing w:after="0"/>
              <w:rPr>
                <w:sz w:val="17"/>
                <w:szCs w:val="17"/>
                <w:color w:val="auto"/>
              </w:rPr>
            </w:pPr>
          </w:p>
        </w:tc>
        <w:tc>
          <w:tcPr>
            <w:tcW w:w="1460" w:type="dxa"/>
            <w:vAlign w:val="bottom"/>
            <w:tcBorders>
              <w:bottom w:val="single" w:sz="8" w:color="A26F2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00" w:hanging="299"/>
        <w:spacing w:after="0" w:line="285" w:lineRule="auto"/>
        <w:tabs>
          <w:tab w:leader="none" w:pos="300" w:val="left"/>
        </w:tabs>
        <w:numPr>
          <w:ilvl w:val="0"/>
          <w:numId w:val="128"/>
        </w:numPr>
        <w:rPr>
          <w:rFonts w:ascii="Arial" w:cs="Arial" w:eastAsia="Arial" w:hAnsi="Arial"/>
          <w:sz w:val="13"/>
          <w:szCs w:val="13"/>
          <w:i w:val="1"/>
          <w:iCs w:val="1"/>
          <w:color w:val="auto"/>
        </w:rPr>
      </w:pPr>
      <w:r>
        <w:rPr>
          <w:rFonts w:ascii="Arial" w:cs="Arial" w:eastAsia="Arial" w:hAnsi="Arial"/>
          <w:sz w:val="13"/>
          <w:szCs w:val="13"/>
          <w:i w:val="1"/>
          <w:iCs w:val="1"/>
          <w:color w:val="auto"/>
        </w:rPr>
        <w:t>Beneficial ownership is determined in accordance with SEC rules. The percentage of shares beneficially owned is based on 281,311,730 shares of common stock outstanding as of March 30, 2026.</w:t>
      </w:r>
    </w:p>
    <w:p>
      <w:pPr>
        <w:spacing w:after="0" w:line="10" w:lineRule="exact"/>
        <w:rPr>
          <w:rFonts w:ascii="Arial" w:cs="Arial" w:eastAsia="Arial" w:hAnsi="Arial"/>
          <w:sz w:val="13"/>
          <w:szCs w:val="13"/>
          <w:i w:val="1"/>
          <w:iCs w:val="1"/>
          <w:color w:val="auto"/>
        </w:rPr>
      </w:pPr>
    </w:p>
    <w:p>
      <w:pPr>
        <w:jc w:val="both"/>
        <w:ind w:left="300" w:hanging="299"/>
        <w:spacing w:after="0" w:line="264" w:lineRule="auto"/>
        <w:tabs>
          <w:tab w:leader="none" w:pos="300" w:val="left"/>
        </w:tabs>
        <w:numPr>
          <w:ilvl w:val="0"/>
          <w:numId w:val="128"/>
        </w:numPr>
        <w:rPr>
          <w:rFonts w:ascii="Arial" w:cs="Arial" w:eastAsia="Arial" w:hAnsi="Arial"/>
          <w:sz w:val="13"/>
          <w:szCs w:val="13"/>
          <w:i w:val="1"/>
          <w:iCs w:val="1"/>
          <w:color w:val="auto"/>
        </w:rPr>
      </w:pPr>
      <w:r>
        <w:rPr>
          <w:rFonts w:ascii="Arial" w:cs="Arial" w:eastAsia="Arial" w:hAnsi="Arial"/>
          <w:sz w:val="13"/>
          <w:szCs w:val="13"/>
          <w:i w:val="1"/>
          <w:iCs w:val="1"/>
          <w:color w:val="auto"/>
        </w:rPr>
        <w:t>Based solely on Schedule 13D/A filed by SGF FANG Holdings, LP (“SGF”) on March 16, 2026. SGF reported ownership of 84,036,722 shares of common stock, as well as the shared voting and dispositive power over all such shares. Lyndal Stephens Greth has reported voting and dispositive power over the shares of Diamondback common stock beneficially owned by SGF but disclaims beneficial ownership except to the extent of her pecuniary interest therein.</w:t>
      </w:r>
    </w:p>
    <w:p>
      <w:pPr>
        <w:spacing w:after="0" w:line="24" w:lineRule="exact"/>
        <w:rPr>
          <w:rFonts w:ascii="Arial" w:cs="Arial" w:eastAsia="Arial" w:hAnsi="Arial"/>
          <w:sz w:val="13"/>
          <w:szCs w:val="13"/>
          <w:i w:val="1"/>
          <w:iCs w:val="1"/>
          <w:color w:val="auto"/>
        </w:rPr>
      </w:pPr>
    </w:p>
    <w:p>
      <w:pPr>
        <w:jc w:val="both"/>
        <w:ind w:left="300" w:hanging="299"/>
        <w:spacing w:after="0" w:line="247" w:lineRule="auto"/>
        <w:tabs>
          <w:tab w:leader="none" w:pos="300" w:val="left"/>
        </w:tabs>
        <w:numPr>
          <w:ilvl w:val="0"/>
          <w:numId w:val="128"/>
        </w:numPr>
        <w:rPr>
          <w:rFonts w:ascii="Arial" w:cs="Arial" w:eastAsia="Arial" w:hAnsi="Arial"/>
          <w:sz w:val="13"/>
          <w:szCs w:val="13"/>
          <w:i w:val="1"/>
          <w:iCs w:val="1"/>
          <w:color w:val="auto"/>
        </w:rPr>
      </w:pPr>
      <w:r>
        <w:rPr>
          <w:rFonts w:ascii="Arial" w:cs="Arial" w:eastAsia="Arial" w:hAnsi="Arial"/>
          <w:sz w:val="13"/>
          <w:szCs w:val="13"/>
          <w:i w:val="1"/>
          <w:iCs w:val="1"/>
          <w:color w:val="auto"/>
        </w:rPr>
        <w:t>Based solely on Schedule 13G/A filed with the SEC on November 8, 2024 by BlackRock, Inc. (“BlackRock”). BlackRock reported beneficial ownership of 15,358,918 shares of common stock, as well as sole voting power over 14,322,551 shares of common stock and sole dispositive power over 15,358,918 shares of common stock. The following subsidiaries of BlackRock hold shares of Diamondback’s common stock reported on the Schedule 13G/A: BlackRock Life Limited, BlackRock International Limited, BlackRock Advisors, LLC, Aperio Group, LLC, BlackRock (Netherlands) B.V., BlackRock Institutional Trust Company, National Association, BlackRock Asset Management Ireland Limited, BlackRock Financial Management, Inc., iShares (DE) I Investmentaktiengesellschaft mit Teilgesellsc, BlackRock Japan Co., Ltd., BlackRock Asset Management Schweiz AG, BlackRock Investment Management, LLC, BlackRock Investment Management (UK) Limited, SpiderRock Advisors, LLC, BlackRock Asset Management Canada Limited, BlackRock Asset Management Deutschland AG, BlackRock (Luxembourg) S.A., BlackRock Investment Management (Australia) Limited, BlackRock Advisors (UK) Limited, BlackRock Fund Advisors, BlackRock Asset Management North Asia Limited, BlackRock (Singapore) Limited and BlackRock Fund Managers Ltd. Various persons have the right to receive or the power to direct the receipt of dividends from, or the proceeds from the sale of Diamondback common stock reported on Schedule 13G/A. No one person’s interest in such Diamondback common stock is more than 5% of the total outstanding common stock of Diamondback.</w:t>
      </w:r>
    </w:p>
    <w:p>
      <w:pPr>
        <w:spacing w:after="0" w:line="148"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87" w:name="page88"/>
    <w:bookmarkEnd w:id="8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HOLDINGS OF OFFICERS AND DIRECTORS</w:t>
      </w:r>
    </w:p>
    <w:p>
      <w:pPr>
        <w:spacing w:after="0" w:line="31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following table sets forth certain information regarding the beneficial ownership as of March 30, 2026 of shares of our common stock by each of our directors, by each named executive officer and by all directors and executive officers as a group.</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280" w:type="dxa"/>
            <w:vAlign w:val="bottom"/>
          </w:tcPr>
          <w:p>
            <w:pPr>
              <w:spacing w:after="0"/>
              <w:rPr>
                <w:sz w:val="15"/>
                <w:szCs w:val="15"/>
                <w:color w:val="auto"/>
              </w:rPr>
            </w:pPr>
          </w:p>
        </w:tc>
        <w:tc>
          <w:tcPr>
            <w:tcW w:w="3620" w:type="dxa"/>
            <w:vAlign w:val="bottom"/>
          </w:tcPr>
          <w:p>
            <w:pPr>
              <w:jc w:val="right"/>
              <w:ind w:right="24"/>
              <w:spacing w:after="0"/>
              <w:rPr>
                <w:sz w:val="20"/>
                <w:szCs w:val="20"/>
                <w:color w:val="auto"/>
              </w:rPr>
            </w:pPr>
            <w:r>
              <w:rPr>
                <w:rFonts w:ascii="Arial" w:cs="Arial" w:eastAsia="Arial" w:hAnsi="Arial"/>
                <w:sz w:val="15"/>
                <w:szCs w:val="15"/>
                <w:b w:val="1"/>
                <w:bCs w:val="1"/>
                <w:color w:val="auto"/>
              </w:rPr>
              <w:t>Amount and Nature</w:t>
            </w:r>
          </w:p>
        </w:tc>
        <w:tc>
          <w:tcPr>
            <w:tcW w:w="1340" w:type="dxa"/>
            <w:vAlign w:val="bottom"/>
          </w:tcPr>
          <w:p>
            <w:pPr>
              <w:spacing w:after="0"/>
              <w:rPr>
                <w:sz w:val="15"/>
                <w:szCs w:val="15"/>
                <w:color w:val="auto"/>
              </w:rPr>
            </w:pPr>
          </w:p>
        </w:tc>
      </w:tr>
      <w:tr>
        <w:trPr>
          <w:trHeight w:val="176"/>
        </w:trPr>
        <w:tc>
          <w:tcPr>
            <w:tcW w:w="6280" w:type="dxa"/>
            <w:vAlign w:val="bottom"/>
          </w:tcPr>
          <w:p>
            <w:pPr>
              <w:spacing w:after="0"/>
              <w:rPr>
                <w:sz w:val="15"/>
                <w:szCs w:val="15"/>
                <w:color w:val="auto"/>
              </w:rPr>
            </w:pPr>
          </w:p>
        </w:tc>
        <w:tc>
          <w:tcPr>
            <w:tcW w:w="3620" w:type="dxa"/>
            <w:vAlign w:val="bottom"/>
          </w:tcPr>
          <w:p>
            <w:pPr>
              <w:jc w:val="right"/>
              <w:ind w:right="24"/>
              <w:spacing w:after="0"/>
              <w:rPr>
                <w:sz w:val="20"/>
                <w:szCs w:val="20"/>
                <w:color w:val="auto"/>
              </w:rPr>
            </w:pPr>
            <w:r>
              <w:rPr>
                <w:rFonts w:ascii="Arial" w:cs="Arial" w:eastAsia="Arial" w:hAnsi="Arial"/>
                <w:sz w:val="15"/>
                <w:szCs w:val="15"/>
                <w:b w:val="1"/>
                <w:bCs w:val="1"/>
                <w:color w:val="auto"/>
              </w:rPr>
              <w:t>of Beneficial</w:t>
            </w:r>
          </w:p>
        </w:tc>
        <w:tc>
          <w:tcPr>
            <w:tcW w:w="1340" w:type="dxa"/>
            <w:vAlign w:val="bottom"/>
          </w:tcPr>
          <w:p>
            <w:pPr>
              <w:spacing w:after="0"/>
              <w:rPr>
                <w:sz w:val="15"/>
                <w:szCs w:val="15"/>
                <w:color w:val="auto"/>
              </w:rPr>
            </w:pPr>
          </w:p>
        </w:tc>
      </w:tr>
      <w:tr>
        <w:trPr>
          <w:trHeight w:val="232"/>
        </w:trPr>
        <w:tc>
          <w:tcPr>
            <w:tcW w:w="6280" w:type="dxa"/>
            <w:vAlign w:val="bottom"/>
            <w:tcBorders>
              <w:bottom w:val="single" w:sz="8" w:color="A26F2A"/>
            </w:tcBorders>
          </w:tcPr>
          <w:p>
            <w:pPr>
              <w:ind w:left="60"/>
              <w:spacing w:after="0" w:line="227" w:lineRule="exact"/>
              <w:rPr>
                <w:sz w:val="20"/>
                <w:szCs w:val="20"/>
                <w:color w:val="auto"/>
              </w:rPr>
            </w:pPr>
            <w:r>
              <w:rPr>
                <w:rFonts w:ascii="Arial" w:cs="Arial" w:eastAsia="Arial" w:hAnsi="Arial"/>
                <w:sz w:val="15"/>
                <w:szCs w:val="15"/>
                <w:b w:val="1"/>
                <w:bCs w:val="1"/>
                <w:color w:val="auto"/>
              </w:rPr>
              <w:t>Name of Beneficial Owner</w:t>
            </w:r>
            <w:r>
              <w:rPr>
                <w:rFonts w:ascii="Arial" w:cs="Arial" w:eastAsia="Arial" w:hAnsi="Arial"/>
                <w:sz w:val="25"/>
                <w:szCs w:val="25"/>
                <w:b w:val="1"/>
                <w:bCs w:val="1"/>
                <w:color w:val="auto"/>
                <w:vertAlign w:val="superscript"/>
              </w:rPr>
              <w:t>(1)</w:t>
            </w:r>
          </w:p>
        </w:tc>
        <w:tc>
          <w:tcPr>
            <w:tcW w:w="3620" w:type="dxa"/>
            <w:vAlign w:val="bottom"/>
            <w:tcBorders>
              <w:bottom w:val="single" w:sz="8" w:color="A26F2A"/>
            </w:tcBorders>
          </w:tcPr>
          <w:p>
            <w:pPr>
              <w:jc w:val="right"/>
              <w:ind w:right="24"/>
              <w:spacing w:after="0" w:line="227" w:lineRule="exact"/>
              <w:rPr>
                <w:sz w:val="20"/>
                <w:szCs w:val="20"/>
                <w:color w:val="auto"/>
              </w:rPr>
            </w:pPr>
            <w:r>
              <w:rPr>
                <w:rFonts w:ascii="Arial" w:cs="Arial" w:eastAsia="Arial" w:hAnsi="Arial"/>
                <w:sz w:val="15"/>
                <w:szCs w:val="15"/>
                <w:b w:val="1"/>
                <w:bCs w:val="1"/>
                <w:color w:val="auto"/>
              </w:rPr>
              <w:t>Ownership</w:t>
            </w:r>
            <w:r>
              <w:rPr>
                <w:rFonts w:ascii="Arial" w:cs="Arial" w:eastAsia="Arial" w:hAnsi="Arial"/>
                <w:sz w:val="25"/>
                <w:szCs w:val="25"/>
                <w:b w:val="1"/>
                <w:bCs w:val="1"/>
                <w:color w:val="auto"/>
                <w:vertAlign w:val="superscript"/>
              </w:rPr>
              <w:t>(11)</w:t>
            </w:r>
          </w:p>
        </w:tc>
        <w:tc>
          <w:tcPr>
            <w:tcW w:w="1340" w:type="dxa"/>
            <w:vAlign w:val="bottom"/>
            <w:tcBorders>
              <w:bottom w:val="single" w:sz="8" w:color="A26F2A"/>
            </w:tcBorders>
          </w:tcPr>
          <w:p>
            <w:pPr>
              <w:jc w:val="right"/>
              <w:spacing w:after="0"/>
              <w:rPr>
                <w:sz w:val="20"/>
                <w:szCs w:val="20"/>
                <w:color w:val="auto"/>
              </w:rPr>
            </w:pPr>
            <w:r>
              <w:rPr>
                <w:rFonts w:ascii="Arial" w:cs="Arial" w:eastAsia="Arial" w:hAnsi="Arial"/>
                <w:sz w:val="15"/>
                <w:szCs w:val="15"/>
                <w:b w:val="1"/>
                <w:bCs w:val="1"/>
                <w:color w:val="auto"/>
              </w:rPr>
              <w:t>Percent of Class</w:t>
            </w:r>
          </w:p>
        </w:tc>
      </w:tr>
      <w:tr>
        <w:trPr>
          <w:trHeight w:val="215"/>
        </w:trPr>
        <w:tc>
          <w:tcPr>
            <w:tcW w:w="6280" w:type="dxa"/>
            <w:vAlign w:val="bottom"/>
            <w:tcBorders>
              <w:bottom w:val="single" w:sz="8" w:color="A8A8AC"/>
            </w:tcBorders>
          </w:tcPr>
          <w:p>
            <w:pPr>
              <w:ind w:left="60"/>
              <w:spacing w:after="0" w:line="214" w:lineRule="exact"/>
              <w:rPr>
                <w:sz w:val="20"/>
                <w:szCs w:val="20"/>
                <w:color w:val="auto"/>
              </w:rPr>
            </w:pPr>
            <w:r>
              <w:rPr>
                <w:rFonts w:ascii="Arial" w:cs="Arial" w:eastAsia="Arial" w:hAnsi="Arial"/>
                <w:sz w:val="15"/>
                <w:szCs w:val="15"/>
                <w:b w:val="1"/>
                <w:bCs w:val="1"/>
                <w:color w:val="auto"/>
              </w:rPr>
              <w:t>Travis D. Stice</w:t>
            </w:r>
            <w:r>
              <w:rPr>
                <w:rFonts w:ascii="Arial" w:cs="Arial" w:eastAsia="Arial" w:hAnsi="Arial"/>
                <w:sz w:val="24"/>
                <w:szCs w:val="24"/>
                <w:b w:val="1"/>
                <w:bCs w:val="1"/>
                <w:color w:val="auto"/>
                <w:vertAlign w:val="superscript"/>
              </w:rPr>
              <w:t>(2)</w:t>
            </w:r>
          </w:p>
        </w:tc>
        <w:tc>
          <w:tcPr>
            <w:tcW w:w="3620" w:type="dxa"/>
            <w:vAlign w:val="bottom"/>
            <w:tcBorders>
              <w:bottom w:val="single" w:sz="8" w:color="A8A8AC"/>
            </w:tcBorders>
          </w:tcPr>
          <w:p>
            <w:pPr>
              <w:jc w:val="right"/>
              <w:ind w:right="24"/>
              <w:spacing w:after="0"/>
              <w:rPr>
                <w:sz w:val="20"/>
                <w:szCs w:val="20"/>
                <w:color w:val="auto"/>
              </w:rPr>
            </w:pPr>
            <w:r>
              <w:rPr>
                <w:rFonts w:ascii="Arial" w:cs="Arial" w:eastAsia="Arial" w:hAnsi="Arial"/>
                <w:sz w:val="15"/>
                <w:szCs w:val="15"/>
                <w:color w:val="auto"/>
              </w:rPr>
              <w:t>405,690</w:t>
            </w:r>
          </w:p>
        </w:tc>
        <w:tc>
          <w:tcPr>
            <w:tcW w:w="13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80" w:type="dxa"/>
            <w:vAlign w:val="bottom"/>
            <w:tcBorders>
              <w:bottom w:val="single" w:sz="8" w:color="A8A8AC"/>
            </w:tcBorders>
          </w:tcPr>
          <w:p>
            <w:pPr>
              <w:ind w:left="60"/>
              <w:spacing w:after="0" w:line="207" w:lineRule="exact"/>
              <w:rPr>
                <w:sz w:val="20"/>
                <w:szCs w:val="20"/>
                <w:color w:val="auto"/>
              </w:rPr>
            </w:pPr>
            <w:r>
              <w:rPr>
                <w:rFonts w:ascii="Arial" w:cs="Arial" w:eastAsia="Arial" w:hAnsi="Arial"/>
                <w:sz w:val="15"/>
                <w:szCs w:val="15"/>
                <w:b w:val="1"/>
                <w:bCs w:val="1"/>
                <w:color w:val="auto"/>
              </w:rPr>
              <w:t>Kaes Van’t Hof</w:t>
            </w:r>
            <w:r>
              <w:rPr>
                <w:rFonts w:ascii="Arial" w:cs="Arial" w:eastAsia="Arial" w:hAnsi="Arial"/>
                <w:sz w:val="24"/>
                <w:szCs w:val="24"/>
                <w:b w:val="1"/>
                <w:bCs w:val="1"/>
                <w:color w:val="auto"/>
                <w:vertAlign w:val="superscript"/>
              </w:rPr>
              <w:t>(3)</w:t>
            </w:r>
          </w:p>
        </w:tc>
        <w:tc>
          <w:tcPr>
            <w:tcW w:w="3620" w:type="dxa"/>
            <w:vAlign w:val="bottom"/>
            <w:tcBorders>
              <w:bottom w:val="single" w:sz="8" w:color="A8A8AC"/>
            </w:tcBorders>
          </w:tcPr>
          <w:p>
            <w:pPr>
              <w:jc w:val="right"/>
              <w:ind w:right="24"/>
              <w:spacing w:after="0"/>
              <w:rPr>
                <w:sz w:val="20"/>
                <w:szCs w:val="20"/>
                <w:color w:val="auto"/>
              </w:rPr>
            </w:pPr>
            <w:r>
              <w:rPr>
                <w:rFonts w:ascii="Arial" w:cs="Arial" w:eastAsia="Arial" w:hAnsi="Arial"/>
                <w:sz w:val="15"/>
                <w:szCs w:val="15"/>
                <w:color w:val="auto"/>
              </w:rPr>
              <w:t>120,026</w:t>
            </w:r>
          </w:p>
        </w:tc>
        <w:tc>
          <w:tcPr>
            <w:tcW w:w="13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80" w:type="dxa"/>
            <w:vAlign w:val="bottom"/>
            <w:tcBorders>
              <w:bottom w:val="single" w:sz="8" w:color="A8A8AC"/>
            </w:tcBorders>
          </w:tcPr>
          <w:p>
            <w:pPr>
              <w:ind w:left="60"/>
              <w:spacing w:after="0" w:line="207" w:lineRule="exact"/>
              <w:rPr>
                <w:sz w:val="20"/>
                <w:szCs w:val="20"/>
                <w:color w:val="auto"/>
              </w:rPr>
            </w:pPr>
            <w:r>
              <w:rPr>
                <w:rFonts w:ascii="Arial" w:cs="Arial" w:eastAsia="Arial" w:hAnsi="Arial"/>
                <w:sz w:val="15"/>
                <w:szCs w:val="15"/>
                <w:b w:val="1"/>
                <w:bCs w:val="1"/>
                <w:color w:val="auto"/>
              </w:rPr>
              <w:t>Jere W. Thompson III</w:t>
            </w:r>
            <w:r>
              <w:rPr>
                <w:rFonts w:ascii="Arial" w:cs="Arial" w:eastAsia="Arial" w:hAnsi="Arial"/>
                <w:sz w:val="24"/>
                <w:szCs w:val="24"/>
                <w:b w:val="1"/>
                <w:bCs w:val="1"/>
                <w:color w:val="auto"/>
                <w:vertAlign w:val="superscript"/>
              </w:rPr>
              <w:t>(4)</w:t>
            </w:r>
          </w:p>
        </w:tc>
        <w:tc>
          <w:tcPr>
            <w:tcW w:w="3620" w:type="dxa"/>
            <w:vAlign w:val="bottom"/>
            <w:tcBorders>
              <w:bottom w:val="single" w:sz="8" w:color="A8A8AC"/>
            </w:tcBorders>
          </w:tcPr>
          <w:p>
            <w:pPr>
              <w:jc w:val="right"/>
              <w:ind w:right="24"/>
              <w:spacing w:after="0"/>
              <w:rPr>
                <w:sz w:val="20"/>
                <w:szCs w:val="20"/>
                <w:color w:val="auto"/>
              </w:rPr>
            </w:pPr>
            <w:r>
              <w:rPr>
                <w:rFonts w:ascii="Arial" w:cs="Arial" w:eastAsia="Arial" w:hAnsi="Arial"/>
                <w:sz w:val="15"/>
                <w:szCs w:val="15"/>
                <w:color w:val="auto"/>
              </w:rPr>
              <w:t>14,116</w:t>
            </w:r>
          </w:p>
        </w:tc>
        <w:tc>
          <w:tcPr>
            <w:tcW w:w="13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80" w:type="dxa"/>
            <w:vAlign w:val="bottom"/>
            <w:tcBorders>
              <w:bottom w:val="single" w:sz="8" w:color="A8A8AC"/>
            </w:tcBorders>
          </w:tcPr>
          <w:p>
            <w:pPr>
              <w:ind w:left="60"/>
              <w:spacing w:after="0" w:line="207" w:lineRule="exact"/>
              <w:rPr>
                <w:sz w:val="20"/>
                <w:szCs w:val="20"/>
                <w:color w:val="auto"/>
              </w:rPr>
            </w:pPr>
            <w:r>
              <w:rPr>
                <w:rFonts w:ascii="Arial" w:cs="Arial" w:eastAsia="Arial" w:hAnsi="Arial"/>
                <w:sz w:val="15"/>
                <w:szCs w:val="15"/>
                <w:b w:val="1"/>
                <w:bCs w:val="1"/>
                <w:color w:val="auto"/>
              </w:rPr>
              <w:t>Teresa L. Dick</w:t>
            </w:r>
            <w:r>
              <w:rPr>
                <w:rFonts w:ascii="Arial" w:cs="Arial" w:eastAsia="Arial" w:hAnsi="Arial"/>
                <w:sz w:val="24"/>
                <w:szCs w:val="24"/>
                <w:b w:val="1"/>
                <w:bCs w:val="1"/>
                <w:color w:val="auto"/>
                <w:vertAlign w:val="superscript"/>
              </w:rPr>
              <w:t>(5)</w:t>
            </w:r>
          </w:p>
        </w:tc>
        <w:tc>
          <w:tcPr>
            <w:tcW w:w="3620" w:type="dxa"/>
            <w:vAlign w:val="bottom"/>
            <w:tcBorders>
              <w:bottom w:val="single" w:sz="8" w:color="A8A8AC"/>
            </w:tcBorders>
          </w:tcPr>
          <w:p>
            <w:pPr>
              <w:jc w:val="right"/>
              <w:ind w:right="24"/>
              <w:spacing w:after="0"/>
              <w:rPr>
                <w:sz w:val="20"/>
                <w:szCs w:val="20"/>
                <w:color w:val="auto"/>
              </w:rPr>
            </w:pPr>
            <w:r>
              <w:rPr>
                <w:rFonts w:ascii="Arial" w:cs="Arial" w:eastAsia="Arial" w:hAnsi="Arial"/>
                <w:sz w:val="15"/>
                <w:szCs w:val="15"/>
                <w:color w:val="auto"/>
              </w:rPr>
              <w:t>97,397</w:t>
            </w:r>
          </w:p>
        </w:tc>
        <w:tc>
          <w:tcPr>
            <w:tcW w:w="13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80" w:type="dxa"/>
            <w:vAlign w:val="bottom"/>
            <w:tcBorders>
              <w:bottom w:val="single" w:sz="8" w:color="A8A8AC"/>
            </w:tcBorders>
          </w:tcPr>
          <w:p>
            <w:pPr>
              <w:ind w:left="60"/>
              <w:spacing w:after="0" w:line="207" w:lineRule="exact"/>
              <w:rPr>
                <w:sz w:val="20"/>
                <w:szCs w:val="20"/>
                <w:color w:val="auto"/>
              </w:rPr>
            </w:pPr>
            <w:r>
              <w:rPr>
                <w:rFonts w:ascii="Arial" w:cs="Arial" w:eastAsia="Arial" w:hAnsi="Arial"/>
                <w:sz w:val="15"/>
                <w:szCs w:val="15"/>
                <w:b w:val="1"/>
                <w:bCs w:val="1"/>
                <w:color w:val="auto"/>
              </w:rPr>
              <w:t>Daniel N. Wesson</w:t>
            </w:r>
            <w:r>
              <w:rPr>
                <w:rFonts w:ascii="Arial" w:cs="Arial" w:eastAsia="Arial" w:hAnsi="Arial"/>
                <w:sz w:val="24"/>
                <w:szCs w:val="24"/>
                <w:b w:val="1"/>
                <w:bCs w:val="1"/>
                <w:color w:val="auto"/>
                <w:vertAlign w:val="superscript"/>
              </w:rPr>
              <w:t>(6)</w:t>
            </w:r>
          </w:p>
        </w:tc>
        <w:tc>
          <w:tcPr>
            <w:tcW w:w="3620" w:type="dxa"/>
            <w:vAlign w:val="bottom"/>
            <w:tcBorders>
              <w:bottom w:val="single" w:sz="8" w:color="A8A8AC"/>
            </w:tcBorders>
          </w:tcPr>
          <w:p>
            <w:pPr>
              <w:jc w:val="right"/>
              <w:ind w:right="24"/>
              <w:spacing w:after="0"/>
              <w:rPr>
                <w:sz w:val="20"/>
                <w:szCs w:val="20"/>
                <w:color w:val="auto"/>
              </w:rPr>
            </w:pPr>
            <w:r>
              <w:rPr>
                <w:rFonts w:ascii="Arial" w:cs="Arial" w:eastAsia="Arial" w:hAnsi="Arial"/>
                <w:sz w:val="15"/>
                <w:szCs w:val="15"/>
                <w:color w:val="auto"/>
              </w:rPr>
              <w:t>64,023</w:t>
            </w:r>
          </w:p>
        </w:tc>
        <w:tc>
          <w:tcPr>
            <w:tcW w:w="13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80" w:type="dxa"/>
            <w:vAlign w:val="bottom"/>
            <w:tcBorders>
              <w:bottom w:val="single" w:sz="8" w:color="A8A8AC"/>
            </w:tcBorders>
          </w:tcPr>
          <w:p>
            <w:pPr>
              <w:ind w:left="60"/>
              <w:spacing w:after="0" w:line="207" w:lineRule="exact"/>
              <w:rPr>
                <w:sz w:val="20"/>
                <w:szCs w:val="20"/>
                <w:color w:val="auto"/>
              </w:rPr>
            </w:pPr>
            <w:r>
              <w:rPr>
                <w:rFonts w:ascii="Arial" w:cs="Arial" w:eastAsia="Arial" w:hAnsi="Arial"/>
                <w:sz w:val="15"/>
                <w:szCs w:val="15"/>
                <w:b w:val="1"/>
                <w:bCs w:val="1"/>
                <w:color w:val="auto"/>
              </w:rPr>
              <w:t>Matt Zmigrosky</w:t>
            </w:r>
            <w:r>
              <w:rPr>
                <w:rFonts w:ascii="Arial" w:cs="Arial" w:eastAsia="Arial" w:hAnsi="Arial"/>
                <w:sz w:val="24"/>
                <w:szCs w:val="24"/>
                <w:b w:val="1"/>
                <w:bCs w:val="1"/>
                <w:color w:val="auto"/>
                <w:vertAlign w:val="superscript"/>
              </w:rPr>
              <w:t>(7)</w:t>
            </w:r>
          </w:p>
        </w:tc>
        <w:tc>
          <w:tcPr>
            <w:tcW w:w="3620" w:type="dxa"/>
            <w:vAlign w:val="bottom"/>
            <w:tcBorders>
              <w:bottom w:val="single" w:sz="8" w:color="A8A8AC"/>
            </w:tcBorders>
          </w:tcPr>
          <w:p>
            <w:pPr>
              <w:jc w:val="right"/>
              <w:ind w:right="24"/>
              <w:spacing w:after="0"/>
              <w:rPr>
                <w:sz w:val="20"/>
                <w:szCs w:val="20"/>
                <w:color w:val="auto"/>
              </w:rPr>
            </w:pPr>
            <w:r>
              <w:rPr>
                <w:rFonts w:ascii="Arial" w:cs="Arial" w:eastAsia="Arial" w:hAnsi="Arial"/>
                <w:sz w:val="15"/>
                <w:szCs w:val="15"/>
                <w:color w:val="auto"/>
              </w:rPr>
              <w:t>40,129</w:t>
            </w:r>
          </w:p>
        </w:tc>
        <w:tc>
          <w:tcPr>
            <w:tcW w:w="13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80" w:type="dxa"/>
            <w:vAlign w:val="bottom"/>
            <w:tcBorders>
              <w:bottom w:val="single" w:sz="8" w:color="A8A8AC"/>
            </w:tcBorders>
          </w:tcPr>
          <w:p>
            <w:pPr>
              <w:ind w:left="60"/>
              <w:spacing w:after="0" w:line="207" w:lineRule="exact"/>
              <w:rPr>
                <w:sz w:val="20"/>
                <w:szCs w:val="20"/>
                <w:color w:val="auto"/>
              </w:rPr>
            </w:pPr>
            <w:r>
              <w:rPr>
                <w:rFonts w:ascii="Arial" w:cs="Arial" w:eastAsia="Arial" w:hAnsi="Arial"/>
                <w:sz w:val="15"/>
                <w:szCs w:val="15"/>
                <w:b w:val="1"/>
                <w:bCs w:val="1"/>
                <w:color w:val="auto"/>
              </w:rPr>
              <w:t>Vincent K. Brooks</w:t>
            </w:r>
            <w:r>
              <w:rPr>
                <w:rFonts w:ascii="Arial" w:cs="Arial" w:eastAsia="Arial" w:hAnsi="Arial"/>
                <w:sz w:val="24"/>
                <w:szCs w:val="24"/>
                <w:b w:val="1"/>
                <w:bCs w:val="1"/>
                <w:color w:val="auto"/>
                <w:vertAlign w:val="superscript"/>
              </w:rPr>
              <w:t>(8)(9)</w:t>
            </w:r>
          </w:p>
        </w:tc>
        <w:tc>
          <w:tcPr>
            <w:tcW w:w="3620" w:type="dxa"/>
            <w:vAlign w:val="bottom"/>
            <w:tcBorders>
              <w:bottom w:val="single" w:sz="8" w:color="A8A8AC"/>
            </w:tcBorders>
          </w:tcPr>
          <w:p>
            <w:pPr>
              <w:jc w:val="right"/>
              <w:ind w:right="24"/>
              <w:spacing w:after="0"/>
              <w:rPr>
                <w:sz w:val="20"/>
                <w:szCs w:val="20"/>
                <w:color w:val="auto"/>
              </w:rPr>
            </w:pPr>
            <w:r>
              <w:rPr>
                <w:rFonts w:ascii="Arial" w:cs="Arial" w:eastAsia="Arial" w:hAnsi="Arial"/>
                <w:sz w:val="15"/>
                <w:szCs w:val="15"/>
                <w:color w:val="auto"/>
              </w:rPr>
              <w:t>10,653</w:t>
            </w:r>
          </w:p>
        </w:tc>
        <w:tc>
          <w:tcPr>
            <w:tcW w:w="13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80" w:type="dxa"/>
            <w:vAlign w:val="bottom"/>
            <w:tcBorders>
              <w:bottom w:val="single" w:sz="8" w:color="A8A8AC"/>
            </w:tcBorders>
          </w:tcPr>
          <w:p>
            <w:pPr>
              <w:ind w:left="60"/>
              <w:spacing w:after="0" w:line="207" w:lineRule="exact"/>
              <w:rPr>
                <w:sz w:val="20"/>
                <w:szCs w:val="20"/>
                <w:color w:val="auto"/>
              </w:rPr>
            </w:pPr>
            <w:r>
              <w:rPr>
                <w:rFonts w:ascii="Arial" w:cs="Arial" w:eastAsia="Arial" w:hAnsi="Arial"/>
                <w:sz w:val="15"/>
                <w:szCs w:val="15"/>
                <w:b w:val="1"/>
                <w:bCs w:val="1"/>
                <w:color w:val="auto"/>
              </w:rPr>
              <w:t>Darin G. Holderness</w:t>
            </w:r>
            <w:r>
              <w:rPr>
                <w:rFonts w:ascii="Arial" w:cs="Arial" w:eastAsia="Arial" w:hAnsi="Arial"/>
                <w:sz w:val="24"/>
                <w:szCs w:val="24"/>
                <w:b w:val="1"/>
                <w:bCs w:val="1"/>
                <w:color w:val="auto"/>
                <w:vertAlign w:val="superscript"/>
              </w:rPr>
              <w:t>(9)</w:t>
            </w:r>
          </w:p>
        </w:tc>
        <w:tc>
          <w:tcPr>
            <w:tcW w:w="3620" w:type="dxa"/>
            <w:vAlign w:val="bottom"/>
            <w:tcBorders>
              <w:bottom w:val="single" w:sz="8" w:color="A8A8AC"/>
            </w:tcBorders>
          </w:tcPr>
          <w:p>
            <w:pPr>
              <w:jc w:val="right"/>
              <w:ind w:right="24"/>
              <w:spacing w:after="0"/>
              <w:rPr>
                <w:sz w:val="20"/>
                <w:szCs w:val="20"/>
                <w:color w:val="auto"/>
              </w:rPr>
            </w:pPr>
            <w:r>
              <w:rPr>
                <w:rFonts w:ascii="Arial" w:cs="Arial" w:eastAsia="Arial" w:hAnsi="Arial"/>
                <w:sz w:val="15"/>
                <w:szCs w:val="15"/>
                <w:color w:val="auto"/>
              </w:rPr>
              <w:t>1,816</w:t>
            </w:r>
          </w:p>
        </w:tc>
        <w:tc>
          <w:tcPr>
            <w:tcW w:w="13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80" w:type="dxa"/>
            <w:vAlign w:val="bottom"/>
            <w:tcBorders>
              <w:bottom w:val="single" w:sz="8" w:color="A8A8AC"/>
            </w:tcBorders>
          </w:tcPr>
          <w:p>
            <w:pPr>
              <w:ind w:left="60"/>
              <w:spacing w:after="0" w:line="207" w:lineRule="exact"/>
              <w:rPr>
                <w:sz w:val="20"/>
                <w:szCs w:val="20"/>
                <w:color w:val="auto"/>
              </w:rPr>
            </w:pPr>
            <w:r>
              <w:rPr>
                <w:rFonts w:ascii="Arial" w:cs="Arial" w:eastAsia="Arial" w:hAnsi="Arial"/>
                <w:sz w:val="15"/>
                <w:szCs w:val="15"/>
                <w:b w:val="1"/>
                <w:bCs w:val="1"/>
                <w:color w:val="auto"/>
              </w:rPr>
              <w:t>Rebecca A. Klein</w:t>
            </w:r>
            <w:r>
              <w:rPr>
                <w:rFonts w:ascii="Arial" w:cs="Arial" w:eastAsia="Arial" w:hAnsi="Arial"/>
                <w:sz w:val="24"/>
                <w:szCs w:val="24"/>
                <w:b w:val="1"/>
                <w:bCs w:val="1"/>
                <w:color w:val="auto"/>
                <w:vertAlign w:val="superscript"/>
              </w:rPr>
              <w:t>(9)</w:t>
            </w:r>
          </w:p>
        </w:tc>
        <w:tc>
          <w:tcPr>
            <w:tcW w:w="3620" w:type="dxa"/>
            <w:vAlign w:val="bottom"/>
            <w:tcBorders>
              <w:bottom w:val="single" w:sz="8" w:color="A8A8AC"/>
            </w:tcBorders>
          </w:tcPr>
          <w:p>
            <w:pPr>
              <w:jc w:val="right"/>
              <w:ind w:right="24"/>
              <w:spacing w:after="0"/>
              <w:rPr>
                <w:sz w:val="20"/>
                <w:szCs w:val="20"/>
                <w:color w:val="auto"/>
              </w:rPr>
            </w:pPr>
            <w:r>
              <w:rPr>
                <w:rFonts w:ascii="Arial" w:cs="Arial" w:eastAsia="Arial" w:hAnsi="Arial"/>
                <w:sz w:val="15"/>
                <w:szCs w:val="15"/>
                <w:color w:val="auto"/>
              </w:rPr>
              <w:t>5,147</w:t>
            </w:r>
          </w:p>
        </w:tc>
        <w:tc>
          <w:tcPr>
            <w:tcW w:w="13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80" w:type="dxa"/>
            <w:vAlign w:val="bottom"/>
            <w:tcBorders>
              <w:bottom w:val="single" w:sz="8" w:color="A8A8AC"/>
            </w:tcBorders>
          </w:tcPr>
          <w:p>
            <w:pPr>
              <w:ind w:left="60"/>
              <w:spacing w:after="0" w:line="207" w:lineRule="exact"/>
              <w:rPr>
                <w:sz w:val="20"/>
                <w:szCs w:val="20"/>
                <w:color w:val="auto"/>
              </w:rPr>
            </w:pPr>
            <w:r>
              <w:rPr>
                <w:rFonts w:ascii="Arial" w:cs="Arial" w:eastAsia="Arial" w:hAnsi="Arial"/>
                <w:sz w:val="15"/>
                <w:szCs w:val="15"/>
                <w:b w:val="1"/>
                <w:bCs w:val="1"/>
                <w:color w:val="auto"/>
              </w:rPr>
              <w:t>Stephanie K. Mains</w:t>
            </w:r>
            <w:r>
              <w:rPr>
                <w:rFonts w:ascii="Arial" w:cs="Arial" w:eastAsia="Arial" w:hAnsi="Arial"/>
                <w:sz w:val="24"/>
                <w:szCs w:val="24"/>
                <w:b w:val="1"/>
                <w:bCs w:val="1"/>
                <w:color w:val="auto"/>
                <w:vertAlign w:val="superscript"/>
              </w:rPr>
              <w:t>(9)</w:t>
            </w:r>
          </w:p>
        </w:tc>
        <w:tc>
          <w:tcPr>
            <w:tcW w:w="3620" w:type="dxa"/>
            <w:vAlign w:val="bottom"/>
            <w:tcBorders>
              <w:bottom w:val="single" w:sz="8" w:color="A8A8AC"/>
            </w:tcBorders>
          </w:tcPr>
          <w:p>
            <w:pPr>
              <w:jc w:val="right"/>
              <w:ind w:right="24"/>
              <w:spacing w:after="0"/>
              <w:rPr>
                <w:sz w:val="20"/>
                <w:szCs w:val="20"/>
                <w:color w:val="auto"/>
              </w:rPr>
            </w:pPr>
            <w:r>
              <w:rPr>
                <w:rFonts w:ascii="Arial" w:cs="Arial" w:eastAsia="Arial" w:hAnsi="Arial"/>
                <w:sz w:val="15"/>
                <w:szCs w:val="15"/>
                <w:color w:val="auto"/>
              </w:rPr>
              <w:t>10,653</w:t>
            </w:r>
          </w:p>
        </w:tc>
        <w:tc>
          <w:tcPr>
            <w:tcW w:w="13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80" w:type="dxa"/>
            <w:vAlign w:val="bottom"/>
            <w:tcBorders>
              <w:bottom w:val="single" w:sz="8" w:color="A8A8AC"/>
            </w:tcBorders>
          </w:tcPr>
          <w:p>
            <w:pPr>
              <w:ind w:left="60"/>
              <w:spacing w:after="0" w:line="207" w:lineRule="exact"/>
              <w:rPr>
                <w:sz w:val="20"/>
                <w:szCs w:val="20"/>
                <w:color w:val="auto"/>
              </w:rPr>
            </w:pPr>
            <w:r>
              <w:rPr>
                <w:rFonts w:ascii="Arial" w:cs="Arial" w:eastAsia="Arial" w:hAnsi="Arial"/>
                <w:sz w:val="15"/>
                <w:szCs w:val="15"/>
                <w:b w:val="1"/>
                <w:bCs w:val="1"/>
                <w:color w:val="auto"/>
              </w:rPr>
              <w:t>Charles A. Meloy</w:t>
            </w:r>
            <w:r>
              <w:rPr>
                <w:rFonts w:ascii="Arial" w:cs="Arial" w:eastAsia="Arial" w:hAnsi="Arial"/>
                <w:sz w:val="24"/>
                <w:szCs w:val="24"/>
                <w:b w:val="1"/>
                <w:bCs w:val="1"/>
                <w:color w:val="auto"/>
                <w:vertAlign w:val="superscript"/>
              </w:rPr>
              <w:t>(9)(10)</w:t>
            </w:r>
          </w:p>
        </w:tc>
        <w:tc>
          <w:tcPr>
            <w:tcW w:w="3620" w:type="dxa"/>
            <w:vAlign w:val="bottom"/>
            <w:tcBorders>
              <w:bottom w:val="single" w:sz="8" w:color="A8A8AC"/>
            </w:tcBorders>
          </w:tcPr>
          <w:p>
            <w:pPr>
              <w:jc w:val="right"/>
              <w:ind w:right="24"/>
              <w:spacing w:after="0"/>
              <w:rPr>
                <w:sz w:val="20"/>
                <w:szCs w:val="20"/>
                <w:color w:val="auto"/>
              </w:rPr>
            </w:pPr>
            <w:r>
              <w:rPr>
                <w:rFonts w:ascii="Arial" w:cs="Arial" w:eastAsia="Arial" w:hAnsi="Arial"/>
                <w:sz w:val="15"/>
                <w:szCs w:val="15"/>
                <w:color w:val="auto"/>
              </w:rPr>
              <w:t>968,567</w:t>
            </w:r>
          </w:p>
        </w:tc>
        <w:tc>
          <w:tcPr>
            <w:tcW w:w="13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80" w:type="dxa"/>
            <w:vAlign w:val="bottom"/>
            <w:tcBorders>
              <w:bottom w:val="single" w:sz="8" w:color="A8A8AC"/>
            </w:tcBorders>
          </w:tcPr>
          <w:p>
            <w:pPr>
              <w:ind w:left="60"/>
              <w:spacing w:after="0" w:line="207" w:lineRule="exact"/>
              <w:rPr>
                <w:sz w:val="20"/>
                <w:szCs w:val="20"/>
                <w:color w:val="auto"/>
              </w:rPr>
            </w:pPr>
            <w:r>
              <w:rPr>
                <w:rFonts w:ascii="Arial" w:cs="Arial" w:eastAsia="Arial" w:hAnsi="Arial"/>
                <w:sz w:val="15"/>
                <w:szCs w:val="15"/>
                <w:b w:val="1"/>
                <w:bCs w:val="1"/>
                <w:color w:val="auto"/>
              </w:rPr>
              <w:t>Mark L. Plaumann</w:t>
            </w:r>
            <w:r>
              <w:rPr>
                <w:rFonts w:ascii="Arial" w:cs="Arial" w:eastAsia="Arial" w:hAnsi="Arial"/>
                <w:sz w:val="24"/>
                <w:szCs w:val="24"/>
                <w:b w:val="1"/>
                <w:bCs w:val="1"/>
                <w:color w:val="auto"/>
                <w:vertAlign w:val="superscript"/>
              </w:rPr>
              <w:t>(9)</w:t>
            </w:r>
          </w:p>
        </w:tc>
        <w:tc>
          <w:tcPr>
            <w:tcW w:w="3620" w:type="dxa"/>
            <w:vAlign w:val="bottom"/>
            <w:tcBorders>
              <w:bottom w:val="single" w:sz="8" w:color="A8A8AC"/>
            </w:tcBorders>
          </w:tcPr>
          <w:p>
            <w:pPr>
              <w:jc w:val="right"/>
              <w:ind w:right="24"/>
              <w:spacing w:after="0"/>
              <w:rPr>
                <w:sz w:val="20"/>
                <w:szCs w:val="20"/>
                <w:color w:val="auto"/>
              </w:rPr>
            </w:pPr>
            <w:r>
              <w:rPr>
                <w:rFonts w:ascii="Arial" w:cs="Arial" w:eastAsia="Arial" w:hAnsi="Arial"/>
                <w:sz w:val="15"/>
                <w:szCs w:val="15"/>
                <w:color w:val="auto"/>
              </w:rPr>
              <w:t>12,955</w:t>
            </w:r>
          </w:p>
        </w:tc>
        <w:tc>
          <w:tcPr>
            <w:tcW w:w="13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80" w:type="dxa"/>
            <w:vAlign w:val="bottom"/>
            <w:tcBorders>
              <w:bottom w:val="single" w:sz="8" w:color="A8A8AC"/>
            </w:tcBorders>
          </w:tcPr>
          <w:p>
            <w:pPr>
              <w:ind w:left="60"/>
              <w:spacing w:after="0" w:line="207" w:lineRule="exact"/>
              <w:rPr>
                <w:sz w:val="20"/>
                <w:szCs w:val="20"/>
                <w:color w:val="auto"/>
              </w:rPr>
            </w:pPr>
            <w:r>
              <w:rPr>
                <w:rFonts w:ascii="Arial" w:cs="Arial" w:eastAsia="Arial" w:hAnsi="Arial"/>
                <w:sz w:val="15"/>
                <w:szCs w:val="15"/>
                <w:b w:val="1"/>
                <w:bCs w:val="1"/>
                <w:color w:val="auto"/>
              </w:rPr>
              <w:t>Robert. K Reeves</w:t>
            </w:r>
            <w:r>
              <w:rPr>
                <w:rFonts w:ascii="Arial" w:cs="Arial" w:eastAsia="Arial" w:hAnsi="Arial"/>
                <w:sz w:val="24"/>
                <w:szCs w:val="24"/>
                <w:b w:val="1"/>
                <w:bCs w:val="1"/>
                <w:color w:val="auto"/>
                <w:vertAlign w:val="superscript"/>
              </w:rPr>
              <w:t>(9)</w:t>
            </w:r>
          </w:p>
        </w:tc>
        <w:tc>
          <w:tcPr>
            <w:tcW w:w="3620" w:type="dxa"/>
            <w:vAlign w:val="bottom"/>
            <w:tcBorders>
              <w:bottom w:val="single" w:sz="8" w:color="A8A8AC"/>
            </w:tcBorders>
          </w:tcPr>
          <w:p>
            <w:pPr>
              <w:jc w:val="right"/>
              <w:ind w:right="24"/>
              <w:spacing w:after="0"/>
              <w:rPr>
                <w:sz w:val="20"/>
                <w:szCs w:val="20"/>
                <w:color w:val="auto"/>
              </w:rPr>
            </w:pPr>
            <w:r>
              <w:rPr>
                <w:rFonts w:ascii="Arial" w:cs="Arial" w:eastAsia="Arial" w:hAnsi="Arial"/>
                <w:sz w:val="15"/>
                <w:szCs w:val="15"/>
                <w:color w:val="auto"/>
              </w:rPr>
              <w:t>5,084</w:t>
            </w:r>
          </w:p>
        </w:tc>
        <w:tc>
          <w:tcPr>
            <w:tcW w:w="13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80" w:type="dxa"/>
            <w:vAlign w:val="bottom"/>
            <w:tcBorders>
              <w:bottom w:val="single" w:sz="8" w:color="A8A8AC"/>
            </w:tcBorders>
          </w:tcPr>
          <w:p>
            <w:pPr>
              <w:ind w:left="60"/>
              <w:spacing w:after="0" w:line="207" w:lineRule="exact"/>
              <w:rPr>
                <w:sz w:val="20"/>
                <w:szCs w:val="20"/>
                <w:color w:val="auto"/>
              </w:rPr>
            </w:pPr>
            <w:r>
              <w:rPr>
                <w:rFonts w:ascii="Arial" w:cs="Arial" w:eastAsia="Arial" w:hAnsi="Arial"/>
                <w:sz w:val="15"/>
                <w:szCs w:val="15"/>
                <w:b w:val="1"/>
                <w:bCs w:val="1"/>
                <w:color w:val="auto"/>
              </w:rPr>
              <w:t>Lance W. Robertson</w:t>
            </w:r>
            <w:r>
              <w:rPr>
                <w:rFonts w:ascii="Arial" w:cs="Arial" w:eastAsia="Arial" w:hAnsi="Arial"/>
                <w:sz w:val="24"/>
                <w:szCs w:val="24"/>
                <w:b w:val="1"/>
                <w:bCs w:val="1"/>
                <w:color w:val="auto"/>
                <w:vertAlign w:val="superscript"/>
              </w:rPr>
              <w:t>(9)</w:t>
            </w:r>
          </w:p>
        </w:tc>
        <w:tc>
          <w:tcPr>
            <w:tcW w:w="3620" w:type="dxa"/>
            <w:vAlign w:val="bottom"/>
            <w:tcBorders>
              <w:bottom w:val="single" w:sz="8" w:color="A8A8AC"/>
            </w:tcBorders>
          </w:tcPr>
          <w:p>
            <w:pPr>
              <w:jc w:val="right"/>
              <w:ind w:right="24"/>
              <w:spacing w:after="0"/>
              <w:rPr>
                <w:sz w:val="20"/>
                <w:szCs w:val="20"/>
                <w:color w:val="auto"/>
              </w:rPr>
            </w:pPr>
            <w:r>
              <w:rPr>
                <w:rFonts w:ascii="Arial" w:cs="Arial" w:eastAsia="Arial" w:hAnsi="Arial"/>
                <w:sz w:val="15"/>
                <w:szCs w:val="15"/>
                <w:color w:val="auto"/>
              </w:rPr>
              <w:t>9,017</w:t>
            </w:r>
          </w:p>
        </w:tc>
        <w:tc>
          <w:tcPr>
            <w:tcW w:w="13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80" w:type="dxa"/>
            <w:vAlign w:val="bottom"/>
            <w:tcBorders>
              <w:bottom w:val="single" w:sz="8" w:color="A8A8AC"/>
            </w:tcBorders>
          </w:tcPr>
          <w:p>
            <w:pPr>
              <w:ind w:left="60"/>
              <w:spacing w:after="0" w:line="207" w:lineRule="exact"/>
              <w:rPr>
                <w:sz w:val="20"/>
                <w:szCs w:val="20"/>
                <w:color w:val="auto"/>
              </w:rPr>
            </w:pPr>
            <w:r>
              <w:rPr>
                <w:rFonts w:ascii="Arial" w:cs="Arial" w:eastAsia="Arial" w:hAnsi="Arial"/>
                <w:sz w:val="15"/>
                <w:szCs w:val="15"/>
                <w:b w:val="1"/>
                <w:bCs w:val="1"/>
                <w:color w:val="auto"/>
              </w:rPr>
              <w:t>Melanie M. Trent</w:t>
            </w:r>
            <w:r>
              <w:rPr>
                <w:rFonts w:ascii="Arial" w:cs="Arial" w:eastAsia="Arial" w:hAnsi="Arial"/>
                <w:sz w:val="24"/>
                <w:szCs w:val="24"/>
                <w:b w:val="1"/>
                <w:bCs w:val="1"/>
                <w:color w:val="auto"/>
                <w:vertAlign w:val="superscript"/>
              </w:rPr>
              <w:t>(9)</w:t>
            </w:r>
          </w:p>
        </w:tc>
        <w:tc>
          <w:tcPr>
            <w:tcW w:w="3620" w:type="dxa"/>
            <w:vAlign w:val="bottom"/>
            <w:tcBorders>
              <w:bottom w:val="single" w:sz="8" w:color="A8A8AC"/>
            </w:tcBorders>
          </w:tcPr>
          <w:p>
            <w:pPr>
              <w:jc w:val="right"/>
              <w:ind w:right="24"/>
              <w:spacing w:after="0"/>
              <w:rPr>
                <w:sz w:val="20"/>
                <w:szCs w:val="20"/>
                <w:color w:val="auto"/>
              </w:rPr>
            </w:pPr>
            <w:r>
              <w:rPr>
                <w:rFonts w:ascii="Arial" w:cs="Arial" w:eastAsia="Arial" w:hAnsi="Arial"/>
                <w:sz w:val="15"/>
                <w:szCs w:val="15"/>
                <w:color w:val="auto"/>
              </w:rPr>
              <w:t>14,057</w:t>
            </w:r>
          </w:p>
        </w:tc>
        <w:tc>
          <w:tcPr>
            <w:tcW w:w="13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80" w:type="dxa"/>
            <w:vAlign w:val="bottom"/>
            <w:tcBorders>
              <w:bottom w:val="single" w:sz="8" w:color="A8A8AC"/>
            </w:tcBorders>
          </w:tcPr>
          <w:p>
            <w:pPr>
              <w:ind w:left="60"/>
              <w:spacing w:after="0" w:line="207" w:lineRule="exact"/>
              <w:rPr>
                <w:sz w:val="20"/>
                <w:szCs w:val="20"/>
                <w:color w:val="auto"/>
              </w:rPr>
            </w:pPr>
            <w:r>
              <w:rPr>
                <w:rFonts w:ascii="Arial" w:cs="Arial" w:eastAsia="Arial" w:hAnsi="Arial"/>
                <w:sz w:val="15"/>
                <w:szCs w:val="15"/>
                <w:b w:val="1"/>
                <w:bCs w:val="1"/>
                <w:color w:val="auto"/>
              </w:rPr>
              <w:t>Frank D. Tsuru</w:t>
            </w:r>
            <w:r>
              <w:rPr>
                <w:rFonts w:ascii="Arial" w:cs="Arial" w:eastAsia="Arial" w:hAnsi="Arial"/>
                <w:sz w:val="24"/>
                <w:szCs w:val="24"/>
                <w:b w:val="1"/>
                <w:bCs w:val="1"/>
                <w:color w:val="auto"/>
                <w:vertAlign w:val="superscript"/>
              </w:rPr>
              <w:t>(9)</w:t>
            </w:r>
          </w:p>
        </w:tc>
        <w:tc>
          <w:tcPr>
            <w:tcW w:w="3620" w:type="dxa"/>
            <w:vAlign w:val="bottom"/>
            <w:tcBorders>
              <w:bottom w:val="single" w:sz="8" w:color="A8A8AC"/>
            </w:tcBorders>
          </w:tcPr>
          <w:p>
            <w:pPr>
              <w:jc w:val="right"/>
              <w:ind w:right="24"/>
              <w:spacing w:after="0"/>
              <w:rPr>
                <w:sz w:val="20"/>
                <w:szCs w:val="20"/>
                <w:color w:val="auto"/>
              </w:rPr>
            </w:pPr>
            <w:r>
              <w:rPr>
                <w:rFonts w:ascii="Arial" w:cs="Arial" w:eastAsia="Arial" w:hAnsi="Arial"/>
                <w:sz w:val="15"/>
                <w:szCs w:val="15"/>
                <w:color w:val="auto"/>
              </w:rPr>
              <w:t>7,147</w:t>
            </w:r>
          </w:p>
        </w:tc>
        <w:tc>
          <w:tcPr>
            <w:tcW w:w="13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280" w:type="dxa"/>
            <w:vAlign w:val="bottom"/>
            <w:tcBorders>
              <w:bottom w:val="single" w:sz="8" w:color="A8A8AC"/>
            </w:tcBorders>
          </w:tcPr>
          <w:p>
            <w:pPr>
              <w:ind w:left="60"/>
              <w:spacing w:after="0" w:line="207" w:lineRule="exact"/>
              <w:rPr>
                <w:sz w:val="20"/>
                <w:szCs w:val="20"/>
                <w:color w:val="auto"/>
              </w:rPr>
            </w:pPr>
            <w:r>
              <w:rPr>
                <w:rFonts w:ascii="Arial" w:cs="Arial" w:eastAsia="Arial" w:hAnsi="Arial"/>
                <w:sz w:val="15"/>
                <w:szCs w:val="15"/>
                <w:b w:val="1"/>
                <w:bCs w:val="1"/>
                <w:color w:val="auto"/>
              </w:rPr>
              <w:t>Steven E. West</w:t>
            </w:r>
            <w:r>
              <w:rPr>
                <w:rFonts w:ascii="Arial" w:cs="Arial" w:eastAsia="Arial" w:hAnsi="Arial"/>
                <w:sz w:val="24"/>
                <w:szCs w:val="24"/>
                <w:b w:val="1"/>
                <w:bCs w:val="1"/>
                <w:color w:val="auto"/>
                <w:vertAlign w:val="superscript"/>
              </w:rPr>
              <w:t>(9)</w:t>
            </w:r>
          </w:p>
        </w:tc>
        <w:tc>
          <w:tcPr>
            <w:tcW w:w="3620" w:type="dxa"/>
            <w:vAlign w:val="bottom"/>
            <w:tcBorders>
              <w:bottom w:val="single" w:sz="8" w:color="A8A8AC"/>
            </w:tcBorders>
          </w:tcPr>
          <w:p>
            <w:pPr>
              <w:jc w:val="right"/>
              <w:ind w:right="24"/>
              <w:spacing w:after="0"/>
              <w:rPr>
                <w:sz w:val="20"/>
                <w:szCs w:val="20"/>
                <w:color w:val="auto"/>
              </w:rPr>
            </w:pPr>
            <w:r>
              <w:rPr>
                <w:rFonts w:ascii="Arial" w:cs="Arial" w:eastAsia="Arial" w:hAnsi="Arial"/>
                <w:sz w:val="15"/>
                <w:szCs w:val="15"/>
                <w:color w:val="auto"/>
              </w:rPr>
              <w:t>4,484</w:t>
            </w:r>
          </w:p>
        </w:tc>
        <w:tc>
          <w:tcPr>
            <w:tcW w:w="1340" w:type="dxa"/>
            <w:vAlign w:val="bottom"/>
            <w:tcBorders>
              <w:bottom w:val="single" w:sz="8" w:color="A8A8AC"/>
            </w:tcBorders>
          </w:tcPr>
          <w:p>
            <w:pPr>
              <w:jc w:val="right"/>
              <w:spacing w:after="0"/>
              <w:rPr>
                <w:sz w:val="20"/>
                <w:szCs w:val="20"/>
                <w:color w:val="auto"/>
              </w:rPr>
            </w:pPr>
            <w:r>
              <w:rPr>
                <w:rFonts w:ascii="Arial" w:cs="Arial" w:eastAsia="Arial" w:hAnsi="Arial"/>
                <w:sz w:val="15"/>
                <w:szCs w:val="15"/>
                <w:color w:val="auto"/>
              </w:rPr>
              <w:t>*</w:t>
            </w:r>
          </w:p>
        </w:tc>
      </w:tr>
      <w:tr>
        <w:trPr>
          <w:trHeight w:val="169"/>
        </w:trPr>
        <w:tc>
          <w:tcPr>
            <w:tcW w:w="6280" w:type="dxa"/>
            <w:vAlign w:val="bottom"/>
            <w:tcBorders>
              <w:bottom w:val="single" w:sz="8" w:color="A26F2A"/>
            </w:tcBorders>
          </w:tcPr>
          <w:p>
            <w:pPr>
              <w:ind w:left="60"/>
              <w:spacing w:after="0" w:line="169" w:lineRule="exact"/>
              <w:rPr>
                <w:sz w:val="20"/>
                <w:szCs w:val="20"/>
                <w:color w:val="auto"/>
              </w:rPr>
            </w:pPr>
            <w:r>
              <w:rPr>
                <w:rFonts w:ascii="Arial" w:cs="Arial" w:eastAsia="Arial" w:hAnsi="Arial"/>
                <w:sz w:val="15"/>
                <w:szCs w:val="15"/>
                <w:b w:val="1"/>
                <w:bCs w:val="1"/>
                <w:color w:val="auto"/>
              </w:rPr>
              <w:t>Directors and Executive Officers as a Group (19 persons)</w:t>
            </w:r>
          </w:p>
        </w:tc>
        <w:tc>
          <w:tcPr>
            <w:tcW w:w="3620" w:type="dxa"/>
            <w:vAlign w:val="bottom"/>
            <w:tcBorders>
              <w:bottom w:val="single" w:sz="8" w:color="A26F2A"/>
            </w:tcBorders>
          </w:tcPr>
          <w:p>
            <w:pPr>
              <w:jc w:val="right"/>
              <w:ind w:right="24"/>
              <w:spacing w:after="0" w:line="169" w:lineRule="exact"/>
              <w:rPr>
                <w:sz w:val="20"/>
                <w:szCs w:val="20"/>
                <w:color w:val="auto"/>
              </w:rPr>
            </w:pPr>
            <w:r>
              <w:rPr>
                <w:rFonts w:ascii="Arial" w:cs="Arial" w:eastAsia="Arial" w:hAnsi="Arial"/>
                <w:sz w:val="15"/>
                <w:szCs w:val="15"/>
                <w:color w:val="auto"/>
              </w:rPr>
              <w:t>1,810,539</w:t>
            </w:r>
          </w:p>
        </w:tc>
        <w:tc>
          <w:tcPr>
            <w:tcW w:w="1340" w:type="dxa"/>
            <w:vAlign w:val="bottom"/>
            <w:tcBorders>
              <w:bottom w:val="single" w:sz="8" w:color="A26F2A"/>
            </w:tcBorders>
          </w:tcPr>
          <w:p>
            <w:pPr>
              <w:jc w:val="right"/>
              <w:spacing w:after="0" w:line="169" w:lineRule="exact"/>
              <w:rPr>
                <w:sz w:val="20"/>
                <w:szCs w:val="20"/>
                <w:color w:val="auto"/>
              </w:rPr>
            </w:pPr>
            <w:r>
              <w:rPr>
                <w:rFonts w:ascii="Arial" w:cs="Arial" w:eastAsia="Arial" w:hAnsi="Arial"/>
                <w:sz w:val="15"/>
                <w:szCs w:val="15"/>
                <w:color w:val="auto"/>
              </w:rPr>
              <w:t>*</w:t>
            </w:r>
          </w:p>
        </w:tc>
      </w:tr>
    </w:tbl>
    <w:p>
      <w:pPr>
        <w:spacing w:after="0" w:line="56" w:lineRule="exact"/>
        <w:rPr>
          <w:sz w:val="20"/>
          <w:szCs w:val="20"/>
          <w:color w:val="auto"/>
        </w:rPr>
      </w:pPr>
    </w:p>
    <w:p>
      <w:pPr>
        <w:ind w:left="300" w:hanging="299"/>
        <w:spacing w:after="0"/>
        <w:tabs>
          <w:tab w:leader="none" w:pos="300" w:val="left"/>
        </w:tabs>
        <w:numPr>
          <w:ilvl w:val="0"/>
          <w:numId w:val="130"/>
        </w:numPr>
        <w:rPr>
          <w:rFonts w:ascii="Arial" w:cs="Arial" w:eastAsia="Arial" w:hAnsi="Arial"/>
          <w:sz w:val="13"/>
          <w:szCs w:val="13"/>
          <w:i w:val="1"/>
          <w:iCs w:val="1"/>
          <w:color w:val="auto"/>
        </w:rPr>
      </w:pPr>
      <w:r>
        <w:rPr>
          <w:rFonts w:ascii="Arial" w:cs="Arial" w:eastAsia="Arial" w:hAnsi="Arial"/>
          <w:sz w:val="13"/>
          <w:szCs w:val="13"/>
          <w:i w:val="1"/>
          <w:iCs w:val="1"/>
          <w:color w:val="auto"/>
        </w:rPr>
        <w:t>Less than 1%.</w:t>
      </w:r>
    </w:p>
    <w:p>
      <w:pPr>
        <w:spacing w:after="0" w:line="65" w:lineRule="exact"/>
        <w:rPr>
          <w:sz w:val="20"/>
          <w:szCs w:val="20"/>
          <w:color w:val="auto"/>
        </w:rPr>
      </w:pPr>
    </w:p>
    <w:p>
      <w:pPr>
        <w:jc w:val="both"/>
        <w:ind w:left="300" w:hanging="299"/>
        <w:spacing w:after="0" w:line="250" w:lineRule="auto"/>
        <w:tabs>
          <w:tab w:leader="none" w:pos="300" w:val="left"/>
        </w:tabs>
        <w:numPr>
          <w:ilvl w:val="0"/>
          <w:numId w:val="131"/>
        </w:numPr>
        <w:rPr>
          <w:rFonts w:ascii="Arial" w:cs="Arial" w:eastAsia="Arial" w:hAnsi="Arial"/>
          <w:sz w:val="13"/>
          <w:szCs w:val="13"/>
          <w:i w:val="1"/>
          <w:iCs w:val="1"/>
          <w:color w:val="auto"/>
        </w:rPr>
      </w:pPr>
      <w:r>
        <w:rPr>
          <w:rFonts w:ascii="Arial" w:cs="Arial" w:eastAsia="Arial" w:hAnsi="Arial"/>
          <w:sz w:val="13"/>
          <w:szCs w:val="13"/>
          <w:i w:val="1"/>
          <w:iCs w:val="1"/>
          <w:color w:val="auto"/>
        </w:rPr>
        <w:t>Beneficial ownership is determined in accordance with SEC rules. In computing percentage ownership of each person, (i) shares of common stock subject to options held by that person that are exercisable as of March 30, 2026, and (ii) shares of common stock subject to options or restricted stock units held by that person that are exercisable or vesting within 60 days of March 30, 2026, are all deemed to be beneficially owned. These shares, however, are not deemed outstanding for the purpose of computing the percentage ownership of each other person. The percentage of shares beneficially owned is based on 281,311,730 shares of common stock outstanding as of March 30, 2026. Unless otherwise indicated, all amounts exclude shares issuable upon the exercise of outstanding options and vesting of restricted stock units that are not exercisable and/or vested as of March 30, 2026 or within 60 days of March 30, 2026. Except as noted, each stockholder in the above table is believed to have sole voting and sole investment power with respect to the common stock beneficially held.</w:t>
      </w:r>
    </w:p>
    <w:p>
      <w:pPr>
        <w:spacing w:after="0" w:line="189" w:lineRule="exact"/>
        <w:rPr>
          <w:rFonts w:ascii="Arial" w:cs="Arial" w:eastAsia="Arial" w:hAnsi="Arial"/>
          <w:sz w:val="13"/>
          <w:szCs w:val="13"/>
          <w:i w:val="1"/>
          <w:iCs w:val="1"/>
          <w:color w:val="auto"/>
        </w:rPr>
      </w:pPr>
    </w:p>
    <w:p>
      <w:pPr>
        <w:jc w:val="both"/>
        <w:ind w:left="300" w:hanging="299"/>
        <w:spacing w:after="0" w:line="249" w:lineRule="auto"/>
        <w:tabs>
          <w:tab w:leader="none" w:pos="300" w:val="left"/>
        </w:tabs>
        <w:numPr>
          <w:ilvl w:val="0"/>
          <w:numId w:val="131"/>
        </w:numPr>
        <w:rPr>
          <w:rFonts w:ascii="Arial" w:cs="Arial" w:eastAsia="Arial" w:hAnsi="Arial"/>
          <w:sz w:val="13"/>
          <w:szCs w:val="13"/>
          <w:i w:val="1"/>
          <w:iCs w:val="1"/>
          <w:color w:val="auto"/>
        </w:rPr>
      </w:pPr>
      <w:r>
        <w:rPr>
          <w:rFonts w:ascii="Arial" w:cs="Arial" w:eastAsia="Arial" w:hAnsi="Arial"/>
          <w:sz w:val="13"/>
          <w:szCs w:val="13"/>
          <w:i w:val="1"/>
          <w:iCs w:val="1"/>
          <w:color w:val="auto"/>
        </w:rPr>
        <w:t>Reflects (i) 100,376 shares held by Mr. Stice and, (ii) 305,314 shares held by Stice Investments, Ltd. Excludes (i) 11,236 restricted stock units granted on March 1, 2025 that are scheduled to vest on March 1, 2027, (ii) 12,133 restricted stock units granted on March 1, 2026 that are scheduled to vest in two substantially equal annual installments beginning on March 1, 2027, (iii) 32,943 performance-based restricted stock units awarded to Mr. Stice on March 1, 2024 that are subject to the satisfaction of certain stockholder return performance conditions relative to Diamondback’s TSR performance peer group during the three-year performance period ending on December 31, 2026, (iv) 50,564 performance-based restricted stock units awarded to Mr. Stice on March 1, 2025 that are subject to the satisfaction of certain stockholder return performance conditions relative to Diamondback’s TSR performance peer group during the three-year performance period ending on December 31, 2027, and (v) 27,302 performance-based restricted stock units awarded to Mr. Stice on March 1, 2026 that are subject to the satisfaction of certain stockholder return performance conditions relative to Diamondback’s TSR performance peer group during the three-year performance period ending on December 31, 2028.</w:t>
      </w:r>
    </w:p>
    <w:p>
      <w:pPr>
        <w:spacing w:after="0" w:line="298"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88" w:name="page89"/>
    <w:bookmarkEnd w:id="8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8" w:lineRule="exact"/>
        <w:rPr>
          <w:sz w:val="20"/>
          <w:szCs w:val="20"/>
          <w:color w:val="auto"/>
        </w:rPr>
      </w:pPr>
    </w:p>
    <w:p>
      <w:pPr>
        <w:jc w:val="both"/>
        <w:ind w:left="300" w:hanging="299"/>
        <w:spacing w:after="0" w:line="246" w:lineRule="auto"/>
        <w:tabs>
          <w:tab w:leader="none" w:pos="300" w:val="left"/>
        </w:tabs>
        <w:numPr>
          <w:ilvl w:val="0"/>
          <w:numId w:val="132"/>
        </w:numPr>
        <w:rPr>
          <w:rFonts w:ascii="Arial" w:cs="Arial" w:eastAsia="Arial" w:hAnsi="Arial"/>
          <w:sz w:val="13"/>
          <w:szCs w:val="13"/>
          <w:i w:val="1"/>
          <w:iCs w:val="1"/>
          <w:color w:val="auto"/>
        </w:rPr>
      </w:pPr>
      <w:r>
        <w:rPr>
          <w:rFonts w:ascii="Arial" w:cs="Arial" w:eastAsia="Arial" w:hAnsi="Arial"/>
          <w:sz w:val="13"/>
          <w:szCs w:val="13"/>
          <w:i w:val="1"/>
          <w:iCs w:val="1"/>
          <w:color w:val="auto"/>
        </w:rPr>
        <w:t>Excludes (i) 6,980 restricted stock units that are scheduled to vest on March 1, 2027, (ii) 16,334 restricted stock units granted on March 1, 2026 that are scheduled to vest in two equal annual installments beginning on March 1, 2027, (iii) 5,274 restricted stock units granted on March 1, 2019 that are scheduled to vest in three substantially equal annual installments beginning on March 1, 2027, (iv) 7,911 performance-based restricted stock units awarded to Mr. Van’t Hof on March 1, 2019 that were subject to the satisfaction of certain stockholder return performance conditions relative to Diamondback’s TSR performance peer group during the three-year performance period ending on December 31, 2021 and are scheduled to vest in three remaining substantially equal annual installments beginning on March 1, 2027, (v) 13,515 performance-based restricted stock units awarded to Mr. Van’t Hof on March 1, 2024 that are subject to the satisfaction of certain stockholder return performance conditions relative to Diamondback’s TSR performance peer group during the three-year performance period ending on December 31, 2026, (vi) 16,531 performance-based restricted stock units awarded to Mr. Van’t Hof on March 1, 2025 that are subject to the satisfaction of certain stockholder return performance conditions relative to Diamondback’s TSR performance peer group during the three-year performance period ending on December 31, 2027, (vii) 14,881 performance-based restricted stock units awarded to Mr. Van’t Hof on May 21, 2025 that are subject to the satisfaction of certain stockholder return performance conditions relative to Diamondback’s TSR performance peer group during the three-year performance period ending on December 31, 2027, and (viii) 36,752 performance-based restricted stock units awarded to Mr. Van’t Hof on March 1, 2026 that are subject to the satisfaction of certain stockholder return performance conditions relative to Diamondback’s TSR performance peer group during the three-year performance period ending on December 31, 2028.</w:t>
      </w:r>
    </w:p>
    <w:p>
      <w:pPr>
        <w:spacing w:after="0" w:line="41" w:lineRule="exact"/>
        <w:rPr>
          <w:rFonts w:ascii="Arial" w:cs="Arial" w:eastAsia="Arial" w:hAnsi="Arial"/>
          <w:sz w:val="13"/>
          <w:szCs w:val="13"/>
          <w:i w:val="1"/>
          <w:iCs w:val="1"/>
          <w:color w:val="auto"/>
        </w:rPr>
      </w:pPr>
    </w:p>
    <w:p>
      <w:pPr>
        <w:jc w:val="both"/>
        <w:ind w:left="300" w:hanging="299"/>
        <w:spacing w:after="0" w:line="250" w:lineRule="auto"/>
        <w:tabs>
          <w:tab w:leader="none" w:pos="300" w:val="left"/>
        </w:tabs>
        <w:numPr>
          <w:ilvl w:val="0"/>
          <w:numId w:val="132"/>
        </w:numPr>
        <w:rPr>
          <w:rFonts w:ascii="Arial" w:cs="Arial" w:eastAsia="Arial" w:hAnsi="Arial"/>
          <w:sz w:val="13"/>
          <w:szCs w:val="13"/>
          <w:i w:val="1"/>
          <w:iCs w:val="1"/>
          <w:color w:val="auto"/>
        </w:rPr>
      </w:pPr>
      <w:r>
        <w:rPr>
          <w:rFonts w:ascii="Arial" w:cs="Arial" w:eastAsia="Arial" w:hAnsi="Arial"/>
          <w:sz w:val="13"/>
          <w:szCs w:val="13"/>
          <w:i w:val="1"/>
          <w:iCs w:val="1"/>
          <w:color w:val="auto"/>
        </w:rPr>
        <w:t>Excludes (i) 1,815 restricted stock units that are scheduled to vest on March 1, 2027, (ii) 4,044 restricted stock units granted on March 1, 2026 that are scheduled to vest in two equal installments beginning on March 1, 2027, (iii) 5,913 performance-based restricted stock units awarded to Mr. Thompson on March 1, 2024 that are subject to the satisfaction of certain stockholder return performance conditions relative to Diamondback’s TSR performance peer group during the three-year performance period ending on December 31, 2026, (iv) 8,168 performance-based restricted stock units awarded to Mr. Thompson on March 1, 2025 that are subject to the satisfaction of certain stockholder return performance conditions relative to Diamondback’s TSR performance peer group during the three-year performance period ending on December 31, 2027, and (v) 9,101 performance-based restricted stock units awarded to Mr. Thompson on March 1, 2026 that are subject to the satisfaction of certain stockholder return performance conditions relative to Diamondback’s TSR performance peer group during the three-year performance period ending on December 31, 2028.</w:t>
      </w:r>
    </w:p>
    <w:p>
      <w:pPr>
        <w:spacing w:after="0" w:line="33" w:lineRule="exact"/>
        <w:rPr>
          <w:rFonts w:ascii="Arial" w:cs="Arial" w:eastAsia="Arial" w:hAnsi="Arial"/>
          <w:sz w:val="13"/>
          <w:szCs w:val="13"/>
          <w:i w:val="1"/>
          <w:iCs w:val="1"/>
          <w:color w:val="auto"/>
        </w:rPr>
      </w:pPr>
    </w:p>
    <w:p>
      <w:pPr>
        <w:jc w:val="both"/>
        <w:ind w:left="300" w:hanging="299"/>
        <w:spacing w:after="0" w:line="250" w:lineRule="auto"/>
        <w:tabs>
          <w:tab w:leader="none" w:pos="300" w:val="left"/>
        </w:tabs>
        <w:numPr>
          <w:ilvl w:val="0"/>
          <w:numId w:val="132"/>
        </w:numPr>
        <w:rPr>
          <w:rFonts w:ascii="Arial" w:cs="Arial" w:eastAsia="Arial" w:hAnsi="Arial"/>
          <w:sz w:val="13"/>
          <w:szCs w:val="13"/>
          <w:i w:val="1"/>
          <w:iCs w:val="1"/>
          <w:color w:val="auto"/>
        </w:rPr>
      </w:pPr>
      <w:r>
        <w:rPr>
          <w:rFonts w:ascii="Arial" w:cs="Arial" w:eastAsia="Arial" w:hAnsi="Arial"/>
          <w:sz w:val="13"/>
          <w:szCs w:val="13"/>
          <w:i w:val="1"/>
          <w:iCs w:val="1"/>
          <w:color w:val="auto"/>
        </w:rPr>
        <w:t>Excludes (i) 1,858 restricted stock units that are scheduled to vest on March 1, 2027, (ii) 3,500 restricted stock units granted on March 1, 2026 that are scheduled to vest in two equal annual installments beginning on March 1, 2027, (iii) 6,926 performance-based restricted stock units awarded to Ms. Dick on March 1, 2024 that are subject to the satisfaction of certain stockholder return performance conditions relative to Diamondback’s TSR performance peer group during the three-year performance period ending on December 31, 2026, (iv) 8,363 performance-based restricted stock units awarded to Ms. Dick on March 1, 2025 that are subject to the satisfaction of certain stockholder return performance conditions relative to Diamondback’s TSR performance peer group during the three-year performance period ending on December 31, 2027, and (v) 7,876 performance-based restricted stock units awarded to Ms. Dick on March 1, 2026, that are subject to the satisfaction of certain stockholder return performance conditions relative to Diamondback’s TSR performance peer group during the three-year performance period ending on December 31, 2028.</w:t>
      </w:r>
    </w:p>
    <w:p>
      <w:pPr>
        <w:spacing w:after="0" w:line="33" w:lineRule="exact"/>
        <w:rPr>
          <w:rFonts w:ascii="Arial" w:cs="Arial" w:eastAsia="Arial" w:hAnsi="Arial"/>
          <w:sz w:val="13"/>
          <w:szCs w:val="13"/>
          <w:i w:val="1"/>
          <w:iCs w:val="1"/>
          <w:color w:val="auto"/>
        </w:rPr>
      </w:pPr>
    </w:p>
    <w:p>
      <w:pPr>
        <w:jc w:val="both"/>
        <w:ind w:left="300" w:hanging="299"/>
        <w:spacing w:after="0" w:line="247" w:lineRule="auto"/>
        <w:tabs>
          <w:tab w:leader="none" w:pos="300" w:val="left"/>
        </w:tabs>
        <w:numPr>
          <w:ilvl w:val="0"/>
          <w:numId w:val="132"/>
        </w:numPr>
        <w:rPr>
          <w:rFonts w:ascii="Arial" w:cs="Arial" w:eastAsia="Arial" w:hAnsi="Arial"/>
          <w:sz w:val="13"/>
          <w:szCs w:val="13"/>
          <w:i w:val="1"/>
          <w:iCs w:val="1"/>
          <w:color w:val="auto"/>
        </w:rPr>
      </w:pPr>
      <w:r>
        <w:rPr>
          <w:rFonts w:ascii="Arial" w:cs="Arial" w:eastAsia="Arial" w:hAnsi="Arial"/>
          <w:sz w:val="13"/>
          <w:szCs w:val="13"/>
          <w:i w:val="1"/>
          <w:iCs w:val="1"/>
          <w:color w:val="auto"/>
        </w:rPr>
        <w:t>Excludes (i) 3,543 restricted stock units that are scheduled to vest on March 1, 2027, (ii) 6,766 restricted stock units granted on March 1, 2026 that are scheduled to vest in two equal annual installments beginning on March 1, 2027, (iii) 3,957 restricted stock units granted on March 1, 2019 that are scheduled to vest in three remaining equal annual installments beginning on March 1, 2027, (iv) 5,933 performance-based restricted stock units awarded to Mr. Wesson on March 1, 2019 that were subject to the satisfaction of certain stockholder return performance conditions relative to Diamondback’s TSR performance peer group during the three-year performance period ending on December 31, 2021 and are scheduled to vest in three remaining substantially equal annual installments beginning on March 1, 2027, (v) 11,826 performance-based restricted stock units awarded to Mr. Wesson on March 1, 2024 that are subject to the satisfaction of certain stockholder return performance conditions relative to Diamondback’s TSR performance peer group during the three-year performance period ending on December 31, 2026, (vi) 15,948 performance-based restricted stock units awarded to Mr. Wesson on March 1, 2025 that are subject to the satisfaction of certain stockholder return performance conditions relative to Diamondback’s TSR performance peer group during the three-year performance period ending on December 31, 2027, and (vii) 15,226 performance-based restricted stock units awarded to Mr. Wesson on March 1, 2026 that are subject to the satisfaction of certain stockholder return performance conditions relative to Diamondback’s TSR performance peer group during the three-year performance period ending on December 31, 2028.</w:t>
      </w:r>
    </w:p>
    <w:p>
      <w:pPr>
        <w:spacing w:after="0" w:line="39" w:lineRule="exact"/>
        <w:rPr>
          <w:rFonts w:ascii="Arial" w:cs="Arial" w:eastAsia="Arial" w:hAnsi="Arial"/>
          <w:sz w:val="13"/>
          <w:szCs w:val="13"/>
          <w:i w:val="1"/>
          <w:iCs w:val="1"/>
          <w:color w:val="auto"/>
        </w:rPr>
      </w:pPr>
    </w:p>
    <w:p>
      <w:pPr>
        <w:jc w:val="both"/>
        <w:ind w:left="300" w:hanging="299"/>
        <w:spacing w:after="0" w:line="249" w:lineRule="auto"/>
        <w:tabs>
          <w:tab w:leader="none" w:pos="300" w:val="left"/>
        </w:tabs>
        <w:numPr>
          <w:ilvl w:val="0"/>
          <w:numId w:val="132"/>
        </w:numPr>
        <w:rPr>
          <w:rFonts w:ascii="Arial" w:cs="Arial" w:eastAsia="Arial" w:hAnsi="Arial"/>
          <w:sz w:val="13"/>
          <w:szCs w:val="13"/>
          <w:i w:val="1"/>
          <w:iCs w:val="1"/>
          <w:color w:val="auto"/>
        </w:rPr>
      </w:pPr>
      <w:r>
        <w:rPr>
          <w:rFonts w:ascii="Arial" w:cs="Arial" w:eastAsia="Arial" w:hAnsi="Arial"/>
          <w:sz w:val="13"/>
          <w:szCs w:val="13"/>
          <w:i w:val="1"/>
          <w:iCs w:val="1"/>
          <w:color w:val="auto"/>
        </w:rPr>
        <w:t>Excludes (i) 2,463 restricted stock units that are scheduled to vest on March 1, 2027, (ii) 5,055 restricted stock units granted on March 1, 2026 that are scheduled to vest in two substantially equal installments beginning on March 1, 2027, (iii) 8,745 restricted stock units granted on September 10, 2024 that are scheduled to vest in four substantially equal annual installments beginning on September 10, 2026, (iv) 8,447 performance-based restricted stock units awarded to Mr. Zmigrosky on March 1, 2024 that are subject to the satisfaction of certain stockholder return performance conditions relative to Diamondback’s TSR performance peer group during the three-year performance period ending on December 31, 2026, (v) 11,085 performance-based restricted stock units awarded to Mr. Zmigrosky on March 1, 2025 that are subject to the satisfaction of certain stockholder return performance conditions relative to Diamondback’s TSR performance peer group during the three-year performance period ending on December 31, 2027, and (vi) 11,376 performance-based restricted stock units awarded to Mr. Zmigrosky on March 1, 2026 that are subject to the satisfaction of certain stockholder return performance conditions relative to Diamondback’s TSR performance peer group during the three-year performance period ending on December 31, 2028.</w:t>
      </w:r>
    </w:p>
    <w:p>
      <w:pPr>
        <w:spacing w:after="0" w:line="34" w:lineRule="exact"/>
        <w:rPr>
          <w:rFonts w:ascii="Arial" w:cs="Arial" w:eastAsia="Arial" w:hAnsi="Arial"/>
          <w:sz w:val="13"/>
          <w:szCs w:val="13"/>
          <w:i w:val="1"/>
          <w:iCs w:val="1"/>
          <w:color w:val="auto"/>
        </w:rPr>
      </w:pPr>
    </w:p>
    <w:p>
      <w:pPr>
        <w:ind w:left="300" w:hanging="299"/>
        <w:spacing w:after="0"/>
        <w:tabs>
          <w:tab w:leader="none" w:pos="300" w:val="left"/>
        </w:tabs>
        <w:numPr>
          <w:ilvl w:val="0"/>
          <w:numId w:val="132"/>
        </w:numPr>
        <w:rPr>
          <w:rFonts w:ascii="Arial" w:cs="Arial" w:eastAsia="Arial" w:hAnsi="Arial"/>
          <w:sz w:val="13"/>
          <w:szCs w:val="13"/>
          <w:i w:val="1"/>
          <w:iCs w:val="1"/>
          <w:color w:val="auto"/>
        </w:rPr>
      </w:pPr>
      <w:r>
        <w:rPr>
          <w:rFonts w:ascii="Arial" w:cs="Arial" w:eastAsia="Arial" w:hAnsi="Arial"/>
          <w:sz w:val="13"/>
          <w:szCs w:val="13"/>
          <w:i w:val="1"/>
          <w:iCs w:val="1"/>
          <w:color w:val="auto"/>
        </w:rPr>
        <w:t>These shares are held by VKB Solutions, LLC, of which General Brooks is the sole member.</w:t>
      </w:r>
    </w:p>
    <w:p>
      <w:pPr>
        <w:spacing w:after="0" w:line="65" w:lineRule="exact"/>
        <w:rPr>
          <w:rFonts w:ascii="Arial" w:cs="Arial" w:eastAsia="Arial" w:hAnsi="Arial"/>
          <w:sz w:val="13"/>
          <w:szCs w:val="13"/>
          <w:i w:val="1"/>
          <w:iCs w:val="1"/>
          <w:color w:val="auto"/>
        </w:rPr>
      </w:pPr>
    </w:p>
    <w:p>
      <w:pPr>
        <w:ind w:left="300" w:hanging="299"/>
        <w:spacing w:after="0"/>
        <w:tabs>
          <w:tab w:leader="none" w:pos="300" w:val="left"/>
        </w:tabs>
        <w:numPr>
          <w:ilvl w:val="0"/>
          <w:numId w:val="132"/>
        </w:numPr>
        <w:rPr>
          <w:rFonts w:ascii="Arial" w:cs="Arial" w:eastAsia="Arial" w:hAnsi="Arial"/>
          <w:sz w:val="13"/>
          <w:szCs w:val="13"/>
          <w:i w:val="1"/>
          <w:iCs w:val="1"/>
          <w:color w:val="auto"/>
        </w:rPr>
      </w:pPr>
      <w:r>
        <w:rPr>
          <w:rFonts w:ascii="Arial" w:cs="Arial" w:eastAsia="Arial" w:hAnsi="Arial"/>
          <w:sz w:val="13"/>
          <w:szCs w:val="13"/>
          <w:i w:val="1"/>
          <w:iCs w:val="1"/>
          <w:color w:val="auto"/>
        </w:rPr>
        <w:t>Includes 1,417 restricted stock units granted on May 21, 2025, which will vest on May 20, 2026, the date of the 2026 Annual Meeting.</w:t>
      </w:r>
    </w:p>
    <w:p>
      <w:pPr>
        <w:spacing w:after="0" w:line="65" w:lineRule="exact"/>
        <w:rPr>
          <w:rFonts w:ascii="Arial" w:cs="Arial" w:eastAsia="Arial" w:hAnsi="Arial"/>
          <w:sz w:val="13"/>
          <w:szCs w:val="13"/>
          <w:i w:val="1"/>
          <w:iCs w:val="1"/>
          <w:color w:val="auto"/>
        </w:rPr>
      </w:pPr>
    </w:p>
    <w:p>
      <w:pPr>
        <w:ind w:left="300" w:hanging="299"/>
        <w:spacing w:after="0" w:line="285" w:lineRule="auto"/>
        <w:tabs>
          <w:tab w:leader="none" w:pos="300" w:val="left"/>
        </w:tabs>
        <w:numPr>
          <w:ilvl w:val="0"/>
          <w:numId w:val="132"/>
        </w:numPr>
        <w:rPr>
          <w:rFonts w:ascii="Arial" w:cs="Arial" w:eastAsia="Arial" w:hAnsi="Arial"/>
          <w:sz w:val="13"/>
          <w:szCs w:val="13"/>
          <w:i w:val="1"/>
          <w:iCs w:val="1"/>
          <w:color w:val="auto"/>
        </w:rPr>
      </w:pPr>
      <w:r>
        <w:rPr>
          <w:rFonts w:ascii="Arial" w:cs="Arial" w:eastAsia="Arial" w:hAnsi="Arial"/>
          <w:sz w:val="13"/>
          <w:szCs w:val="13"/>
          <w:i w:val="1"/>
          <w:iCs w:val="1"/>
          <w:color w:val="auto"/>
        </w:rPr>
        <w:t>Of these shares (i) 966,292 shares of Diamondback’s common stock are held by Wolfrock Energy, LLC (“Wolfrock”), and (ii) 2,275 shares are held by Mr. Meloy. Mr. Meloy is the sole manager and has voting and dispositive power over these securities.</w:t>
      </w:r>
    </w:p>
    <w:p>
      <w:pPr>
        <w:spacing w:after="0" w:line="12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89" w:name="page90"/>
    <w:bookmarkEnd w:id="8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8" w:lineRule="exact"/>
        <w:rPr>
          <w:sz w:val="20"/>
          <w:szCs w:val="20"/>
          <w:color w:val="auto"/>
        </w:rPr>
      </w:pPr>
    </w:p>
    <w:p>
      <w:pPr>
        <w:jc w:val="both"/>
        <w:ind w:left="300" w:hanging="299"/>
        <w:spacing w:after="0" w:line="245" w:lineRule="auto"/>
        <w:tabs>
          <w:tab w:leader="none" w:pos="300" w:val="left"/>
        </w:tabs>
        <w:numPr>
          <w:ilvl w:val="0"/>
          <w:numId w:val="133"/>
        </w:numPr>
        <w:rPr>
          <w:rFonts w:ascii="Arial" w:cs="Arial" w:eastAsia="Arial" w:hAnsi="Arial"/>
          <w:sz w:val="13"/>
          <w:szCs w:val="13"/>
          <w:i w:val="1"/>
          <w:iCs w:val="1"/>
          <w:color w:val="auto"/>
        </w:rPr>
      </w:pPr>
      <w:r>
        <w:rPr>
          <w:rFonts w:ascii="Arial" w:cs="Arial" w:eastAsia="Arial" w:hAnsi="Arial"/>
          <w:sz w:val="13"/>
          <w:szCs w:val="13"/>
          <w:i w:val="1"/>
          <w:iCs w:val="1"/>
          <w:color w:val="auto"/>
        </w:rPr>
        <w:t>In addition to the Company common stock reported in the table, as of March 30, 2026, our directors and named executive officers beneficially owned shares of the Class A Common Stock of Viper Energy, Inc., or Viper, as follows: Mr. Stice – 106,169; Mr. Van’t Hof – 35,362; Ms. Dick – 11,540; Mr. Wesson – 451; and Mr. Zmigrosky – 4,253, which excludes (i) performance-based restricted stock units granted on March 1, 2024 that are subject to the satisfaction of certain stockholder return performance conditions relative to Viper’s TSR performance peer group during the three-year performance period ending on December 31, 2026 as follows: Mr. Stice (indirectly, through Stice Investments Ltd., which is managed by Stice Management, LLC, its general partner, in which Mr. Stice and his spouse hold 100% of the membership interests and of which Mr. Stice is the manager) – 20,870; Mr. Van’t Hof – 20,870; Ms. Dick – 6,957; Mr. Wesson – 6,957; and Mr. Zmigrosky – 6,957, (ii) performance-based restricted stock units granted on March 1, 2025 that are subject to the satisfaction of certain stockholder return performance conditions relative to Viper’s TSR performance peer group during the three-year performance period ending on December 31, 2027 as follows: Mr. Van’t Hof – 27,074; Ms. Dick – 5,415; Mr. Wesson – 8,664; Mr. Zmigrosky – 8,664; and Mr. Thompson – 8,664, and (iii) performance-based restricted stock units granted on March 1, 2026 that are subject to the satisfaction of certain stockholder return performance conditions relative to Viper’s TSR performance peer group during the three-year performance period ending on December 31, 2028 as follows: Mr. Van’t Hof – 32,954; Ms. Dick – 5,492; Mr. Wesson – 8,788; Mr. Zmigrosky – 5,492; and Mr. Thompson – 8,788. As of March 30, 2026, Mr. West beneficially owned 32,788 shares of the Class A Common Stock of Viper, which number includes 4,173 restricted stock units that will vest on May 20, 2026. As of March 30, 2026, we owned no shares of Viper’s Class A Common Stock outstanding, or 0% and beneficially owned 142,156,718 of Viper’s Class B Common Stock outstanding, or approximately 86% (either directly or through our wholly-owned subsidiaries Diamondback E&amp;P LLC (“Diamondback E&amp;P”) and Endeavor). As of March 30, 2026, there were 194,311,958 shares of Viper’s Class A Common Stock outstanding and 164,810,547 shares of Viper’s Class B Common Stock outstanding. Viper’s Class B Common Stock is freely exchangeable by the holders thereof, together with the equal number of their units of Viper’s operating subsidiary VNOM Holding Company LLC, for the same number of shares of Viper’s Class A Common Stock. As a result, as of March 30, 2026, Diamondback may be deemed to beneficially own (directly or indirectly through Diamondback E&amp;P and Endeavor) 42.3% of Viper’s outstanding Class A Common Stock. As of March 30, 2026, our directors, nominees and executive officers collectively own 191,563 shares of Viper Class A Common Stock, and they individually and as a group own less than 1% of Viper’s outstanding Class A Common Stock and no Viper Class B Common Stock.</w:t>
      </w:r>
    </w:p>
    <w:p>
      <w:pPr>
        <w:spacing w:after="0" w:line="151"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90" w:name="page91"/>
    <w:bookmarkEnd w:id="9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111760</wp:posOffset>
            </wp:positionV>
            <wp:extent cx="136525" cy="1170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6525" cy="117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80"/>
        <w:spacing w:after="0"/>
        <w:rPr>
          <w:sz w:val="20"/>
          <w:szCs w:val="20"/>
          <w:color w:val="auto"/>
        </w:rPr>
      </w:pPr>
      <w:r>
        <w:rPr>
          <w:rFonts w:ascii="Arial" w:cs="Arial" w:eastAsia="Arial" w:hAnsi="Arial"/>
          <w:sz w:val="44"/>
          <w:szCs w:val="44"/>
          <w:b w:val="1"/>
          <w:bCs w:val="1"/>
          <w:color w:val="auto"/>
        </w:rPr>
        <w:t>STOCK PERFORMANCE GRAPH</w:t>
      </w:r>
    </w:p>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Since our initial public offering in October of 2012, our executive management has been focused not only on achieving peer-leading operational performance and cost structure in the Permian Basin, but also on creating superior stockholder value. The following performance graph includes a comparison of our cumulative total stockholder return from the first trading date following our IPO and for selected years thereafter through December 31, 2025, with the average performance of (i) our 2026 proxy peer group identified in the “Compensation Discussion and Analysis,” (ii) the subset of energy companies within our 2026 proxy peer group, (iii) the Standard &amp; Poor’s 500 Stock Index, a broad market index, or the S&amp;P 500 Index, and (iv) the SPDR S&amp;P Oil &amp; Gas Exploration and Production ETF, or XOP Index. The graph assumes an investment of $100 on such date, and that all dividends were reinvested.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COMPARATIVE CUMULATIVE 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122555</wp:posOffset>
            </wp:positionV>
            <wp:extent cx="6411595" cy="33743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411595" cy="3374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0" w:type="dxa"/>
            <w:vAlign w:val="bottom"/>
            <w:tcBorders>
              <w:bottom w:val="single" w:sz="8" w:color="A26F2A"/>
            </w:tcBorders>
          </w:tcPr>
          <w:p>
            <w:pPr>
              <w:spacing w:after="0"/>
              <w:rPr>
                <w:sz w:val="16"/>
                <w:szCs w:val="16"/>
                <w:color w:val="auto"/>
              </w:rPr>
            </w:pPr>
          </w:p>
        </w:tc>
        <w:tc>
          <w:tcPr>
            <w:tcW w:w="3040" w:type="dxa"/>
            <w:vAlign w:val="bottom"/>
            <w:tcBorders>
              <w:bottom w:val="single" w:sz="8" w:color="A26F2A"/>
            </w:tcBorders>
          </w:tcPr>
          <w:p>
            <w:pPr>
              <w:spacing w:after="0"/>
              <w:rPr>
                <w:sz w:val="16"/>
                <w:szCs w:val="16"/>
                <w:color w:val="auto"/>
              </w:rPr>
            </w:pPr>
          </w:p>
        </w:tc>
        <w:tc>
          <w:tcPr>
            <w:tcW w:w="1160" w:type="dxa"/>
            <w:vAlign w:val="bottom"/>
            <w:tcBorders>
              <w:bottom w:val="single" w:sz="8" w:color="A26F2A"/>
            </w:tcBorders>
          </w:tcPr>
          <w:p>
            <w:pPr>
              <w:spacing w:after="0"/>
              <w:rPr>
                <w:sz w:val="16"/>
                <w:szCs w:val="16"/>
                <w:color w:val="auto"/>
              </w:rPr>
            </w:pPr>
          </w:p>
        </w:tc>
        <w:tc>
          <w:tcPr>
            <w:tcW w:w="760" w:type="dxa"/>
            <w:vAlign w:val="bottom"/>
            <w:tcBorders>
              <w:bottom w:val="single" w:sz="8" w:color="A26F2A"/>
            </w:tcBorders>
          </w:tcPr>
          <w:p>
            <w:pPr>
              <w:jc w:val="right"/>
              <w:ind w:right="104"/>
              <w:spacing w:after="0"/>
              <w:rPr>
                <w:sz w:val="20"/>
                <w:szCs w:val="20"/>
                <w:color w:val="auto"/>
              </w:rPr>
            </w:pPr>
            <w:r>
              <w:rPr>
                <w:rFonts w:ascii="Arial" w:cs="Arial" w:eastAsia="Arial" w:hAnsi="Arial"/>
                <w:sz w:val="15"/>
                <w:szCs w:val="15"/>
                <w:b w:val="1"/>
                <w:bCs w:val="1"/>
                <w:color w:val="auto"/>
                <w:w w:val="95"/>
              </w:rPr>
              <w:t>10/12/12</w:t>
            </w:r>
          </w:p>
        </w:tc>
        <w:tc>
          <w:tcPr>
            <w:tcW w:w="260" w:type="dxa"/>
            <w:vAlign w:val="bottom"/>
            <w:tcBorders>
              <w:bottom w:val="single" w:sz="8" w:color="A26F2A"/>
            </w:tcBorders>
          </w:tcPr>
          <w:p>
            <w:pPr>
              <w:spacing w:after="0"/>
              <w:rPr>
                <w:sz w:val="16"/>
                <w:szCs w:val="16"/>
                <w:color w:val="auto"/>
              </w:rPr>
            </w:pPr>
          </w:p>
        </w:tc>
        <w:tc>
          <w:tcPr>
            <w:tcW w:w="760" w:type="dxa"/>
            <w:vAlign w:val="bottom"/>
            <w:tcBorders>
              <w:bottom w:val="single" w:sz="8" w:color="A26F2A"/>
            </w:tcBorders>
          </w:tcPr>
          <w:p>
            <w:pPr>
              <w:jc w:val="right"/>
              <w:ind w:right="84"/>
              <w:spacing w:after="0"/>
              <w:rPr>
                <w:sz w:val="20"/>
                <w:szCs w:val="20"/>
                <w:color w:val="auto"/>
              </w:rPr>
            </w:pPr>
            <w:r>
              <w:rPr>
                <w:rFonts w:ascii="Arial" w:cs="Arial" w:eastAsia="Arial" w:hAnsi="Arial"/>
                <w:sz w:val="15"/>
                <w:szCs w:val="15"/>
                <w:b w:val="1"/>
                <w:bCs w:val="1"/>
                <w:color w:val="auto"/>
                <w:w w:val="99"/>
              </w:rPr>
              <w:t>12/31/13</w:t>
            </w:r>
          </w:p>
        </w:tc>
        <w:tc>
          <w:tcPr>
            <w:tcW w:w="1000" w:type="dxa"/>
            <w:vAlign w:val="bottom"/>
            <w:tcBorders>
              <w:bottom w:val="single" w:sz="8" w:color="A26F2A"/>
            </w:tcBorders>
            <w:gridSpan w:val="2"/>
          </w:tcPr>
          <w:p>
            <w:pPr>
              <w:jc w:val="right"/>
              <w:ind w:right="84"/>
              <w:spacing w:after="0"/>
              <w:rPr>
                <w:sz w:val="20"/>
                <w:szCs w:val="20"/>
                <w:color w:val="auto"/>
              </w:rPr>
            </w:pPr>
            <w:r>
              <w:rPr>
                <w:rFonts w:ascii="Arial" w:cs="Arial" w:eastAsia="Arial" w:hAnsi="Arial"/>
                <w:sz w:val="15"/>
                <w:szCs w:val="15"/>
                <w:b w:val="1"/>
                <w:bCs w:val="1"/>
                <w:color w:val="auto"/>
              </w:rPr>
              <w:t>12/31/21</w:t>
            </w:r>
          </w:p>
        </w:tc>
        <w:tc>
          <w:tcPr>
            <w:tcW w:w="980" w:type="dxa"/>
            <w:vAlign w:val="bottom"/>
            <w:tcBorders>
              <w:bottom w:val="single" w:sz="8" w:color="A26F2A"/>
            </w:tcBorders>
            <w:gridSpan w:val="2"/>
          </w:tcPr>
          <w:p>
            <w:pPr>
              <w:jc w:val="right"/>
              <w:ind w:right="84"/>
              <w:spacing w:after="0"/>
              <w:rPr>
                <w:sz w:val="20"/>
                <w:szCs w:val="20"/>
                <w:color w:val="auto"/>
              </w:rPr>
            </w:pPr>
            <w:r>
              <w:rPr>
                <w:rFonts w:ascii="Arial" w:cs="Arial" w:eastAsia="Arial" w:hAnsi="Arial"/>
                <w:sz w:val="15"/>
                <w:szCs w:val="15"/>
                <w:b w:val="1"/>
                <w:bCs w:val="1"/>
                <w:color w:val="auto"/>
              </w:rPr>
              <w:t>12/30/22</w:t>
            </w:r>
          </w:p>
        </w:tc>
        <w:tc>
          <w:tcPr>
            <w:tcW w:w="240" w:type="dxa"/>
            <w:vAlign w:val="bottom"/>
            <w:tcBorders>
              <w:bottom w:val="single" w:sz="8" w:color="A26F2A"/>
            </w:tcBorders>
          </w:tcPr>
          <w:p>
            <w:pPr>
              <w:spacing w:after="0"/>
              <w:rPr>
                <w:sz w:val="16"/>
                <w:szCs w:val="16"/>
                <w:color w:val="auto"/>
              </w:rPr>
            </w:pPr>
          </w:p>
        </w:tc>
        <w:tc>
          <w:tcPr>
            <w:tcW w:w="760" w:type="dxa"/>
            <w:vAlign w:val="bottom"/>
            <w:tcBorders>
              <w:bottom w:val="single" w:sz="8" w:color="A26F2A"/>
            </w:tcBorders>
          </w:tcPr>
          <w:p>
            <w:pPr>
              <w:jc w:val="right"/>
              <w:ind w:right="84"/>
              <w:spacing w:after="0"/>
              <w:rPr>
                <w:sz w:val="20"/>
                <w:szCs w:val="20"/>
                <w:color w:val="auto"/>
              </w:rPr>
            </w:pPr>
            <w:r>
              <w:rPr>
                <w:rFonts w:ascii="Arial" w:cs="Arial" w:eastAsia="Arial" w:hAnsi="Arial"/>
                <w:sz w:val="15"/>
                <w:szCs w:val="15"/>
                <w:b w:val="1"/>
                <w:bCs w:val="1"/>
                <w:color w:val="auto"/>
                <w:w w:val="99"/>
              </w:rPr>
              <w:t>12/29/23</w:t>
            </w:r>
          </w:p>
        </w:tc>
        <w:tc>
          <w:tcPr>
            <w:tcW w:w="260" w:type="dxa"/>
            <w:vAlign w:val="bottom"/>
            <w:tcBorders>
              <w:bottom w:val="single" w:sz="8" w:color="A26F2A"/>
            </w:tcBorders>
          </w:tcPr>
          <w:p>
            <w:pPr>
              <w:spacing w:after="0"/>
              <w:rPr>
                <w:sz w:val="16"/>
                <w:szCs w:val="16"/>
                <w:color w:val="auto"/>
              </w:rPr>
            </w:pPr>
          </w:p>
        </w:tc>
        <w:tc>
          <w:tcPr>
            <w:tcW w:w="740" w:type="dxa"/>
            <w:vAlign w:val="bottom"/>
            <w:tcBorders>
              <w:bottom w:val="single" w:sz="8" w:color="A26F2A"/>
            </w:tcBorders>
          </w:tcPr>
          <w:p>
            <w:pPr>
              <w:jc w:val="right"/>
              <w:ind w:right="64"/>
              <w:spacing w:after="0"/>
              <w:rPr>
                <w:sz w:val="20"/>
                <w:szCs w:val="20"/>
                <w:color w:val="auto"/>
              </w:rPr>
            </w:pPr>
            <w:r>
              <w:rPr>
                <w:rFonts w:ascii="Arial" w:cs="Arial" w:eastAsia="Arial" w:hAnsi="Arial"/>
                <w:sz w:val="15"/>
                <w:szCs w:val="15"/>
                <w:b w:val="1"/>
                <w:bCs w:val="1"/>
                <w:color w:val="auto"/>
                <w:w w:val="99"/>
              </w:rPr>
              <w:t>12/31/24</w:t>
            </w:r>
          </w:p>
        </w:tc>
        <w:tc>
          <w:tcPr>
            <w:tcW w:w="880" w:type="dxa"/>
            <w:vAlign w:val="bottom"/>
            <w:tcBorders>
              <w:bottom w:val="single" w:sz="8" w:color="A26F2A"/>
            </w:tcBorders>
            <w:gridSpan w:val="2"/>
          </w:tcPr>
          <w:p>
            <w:pPr>
              <w:jc w:val="right"/>
              <w:spacing w:after="0"/>
              <w:rPr>
                <w:sz w:val="20"/>
                <w:szCs w:val="20"/>
                <w:color w:val="auto"/>
              </w:rPr>
            </w:pPr>
            <w:r>
              <w:rPr>
                <w:rFonts w:ascii="Arial" w:cs="Arial" w:eastAsia="Arial" w:hAnsi="Arial"/>
                <w:sz w:val="15"/>
                <w:szCs w:val="15"/>
                <w:b w:val="1"/>
                <w:bCs w:val="1"/>
                <w:color w:val="auto"/>
              </w:rPr>
              <w:t>12/31/25</w:t>
            </w:r>
          </w:p>
        </w:tc>
      </w:tr>
      <w:tr>
        <w:trPr>
          <w:trHeight w:val="189"/>
        </w:trPr>
        <w:tc>
          <w:tcPr>
            <w:tcW w:w="3440" w:type="dxa"/>
            <w:vAlign w:val="bottom"/>
            <w:tcBorders>
              <w:bottom w:val="single" w:sz="8" w:color="A8A9AC"/>
            </w:tcBorders>
            <w:gridSpan w:val="2"/>
          </w:tcPr>
          <w:p>
            <w:pPr>
              <w:ind w:left="60"/>
              <w:spacing w:after="0"/>
              <w:rPr>
                <w:sz w:val="20"/>
                <w:szCs w:val="20"/>
                <w:color w:val="auto"/>
              </w:rPr>
            </w:pPr>
            <w:r>
              <w:rPr>
                <w:rFonts w:ascii="Arial" w:cs="Arial" w:eastAsia="Arial" w:hAnsi="Arial"/>
                <w:sz w:val="15"/>
                <w:szCs w:val="15"/>
                <w:color w:val="auto"/>
              </w:rPr>
              <w:t>Diamondback Energy, Inc.</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100.00</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302.18</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658.49</w:t>
            </w:r>
          </w:p>
        </w:tc>
        <w:tc>
          <w:tcPr>
            <w:tcW w:w="30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892.28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w w:val="99"/>
              </w:rPr>
              <w:t>1,067.33</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w w:val="99"/>
              </w:rPr>
              <w:t>1,177.95</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w w:val="95"/>
              </w:rPr>
              <w:t>1,111.71</w:t>
            </w:r>
          </w:p>
        </w:tc>
      </w:tr>
      <w:tr>
        <w:trPr>
          <w:trHeight w:val="182"/>
        </w:trPr>
        <w:tc>
          <w:tcPr>
            <w:tcW w:w="40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w w:val="95"/>
              </w:rPr>
              <w:t>2022</w:t>
            </w:r>
          </w:p>
        </w:tc>
        <w:tc>
          <w:tcPr>
            <w:tcW w:w="3040" w:type="dxa"/>
            <w:vAlign w:val="bottom"/>
            <w:tcBorders>
              <w:bottom w:val="single" w:sz="8" w:color="A8A9AC"/>
            </w:tcBorders>
          </w:tcPr>
          <w:p>
            <w:pPr>
              <w:ind w:left="40"/>
              <w:spacing w:after="0"/>
              <w:rPr>
                <w:sz w:val="20"/>
                <w:szCs w:val="20"/>
                <w:color w:val="auto"/>
              </w:rPr>
            </w:pPr>
            <w:r>
              <w:rPr>
                <w:rFonts w:ascii="Arial" w:cs="Arial" w:eastAsia="Arial" w:hAnsi="Arial"/>
                <w:sz w:val="15"/>
                <w:szCs w:val="15"/>
                <w:color w:val="auto"/>
              </w:rPr>
              <w:t>Proxy Peer Group</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100.00</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134.92</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130.38</w:t>
            </w:r>
          </w:p>
        </w:tc>
        <w:tc>
          <w:tcPr>
            <w:tcW w:w="30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179.53</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184.78</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196.80</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207.79</w:t>
            </w:r>
          </w:p>
        </w:tc>
      </w:tr>
      <w:tr>
        <w:trPr>
          <w:trHeight w:val="182"/>
        </w:trPr>
        <w:tc>
          <w:tcPr>
            <w:tcW w:w="40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w w:val="95"/>
              </w:rPr>
              <w:t>2022</w:t>
            </w:r>
          </w:p>
        </w:tc>
        <w:tc>
          <w:tcPr>
            <w:tcW w:w="3040" w:type="dxa"/>
            <w:vAlign w:val="bottom"/>
            <w:tcBorders>
              <w:bottom w:val="single" w:sz="8" w:color="A8A9AC"/>
            </w:tcBorders>
          </w:tcPr>
          <w:p>
            <w:pPr>
              <w:ind w:left="40"/>
              <w:spacing w:after="0"/>
              <w:rPr>
                <w:sz w:val="20"/>
                <w:szCs w:val="20"/>
                <w:color w:val="auto"/>
              </w:rPr>
            </w:pPr>
            <w:r>
              <w:rPr>
                <w:rFonts w:ascii="Arial" w:cs="Arial" w:eastAsia="Arial" w:hAnsi="Arial"/>
                <w:sz w:val="15"/>
                <w:szCs w:val="15"/>
                <w:color w:val="auto"/>
              </w:rPr>
              <w:t>Proxy Peers – Energy Group</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100.00</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136.24</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109.47</w:t>
            </w:r>
          </w:p>
        </w:tc>
        <w:tc>
          <w:tcPr>
            <w:tcW w:w="30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175.12</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171.69</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174.99</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178.34</w:t>
            </w:r>
          </w:p>
        </w:tc>
      </w:tr>
      <w:tr>
        <w:trPr>
          <w:trHeight w:val="182"/>
        </w:trPr>
        <w:tc>
          <w:tcPr>
            <w:tcW w:w="40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w w:val="95"/>
              </w:rPr>
              <w:t>2023</w:t>
            </w:r>
          </w:p>
        </w:tc>
        <w:tc>
          <w:tcPr>
            <w:tcW w:w="3040" w:type="dxa"/>
            <w:vAlign w:val="bottom"/>
            <w:tcBorders>
              <w:bottom w:val="single" w:sz="8" w:color="A8A9AC"/>
            </w:tcBorders>
          </w:tcPr>
          <w:p>
            <w:pPr>
              <w:ind w:left="40"/>
              <w:spacing w:after="0"/>
              <w:rPr>
                <w:sz w:val="20"/>
                <w:szCs w:val="20"/>
                <w:color w:val="auto"/>
              </w:rPr>
            </w:pPr>
            <w:r>
              <w:rPr>
                <w:rFonts w:ascii="Arial" w:cs="Arial" w:eastAsia="Arial" w:hAnsi="Arial"/>
                <w:sz w:val="15"/>
                <w:szCs w:val="15"/>
                <w:color w:val="auto"/>
              </w:rPr>
              <w:t>Proxy Peer Group</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100.00</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133.99</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156.22</w:t>
            </w:r>
          </w:p>
        </w:tc>
        <w:tc>
          <w:tcPr>
            <w:tcW w:w="30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191.62</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204.68</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226.09</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245.47</w:t>
            </w:r>
          </w:p>
        </w:tc>
      </w:tr>
      <w:tr>
        <w:trPr>
          <w:trHeight w:val="182"/>
        </w:trPr>
        <w:tc>
          <w:tcPr>
            <w:tcW w:w="40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w w:val="95"/>
              </w:rPr>
              <w:t>2023</w:t>
            </w:r>
          </w:p>
        </w:tc>
        <w:tc>
          <w:tcPr>
            <w:tcW w:w="3040" w:type="dxa"/>
            <w:vAlign w:val="bottom"/>
            <w:tcBorders>
              <w:bottom w:val="single" w:sz="8" w:color="A8A9AC"/>
            </w:tcBorders>
          </w:tcPr>
          <w:p>
            <w:pPr>
              <w:ind w:left="40"/>
              <w:spacing w:after="0"/>
              <w:rPr>
                <w:sz w:val="20"/>
                <w:szCs w:val="20"/>
                <w:color w:val="auto"/>
              </w:rPr>
            </w:pPr>
            <w:r>
              <w:rPr>
                <w:rFonts w:ascii="Arial" w:cs="Arial" w:eastAsia="Arial" w:hAnsi="Arial"/>
                <w:sz w:val="15"/>
                <w:szCs w:val="15"/>
                <w:color w:val="auto"/>
              </w:rPr>
              <w:t>Proxy Peers – Energy Group</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100.00</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135.37</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108.69</w:t>
            </w:r>
          </w:p>
        </w:tc>
        <w:tc>
          <w:tcPr>
            <w:tcW w:w="30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172.70</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168.85</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172.55</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176.33</w:t>
            </w:r>
          </w:p>
        </w:tc>
      </w:tr>
      <w:tr>
        <w:trPr>
          <w:trHeight w:val="182"/>
        </w:trPr>
        <w:tc>
          <w:tcPr>
            <w:tcW w:w="40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w w:val="95"/>
              </w:rPr>
              <w:t>2024</w:t>
            </w:r>
          </w:p>
        </w:tc>
        <w:tc>
          <w:tcPr>
            <w:tcW w:w="3040" w:type="dxa"/>
            <w:vAlign w:val="bottom"/>
            <w:tcBorders>
              <w:bottom w:val="single" w:sz="8" w:color="A8A9AC"/>
            </w:tcBorders>
          </w:tcPr>
          <w:p>
            <w:pPr>
              <w:ind w:left="40"/>
              <w:spacing w:after="0"/>
              <w:rPr>
                <w:sz w:val="20"/>
                <w:szCs w:val="20"/>
                <w:color w:val="auto"/>
              </w:rPr>
            </w:pPr>
            <w:r>
              <w:rPr>
                <w:rFonts w:ascii="Arial" w:cs="Arial" w:eastAsia="Arial" w:hAnsi="Arial"/>
                <w:sz w:val="15"/>
                <w:szCs w:val="15"/>
                <w:color w:val="auto"/>
              </w:rPr>
              <w:t>Proxy Peer Group</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100.00</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126.12</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133.93</w:t>
            </w:r>
          </w:p>
        </w:tc>
        <w:tc>
          <w:tcPr>
            <w:tcW w:w="30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153.87</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169.35</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188.56</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204.55</w:t>
            </w:r>
          </w:p>
        </w:tc>
      </w:tr>
      <w:tr>
        <w:trPr>
          <w:trHeight w:val="182"/>
        </w:trPr>
        <w:tc>
          <w:tcPr>
            <w:tcW w:w="40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w w:val="95"/>
              </w:rPr>
              <w:t>2024</w:t>
            </w:r>
          </w:p>
        </w:tc>
        <w:tc>
          <w:tcPr>
            <w:tcW w:w="3040" w:type="dxa"/>
            <w:vAlign w:val="bottom"/>
            <w:tcBorders>
              <w:bottom w:val="single" w:sz="8" w:color="A8A9AC"/>
            </w:tcBorders>
          </w:tcPr>
          <w:p>
            <w:pPr>
              <w:ind w:left="40"/>
              <w:spacing w:after="0"/>
              <w:rPr>
                <w:sz w:val="20"/>
                <w:szCs w:val="20"/>
                <w:color w:val="auto"/>
              </w:rPr>
            </w:pPr>
            <w:r>
              <w:rPr>
                <w:rFonts w:ascii="Arial" w:cs="Arial" w:eastAsia="Arial" w:hAnsi="Arial"/>
                <w:sz w:val="15"/>
                <w:szCs w:val="15"/>
                <w:color w:val="auto"/>
              </w:rPr>
              <w:t>Proxy Peers – Energy Group</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100.00</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124.19</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82.17</w:t>
            </w:r>
          </w:p>
        </w:tc>
        <w:tc>
          <w:tcPr>
            <w:tcW w:w="30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127.86</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126.90</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127.77</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126.99</w:t>
            </w:r>
          </w:p>
        </w:tc>
      </w:tr>
      <w:tr>
        <w:trPr>
          <w:trHeight w:val="182"/>
        </w:trPr>
        <w:tc>
          <w:tcPr>
            <w:tcW w:w="40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w w:val="95"/>
              </w:rPr>
              <w:t>2025</w:t>
            </w:r>
          </w:p>
        </w:tc>
        <w:tc>
          <w:tcPr>
            <w:tcW w:w="3040" w:type="dxa"/>
            <w:vAlign w:val="bottom"/>
            <w:tcBorders>
              <w:bottom w:val="single" w:sz="8" w:color="A8A9AC"/>
            </w:tcBorders>
          </w:tcPr>
          <w:p>
            <w:pPr>
              <w:ind w:left="40"/>
              <w:spacing w:after="0"/>
              <w:rPr>
                <w:sz w:val="20"/>
                <w:szCs w:val="20"/>
                <w:color w:val="auto"/>
              </w:rPr>
            </w:pPr>
            <w:r>
              <w:rPr>
                <w:rFonts w:ascii="Arial" w:cs="Arial" w:eastAsia="Arial" w:hAnsi="Arial"/>
                <w:sz w:val="15"/>
                <w:szCs w:val="15"/>
                <w:color w:val="auto"/>
              </w:rPr>
              <w:t>Proxy Peer Group</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100.00</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125.65</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112.10</w:t>
            </w:r>
          </w:p>
        </w:tc>
        <w:tc>
          <w:tcPr>
            <w:tcW w:w="30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151.60</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160.28</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163.32</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169.08</w:t>
            </w:r>
          </w:p>
        </w:tc>
      </w:tr>
      <w:tr>
        <w:trPr>
          <w:trHeight w:val="182"/>
        </w:trPr>
        <w:tc>
          <w:tcPr>
            <w:tcW w:w="40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w w:val="95"/>
              </w:rPr>
              <w:t>2025</w:t>
            </w:r>
          </w:p>
        </w:tc>
        <w:tc>
          <w:tcPr>
            <w:tcW w:w="3040" w:type="dxa"/>
            <w:vAlign w:val="bottom"/>
            <w:tcBorders>
              <w:bottom w:val="single" w:sz="8" w:color="A8A9AC"/>
            </w:tcBorders>
          </w:tcPr>
          <w:p>
            <w:pPr>
              <w:ind w:left="40"/>
              <w:spacing w:after="0"/>
              <w:rPr>
                <w:sz w:val="20"/>
                <w:szCs w:val="20"/>
                <w:color w:val="auto"/>
              </w:rPr>
            </w:pPr>
            <w:r>
              <w:rPr>
                <w:rFonts w:ascii="Arial" w:cs="Arial" w:eastAsia="Arial" w:hAnsi="Arial"/>
                <w:sz w:val="15"/>
                <w:szCs w:val="15"/>
                <w:color w:val="auto"/>
              </w:rPr>
              <w:t>Proxy Peers – Energy Group</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100.00</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124.76</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91.87</w:t>
            </w:r>
          </w:p>
        </w:tc>
        <w:tc>
          <w:tcPr>
            <w:tcW w:w="30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149.68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150.23</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141.68</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138.46</w:t>
            </w:r>
          </w:p>
        </w:tc>
      </w:tr>
      <w:tr>
        <w:trPr>
          <w:trHeight w:val="182"/>
        </w:trPr>
        <w:tc>
          <w:tcPr>
            <w:tcW w:w="40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w w:val="95"/>
              </w:rPr>
              <w:t>2026</w:t>
            </w:r>
          </w:p>
        </w:tc>
        <w:tc>
          <w:tcPr>
            <w:tcW w:w="3040" w:type="dxa"/>
            <w:vAlign w:val="bottom"/>
            <w:tcBorders>
              <w:bottom w:val="single" w:sz="8" w:color="A8A9AC"/>
            </w:tcBorders>
          </w:tcPr>
          <w:p>
            <w:pPr>
              <w:ind w:left="40"/>
              <w:spacing w:after="0"/>
              <w:rPr>
                <w:sz w:val="20"/>
                <w:szCs w:val="20"/>
                <w:color w:val="auto"/>
              </w:rPr>
            </w:pPr>
            <w:r>
              <w:rPr>
                <w:rFonts w:ascii="Arial" w:cs="Arial" w:eastAsia="Arial" w:hAnsi="Arial"/>
                <w:sz w:val="15"/>
                <w:szCs w:val="15"/>
                <w:color w:val="auto"/>
              </w:rPr>
              <w:t>Proxy Peer Group</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100.00</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126.78</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148.43</w:t>
            </w:r>
          </w:p>
        </w:tc>
        <w:tc>
          <w:tcPr>
            <w:tcW w:w="30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210.36</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214.98</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218.07</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212.46</w:t>
            </w:r>
          </w:p>
        </w:tc>
      </w:tr>
      <w:tr>
        <w:trPr>
          <w:trHeight w:val="182"/>
        </w:trPr>
        <w:tc>
          <w:tcPr>
            <w:tcW w:w="40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w w:val="95"/>
              </w:rPr>
              <w:t>2026</w:t>
            </w:r>
          </w:p>
        </w:tc>
        <w:tc>
          <w:tcPr>
            <w:tcW w:w="3040" w:type="dxa"/>
            <w:vAlign w:val="bottom"/>
            <w:tcBorders>
              <w:bottom w:val="single" w:sz="8" w:color="A8A9AC"/>
            </w:tcBorders>
          </w:tcPr>
          <w:p>
            <w:pPr>
              <w:ind w:left="40"/>
              <w:spacing w:after="0"/>
              <w:rPr>
                <w:sz w:val="20"/>
                <w:szCs w:val="20"/>
                <w:color w:val="auto"/>
              </w:rPr>
            </w:pPr>
            <w:r>
              <w:rPr>
                <w:rFonts w:ascii="Arial" w:cs="Arial" w:eastAsia="Arial" w:hAnsi="Arial"/>
                <w:sz w:val="15"/>
                <w:szCs w:val="15"/>
                <w:color w:val="auto"/>
              </w:rPr>
              <w:t>Proxy Peers – Energy Group</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100.00</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126.22</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131.52</w:t>
            </w:r>
          </w:p>
        </w:tc>
        <w:tc>
          <w:tcPr>
            <w:tcW w:w="30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212.80</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208.61</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200.99</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184.05</w:t>
            </w:r>
          </w:p>
        </w:tc>
      </w:tr>
      <w:tr>
        <w:trPr>
          <w:trHeight w:val="182"/>
        </w:trPr>
        <w:tc>
          <w:tcPr>
            <w:tcW w:w="40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rPr>
              <w:t>XOP</w:t>
            </w:r>
          </w:p>
        </w:tc>
        <w:tc>
          <w:tcPr>
            <w:tcW w:w="3040" w:type="dxa"/>
            <w:vAlign w:val="bottom"/>
            <w:tcBorders>
              <w:bottom w:val="single" w:sz="8" w:color="A8A9AC"/>
            </w:tcBorders>
          </w:tcPr>
          <w:p>
            <w:pPr>
              <w:spacing w:after="0"/>
              <w:rPr>
                <w:sz w:val="15"/>
                <w:szCs w:val="15"/>
                <w:color w:val="auto"/>
              </w:rPr>
            </w:pP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100.00</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125.19</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49.13</w:t>
            </w:r>
          </w:p>
        </w:tc>
        <w:tc>
          <w:tcPr>
            <w:tcW w:w="30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71.40</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73.94</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73.18</w:t>
            </w:r>
          </w:p>
        </w:tc>
        <w:tc>
          <w:tcPr>
            <w:tcW w:w="2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71.60</w:t>
            </w:r>
          </w:p>
        </w:tc>
      </w:tr>
      <w:tr>
        <w:trPr>
          <w:trHeight w:val="182"/>
        </w:trPr>
        <w:tc>
          <w:tcPr>
            <w:tcW w:w="3440" w:type="dxa"/>
            <w:vAlign w:val="bottom"/>
            <w:tcBorders>
              <w:bottom w:val="single" w:sz="8" w:color="A26F2A"/>
            </w:tcBorders>
            <w:gridSpan w:val="2"/>
          </w:tcPr>
          <w:p>
            <w:pPr>
              <w:ind w:left="60"/>
              <w:spacing w:after="0"/>
              <w:rPr>
                <w:sz w:val="20"/>
                <w:szCs w:val="20"/>
                <w:color w:val="auto"/>
              </w:rPr>
            </w:pPr>
            <w:r>
              <w:rPr>
                <w:rFonts w:ascii="Arial" w:cs="Arial" w:eastAsia="Arial" w:hAnsi="Arial"/>
                <w:sz w:val="15"/>
                <w:szCs w:val="15"/>
                <w:color w:val="auto"/>
              </w:rPr>
              <w:t>S&amp;P 500</w:t>
            </w:r>
          </w:p>
        </w:tc>
        <w:tc>
          <w:tcPr>
            <w:tcW w:w="116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26F2A"/>
            </w:tcBorders>
          </w:tcPr>
          <w:p>
            <w:pPr>
              <w:jc w:val="right"/>
              <w:ind w:right="104"/>
              <w:spacing w:after="0"/>
              <w:rPr>
                <w:sz w:val="20"/>
                <w:szCs w:val="20"/>
                <w:color w:val="auto"/>
              </w:rPr>
            </w:pPr>
            <w:r>
              <w:rPr>
                <w:rFonts w:ascii="Arial" w:cs="Arial" w:eastAsia="Arial" w:hAnsi="Arial"/>
                <w:sz w:val="15"/>
                <w:szCs w:val="15"/>
                <w:color w:val="auto"/>
              </w:rPr>
              <w:t>100.00</w:t>
            </w:r>
          </w:p>
        </w:tc>
        <w:tc>
          <w:tcPr>
            <w:tcW w:w="26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26F2A"/>
            </w:tcBorders>
          </w:tcPr>
          <w:p>
            <w:pPr>
              <w:jc w:val="right"/>
              <w:ind w:right="84"/>
              <w:spacing w:after="0"/>
              <w:rPr>
                <w:sz w:val="20"/>
                <w:szCs w:val="20"/>
                <w:color w:val="auto"/>
              </w:rPr>
            </w:pPr>
            <w:r>
              <w:rPr>
                <w:rFonts w:ascii="Arial" w:cs="Arial" w:eastAsia="Arial" w:hAnsi="Arial"/>
                <w:sz w:val="15"/>
                <w:szCs w:val="15"/>
                <w:color w:val="auto"/>
              </w:rPr>
              <w:t>132.85</w:t>
            </w:r>
          </w:p>
        </w:tc>
        <w:tc>
          <w:tcPr>
            <w:tcW w:w="32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26F2A"/>
            </w:tcBorders>
          </w:tcPr>
          <w:p>
            <w:pPr>
              <w:jc w:val="right"/>
              <w:ind w:right="84"/>
              <w:spacing w:after="0"/>
              <w:rPr>
                <w:sz w:val="20"/>
                <w:szCs w:val="20"/>
                <w:color w:val="auto"/>
              </w:rPr>
            </w:pPr>
            <w:r>
              <w:rPr>
                <w:rFonts w:ascii="Arial" w:cs="Arial" w:eastAsia="Arial" w:hAnsi="Arial"/>
                <w:sz w:val="15"/>
                <w:szCs w:val="15"/>
                <w:color w:val="auto"/>
              </w:rPr>
              <w:t>399.86</w:t>
            </w:r>
          </w:p>
        </w:tc>
        <w:tc>
          <w:tcPr>
            <w:tcW w:w="30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26F2A"/>
            </w:tcBorders>
          </w:tcPr>
          <w:p>
            <w:pPr>
              <w:jc w:val="right"/>
              <w:ind w:right="84"/>
              <w:spacing w:after="0"/>
              <w:rPr>
                <w:sz w:val="20"/>
                <w:szCs w:val="20"/>
                <w:color w:val="auto"/>
              </w:rPr>
            </w:pPr>
            <w:r>
              <w:rPr>
                <w:rFonts w:ascii="Arial" w:cs="Arial" w:eastAsia="Arial" w:hAnsi="Arial"/>
                <w:sz w:val="15"/>
                <w:szCs w:val="15"/>
                <w:color w:val="auto"/>
              </w:rPr>
              <w:t>327.39</w:t>
            </w:r>
          </w:p>
        </w:tc>
        <w:tc>
          <w:tcPr>
            <w:tcW w:w="24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26F2A"/>
            </w:tcBorders>
          </w:tcPr>
          <w:p>
            <w:pPr>
              <w:jc w:val="right"/>
              <w:ind w:right="84"/>
              <w:spacing w:after="0"/>
              <w:rPr>
                <w:sz w:val="20"/>
                <w:szCs w:val="20"/>
                <w:color w:val="auto"/>
              </w:rPr>
            </w:pPr>
            <w:r>
              <w:rPr>
                <w:rFonts w:ascii="Arial" w:cs="Arial" w:eastAsia="Arial" w:hAnsi="Arial"/>
                <w:sz w:val="15"/>
                <w:szCs w:val="15"/>
                <w:color w:val="auto"/>
              </w:rPr>
              <w:t>413.37</w:t>
            </w:r>
          </w:p>
        </w:tc>
        <w:tc>
          <w:tcPr>
            <w:tcW w:w="26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26F2A"/>
            </w:tcBorders>
          </w:tcPr>
          <w:p>
            <w:pPr>
              <w:jc w:val="right"/>
              <w:ind w:right="64"/>
              <w:spacing w:after="0"/>
              <w:rPr>
                <w:sz w:val="20"/>
                <w:szCs w:val="20"/>
                <w:color w:val="auto"/>
              </w:rPr>
            </w:pPr>
            <w:r>
              <w:rPr>
                <w:rFonts w:ascii="Arial" w:cs="Arial" w:eastAsia="Arial" w:hAnsi="Arial"/>
                <w:sz w:val="15"/>
                <w:szCs w:val="15"/>
                <w:color w:val="auto"/>
              </w:rPr>
              <w:t>516.70</w:t>
            </w:r>
          </w:p>
        </w:tc>
        <w:tc>
          <w:tcPr>
            <w:tcW w:w="26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608.98</w:t>
            </w:r>
          </w:p>
        </w:tc>
      </w:tr>
    </w:tbl>
    <w:p>
      <w:pPr>
        <w:spacing w:after="0" w:line="16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91" w:name="page92"/>
    <w:bookmarkEnd w:id="9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111760</wp:posOffset>
            </wp:positionV>
            <wp:extent cx="136525" cy="1170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6525" cy="117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80" w:right="1380"/>
        <w:spacing w:after="0" w:line="279" w:lineRule="auto"/>
        <w:rPr>
          <w:sz w:val="20"/>
          <w:szCs w:val="20"/>
          <w:color w:val="auto"/>
        </w:rPr>
      </w:pPr>
      <w:r>
        <w:rPr>
          <w:rFonts w:ascii="Arial" w:cs="Arial" w:eastAsia="Arial" w:hAnsi="Arial"/>
          <w:sz w:val="44"/>
          <w:szCs w:val="44"/>
          <w:b w:val="1"/>
          <w:bCs w:val="1"/>
          <w:color w:val="auto"/>
        </w:rPr>
        <w:t>CERTAIN RELATIONSHIPS AND RELATED PARTY TRANSACTIONS</w:t>
      </w:r>
    </w:p>
    <w:p>
      <w:pPr>
        <w:spacing w:after="0" w:line="216"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REVIEW AND APPROVAL OF RELATED PARTY TRANSACTIONS</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Our board of directors has adopted a written policy regarding related party transactions. Under the policy, the audit committee reviews and approves all relationships and transactions in which we and our directors, director nominees and executive officers and their immediate family members, as well as holders of more than 5% of any class of our voting securities and their immediate family members, have a direct or indirect material interest. The policy provides that, the following do not create a material direct or indirect interest on behalf of the related party and are therefore not related party transactions:</w:t>
      </w:r>
    </w:p>
    <w:p>
      <w:pPr>
        <w:spacing w:after="0" w:line="142" w:lineRule="exact"/>
        <w:rPr>
          <w:sz w:val="20"/>
          <w:szCs w:val="20"/>
          <w:color w:val="auto"/>
        </w:rPr>
      </w:pPr>
    </w:p>
    <w:p>
      <w:pPr>
        <w:ind w:left="160" w:hanging="159"/>
        <w:spacing w:after="0"/>
        <w:tabs>
          <w:tab w:leader="none" w:pos="160" w:val="left"/>
        </w:tabs>
        <w:numPr>
          <w:ilvl w:val="0"/>
          <w:numId w:val="135"/>
        </w:numPr>
        <w:rPr>
          <w:rFonts w:ascii="Arial" w:cs="Arial" w:eastAsia="Arial" w:hAnsi="Arial"/>
          <w:sz w:val="15"/>
          <w:szCs w:val="15"/>
          <w:color w:val="A26F2A"/>
        </w:rPr>
      </w:pPr>
      <w:r>
        <w:rPr>
          <w:rFonts w:ascii="Arial" w:cs="Arial" w:eastAsia="Arial" w:hAnsi="Arial"/>
          <w:sz w:val="15"/>
          <w:szCs w:val="15"/>
          <w:color w:val="auto"/>
        </w:rPr>
        <w:t>a transaction involving compensation of directors;</w:t>
      </w:r>
    </w:p>
    <w:p>
      <w:pPr>
        <w:spacing w:after="0" w:line="79"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135"/>
        </w:numPr>
        <w:rPr>
          <w:rFonts w:ascii="Arial" w:cs="Arial" w:eastAsia="Arial" w:hAnsi="Arial"/>
          <w:sz w:val="15"/>
          <w:szCs w:val="15"/>
          <w:color w:val="A26F2A"/>
        </w:rPr>
      </w:pPr>
      <w:r>
        <w:rPr>
          <w:rFonts w:ascii="Arial" w:cs="Arial" w:eastAsia="Arial" w:hAnsi="Arial"/>
          <w:sz w:val="15"/>
          <w:szCs w:val="15"/>
          <w:color w:val="auto"/>
        </w:rPr>
        <w:t>a transaction involving compensation of an executive officer or involving an employment agreement, severance arrangement, change in control provision or agreement or special supplemental benefit of an executive officer;</w:t>
      </w:r>
    </w:p>
    <w:p>
      <w:pPr>
        <w:spacing w:after="0" w:line="23" w:lineRule="exact"/>
        <w:rPr>
          <w:rFonts w:ascii="Arial" w:cs="Arial" w:eastAsia="Arial" w:hAnsi="Arial"/>
          <w:sz w:val="15"/>
          <w:szCs w:val="15"/>
          <w:color w:val="A26F2A"/>
        </w:rPr>
      </w:pPr>
    </w:p>
    <w:p>
      <w:pPr>
        <w:ind w:left="160" w:hanging="159"/>
        <w:spacing w:after="0"/>
        <w:tabs>
          <w:tab w:leader="none" w:pos="160" w:val="left"/>
        </w:tabs>
        <w:numPr>
          <w:ilvl w:val="0"/>
          <w:numId w:val="135"/>
        </w:numPr>
        <w:rPr>
          <w:rFonts w:ascii="Arial" w:cs="Arial" w:eastAsia="Arial" w:hAnsi="Arial"/>
          <w:sz w:val="15"/>
          <w:szCs w:val="15"/>
          <w:color w:val="A26F2A"/>
        </w:rPr>
      </w:pPr>
      <w:r>
        <w:rPr>
          <w:rFonts w:ascii="Arial" w:cs="Arial" w:eastAsia="Arial" w:hAnsi="Arial"/>
          <w:sz w:val="15"/>
          <w:szCs w:val="15"/>
          <w:color w:val="auto"/>
        </w:rPr>
        <w:t>a transaction with a related party involving less than $120,000;</w:t>
      </w:r>
    </w:p>
    <w:p>
      <w:pPr>
        <w:spacing w:after="0" w:line="79"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135"/>
        </w:numPr>
        <w:rPr>
          <w:rFonts w:ascii="Arial" w:cs="Arial" w:eastAsia="Arial" w:hAnsi="Arial"/>
          <w:sz w:val="15"/>
          <w:szCs w:val="15"/>
          <w:color w:val="A26F2A"/>
        </w:rPr>
      </w:pPr>
      <w:r>
        <w:rPr>
          <w:rFonts w:ascii="Arial" w:cs="Arial" w:eastAsia="Arial" w:hAnsi="Arial"/>
          <w:sz w:val="15"/>
          <w:szCs w:val="15"/>
          <w:color w:val="auto"/>
        </w:rPr>
        <w:t>a transaction in which the interest of the related party arises solely from the ownership of a class of our equity securities and all holders of that class receive the same benefit on a pro rata basis;</w:t>
      </w:r>
    </w:p>
    <w:p>
      <w:pPr>
        <w:spacing w:after="0" w:line="23" w:lineRule="exact"/>
        <w:rPr>
          <w:rFonts w:ascii="Arial" w:cs="Arial" w:eastAsia="Arial" w:hAnsi="Arial"/>
          <w:sz w:val="15"/>
          <w:szCs w:val="15"/>
          <w:color w:val="A26F2A"/>
        </w:rPr>
      </w:pPr>
    </w:p>
    <w:p>
      <w:pPr>
        <w:ind w:left="160" w:hanging="159"/>
        <w:spacing w:after="0" w:line="282" w:lineRule="auto"/>
        <w:tabs>
          <w:tab w:leader="none" w:pos="160" w:val="left"/>
        </w:tabs>
        <w:numPr>
          <w:ilvl w:val="0"/>
          <w:numId w:val="135"/>
        </w:numPr>
        <w:rPr>
          <w:rFonts w:ascii="Arial" w:cs="Arial" w:eastAsia="Arial" w:hAnsi="Arial"/>
          <w:sz w:val="15"/>
          <w:szCs w:val="15"/>
          <w:color w:val="A26F2A"/>
        </w:rPr>
      </w:pPr>
      <w:r>
        <w:rPr>
          <w:rFonts w:ascii="Arial" w:cs="Arial" w:eastAsia="Arial" w:hAnsi="Arial"/>
          <w:sz w:val="15"/>
          <w:szCs w:val="15"/>
          <w:color w:val="auto"/>
        </w:rPr>
        <w:t>a transaction involving indemnification payments and payments under directors and officers indemnification insurance policies made pursuant to our certificate of incorporation or bylaws or pursuant to any policy, agreement or instrument of the Company or to which the Company is bound; and</w:t>
      </w:r>
    </w:p>
    <w:p>
      <w:pPr>
        <w:spacing w:after="0" w:line="23" w:lineRule="exact"/>
        <w:rPr>
          <w:rFonts w:ascii="Arial" w:cs="Arial" w:eastAsia="Arial" w:hAnsi="Arial"/>
          <w:sz w:val="15"/>
          <w:szCs w:val="15"/>
          <w:color w:val="A26F2A"/>
        </w:rPr>
      </w:pPr>
    </w:p>
    <w:p>
      <w:pPr>
        <w:ind w:left="160" w:hanging="159"/>
        <w:spacing w:after="0"/>
        <w:tabs>
          <w:tab w:leader="none" w:pos="160" w:val="left"/>
        </w:tabs>
        <w:numPr>
          <w:ilvl w:val="0"/>
          <w:numId w:val="135"/>
        </w:numPr>
        <w:rPr>
          <w:rFonts w:ascii="Arial" w:cs="Arial" w:eastAsia="Arial" w:hAnsi="Arial"/>
          <w:sz w:val="15"/>
          <w:szCs w:val="15"/>
          <w:color w:val="A26F2A"/>
        </w:rPr>
      </w:pPr>
      <w:r>
        <w:rPr>
          <w:rFonts w:ascii="Arial" w:cs="Arial" w:eastAsia="Arial" w:hAnsi="Arial"/>
          <w:sz w:val="15"/>
          <w:szCs w:val="15"/>
          <w:color w:val="auto"/>
        </w:rPr>
        <w:t>a transaction in which the interest of the related party arises solely from indebtedness of a 5% stockholder or an “immediate family member” of a 5% stockholder.</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The policy supplements the conflict of interest provisions in our Code of Business Conduct and Ethics.</w:t>
      </w:r>
    </w:p>
    <w:p>
      <w:pPr>
        <w:spacing w:after="0" w:line="284"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Stephens Stockholders Agreement</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As discussed elsewhere in this proxy statement, at closing of the Endeavor Merger on September 10, 2024, we entered into the Stephens Stockholders Agreement with the former holders of all the issued and outstanding equity interests in Endeavor Energy Resources, L.P. who received shares of our common stock as consideration for the Endeavor Merger (the “Stephens Stockholders”). The Stephens Stockholders Agreement provides the Stephens Stockholders (through approval of holders of a majority of the total number of shares of common stock held by the Stephens Stockholders) with the right to propose for nomination four directors for election to our board of directors if the Stephens Stockholders beneficially own at least 25% of the outstanding shares of our common stock, two directors if they beneficially own at least 20% but less than 25% of the outstanding shares of our common stock, and one director if they beneficially own at least 10% but less than 20% of the outstanding shares of our common stock, in each case subject to certain qualification requirements for such directors. The Stephens Stockholders are subject to certain transfer, standstill and voting restrictions under the Stephens Stockholders Agreement, and we are restricted from taking certain limited actions without the consent of the holders of a majority of the shares of our common stock held by the Stephens Stockholders.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Under the Stephens Stockholders Agreement, the Stephens Stockholders also have certain registration rights. In particular, the Stephens Stockholders are entitled to make up to three registration demands for an underwritten shelf take-down to sell all or a portion of their registrable securities in any calendar year for so long as they beneficially own registrable securities having a value, in the aggregate, of more than $2,000,000,000 and the gross proceeds from such registration are reasonably expected to be more than $500 million. In addition, the Stephens Stockholders have “piggy-back” registration rights to include their registrable securities in other registration statements filed and other underwritten offerings conducted by us.</w:t>
      </w:r>
    </w:p>
    <w:p>
      <w:pPr>
        <w:spacing w:after="0" w:line="14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92" w:name="page93"/>
    <w:bookmarkEnd w:id="9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To satisfy certain of our registration obligations under the Stephens Stockholders Agreement, on September 19, 2024, we filed our registration statement on Form S-3ASR with the SEC, registering under the Securities Act the resale, from time to time, of the registerable securities received by the Stephens Stockholders as merger consideration in the Endeavor Merger, which registration statement became automatically effective upon filing.</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Pursuant to the terms of the Stephens Stockholders Agreement, we will generally pay all expenses relating to the registration, offering and listing of these shares, except that any Stephens Stockholders acting as selling stockholders under the registration statement will pay any underwriting fees, discounts and commissions, placement fees of underwriters, broker commissions, transfer taxes and certain attorney’s fees. We have also agreed to indemnify the Stephens Stockholders against certain liabilities, including liabilities under the Securities Act, based upon, arising out of, related to or resulting from any untrue or alleged untrue statement of a material fact contained in any registration statement or prospectus filed by us.</w:t>
      </w:r>
    </w:p>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foregoing description of the Stephens Stockholders Agreement does not purport to be complete and is qualified in its entirety by reference to the actual terms of the Stephens Stockholders Agreement, a copy of which is attached as Exhibit 10.1 to our Current Report on Form 8-K filed with the SEC on September 10, 2024.</w:t>
      </w:r>
    </w:p>
    <w:p>
      <w:pPr>
        <w:spacing w:after="0" w:line="228"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SGF Letter Agreement</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entered into a letter agreement with SGF, dated November 28, 2025, which provides SGF with the right, but not the obligation, to sell up to 3,000,000 shares of Diamondback common stock to Diamondback per calendar quarter through December 31, 2026 at the most recent Nasdaq closing price prior to any such transaction, subject to certain terms and conditions set forth in the letter agreement. Pursuant to the letter agreement, on November 28, 2025, Diamondback repurchased 2,000,000 shares of its common stock held by SGF at the most recent Nasdaq closing price of $152.59 per share. Repurchases under the letter agreement are pursuant to Diamondback’s existing share repurchase program, and have been approved by the audit committee of Diamondback’s Board of Directors. As of March 30, 2026, we have repurchased a total of 5,000,000 shares from SGF for a total cost of $814 million. The letter agreement does not affect SGF’s ability to dispose of its Diamondback shares through other means, including registered offerings and open market sales, to the extent permitted under its stockholder agreement with Diamondback.</w:t>
      </w:r>
    </w:p>
    <w:p>
      <w:pPr>
        <w:spacing w:after="0" w:line="249"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SGF Secondary Offering</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On March 10, 2026, the Company entered into an underwriting agreement with SGF (the “Selling Stockholder”) and Evercore Group L.L.C., Citigroup Global Markets Inc. and J.P. Morgan Securities LLC, as representatives of the several underwriters named therein (the “Underwriters”), pursuant to which, among other things, the Selling Stockholder agreed to sell to the Underwriters, and the Underwriters agreed to purchase from the Selling Stockholder, shares of the Company’s common stock (the “Shares”) in a registered public offering (the “Secondary Offering”), subject to and upon the terms and conditions set forth therein.</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On March 12, 2026, the Company and the Selling Stockholder completed the Secondary Offering of 12,650,000 Shares, which includes 1,650,000 Shares that were purchased by the Underwriters pursuant to a 30-day option that the Selling Stockholder had granted to the Underwriters, which such option was exercised by the Underwriters in full.</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Pursuant to the Stephens Stockholders Agreement, we paid all expenses relating to the registration, offering and listing of the shares sold in the Secondary Offering, except that the Selling Stockholder paid the discounts and commissions of the Underwriters, any transfer taxes and certain attorney’s fees. Our estimated expenses in connection with the Secondary Offering were approximately $1,020,000.</w:t>
      </w: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Certain Other Transactions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son of Charles A. Meloy, one of our current directors and director nominees at the 2026 Annual Meeting, owns Oak Prairie Oil &amp; Gas LLC through a trust, of which Mr. Meloy and his spouse are the trustees. Mr. Meloy serves as a director of Oak Prairie Oil &amp; Gas LLC and his son serves as an executive officer of that entity. Oak Prairie Oil &amp; Gas LLC received payments of $2.2 million from Diamondback and/or its subsidiaries during the year ended December 31, 2025, for revenue associated with working interests held in oil and gas properties operated by Diamondback.</w:t>
      </w:r>
    </w:p>
    <w:p>
      <w:pPr>
        <w:spacing w:after="0" w:line="14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93" w:name="page94"/>
    <w:bookmarkEnd w:id="9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111760</wp:posOffset>
            </wp:positionV>
            <wp:extent cx="144145" cy="11944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4145" cy="1194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80"/>
        <w:spacing w:after="0"/>
        <w:rPr>
          <w:sz w:val="20"/>
          <w:szCs w:val="20"/>
          <w:color w:val="auto"/>
        </w:rPr>
      </w:pPr>
      <w:r>
        <w:rPr>
          <w:rFonts w:ascii="Arial" w:cs="Arial" w:eastAsia="Arial" w:hAnsi="Arial"/>
          <w:sz w:val="30"/>
          <w:szCs w:val="30"/>
          <w:b w:val="1"/>
          <w:bCs w:val="1"/>
          <w:color w:val="A26F2A"/>
        </w:rPr>
        <w:t>PROPOSAL 2</w:t>
      </w:r>
    </w:p>
    <w:p>
      <w:pPr>
        <w:spacing w:after="0" w:line="163" w:lineRule="exact"/>
        <w:rPr>
          <w:sz w:val="20"/>
          <w:szCs w:val="20"/>
          <w:color w:val="auto"/>
        </w:rPr>
      </w:pPr>
    </w:p>
    <w:p>
      <w:pPr>
        <w:ind w:left="1080" w:right="1280"/>
        <w:spacing w:after="0" w:line="292" w:lineRule="auto"/>
        <w:rPr>
          <w:sz w:val="20"/>
          <w:szCs w:val="20"/>
          <w:color w:val="auto"/>
        </w:rPr>
      </w:pPr>
      <w:r>
        <w:rPr>
          <w:rFonts w:ascii="Arial" w:cs="Arial" w:eastAsia="Arial" w:hAnsi="Arial"/>
          <w:sz w:val="43"/>
          <w:szCs w:val="43"/>
          <w:b w:val="1"/>
          <w:bCs w:val="1"/>
          <w:color w:val="auto"/>
        </w:rPr>
        <w:t>APPROVE, ON AN ADVISORY BASIS, THE COMPANY’S EXECUTIVE COMPENSATION</w:t>
      </w:r>
    </w:p>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In accordance with Section 14A of the Exchange Act, our board of directors is providing our stockholders with a non-binding advisory vote on the Company’s executive compensation as reported in this proxy statement, or “say on pay” vote. The Company’s stockholders are being asked to vote on the following resolution:</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While the vote on executive compensation is non-binding and solely advisory in nature, our board of directors and the compensation committee will review and consider the “say on pay” voting results when making future decisions regarding our executive compensation program. Our stockholders have a “say on pay” vote each year. The next “say on pay” vote will take place at our 2027 Annual Meeting.</w:t>
      </w:r>
    </w:p>
    <w:p>
      <w:pPr>
        <w:spacing w:after="0" w:line="138"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Stockholders are encouraged to carefully review the “Compensation Discussion and Analysis” section of this proxy statement, which discusses in detail the Company’s compensation policy and compensation arrangements which the Company believes are appropriate and reasonably consistent with market practice and with the long-term interests of the Company and its stockholders. In furtherance of the Company’s goals and objectives, the compensation committee, among other things, ensures that the Company’s executive compensation arrangements (i) do not incentivize executives to take unnecessary risks, (ii) do not include excessive change in control provisions, (iii) offer performance-based compensation, consisting of cash compensation with performance goals tied to our Company’s performance and performance-based equity awards, based on total stockholder return relative to the peer group and (iv) include long-term vesting provisions in the awards of time-based restricted stock units retain key executive talent and to encourage executives to focus on long-term performance, in each case to motivate our executives to contribute to the growth, profitability and increased value of the Company.</w:t>
      </w:r>
    </w:p>
    <w:p>
      <w:pPr>
        <w:spacing w:after="0" w:line="241"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BOARD VOTING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207645</wp:posOffset>
            </wp:positionV>
            <wp:extent cx="7141210" cy="3048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1210" cy="304800"/>
                    </a:xfrm>
                    <a:prstGeom prst="rect">
                      <a:avLst/>
                    </a:prstGeom>
                    <a:noFill/>
                  </pic:spPr>
                </pic:pic>
              </a:graphicData>
            </a:graphic>
          </wp:anchor>
        </w:drawing>
      </w:r>
    </w:p>
    <w:p>
      <w:pPr>
        <w:spacing w:after="0" w:line="358" w:lineRule="exact"/>
        <w:rPr>
          <w:sz w:val="20"/>
          <w:szCs w:val="20"/>
          <w:color w:val="auto"/>
        </w:rPr>
      </w:pPr>
    </w:p>
    <w:p>
      <w:pPr>
        <w:ind w:left="500" w:right="380"/>
        <w:spacing w:after="0" w:line="282" w:lineRule="auto"/>
        <w:rPr>
          <w:sz w:val="20"/>
          <w:szCs w:val="20"/>
          <w:color w:val="auto"/>
        </w:rPr>
      </w:pPr>
      <w:r>
        <w:rPr>
          <w:rFonts w:ascii="Arial" w:cs="Arial" w:eastAsia="Arial" w:hAnsi="Arial"/>
          <w:sz w:val="15"/>
          <w:szCs w:val="15"/>
          <w:color w:val="FFFFFF"/>
        </w:rPr>
        <w:t>THE BOARD OF DIRECTORS UNANIMOUSLY RECOMMENDS THAT STOCKHOLDERS VOTE “</w:t>
      </w:r>
      <w:r>
        <w:rPr>
          <w:rFonts w:ascii="Arial" w:cs="Arial" w:eastAsia="Arial" w:hAnsi="Arial"/>
          <w:sz w:val="15"/>
          <w:szCs w:val="15"/>
          <w:b w:val="1"/>
          <w:bCs w:val="1"/>
          <w:color w:val="FFFFFF"/>
        </w:rPr>
        <w:t>FOR</w:t>
      </w:r>
      <w:r>
        <w:rPr>
          <w:rFonts w:ascii="Arial" w:cs="Arial" w:eastAsia="Arial" w:hAnsi="Arial"/>
          <w:sz w:val="15"/>
          <w:szCs w:val="15"/>
          <w:color w:val="FFFFFF"/>
        </w:rPr>
        <w:t>” THE APPROVAL, ON AN ADVISORY BASIS, OF THE COMPANY’S EXECUTIVE COMPENSATION AS REPORTED IN THIS PROXY STATEMENT.</w:t>
      </w:r>
    </w:p>
    <w:p>
      <w:pPr>
        <w:spacing w:after="0" w:line="18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94" w:name="page95"/>
    <w:bookmarkEnd w:id="9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111760</wp:posOffset>
            </wp:positionV>
            <wp:extent cx="144145" cy="11944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44145" cy="1194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80"/>
        <w:spacing w:after="0"/>
        <w:rPr>
          <w:sz w:val="20"/>
          <w:szCs w:val="20"/>
          <w:color w:val="auto"/>
        </w:rPr>
      </w:pPr>
      <w:r>
        <w:rPr>
          <w:rFonts w:ascii="Arial" w:cs="Arial" w:eastAsia="Arial" w:hAnsi="Arial"/>
          <w:sz w:val="30"/>
          <w:szCs w:val="30"/>
          <w:b w:val="1"/>
          <w:bCs w:val="1"/>
          <w:color w:val="A26F2A"/>
        </w:rPr>
        <w:t>PROPOSAL 3</w:t>
      </w:r>
    </w:p>
    <w:p>
      <w:pPr>
        <w:spacing w:after="0" w:line="163" w:lineRule="exact"/>
        <w:rPr>
          <w:sz w:val="20"/>
          <w:szCs w:val="20"/>
          <w:color w:val="auto"/>
        </w:rPr>
      </w:pPr>
    </w:p>
    <w:p>
      <w:pPr>
        <w:ind w:left="1080" w:right="800"/>
        <w:spacing w:after="0" w:line="248" w:lineRule="auto"/>
        <w:rPr>
          <w:sz w:val="20"/>
          <w:szCs w:val="20"/>
          <w:color w:val="auto"/>
        </w:rPr>
      </w:pPr>
      <w:r>
        <w:rPr>
          <w:rFonts w:ascii="Arial" w:cs="Arial" w:eastAsia="Arial" w:hAnsi="Arial"/>
          <w:sz w:val="44"/>
          <w:szCs w:val="44"/>
          <w:b w:val="1"/>
          <w:bCs w:val="1"/>
          <w:color w:val="auto"/>
        </w:rPr>
        <w:t>APPROVE, ON AN ADVISORY BASIS, THE FREQUENCY OF ADVISORY STOCKHOLDER VOTE ON THE COMPANY’S EXECUTIVE COMPENSATION</w:t>
      </w:r>
    </w:p>
    <w:p>
      <w:pPr>
        <w:spacing w:after="0" w:line="273"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WHAT AM I VOTING ON?</w:t>
      </w:r>
    </w:p>
    <w:p>
      <w:pPr>
        <w:spacing w:after="0" w:line="31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accordance with Section 14A of the Exchange Act, our board of directors is also providing our stockholders with a non-binding advisory vote on whether future advisory votes on executive compensation of the nature reflected in Proposal 2 should be held every year, every two years or every three years. While this vote is non-binding and solely advisory in nature, our board of directors and the compensation committee will carefully review and consider the voting results when determining the frequency of future advisory votes on executive compensation.</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board of directors believes that a frequency of “every year” for the advisory vote on executive compensation is an appropriate interval for conducting and responding to a “say on pay” vote. An annual approach provides regular input by stockholders and allows the Company to evaluate the effects of such input on executive compensation on a consistent basis.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enclosed proxy card gives stockholders four choices for voting on this item. Stockholders can choose whether the advisory vote on executive compensation should be conducted every year, every two years or every three years. Stockholders may also abstain from voting on this item. Stockholders are not voting to approve or disapprove the board of directors’ recommendation on this item.</w:t>
      </w:r>
    </w:p>
    <w:p>
      <w:pPr>
        <w:spacing w:after="0" w:line="232"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WHAT VOTE IS REQUIRED FOR THIS PROPOSAL?</w:t>
      </w:r>
    </w:p>
    <w:p>
      <w:pPr>
        <w:spacing w:after="0" w:line="315"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With respect to this proposal, stockholders will be able to choose among four options, namely whether future stockholder votes to approve executive compensation should occur every year, every two years or every three years, or whether the stockholder abstains from voting. The affirmative vote of a majority of the votes cast by the stockholders present in person or represented by proxy at the annual meeting and entitled to vote thereon, in favor of one of the voting options contemplated by this proposal is required to approve, on an advisory basis, this proposal. If none of the three voting options is adopted by the required vote of the stockholders, our board of directors will evaluate the votes cast for each of the voting options and will deem the voting option receiving the greatest number of votes to be the voting option approved by the stockholders.</w:t>
      </w:r>
    </w:p>
    <w:p>
      <w:pPr>
        <w:spacing w:after="0" w:line="146"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Only votes in favor of one of the voting options contemplated by this proposal will be counted as votes cast and abstentions and broker non-votes will not be counted for voting purposes.</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BOARD VOTING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207645</wp:posOffset>
            </wp:positionV>
            <wp:extent cx="7141210" cy="3048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1210" cy="304800"/>
                    </a:xfrm>
                    <a:prstGeom prst="rect">
                      <a:avLst/>
                    </a:prstGeom>
                    <a:noFill/>
                  </pic:spPr>
                </pic:pic>
              </a:graphicData>
            </a:graphic>
          </wp:anchor>
        </w:drawing>
      </w:r>
    </w:p>
    <w:p>
      <w:pPr>
        <w:spacing w:after="0" w:line="358" w:lineRule="exact"/>
        <w:rPr>
          <w:sz w:val="20"/>
          <w:szCs w:val="20"/>
          <w:color w:val="auto"/>
        </w:rPr>
      </w:pPr>
    </w:p>
    <w:p>
      <w:pPr>
        <w:ind w:left="500" w:right="380"/>
        <w:spacing w:after="0" w:line="282" w:lineRule="auto"/>
        <w:rPr>
          <w:sz w:val="20"/>
          <w:szCs w:val="20"/>
          <w:color w:val="auto"/>
        </w:rPr>
      </w:pPr>
      <w:r>
        <w:rPr>
          <w:rFonts w:ascii="Arial" w:cs="Arial" w:eastAsia="Arial" w:hAnsi="Arial"/>
          <w:sz w:val="15"/>
          <w:szCs w:val="15"/>
          <w:color w:val="FFFFFF"/>
        </w:rPr>
        <w:t>THE BOARD OF DIRECTORS UNANIMOUSLY RECOMMENDS THAT STOCKHOLDERS VOTE “</w:t>
      </w:r>
      <w:r>
        <w:rPr>
          <w:rFonts w:ascii="Arial" w:cs="Arial" w:eastAsia="Arial" w:hAnsi="Arial"/>
          <w:sz w:val="15"/>
          <w:szCs w:val="15"/>
          <w:b w:val="1"/>
          <w:bCs w:val="1"/>
          <w:color w:val="FFFFFF"/>
        </w:rPr>
        <w:t>FOR</w:t>
      </w:r>
      <w:r>
        <w:rPr>
          <w:rFonts w:ascii="Arial" w:cs="Arial" w:eastAsia="Arial" w:hAnsi="Arial"/>
          <w:sz w:val="15"/>
          <w:szCs w:val="15"/>
          <w:color w:val="FFFFFF"/>
        </w:rPr>
        <w:t>” THE OPTION OF “</w:t>
      </w:r>
      <w:r>
        <w:rPr>
          <w:rFonts w:ascii="Arial" w:cs="Arial" w:eastAsia="Arial" w:hAnsi="Arial"/>
          <w:sz w:val="15"/>
          <w:szCs w:val="15"/>
          <w:b w:val="1"/>
          <w:bCs w:val="1"/>
          <w:color w:val="FFFFFF"/>
        </w:rPr>
        <w:t>EVERY YEAR</w:t>
      </w:r>
      <w:r>
        <w:rPr>
          <w:rFonts w:ascii="Arial" w:cs="Arial" w:eastAsia="Arial" w:hAnsi="Arial"/>
          <w:sz w:val="15"/>
          <w:szCs w:val="15"/>
          <w:color w:val="FFFFFF"/>
        </w:rPr>
        <w:t>” FOR FUTURE ADVISORY VOTES ON EXECUTIVE COMPENSATION.</w:t>
      </w:r>
    </w:p>
    <w:p>
      <w:pPr>
        <w:spacing w:after="0" w:line="18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95" w:name="page96"/>
    <w:bookmarkEnd w:id="95"/>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111760</wp:posOffset>
            </wp:positionV>
            <wp:extent cx="144145" cy="11944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4145" cy="1194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80"/>
        <w:spacing w:after="0"/>
        <w:rPr>
          <w:sz w:val="20"/>
          <w:szCs w:val="20"/>
          <w:color w:val="auto"/>
        </w:rPr>
      </w:pPr>
      <w:r>
        <w:rPr>
          <w:rFonts w:ascii="Arial" w:cs="Arial" w:eastAsia="Arial" w:hAnsi="Arial"/>
          <w:sz w:val="30"/>
          <w:szCs w:val="30"/>
          <w:b w:val="1"/>
          <w:bCs w:val="1"/>
          <w:color w:val="A26F2A"/>
        </w:rPr>
        <w:t>PROPOSAL 4</w:t>
      </w:r>
    </w:p>
    <w:p>
      <w:pPr>
        <w:spacing w:after="0" w:line="163" w:lineRule="exact"/>
        <w:rPr>
          <w:sz w:val="20"/>
          <w:szCs w:val="20"/>
          <w:color w:val="auto"/>
        </w:rPr>
      </w:pPr>
    </w:p>
    <w:p>
      <w:pPr>
        <w:ind w:left="1080" w:right="2500"/>
        <w:spacing w:after="0" w:line="279" w:lineRule="auto"/>
        <w:rPr>
          <w:sz w:val="20"/>
          <w:szCs w:val="20"/>
          <w:color w:val="auto"/>
        </w:rPr>
      </w:pPr>
      <w:r>
        <w:rPr>
          <w:rFonts w:ascii="Arial" w:cs="Arial" w:eastAsia="Arial" w:hAnsi="Arial"/>
          <w:sz w:val="44"/>
          <w:szCs w:val="44"/>
          <w:b w:val="1"/>
          <w:bCs w:val="1"/>
          <w:color w:val="auto"/>
        </w:rPr>
        <w:t>RATIFY THE APPOINTMENT OF OUR INDEPENDENT AUDITOR</w:t>
      </w:r>
    </w:p>
    <w:p>
      <w:pPr>
        <w:spacing w:after="0" w:line="204"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WHAT AM I VOTING ON?</w:t>
      </w:r>
    </w:p>
    <w:p>
      <w:pPr>
        <w:spacing w:after="0" w:line="31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You are voting on a proposal to ratify the appointment of Grant Thornton LLP, or Grant Thornton, as our independent auditor for fiscal year 2026. The audit committee has appointed Grant Thornton to serve as our independent auditor for fiscal year 2026.</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WHAT SERVICES DOES THE INDEPENDENT AUDITOR PROVIDE?</w:t>
      </w:r>
    </w:p>
    <w:p>
      <w:pPr>
        <w:spacing w:after="0" w:line="31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Audit services of Grant Thornton for fiscal year 2025 included an audit of our consolidated financial statements and services related to periodic filings made with the SEC. Additionally, Grant Thornton provided certain services related to the consolidated quarterly reports and annual and other periodic reports, registration statements and comfort letters and other services as described below.</w:t>
      </w:r>
    </w:p>
    <w:p>
      <w:pPr>
        <w:spacing w:after="0" w:line="232"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HOW MUCH WAS THE INDEPENDENT AUDITOR PAID IN 2025 AND 2024?</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660" w:type="dxa"/>
            <w:vAlign w:val="bottom"/>
          </w:tcPr>
          <w:p>
            <w:pPr>
              <w:spacing w:after="0"/>
              <w:rPr>
                <w:sz w:val="20"/>
                <w:szCs w:val="20"/>
                <w:color w:val="auto"/>
              </w:rPr>
            </w:pPr>
            <w:r>
              <w:rPr>
                <w:rFonts w:ascii="Arial" w:cs="Arial" w:eastAsia="Arial" w:hAnsi="Arial"/>
                <w:sz w:val="15"/>
                <w:szCs w:val="15"/>
                <w:color w:val="auto"/>
              </w:rPr>
              <w:t>The following table summarizes the aggregate fees of Grant Thornton for professional services</w:t>
            </w: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61"/>
        </w:trPr>
        <w:tc>
          <w:tcPr>
            <w:tcW w:w="7660" w:type="dxa"/>
            <w:vAlign w:val="bottom"/>
            <w:tcBorders>
              <w:bottom w:val="single" w:sz="8" w:color="A26F2A"/>
            </w:tcBorders>
          </w:tcPr>
          <w:p>
            <w:pPr>
              <w:spacing w:after="0"/>
              <w:rPr>
                <w:sz w:val="24"/>
                <w:szCs w:val="24"/>
                <w:color w:val="auto"/>
              </w:rPr>
            </w:pPr>
          </w:p>
        </w:tc>
        <w:tc>
          <w:tcPr>
            <w:tcW w:w="1480" w:type="dxa"/>
            <w:vAlign w:val="bottom"/>
            <w:tcBorders>
              <w:bottom w:val="single" w:sz="8" w:color="A26F2A"/>
            </w:tcBorders>
          </w:tcPr>
          <w:p>
            <w:pPr>
              <w:spacing w:after="0"/>
              <w:rPr>
                <w:sz w:val="24"/>
                <w:szCs w:val="24"/>
                <w:color w:val="auto"/>
              </w:rPr>
            </w:pPr>
          </w:p>
        </w:tc>
        <w:tc>
          <w:tcPr>
            <w:tcW w:w="960" w:type="dxa"/>
            <w:vAlign w:val="bottom"/>
            <w:tcBorders>
              <w:bottom w:val="single" w:sz="8" w:color="A26F2A"/>
            </w:tcBorders>
          </w:tcPr>
          <w:p>
            <w:pPr>
              <w:jc w:val="right"/>
              <w:ind w:right="144"/>
              <w:spacing w:after="0"/>
              <w:rPr>
                <w:sz w:val="20"/>
                <w:szCs w:val="20"/>
                <w:color w:val="auto"/>
              </w:rPr>
            </w:pPr>
            <w:r>
              <w:rPr>
                <w:rFonts w:ascii="Arial" w:cs="Arial" w:eastAsia="Arial" w:hAnsi="Arial"/>
                <w:sz w:val="15"/>
                <w:szCs w:val="15"/>
                <w:b w:val="1"/>
                <w:bCs w:val="1"/>
                <w:color w:val="auto"/>
              </w:rPr>
              <w:t>2025</w:t>
            </w:r>
          </w:p>
        </w:tc>
        <w:tc>
          <w:tcPr>
            <w:tcW w:w="360" w:type="dxa"/>
            <w:vAlign w:val="bottom"/>
            <w:tcBorders>
              <w:bottom w:val="single" w:sz="8" w:color="A26F2A"/>
            </w:tcBorders>
          </w:tcPr>
          <w:p>
            <w:pPr>
              <w:spacing w:after="0"/>
              <w:rPr>
                <w:sz w:val="24"/>
                <w:szCs w:val="24"/>
                <w:color w:val="auto"/>
              </w:rPr>
            </w:pPr>
          </w:p>
        </w:tc>
        <w:tc>
          <w:tcPr>
            <w:tcW w:w="780" w:type="dxa"/>
            <w:vAlign w:val="bottom"/>
            <w:tcBorders>
              <w:bottom w:val="single" w:sz="8" w:color="A26F2A"/>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227"/>
        </w:trPr>
        <w:tc>
          <w:tcPr>
            <w:tcW w:w="7660" w:type="dxa"/>
            <w:vAlign w:val="bottom"/>
            <w:tcBorders>
              <w:bottom w:val="single" w:sz="8" w:color="A8A9AC"/>
            </w:tcBorders>
          </w:tcPr>
          <w:p>
            <w:pPr>
              <w:ind w:left="60"/>
              <w:spacing w:after="0" w:line="227" w:lineRule="exact"/>
              <w:rPr>
                <w:sz w:val="20"/>
                <w:szCs w:val="20"/>
                <w:color w:val="auto"/>
              </w:rPr>
            </w:pPr>
            <w:r>
              <w:rPr>
                <w:rFonts w:ascii="Arial" w:cs="Arial" w:eastAsia="Arial" w:hAnsi="Arial"/>
                <w:sz w:val="15"/>
                <w:szCs w:val="15"/>
                <w:color w:val="auto"/>
              </w:rPr>
              <w:t>Audit fees</w:t>
            </w:r>
            <w:r>
              <w:rPr>
                <w:rFonts w:ascii="Arial" w:cs="Arial" w:eastAsia="Arial" w:hAnsi="Arial"/>
                <w:sz w:val="25"/>
                <w:szCs w:val="25"/>
                <w:color w:val="auto"/>
                <w:vertAlign w:val="superscript"/>
              </w:rPr>
              <w:t>(1)(2)</w:t>
            </w:r>
          </w:p>
        </w:tc>
        <w:tc>
          <w:tcPr>
            <w:tcW w:w="14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8A9AC"/>
            </w:tcBorders>
          </w:tcPr>
          <w:p>
            <w:pPr>
              <w:jc w:val="right"/>
              <w:ind w:right="144"/>
              <w:spacing w:after="0"/>
              <w:rPr>
                <w:sz w:val="20"/>
                <w:szCs w:val="20"/>
                <w:color w:val="auto"/>
              </w:rPr>
            </w:pPr>
            <w:r>
              <w:rPr>
                <w:rFonts w:ascii="Arial" w:cs="Arial" w:eastAsia="Arial" w:hAnsi="Arial"/>
                <w:sz w:val="15"/>
                <w:szCs w:val="15"/>
                <w:color w:val="auto"/>
              </w:rPr>
              <w:t>3,197,250</w:t>
            </w:r>
          </w:p>
        </w:tc>
        <w:tc>
          <w:tcPr>
            <w:tcW w:w="360" w:type="dxa"/>
            <w:vAlign w:val="bottom"/>
            <w:tcBorders>
              <w:bottom w:val="single" w:sz="8" w:color="A8A9AC"/>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2,341,500</w:t>
            </w:r>
          </w:p>
        </w:tc>
      </w:tr>
      <w:tr>
        <w:trPr>
          <w:trHeight w:val="220"/>
        </w:trPr>
        <w:tc>
          <w:tcPr>
            <w:tcW w:w="7660" w:type="dxa"/>
            <w:vAlign w:val="bottom"/>
            <w:tcBorders>
              <w:bottom w:val="single" w:sz="8" w:color="A8A9AC"/>
            </w:tcBorders>
          </w:tcPr>
          <w:p>
            <w:pPr>
              <w:ind w:left="60"/>
              <w:spacing w:after="0" w:line="220" w:lineRule="exact"/>
              <w:rPr>
                <w:sz w:val="20"/>
                <w:szCs w:val="20"/>
                <w:color w:val="auto"/>
              </w:rPr>
            </w:pPr>
            <w:r>
              <w:rPr>
                <w:rFonts w:ascii="Arial" w:cs="Arial" w:eastAsia="Arial" w:hAnsi="Arial"/>
                <w:sz w:val="15"/>
                <w:szCs w:val="15"/>
                <w:color w:val="auto"/>
              </w:rPr>
              <w:t>Audit related fees</w:t>
            </w:r>
            <w:r>
              <w:rPr>
                <w:rFonts w:ascii="Arial" w:cs="Arial" w:eastAsia="Arial" w:hAnsi="Arial"/>
                <w:sz w:val="25"/>
                <w:szCs w:val="25"/>
                <w:color w:val="auto"/>
                <w:vertAlign w:val="superscript"/>
              </w:rPr>
              <w:t>(3)</w:t>
            </w:r>
          </w:p>
        </w:tc>
        <w:tc>
          <w:tcPr>
            <w:tcW w:w="1480" w:type="dxa"/>
            <w:vAlign w:val="bottom"/>
            <w:tcBorders>
              <w:bottom w:val="single" w:sz="8" w:color="A8A9AC"/>
            </w:tcBorders>
          </w:tcPr>
          <w:p>
            <w:pPr>
              <w:spacing w:after="0"/>
              <w:rPr>
                <w:sz w:val="19"/>
                <w:szCs w:val="19"/>
                <w:color w:val="auto"/>
              </w:rPr>
            </w:pPr>
          </w:p>
        </w:tc>
        <w:tc>
          <w:tcPr>
            <w:tcW w:w="960" w:type="dxa"/>
            <w:vAlign w:val="bottom"/>
            <w:tcBorders>
              <w:bottom w:val="single" w:sz="8" w:color="A8A9AC"/>
            </w:tcBorders>
          </w:tcPr>
          <w:p>
            <w:pPr>
              <w:jc w:val="right"/>
              <w:ind w:right="144"/>
              <w:spacing w:after="0"/>
              <w:rPr>
                <w:sz w:val="20"/>
                <w:szCs w:val="20"/>
                <w:color w:val="auto"/>
              </w:rPr>
            </w:pPr>
            <w:r>
              <w:rPr>
                <w:rFonts w:ascii="Arial" w:cs="Arial" w:eastAsia="Arial" w:hAnsi="Arial"/>
                <w:sz w:val="15"/>
                <w:szCs w:val="15"/>
                <w:color w:val="auto"/>
              </w:rPr>
              <w:t>249,900</w:t>
            </w:r>
          </w:p>
        </w:tc>
        <w:tc>
          <w:tcPr>
            <w:tcW w:w="360" w:type="dxa"/>
            <w:vAlign w:val="bottom"/>
            <w:tcBorders>
              <w:bottom w:val="single" w:sz="8" w:color="A8A9AC"/>
            </w:tcBorders>
          </w:tcPr>
          <w:p>
            <w:pPr>
              <w:spacing w:after="0"/>
              <w:rPr>
                <w:sz w:val="19"/>
                <w:szCs w:val="19"/>
                <w:color w:val="auto"/>
              </w:rPr>
            </w:pPr>
          </w:p>
        </w:tc>
        <w:tc>
          <w:tcPr>
            <w:tcW w:w="7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37,800</w:t>
            </w:r>
          </w:p>
        </w:tc>
      </w:tr>
      <w:tr>
        <w:trPr>
          <w:trHeight w:val="220"/>
        </w:trPr>
        <w:tc>
          <w:tcPr>
            <w:tcW w:w="7660" w:type="dxa"/>
            <w:vAlign w:val="bottom"/>
            <w:tcBorders>
              <w:bottom w:val="single" w:sz="8" w:color="A8A9AC"/>
            </w:tcBorders>
          </w:tcPr>
          <w:p>
            <w:pPr>
              <w:ind w:left="60"/>
              <w:spacing w:after="0" w:line="220" w:lineRule="exact"/>
              <w:rPr>
                <w:sz w:val="20"/>
                <w:szCs w:val="20"/>
                <w:color w:val="auto"/>
              </w:rPr>
            </w:pPr>
            <w:r>
              <w:rPr>
                <w:rFonts w:ascii="Arial" w:cs="Arial" w:eastAsia="Arial" w:hAnsi="Arial"/>
                <w:sz w:val="15"/>
                <w:szCs w:val="15"/>
                <w:color w:val="auto"/>
              </w:rPr>
              <w:t>Tax fees</w:t>
            </w:r>
            <w:r>
              <w:rPr>
                <w:rFonts w:ascii="Arial" w:cs="Arial" w:eastAsia="Arial" w:hAnsi="Arial"/>
                <w:sz w:val="25"/>
                <w:szCs w:val="25"/>
                <w:color w:val="auto"/>
                <w:vertAlign w:val="superscript"/>
              </w:rPr>
              <w:t>(4)</w:t>
            </w:r>
          </w:p>
        </w:tc>
        <w:tc>
          <w:tcPr>
            <w:tcW w:w="1480" w:type="dxa"/>
            <w:vAlign w:val="bottom"/>
            <w:tcBorders>
              <w:bottom w:val="single" w:sz="8" w:color="A8A9AC"/>
            </w:tcBorders>
          </w:tcPr>
          <w:p>
            <w:pPr>
              <w:spacing w:after="0"/>
              <w:rPr>
                <w:sz w:val="19"/>
                <w:szCs w:val="19"/>
                <w:color w:val="auto"/>
              </w:rPr>
            </w:pPr>
          </w:p>
        </w:tc>
        <w:tc>
          <w:tcPr>
            <w:tcW w:w="960" w:type="dxa"/>
            <w:vAlign w:val="bottom"/>
            <w:tcBorders>
              <w:bottom w:val="single" w:sz="8" w:color="A8A9AC"/>
            </w:tcBorders>
          </w:tcPr>
          <w:p>
            <w:pPr>
              <w:jc w:val="right"/>
              <w:ind w:right="144"/>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8A9AC"/>
            </w:tcBorders>
          </w:tcPr>
          <w:p>
            <w:pPr>
              <w:spacing w:after="0"/>
              <w:rPr>
                <w:sz w:val="19"/>
                <w:szCs w:val="19"/>
                <w:color w:val="auto"/>
              </w:rPr>
            </w:pPr>
          </w:p>
        </w:tc>
        <w:tc>
          <w:tcPr>
            <w:tcW w:w="7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7660" w:type="dxa"/>
            <w:vAlign w:val="bottom"/>
            <w:tcBorders>
              <w:bottom w:val="single" w:sz="8" w:color="A8A9AC"/>
            </w:tcBorders>
          </w:tcPr>
          <w:p>
            <w:pPr>
              <w:ind w:left="60"/>
              <w:spacing w:after="0" w:line="220" w:lineRule="exact"/>
              <w:rPr>
                <w:sz w:val="20"/>
                <w:szCs w:val="20"/>
                <w:color w:val="auto"/>
              </w:rPr>
            </w:pPr>
            <w:r>
              <w:rPr>
                <w:rFonts w:ascii="Arial" w:cs="Arial" w:eastAsia="Arial" w:hAnsi="Arial"/>
                <w:sz w:val="15"/>
                <w:szCs w:val="15"/>
                <w:color w:val="auto"/>
              </w:rPr>
              <w:t>All other fees</w:t>
            </w:r>
            <w:r>
              <w:rPr>
                <w:rFonts w:ascii="Arial" w:cs="Arial" w:eastAsia="Arial" w:hAnsi="Arial"/>
                <w:sz w:val="25"/>
                <w:szCs w:val="25"/>
                <w:color w:val="auto"/>
                <w:vertAlign w:val="superscript"/>
              </w:rPr>
              <w:t>(5)</w:t>
            </w:r>
          </w:p>
        </w:tc>
        <w:tc>
          <w:tcPr>
            <w:tcW w:w="1480" w:type="dxa"/>
            <w:vAlign w:val="bottom"/>
            <w:tcBorders>
              <w:bottom w:val="single" w:sz="8" w:color="A8A9AC"/>
            </w:tcBorders>
          </w:tcPr>
          <w:p>
            <w:pPr>
              <w:spacing w:after="0"/>
              <w:rPr>
                <w:sz w:val="19"/>
                <w:szCs w:val="19"/>
                <w:color w:val="auto"/>
              </w:rPr>
            </w:pPr>
          </w:p>
        </w:tc>
        <w:tc>
          <w:tcPr>
            <w:tcW w:w="960" w:type="dxa"/>
            <w:vAlign w:val="bottom"/>
            <w:tcBorders>
              <w:bottom w:val="single" w:sz="8" w:color="A8A9AC"/>
            </w:tcBorders>
          </w:tcPr>
          <w:p>
            <w:pPr>
              <w:jc w:val="right"/>
              <w:ind w:right="144"/>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8A9AC"/>
            </w:tcBorders>
          </w:tcPr>
          <w:p>
            <w:pPr>
              <w:spacing w:after="0"/>
              <w:rPr>
                <w:sz w:val="19"/>
                <w:szCs w:val="19"/>
                <w:color w:val="auto"/>
              </w:rPr>
            </w:pPr>
          </w:p>
        </w:tc>
        <w:tc>
          <w:tcPr>
            <w:tcW w:w="78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w:t>
            </w:r>
          </w:p>
        </w:tc>
      </w:tr>
      <w:tr>
        <w:trPr>
          <w:trHeight w:val="182"/>
        </w:trPr>
        <w:tc>
          <w:tcPr>
            <w:tcW w:w="7660" w:type="dxa"/>
            <w:vAlign w:val="bottom"/>
            <w:tcBorders>
              <w:bottom w:val="single" w:sz="8" w:color="A26F2A"/>
            </w:tcBorders>
          </w:tcPr>
          <w:p>
            <w:pPr>
              <w:ind w:left="60"/>
              <w:spacing w:after="0"/>
              <w:rPr>
                <w:sz w:val="20"/>
                <w:szCs w:val="20"/>
                <w:color w:val="auto"/>
              </w:rPr>
            </w:pPr>
            <w:r>
              <w:rPr>
                <w:rFonts w:ascii="Arial" w:cs="Arial" w:eastAsia="Arial" w:hAnsi="Arial"/>
                <w:sz w:val="15"/>
                <w:szCs w:val="15"/>
                <w:color w:val="auto"/>
              </w:rPr>
              <w:t>Total</w:t>
            </w:r>
          </w:p>
        </w:tc>
        <w:tc>
          <w:tcPr>
            <w:tcW w:w="148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26F2A"/>
            </w:tcBorders>
          </w:tcPr>
          <w:p>
            <w:pPr>
              <w:jc w:val="right"/>
              <w:ind w:right="144"/>
              <w:spacing w:after="0"/>
              <w:rPr>
                <w:sz w:val="20"/>
                <w:szCs w:val="20"/>
                <w:color w:val="auto"/>
              </w:rPr>
            </w:pPr>
            <w:r>
              <w:rPr>
                <w:rFonts w:ascii="Arial" w:cs="Arial" w:eastAsia="Arial" w:hAnsi="Arial"/>
                <w:sz w:val="15"/>
                <w:szCs w:val="15"/>
                <w:color w:val="auto"/>
              </w:rPr>
              <w:t>3,447,150</w:t>
            </w:r>
          </w:p>
        </w:tc>
        <w:tc>
          <w:tcPr>
            <w:tcW w:w="360" w:type="dxa"/>
            <w:vAlign w:val="bottom"/>
            <w:tcBorders>
              <w:bottom w:val="single" w:sz="8" w:color="A26F2A"/>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26F2A"/>
            </w:tcBorders>
          </w:tcPr>
          <w:p>
            <w:pPr>
              <w:jc w:val="right"/>
              <w:spacing w:after="0"/>
              <w:rPr>
                <w:sz w:val="20"/>
                <w:szCs w:val="20"/>
                <w:color w:val="auto"/>
              </w:rPr>
            </w:pPr>
            <w:r>
              <w:rPr>
                <w:rFonts w:ascii="Arial" w:cs="Arial" w:eastAsia="Arial" w:hAnsi="Arial"/>
                <w:sz w:val="15"/>
                <w:szCs w:val="15"/>
                <w:color w:val="auto"/>
              </w:rPr>
              <w:t>2,379,300</w:t>
            </w:r>
          </w:p>
        </w:tc>
      </w:tr>
    </w:tbl>
    <w:p>
      <w:pPr>
        <w:spacing w:after="0" w:line="56" w:lineRule="exact"/>
        <w:rPr>
          <w:sz w:val="20"/>
          <w:szCs w:val="20"/>
          <w:color w:val="auto"/>
        </w:rPr>
      </w:pPr>
    </w:p>
    <w:p>
      <w:pPr>
        <w:ind w:left="300" w:hanging="299"/>
        <w:spacing w:after="0"/>
        <w:tabs>
          <w:tab w:leader="none" w:pos="300" w:val="left"/>
        </w:tabs>
        <w:numPr>
          <w:ilvl w:val="0"/>
          <w:numId w:val="143"/>
        </w:numPr>
        <w:rPr>
          <w:rFonts w:ascii="Arial" w:cs="Arial" w:eastAsia="Arial" w:hAnsi="Arial"/>
          <w:sz w:val="13"/>
          <w:szCs w:val="13"/>
          <w:i w:val="1"/>
          <w:iCs w:val="1"/>
          <w:color w:val="auto"/>
        </w:rPr>
      </w:pPr>
      <w:r>
        <w:rPr>
          <w:rFonts w:ascii="Arial" w:cs="Arial" w:eastAsia="Arial" w:hAnsi="Arial"/>
          <w:sz w:val="13"/>
          <w:szCs w:val="13"/>
          <w:i w:val="1"/>
          <w:iCs w:val="1"/>
          <w:color w:val="auto"/>
        </w:rPr>
        <w:t>Audit fees represent aggregate fees for audit services, which relate to the fiscal year consolidated audit, quarterly reviews, registration statements, and comfort letters.</w:t>
      </w:r>
    </w:p>
    <w:p>
      <w:pPr>
        <w:spacing w:after="0" w:line="65" w:lineRule="exact"/>
        <w:rPr>
          <w:rFonts w:ascii="Arial" w:cs="Arial" w:eastAsia="Arial" w:hAnsi="Arial"/>
          <w:sz w:val="13"/>
          <w:szCs w:val="13"/>
          <w:i w:val="1"/>
          <w:iCs w:val="1"/>
          <w:color w:val="auto"/>
        </w:rPr>
      </w:pPr>
    </w:p>
    <w:p>
      <w:pPr>
        <w:ind w:left="300" w:hanging="299"/>
        <w:spacing w:after="0" w:line="285" w:lineRule="auto"/>
        <w:tabs>
          <w:tab w:leader="none" w:pos="300" w:val="left"/>
        </w:tabs>
        <w:numPr>
          <w:ilvl w:val="0"/>
          <w:numId w:val="143"/>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fees for the audit of our annual financial statements and internal controls, review of our quarterly financial statements, and professional audit services provided in connection with our regulatory filings. For 2025 and 2024, the amount includes audit fees related to Viper Energy, Inc. of $1,260,000 and $724,500, respectively.</w:t>
      </w:r>
    </w:p>
    <w:p>
      <w:pPr>
        <w:spacing w:after="0" w:line="10" w:lineRule="exact"/>
        <w:rPr>
          <w:rFonts w:ascii="Arial" w:cs="Arial" w:eastAsia="Arial" w:hAnsi="Arial"/>
          <w:sz w:val="13"/>
          <w:szCs w:val="13"/>
          <w:i w:val="1"/>
          <w:iCs w:val="1"/>
          <w:color w:val="auto"/>
        </w:rPr>
      </w:pPr>
    </w:p>
    <w:p>
      <w:pPr>
        <w:jc w:val="both"/>
        <w:ind w:left="300" w:hanging="299"/>
        <w:spacing w:after="0" w:line="264" w:lineRule="auto"/>
        <w:tabs>
          <w:tab w:leader="none" w:pos="300" w:val="left"/>
        </w:tabs>
        <w:numPr>
          <w:ilvl w:val="0"/>
          <w:numId w:val="143"/>
        </w:numPr>
        <w:rPr>
          <w:rFonts w:ascii="Arial" w:cs="Arial" w:eastAsia="Arial" w:hAnsi="Arial"/>
          <w:sz w:val="13"/>
          <w:szCs w:val="13"/>
          <w:i w:val="1"/>
          <w:iCs w:val="1"/>
          <w:color w:val="auto"/>
        </w:rPr>
      </w:pPr>
      <w:r>
        <w:rPr>
          <w:rFonts w:ascii="Arial" w:cs="Arial" w:eastAsia="Arial" w:hAnsi="Arial"/>
          <w:sz w:val="13"/>
          <w:szCs w:val="13"/>
          <w:i w:val="1"/>
          <w:iCs w:val="1"/>
          <w:color w:val="auto"/>
        </w:rPr>
        <w:t>For 2025, the amount represents fees of $39,900 for a limited assurance attestation review for Diamondback Energy, Inc.’s 2025 Corporate Sustainability Report and fees of $210,000 for an acquired business audit required pursuant to Regulation S-X, Rule 3-05 incurred by Viper Energy, Inc. For 2024, the amount represents fees of $37,800 for a limited assurance attestation review for Diamondback Energy, Inc.’s 2024 Corporate Sustainability Report.</w:t>
      </w:r>
    </w:p>
    <w:p>
      <w:pPr>
        <w:spacing w:after="0" w:line="24" w:lineRule="exact"/>
        <w:rPr>
          <w:rFonts w:ascii="Arial" w:cs="Arial" w:eastAsia="Arial" w:hAnsi="Arial"/>
          <w:sz w:val="13"/>
          <w:szCs w:val="13"/>
          <w:i w:val="1"/>
          <w:iCs w:val="1"/>
          <w:color w:val="auto"/>
        </w:rPr>
      </w:pPr>
    </w:p>
    <w:p>
      <w:pPr>
        <w:ind w:left="300" w:hanging="299"/>
        <w:spacing w:after="0"/>
        <w:tabs>
          <w:tab w:leader="none" w:pos="300" w:val="left"/>
        </w:tabs>
        <w:numPr>
          <w:ilvl w:val="0"/>
          <w:numId w:val="143"/>
        </w:numPr>
        <w:rPr>
          <w:rFonts w:ascii="Arial" w:cs="Arial" w:eastAsia="Arial" w:hAnsi="Arial"/>
          <w:sz w:val="13"/>
          <w:szCs w:val="13"/>
          <w:i w:val="1"/>
          <w:iCs w:val="1"/>
          <w:color w:val="auto"/>
        </w:rPr>
      </w:pPr>
      <w:r>
        <w:rPr>
          <w:rFonts w:ascii="Arial" w:cs="Arial" w:eastAsia="Arial" w:hAnsi="Arial"/>
          <w:sz w:val="13"/>
          <w:szCs w:val="13"/>
          <w:i w:val="1"/>
          <w:iCs w:val="1"/>
          <w:color w:val="auto"/>
        </w:rPr>
        <w:t>Tax fees represent aggregate fees for tax services, consisting of tax return compliance, tax advice and tax planning.</w:t>
      </w:r>
    </w:p>
    <w:p>
      <w:pPr>
        <w:spacing w:after="0" w:line="65" w:lineRule="exact"/>
        <w:rPr>
          <w:rFonts w:ascii="Arial" w:cs="Arial" w:eastAsia="Arial" w:hAnsi="Arial"/>
          <w:sz w:val="13"/>
          <w:szCs w:val="13"/>
          <w:i w:val="1"/>
          <w:iCs w:val="1"/>
          <w:color w:val="auto"/>
        </w:rPr>
      </w:pPr>
    </w:p>
    <w:p>
      <w:pPr>
        <w:ind w:left="300" w:hanging="299"/>
        <w:spacing w:after="0"/>
        <w:tabs>
          <w:tab w:leader="none" w:pos="300" w:val="left"/>
        </w:tabs>
        <w:numPr>
          <w:ilvl w:val="0"/>
          <w:numId w:val="143"/>
        </w:numPr>
        <w:rPr>
          <w:rFonts w:ascii="Arial" w:cs="Arial" w:eastAsia="Arial" w:hAnsi="Arial"/>
          <w:sz w:val="13"/>
          <w:szCs w:val="13"/>
          <w:i w:val="1"/>
          <w:iCs w:val="1"/>
          <w:color w:val="auto"/>
        </w:rPr>
      </w:pPr>
      <w:r>
        <w:rPr>
          <w:rFonts w:ascii="Arial" w:cs="Arial" w:eastAsia="Arial" w:hAnsi="Arial"/>
          <w:sz w:val="13"/>
          <w:szCs w:val="13"/>
          <w:i w:val="1"/>
          <w:iCs w:val="1"/>
          <w:color w:val="auto"/>
        </w:rPr>
        <w:t>All other fees represent aggregate fees for all other services.</w:t>
      </w:r>
    </w:p>
    <w:p>
      <w:pPr>
        <w:spacing w:after="0" w:line="17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96" w:name="page97"/>
    <w:bookmarkEnd w:id="9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44" w:lineRule="exact"/>
        <w:rPr>
          <w:sz w:val="20"/>
          <w:szCs w:val="20"/>
          <w:color w:val="auto"/>
        </w:rPr>
      </w:pPr>
    </w:p>
    <w:p>
      <w:pPr>
        <w:ind w:left="340" w:right="540" w:hanging="336"/>
        <w:spacing w:after="0" w:line="291" w:lineRule="auto"/>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DOES THE AUDIT COMMITTEE APPROVE THE SERVICES PROVIDED BY GRANT</w:t>
      </w: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THORNTON?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It is our audit committee’s policy to pre-approve all audit, audit related and permissible non-audit services rendered to us by our independent auditor. Consistent with such policy, all of the fees listed above that we incurred for services rendered by Grant Thornton subsequent to our initial public offering in October 2012 and the formation of our audit committee were pre-approved by our audit committee.</w:t>
      </w:r>
    </w:p>
    <w:p>
      <w:pPr>
        <w:spacing w:after="0" w:line="232"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WILL A REPRESENTATIVE OF GRANT THORNTON BE PRESENT AT THE MEETING?</w:t>
      </w:r>
    </w:p>
    <w:p>
      <w:pPr>
        <w:spacing w:after="0" w:line="31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Yes, one or more representatives of Grant Thornton will be present at the meeting. The representatives will have an opportunity to make a statement if they desire and will be available to respond to appropriate questions from the stockholders.</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WHAT VOTE IS REQUIRED TO APPROVE THIS PROPOSAL?</w:t>
      </w:r>
    </w:p>
    <w:p>
      <w:pPr>
        <w:spacing w:after="0" w:line="31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Stockholder ratification of the appointment of our independent auditor is not required by the Company’s bylaws or otherwise. However, we are submitting this proposal to the stockholders as a matter of good corporate practice. Approval of this proposal requires the affirmative vote of a majority of the votes cast on the proposal. If the appointment of Grant Thornton is not ratified, the audit committee will reconsider the appointment. Even if the appointment is ratified, the audit committee in its discretion may direct the appointment of a different independent audit firm at any time during the year if it is determined that such change would be in best interests of the Company and its stockholders.</w:t>
      </w:r>
    </w:p>
    <w:p>
      <w:pPr>
        <w:spacing w:after="0" w:line="238" w:lineRule="exact"/>
        <w:rPr>
          <w:sz w:val="20"/>
          <w:szCs w:val="20"/>
          <w:color w:val="auto"/>
        </w:rPr>
      </w:pPr>
    </w:p>
    <w:p>
      <w:pPr>
        <w:ind w:left="340" w:right="500" w:hanging="336"/>
        <w:spacing w:after="0" w:line="291" w:lineRule="auto"/>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HAS GRANT THORNTON ALWAYS SERVED AS DIAMONDBACK’S INDEPENDENT</w:t>
      </w: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AUDITOR?</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Grant Thornton has served as our independent auditor since 2009.</w:t>
      </w:r>
    </w:p>
    <w:p>
      <w:pPr>
        <w:spacing w:after="0" w:line="275"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WHAT DOES THE BOARD OF DIRECTORS RECOMMEND?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207645</wp:posOffset>
            </wp:positionV>
            <wp:extent cx="7141210" cy="3048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1210" cy="304800"/>
                    </a:xfrm>
                    <a:prstGeom prst="rect">
                      <a:avLst/>
                    </a:prstGeom>
                    <a:noFill/>
                  </pic:spPr>
                </pic:pic>
              </a:graphicData>
            </a:graphic>
          </wp:anchor>
        </w:drawing>
      </w:r>
    </w:p>
    <w:p>
      <w:pPr>
        <w:spacing w:after="0" w:line="358" w:lineRule="exact"/>
        <w:rPr>
          <w:sz w:val="20"/>
          <w:szCs w:val="20"/>
          <w:color w:val="auto"/>
        </w:rPr>
      </w:pPr>
    </w:p>
    <w:p>
      <w:pPr>
        <w:ind w:left="500" w:right="380"/>
        <w:spacing w:after="0" w:line="282" w:lineRule="auto"/>
        <w:rPr>
          <w:sz w:val="20"/>
          <w:szCs w:val="20"/>
          <w:color w:val="auto"/>
        </w:rPr>
      </w:pPr>
      <w:r>
        <w:rPr>
          <w:rFonts w:ascii="Arial" w:cs="Arial" w:eastAsia="Arial" w:hAnsi="Arial"/>
          <w:sz w:val="15"/>
          <w:szCs w:val="15"/>
          <w:color w:val="FFFFFF"/>
        </w:rPr>
        <w:t>THE BOARD OF DIRECTORS RECOMMENDS THAT YOU VOTE “</w:t>
      </w:r>
      <w:r>
        <w:rPr>
          <w:rFonts w:ascii="Arial" w:cs="Arial" w:eastAsia="Arial" w:hAnsi="Arial"/>
          <w:sz w:val="15"/>
          <w:szCs w:val="15"/>
          <w:b w:val="1"/>
          <w:bCs w:val="1"/>
          <w:color w:val="FFFFFF"/>
        </w:rPr>
        <w:t>FOR</w:t>
      </w:r>
      <w:r>
        <w:rPr>
          <w:rFonts w:ascii="Arial" w:cs="Arial" w:eastAsia="Arial" w:hAnsi="Arial"/>
          <w:sz w:val="15"/>
          <w:szCs w:val="15"/>
          <w:color w:val="FFFFFF"/>
        </w:rPr>
        <w:t>” THE RATIFICATION OF THE APPOINTMENT OF GRANT THORNTON LLP AS THE COMPANY’S INDEPENDENT AUDITOR FOR THE YEAR 2026.</w:t>
      </w:r>
    </w:p>
    <w:p>
      <w:pPr>
        <w:spacing w:after="0" w:line="18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97" w:name="page98"/>
    <w:bookmarkEnd w:id="9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111760</wp:posOffset>
            </wp:positionV>
            <wp:extent cx="136525" cy="1170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6525" cy="117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80" w:right="220"/>
        <w:spacing w:after="0" w:line="279" w:lineRule="auto"/>
        <w:rPr>
          <w:sz w:val="20"/>
          <w:szCs w:val="20"/>
          <w:color w:val="auto"/>
        </w:rPr>
      </w:pPr>
      <w:r>
        <w:rPr>
          <w:rFonts w:ascii="Arial" w:cs="Arial" w:eastAsia="Arial" w:hAnsi="Arial"/>
          <w:sz w:val="44"/>
          <w:szCs w:val="44"/>
          <w:b w:val="1"/>
          <w:bCs w:val="1"/>
          <w:color w:val="auto"/>
        </w:rPr>
        <w:t>FREQUENTLY ASKED QUESTIONS ABOUT THE ANNUAL MEETING</w:t>
      </w:r>
    </w:p>
    <w:p>
      <w:pPr>
        <w:spacing w:after="0" w:line="226"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Who is soliciting my vote?</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board of directors of Diamondback Energy, Inc., which we refer to as “Diamondback,” the “Company” and “we” in this proxy statement, is soliciting your vote at the 2026 Annual Meeting of Stockholders.</w:t>
      </w:r>
    </w:p>
    <w:p>
      <w:pPr>
        <w:spacing w:after="0" w:line="228" w:lineRule="exact"/>
        <w:rPr>
          <w:sz w:val="20"/>
          <w:szCs w:val="20"/>
          <w:color w:val="auto"/>
        </w:rPr>
      </w:pPr>
    </w:p>
    <w:p>
      <w:pPr>
        <w:ind w:right="280"/>
        <w:spacing w:after="0" w:line="284" w:lineRule="auto"/>
        <w:rPr>
          <w:sz w:val="20"/>
          <w:szCs w:val="20"/>
          <w:color w:val="auto"/>
        </w:rPr>
      </w:pPr>
      <w:r>
        <w:rPr>
          <w:rFonts w:ascii="Arial" w:cs="Arial" w:eastAsia="Arial" w:hAnsi="Arial"/>
          <w:sz w:val="24"/>
          <w:szCs w:val="24"/>
          <w:b w:val="1"/>
          <w:bCs w:val="1"/>
          <w:color w:val="A26F2A"/>
        </w:rPr>
        <w:t>What am I voting on, what are the voting options and how does the board of directors recommend that I vote my shares?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140" w:type="dxa"/>
            <w:vAlign w:val="bottom"/>
            <w:tcBorders>
              <w:bottom w:val="single" w:sz="8" w:color="A26F2A"/>
            </w:tcBorders>
            <w:gridSpan w:val="2"/>
          </w:tcPr>
          <w:p>
            <w:pPr>
              <w:ind w:left="60"/>
              <w:spacing w:after="0"/>
              <w:rPr>
                <w:sz w:val="20"/>
                <w:szCs w:val="20"/>
                <w:color w:val="auto"/>
              </w:rPr>
            </w:pPr>
            <w:r>
              <w:rPr>
                <w:rFonts w:ascii="Arial" w:cs="Arial" w:eastAsia="Arial" w:hAnsi="Arial"/>
                <w:sz w:val="15"/>
                <w:szCs w:val="15"/>
                <w:b w:val="1"/>
                <w:bCs w:val="1"/>
                <w:color w:val="auto"/>
              </w:rPr>
              <w:t>Brief Description of Proposal</w:t>
            </w:r>
          </w:p>
        </w:tc>
        <w:tc>
          <w:tcPr>
            <w:tcW w:w="2840" w:type="dxa"/>
            <w:vAlign w:val="bottom"/>
            <w:tcBorders>
              <w:bottom w:val="single" w:sz="8" w:color="A26F2A"/>
            </w:tcBorders>
          </w:tcPr>
          <w:p>
            <w:pPr>
              <w:ind w:left="720"/>
              <w:spacing w:after="0"/>
              <w:rPr>
                <w:sz w:val="20"/>
                <w:szCs w:val="20"/>
                <w:color w:val="auto"/>
              </w:rPr>
            </w:pPr>
            <w:r>
              <w:rPr>
                <w:rFonts w:ascii="Arial" w:cs="Arial" w:eastAsia="Arial" w:hAnsi="Arial"/>
                <w:sz w:val="15"/>
                <w:szCs w:val="15"/>
                <w:b w:val="1"/>
                <w:bCs w:val="1"/>
                <w:color w:val="auto"/>
              </w:rPr>
              <w:t>Voting Options</w:t>
            </w:r>
          </w:p>
        </w:tc>
        <w:tc>
          <w:tcPr>
            <w:tcW w:w="2260" w:type="dxa"/>
            <w:vAlign w:val="bottom"/>
            <w:tcBorders>
              <w:bottom w:val="single" w:sz="8" w:color="A26F2A"/>
            </w:tcBorders>
          </w:tcPr>
          <w:p>
            <w:pPr>
              <w:ind w:left="180"/>
              <w:spacing w:after="0"/>
              <w:rPr>
                <w:sz w:val="20"/>
                <w:szCs w:val="20"/>
                <w:color w:val="auto"/>
              </w:rPr>
            </w:pPr>
            <w:r>
              <w:rPr>
                <w:rFonts w:ascii="Arial" w:cs="Arial" w:eastAsia="Arial" w:hAnsi="Arial"/>
                <w:sz w:val="15"/>
                <w:szCs w:val="15"/>
                <w:b w:val="1"/>
                <w:bCs w:val="1"/>
                <w:color w:val="auto"/>
              </w:rPr>
              <w:t>Board’s Recommendation</w:t>
            </w:r>
          </w:p>
        </w:tc>
      </w:tr>
      <w:tr>
        <w:trPr>
          <w:trHeight w:val="190"/>
        </w:trPr>
        <w:tc>
          <w:tcPr>
            <w:tcW w:w="260" w:type="dxa"/>
            <w:vAlign w:val="bottom"/>
          </w:tcPr>
          <w:p>
            <w:pPr>
              <w:ind w:left="60"/>
              <w:spacing w:after="0"/>
              <w:rPr>
                <w:sz w:val="20"/>
                <w:szCs w:val="20"/>
                <w:color w:val="auto"/>
              </w:rPr>
            </w:pPr>
            <w:r>
              <w:rPr>
                <w:rFonts w:ascii="Arial" w:cs="Arial" w:eastAsia="Arial" w:hAnsi="Arial"/>
                <w:sz w:val="15"/>
                <w:szCs w:val="15"/>
                <w:color w:val="auto"/>
              </w:rPr>
              <w:t>1.</w:t>
            </w:r>
          </w:p>
        </w:tc>
        <w:tc>
          <w:tcPr>
            <w:tcW w:w="5880" w:type="dxa"/>
            <w:vAlign w:val="bottom"/>
          </w:tcPr>
          <w:p>
            <w:pPr>
              <w:ind w:left="100"/>
              <w:spacing w:after="0"/>
              <w:rPr>
                <w:sz w:val="20"/>
                <w:szCs w:val="20"/>
                <w:color w:val="auto"/>
              </w:rPr>
            </w:pPr>
            <w:r>
              <w:rPr>
                <w:rFonts w:ascii="Arial" w:cs="Arial" w:eastAsia="Arial" w:hAnsi="Arial"/>
                <w:sz w:val="15"/>
                <w:szCs w:val="15"/>
                <w:color w:val="auto"/>
              </w:rPr>
              <w:t>Election of Directors</w:t>
            </w:r>
          </w:p>
        </w:tc>
        <w:tc>
          <w:tcPr>
            <w:tcW w:w="2840" w:type="dxa"/>
            <w:vAlign w:val="bottom"/>
          </w:tcPr>
          <w:p>
            <w:pPr>
              <w:ind w:left="720"/>
              <w:spacing w:after="0"/>
              <w:rPr>
                <w:sz w:val="20"/>
                <w:szCs w:val="20"/>
                <w:color w:val="auto"/>
              </w:rPr>
            </w:pPr>
            <w:r>
              <w:rPr>
                <w:rFonts w:ascii="Arial" w:cs="Arial" w:eastAsia="Arial" w:hAnsi="Arial"/>
                <w:sz w:val="15"/>
                <w:szCs w:val="15"/>
                <w:b w:val="1"/>
                <w:bCs w:val="1"/>
                <w:color w:val="A26F2A"/>
              </w:rPr>
              <w:t>FOR</w:t>
            </w:r>
            <w:r>
              <w:rPr>
                <w:rFonts w:ascii="Arial" w:cs="Arial" w:eastAsia="Arial" w:hAnsi="Arial"/>
                <w:sz w:val="15"/>
                <w:szCs w:val="15"/>
                <w:b w:val="1"/>
                <w:bCs w:val="1"/>
                <w:color w:val="000000"/>
              </w:rPr>
              <w:t>,</w:t>
            </w:r>
            <w:r>
              <w:rPr>
                <w:rFonts w:ascii="Arial" w:cs="Arial" w:eastAsia="Arial" w:hAnsi="Arial"/>
                <w:sz w:val="15"/>
                <w:szCs w:val="15"/>
                <w:b w:val="1"/>
                <w:bCs w:val="1"/>
                <w:color w:val="A26F2A"/>
              </w:rPr>
              <w:t xml:space="preserve"> AGAINST </w:t>
            </w:r>
            <w:r>
              <w:rPr>
                <w:rFonts w:ascii="Arial" w:cs="Arial" w:eastAsia="Arial" w:hAnsi="Arial"/>
                <w:sz w:val="15"/>
                <w:szCs w:val="15"/>
                <w:color w:val="000000"/>
              </w:rPr>
              <w:t>or</w:t>
            </w:r>
            <w:r>
              <w:rPr>
                <w:rFonts w:ascii="Arial" w:cs="Arial" w:eastAsia="Arial" w:hAnsi="Arial"/>
                <w:sz w:val="15"/>
                <w:szCs w:val="15"/>
                <w:b w:val="1"/>
                <w:bCs w:val="1"/>
                <w:color w:val="A26F2A"/>
              </w:rPr>
              <w:t xml:space="preserve"> ABSTAIN</w:t>
            </w:r>
          </w:p>
        </w:tc>
        <w:tc>
          <w:tcPr>
            <w:tcW w:w="2260" w:type="dxa"/>
            <w:vAlign w:val="bottom"/>
          </w:tcPr>
          <w:p>
            <w:pPr>
              <w:ind w:left="640"/>
              <w:spacing w:after="0"/>
              <w:rPr>
                <w:sz w:val="20"/>
                <w:szCs w:val="20"/>
                <w:color w:val="auto"/>
              </w:rPr>
            </w:pPr>
            <w:r>
              <w:rPr>
                <w:rFonts w:ascii="Arial" w:cs="Arial" w:eastAsia="Arial" w:hAnsi="Arial"/>
                <w:sz w:val="15"/>
                <w:szCs w:val="15"/>
                <w:b w:val="1"/>
                <w:bCs w:val="1"/>
                <w:color w:val="A26F2A"/>
              </w:rPr>
              <w:t xml:space="preserve">FOR </w:t>
            </w:r>
            <w:r>
              <w:rPr>
                <w:rFonts w:ascii="Arial" w:cs="Arial" w:eastAsia="Arial" w:hAnsi="Arial"/>
                <w:sz w:val="15"/>
                <w:szCs w:val="15"/>
                <w:color w:val="000000"/>
              </w:rPr>
              <w:t>each nominee</w:t>
            </w:r>
          </w:p>
        </w:tc>
      </w:tr>
      <w:tr>
        <w:trPr>
          <w:trHeight w:val="207"/>
        </w:trPr>
        <w:tc>
          <w:tcPr>
            <w:tcW w:w="260" w:type="dxa"/>
            <w:vAlign w:val="bottom"/>
            <w:tcBorders>
              <w:bottom w:val="single" w:sz="8" w:color="A8A9AC"/>
            </w:tcBorders>
          </w:tcPr>
          <w:p>
            <w:pPr>
              <w:spacing w:after="0"/>
              <w:rPr>
                <w:sz w:val="17"/>
                <w:szCs w:val="17"/>
                <w:color w:val="auto"/>
              </w:rPr>
            </w:pPr>
          </w:p>
        </w:tc>
        <w:tc>
          <w:tcPr>
            <w:tcW w:w="5880" w:type="dxa"/>
            <w:vAlign w:val="bottom"/>
            <w:tcBorders>
              <w:bottom w:val="single" w:sz="8" w:color="A8A9AC"/>
            </w:tcBorders>
          </w:tcPr>
          <w:p>
            <w:pPr>
              <w:spacing w:after="0"/>
              <w:rPr>
                <w:sz w:val="17"/>
                <w:szCs w:val="17"/>
                <w:color w:val="auto"/>
              </w:rPr>
            </w:pPr>
          </w:p>
        </w:tc>
        <w:tc>
          <w:tcPr>
            <w:tcW w:w="2840" w:type="dxa"/>
            <w:vAlign w:val="bottom"/>
            <w:tcBorders>
              <w:bottom w:val="single" w:sz="8" w:color="A8A9AC"/>
            </w:tcBorders>
          </w:tcPr>
          <w:p>
            <w:pPr>
              <w:ind w:left="720"/>
              <w:spacing w:after="0"/>
              <w:rPr>
                <w:sz w:val="20"/>
                <w:szCs w:val="20"/>
                <w:color w:val="auto"/>
              </w:rPr>
            </w:pPr>
            <w:r>
              <w:rPr>
                <w:rFonts w:ascii="Arial" w:cs="Arial" w:eastAsia="Arial" w:hAnsi="Arial"/>
                <w:sz w:val="15"/>
                <w:szCs w:val="15"/>
                <w:color w:val="auto"/>
              </w:rPr>
              <w:t>(for each director nominee)</w:t>
            </w:r>
          </w:p>
        </w:tc>
        <w:tc>
          <w:tcPr>
            <w:tcW w:w="2260" w:type="dxa"/>
            <w:vAlign w:val="bottom"/>
            <w:tcBorders>
              <w:bottom w:val="single" w:sz="8" w:color="A8A9AC"/>
            </w:tcBorders>
          </w:tcPr>
          <w:p>
            <w:pPr>
              <w:spacing w:after="0"/>
              <w:rPr>
                <w:sz w:val="17"/>
                <w:szCs w:val="17"/>
                <w:color w:val="auto"/>
              </w:rPr>
            </w:pPr>
          </w:p>
        </w:tc>
      </w:tr>
      <w:tr>
        <w:trPr>
          <w:trHeight w:val="220"/>
        </w:trPr>
        <w:tc>
          <w:tcPr>
            <w:tcW w:w="260" w:type="dxa"/>
            <w:vAlign w:val="bottom"/>
          </w:tcPr>
          <w:p>
            <w:pPr>
              <w:ind w:left="60"/>
              <w:spacing w:after="0"/>
              <w:rPr>
                <w:sz w:val="20"/>
                <w:szCs w:val="20"/>
                <w:color w:val="auto"/>
              </w:rPr>
            </w:pPr>
            <w:r>
              <w:rPr>
                <w:rFonts w:ascii="Arial" w:cs="Arial" w:eastAsia="Arial" w:hAnsi="Arial"/>
                <w:sz w:val="15"/>
                <w:szCs w:val="15"/>
                <w:color w:val="auto"/>
              </w:rPr>
              <w:t>2.</w:t>
            </w:r>
          </w:p>
        </w:tc>
        <w:tc>
          <w:tcPr>
            <w:tcW w:w="5880" w:type="dxa"/>
            <w:vAlign w:val="bottom"/>
          </w:tcPr>
          <w:p>
            <w:pPr>
              <w:ind w:left="100"/>
              <w:spacing w:after="0"/>
              <w:rPr>
                <w:sz w:val="20"/>
                <w:szCs w:val="20"/>
                <w:color w:val="auto"/>
              </w:rPr>
            </w:pPr>
            <w:r>
              <w:rPr>
                <w:rFonts w:ascii="Arial" w:cs="Arial" w:eastAsia="Arial" w:hAnsi="Arial"/>
                <w:sz w:val="15"/>
                <w:szCs w:val="15"/>
                <w:color w:val="auto"/>
              </w:rPr>
              <w:t>Approval, on an Advisory Basis, of the Company’s Executive Compensation</w:t>
            </w:r>
          </w:p>
        </w:tc>
        <w:tc>
          <w:tcPr>
            <w:tcW w:w="2840" w:type="dxa"/>
            <w:vAlign w:val="bottom"/>
          </w:tcPr>
          <w:p>
            <w:pPr>
              <w:ind w:left="720"/>
              <w:spacing w:after="0"/>
              <w:rPr>
                <w:sz w:val="20"/>
                <w:szCs w:val="20"/>
                <w:color w:val="auto"/>
              </w:rPr>
            </w:pPr>
            <w:r>
              <w:rPr>
                <w:rFonts w:ascii="Arial" w:cs="Arial" w:eastAsia="Arial" w:hAnsi="Arial"/>
                <w:sz w:val="15"/>
                <w:szCs w:val="15"/>
                <w:b w:val="1"/>
                <w:bCs w:val="1"/>
                <w:color w:val="A26F2A"/>
              </w:rPr>
              <w:t>FOR</w:t>
            </w:r>
            <w:r>
              <w:rPr>
                <w:rFonts w:ascii="Arial" w:cs="Arial" w:eastAsia="Arial" w:hAnsi="Arial"/>
                <w:sz w:val="15"/>
                <w:szCs w:val="15"/>
                <w:b w:val="1"/>
                <w:bCs w:val="1"/>
                <w:color w:val="000000"/>
              </w:rPr>
              <w:t>,</w:t>
            </w:r>
            <w:r>
              <w:rPr>
                <w:rFonts w:ascii="Arial" w:cs="Arial" w:eastAsia="Arial" w:hAnsi="Arial"/>
                <w:sz w:val="15"/>
                <w:szCs w:val="15"/>
                <w:b w:val="1"/>
                <w:bCs w:val="1"/>
                <w:color w:val="A26F2A"/>
              </w:rPr>
              <w:t xml:space="preserve"> AGAINST </w:t>
            </w:r>
            <w:r>
              <w:rPr>
                <w:rFonts w:ascii="Arial" w:cs="Arial" w:eastAsia="Arial" w:hAnsi="Arial"/>
                <w:sz w:val="15"/>
                <w:szCs w:val="15"/>
                <w:color w:val="000000"/>
              </w:rPr>
              <w:t>or</w:t>
            </w:r>
            <w:r>
              <w:rPr>
                <w:rFonts w:ascii="Arial" w:cs="Arial" w:eastAsia="Arial" w:hAnsi="Arial"/>
                <w:sz w:val="15"/>
                <w:szCs w:val="15"/>
                <w:b w:val="1"/>
                <w:bCs w:val="1"/>
                <w:color w:val="A26F2A"/>
              </w:rPr>
              <w:t xml:space="preserve"> ABSTAIN</w:t>
            </w:r>
          </w:p>
        </w:tc>
        <w:tc>
          <w:tcPr>
            <w:tcW w:w="2260" w:type="dxa"/>
            <w:vAlign w:val="bottom"/>
          </w:tcPr>
          <w:p>
            <w:pPr>
              <w:ind w:left="640"/>
              <w:spacing w:after="0"/>
              <w:rPr>
                <w:sz w:val="20"/>
                <w:szCs w:val="20"/>
                <w:color w:val="auto"/>
              </w:rPr>
            </w:pPr>
            <w:r>
              <w:rPr>
                <w:rFonts w:ascii="Arial" w:cs="Arial" w:eastAsia="Arial" w:hAnsi="Arial"/>
                <w:sz w:val="15"/>
                <w:szCs w:val="15"/>
                <w:b w:val="1"/>
                <w:bCs w:val="1"/>
                <w:color w:val="A26F2A"/>
              </w:rPr>
              <w:t>FOR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14121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5867400</wp:posOffset>
            </wp:positionH>
            <wp:positionV relativeFrom="paragraph">
              <wp:posOffset>-387350</wp:posOffset>
            </wp:positionV>
            <wp:extent cx="136525" cy="1282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6525" cy="128270"/>
                    </a:xfrm>
                    <a:prstGeom prst="rect">
                      <a:avLst/>
                    </a:prstGeom>
                    <a:noFill/>
                  </pic:spPr>
                </pic:pic>
              </a:graphicData>
            </a:graphic>
          </wp:anchor>
        </w:drawing>
        <w:drawing>
          <wp:anchor simplePos="0" relativeHeight="251657728" behindDoc="1" locked="0" layoutInCell="0" allowOverlap="1">
            <wp:simplePos x="0" y="0"/>
            <wp:positionH relativeFrom="column">
              <wp:posOffset>5867400</wp:posOffset>
            </wp:positionH>
            <wp:positionV relativeFrom="paragraph">
              <wp:posOffset>-123190</wp:posOffset>
            </wp:positionV>
            <wp:extent cx="136525" cy="1282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6525" cy="12827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p>
      <w:pPr>
        <w:spacing w:after="0" w:line="58" w:lineRule="exact"/>
        <w:rPr>
          <w:sz w:val="20"/>
          <w:szCs w:val="20"/>
          <w:color w:val="auto"/>
        </w:rPr>
      </w:pPr>
    </w:p>
    <w:p>
      <w:pPr>
        <w:ind w:left="360" w:hanging="309"/>
        <w:spacing w:after="0" w:line="282" w:lineRule="auto"/>
        <w:tabs>
          <w:tab w:leader="none" w:pos="3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Approval, on an Advisory Basis, of the frequency of holding on an advisory vote on the Company’s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102870</wp:posOffset>
            </wp:positionV>
            <wp:extent cx="714121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tabs>
          <w:tab w:leader="none" w:pos="2740" w:val="left"/>
        </w:tabs>
        <w:rPr>
          <w:sz w:val="20"/>
          <w:szCs w:val="20"/>
          <w:color w:val="auto"/>
        </w:rPr>
      </w:pPr>
      <w:r>
        <w:rPr>
          <w:rFonts w:ascii="Arial" w:cs="Arial" w:eastAsia="Arial" w:hAnsi="Arial"/>
          <w:sz w:val="15"/>
          <w:szCs w:val="15"/>
          <w:b w:val="1"/>
          <w:bCs w:val="1"/>
          <w:color w:val="A26F2A"/>
        </w:rPr>
        <w:t>EVERY YEAR, EVERY TWO</w:t>
      </w:r>
      <w:r>
        <w:rPr>
          <w:sz w:val="20"/>
          <w:szCs w:val="20"/>
          <w:color w:val="auto"/>
        </w:rPr>
        <w:tab/>
      </w:r>
      <w:r>
        <w:rPr>
          <w:rFonts w:ascii="Arial" w:cs="Arial" w:eastAsia="Arial" w:hAnsi="Arial"/>
          <w:sz w:val="15"/>
          <w:szCs w:val="15"/>
          <w:b w:val="1"/>
          <w:bCs w:val="1"/>
          <w:color w:val="A26F2A"/>
        </w:rPr>
        <w:t xml:space="preserve">FOR </w:t>
      </w:r>
      <w:r>
        <w:rPr>
          <w:rFonts w:ascii="Arial" w:cs="Arial" w:eastAsia="Arial" w:hAnsi="Arial"/>
          <w:sz w:val="15"/>
          <w:szCs w:val="15"/>
          <w:color w:val="000000"/>
        </w:rPr>
        <w:t>every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-100965</wp:posOffset>
            </wp:positionV>
            <wp:extent cx="136525" cy="1282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6525" cy="128270"/>
                    </a:xfrm>
                    <a:prstGeom prst="rect">
                      <a:avLst/>
                    </a:prstGeom>
                    <a:noFill/>
                  </pic:spPr>
                </pic:pic>
              </a:graphicData>
            </a:graphic>
          </wp:anchor>
        </w:drawing>
      </w:r>
    </w:p>
    <w:p>
      <w:pPr>
        <w:ind w:right="2720"/>
        <w:spacing w:after="0" w:line="274" w:lineRule="auto"/>
        <w:rPr>
          <w:sz w:val="20"/>
          <w:szCs w:val="20"/>
          <w:color w:val="auto"/>
        </w:rPr>
      </w:pPr>
      <w:r>
        <w:rPr>
          <w:rFonts w:ascii="Arial" w:cs="Arial" w:eastAsia="Arial" w:hAnsi="Arial"/>
          <w:sz w:val="15"/>
          <w:szCs w:val="15"/>
          <w:b w:val="1"/>
          <w:bCs w:val="1"/>
          <w:color w:val="A26F2A"/>
        </w:rPr>
        <w:t xml:space="preserve">YEARS, EVERY THREE YEARS </w:t>
      </w:r>
      <w:r>
        <w:rPr>
          <w:rFonts w:ascii="Arial" w:cs="Arial" w:eastAsia="Arial" w:hAnsi="Arial"/>
          <w:sz w:val="15"/>
          <w:szCs w:val="15"/>
          <w:color w:val="000000"/>
        </w:rPr>
        <w:t>or</w:t>
      </w:r>
      <w:r>
        <w:rPr>
          <w:rFonts w:ascii="Arial" w:cs="Arial" w:eastAsia="Arial" w:hAnsi="Arial"/>
          <w:sz w:val="15"/>
          <w:szCs w:val="15"/>
          <w:b w:val="1"/>
          <w:bCs w:val="1"/>
          <w:color w:val="A26F2A"/>
        </w:rPr>
        <w:t xml:space="preserve"> ABSTAIN</w:t>
      </w:r>
    </w:p>
    <w:p>
      <w:pPr>
        <w:spacing w:after="0" w:line="1" w:lineRule="exact"/>
        <w:rPr>
          <w:sz w:val="20"/>
          <w:szCs w:val="20"/>
          <w:color w:val="auto"/>
        </w:rPr>
      </w:pPr>
    </w:p>
    <w:p>
      <w:pPr>
        <w:sectPr>
          <w:pgSz w:w="11900" w:h="16838" w:orient="portrait"/>
          <w:cols w:equalWidth="0" w:num="2">
            <w:col w:w="6140" w:space="720"/>
            <w:col w:w="4380"/>
          </w:cols>
          <w:pgMar w:left="320" w:top="231" w:right="339" w:bottom="1440" w:gutter="0" w:footer="0" w:header="0"/>
          <w:type w:val="continuous"/>
        </w:sectPr>
      </w:pPr>
    </w:p>
    <w:p>
      <w:pPr>
        <w:ind w:left="60"/>
        <w:spacing w:after="0"/>
        <w:tabs>
          <w:tab w:leader="none" w:pos="340" w:val="left"/>
          <w:tab w:leader="none" w:pos="6840" w:val="left"/>
        </w:tabs>
        <w:rPr>
          <w:sz w:val="20"/>
          <w:szCs w:val="20"/>
          <w:color w:val="auto"/>
        </w:rPr>
      </w:pPr>
      <w:r>
        <w:rPr>
          <w:rFonts w:ascii="Arial" w:cs="Arial" w:eastAsia="Arial" w:hAnsi="Arial"/>
          <w:sz w:val="15"/>
          <w:szCs w:val="15"/>
          <w:color w:val="auto"/>
        </w:rPr>
        <w:t>4.</w:t>
        <w:tab/>
        <w:t>Ratification of the appointment of our independent auditor</w:t>
      </w:r>
      <w:r>
        <w:rPr>
          <w:sz w:val="20"/>
          <w:szCs w:val="20"/>
          <w:color w:val="auto"/>
        </w:rPr>
        <w:tab/>
      </w:r>
      <w:r>
        <w:rPr>
          <w:rFonts w:ascii="Arial" w:cs="Arial" w:eastAsia="Arial" w:hAnsi="Arial"/>
          <w:sz w:val="15"/>
          <w:szCs w:val="15"/>
          <w:b w:val="1"/>
          <w:bCs w:val="1"/>
          <w:color w:val="A26F2A"/>
        </w:rPr>
        <w:t>FOR</w:t>
      </w:r>
      <w:r>
        <w:rPr>
          <w:rFonts w:ascii="Arial" w:cs="Arial" w:eastAsia="Arial" w:hAnsi="Arial"/>
          <w:sz w:val="15"/>
          <w:szCs w:val="15"/>
          <w:b w:val="1"/>
          <w:bCs w:val="1"/>
          <w:color w:val="000000"/>
        </w:rPr>
        <w:t>,</w:t>
      </w:r>
      <w:r>
        <w:rPr>
          <w:rFonts w:ascii="Arial" w:cs="Arial" w:eastAsia="Arial" w:hAnsi="Arial"/>
          <w:sz w:val="15"/>
          <w:szCs w:val="15"/>
          <w:b w:val="1"/>
          <w:bCs w:val="1"/>
          <w:color w:val="A26F2A"/>
        </w:rPr>
        <w:t xml:space="preserve"> AGAINST </w:t>
      </w:r>
      <w:r>
        <w:rPr>
          <w:rFonts w:ascii="Arial" w:cs="Arial" w:eastAsia="Arial" w:hAnsi="Arial"/>
          <w:sz w:val="15"/>
          <w:szCs w:val="15"/>
          <w:color w:val="000000"/>
        </w:rPr>
        <w:t>or</w:t>
      </w:r>
      <w:r>
        <w:rPr>
          <w:rFonts w:ascii="Arial" w:cs="Arial" w:eastAsia="Arial" w:hAnsi="Arial"/>
          <w:sz w:val="15"/>
          <w:szCs w:val="15"/>
          <w:b w:val="1"/>
          <w:bCs w:val="1"/>
          <w:color w:val="A26F2A"/>
        </w:rPr>
        <w:t xml:space="preserve"> ABSTAIN     </w:t>
      </w:r>
      <w:r>
        <w:rPr>
          <w:sz w:val="1"/>
          <w:szCs w:val="1"/>
          <w:color w:val="auto"/>
        </w:rPr>
        <w:drawing>
          <wp:inline distT="0" distB="0" distL="0" distR="0">
            <wp:extent cx="136525" cy="11430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6525" cy="114300"/>
                    </a:xfrm>
                    <a:prstGeom prst="rect">
                      <a:avLst/>
                    </a:prstGeom>
                    <a:noFill/>
                    <a:ln>
                      <a:noFill/>
                    </a:ln>
                  </pic:spPr>
                </pic:pic>
              </a:graphicData>
            </a:graphic>
          </wp:inline>
        </w:drawing>
      </w:r>
      <w:r>
        <w:rPr>
          <w:rFonts w:ascii="Arial" w:cs="Arial" w:eastAsia="Arial" w:hAnsi="Arial"/>
          <w:sz w:val="15"/>
          <w:szCs w:val="15"/>
          <w:b w:val="1"/>
          <w:bCs w:val="1"/>
          <w:color w:val="A26F2A"/>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121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Who is entitled to vote?</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You may vote if you were the record owner of our common stock as of the close of business on March 30, 2026. Each share of common stock is entitled to one vote. As of March 30, 2026, we had 281,311,730 shares of common stock outstanding and entitled to vote. There is no cumulative voting.</w:t>
      </w:r>
    </w:p>
    <w:p>
      <w:pPr>
        <w:spacing w:after="0" w:line="228"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How many votes must be present to hold the meeting?</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Your shares are counted as present at the 2026 Annual Meeting if you attend the meeting and vote in person or if you properly grant your proxy by telephone, Internet or mail. In order for us to hold our meeting, holders of a majority of the voting power of our outstanding shares of common stock entitled to vote at the 2026 Annual Meeting must be present in person or by proxy at the meeting. This is referred to as a quorum. Abstentions and broker non-votes will be counted for purposes of establishing a quorum at the meeting.</w:t>
      </w:r>
    </w:p>
    <w:p>
      <w:pPr>
        <w:spacing w:after="0" w:line="245"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What is a broker non-vote?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If a broker does not have discretion to vote shares held in street name on a particular proposal and does not receive instructions from the beneficial owner on how to vote those shares, the broker may not vote on that proposal. This is known as a broker non-vote. No broker may vote your shares without your specific instructions on any of the proposals to be considered at the 2026 Annual Meeting other than on the proposals that are considered to be “routine.” Under the rules of the New York Stock Exchange (NYSE), which apply to brokers regardless of whether an issuer is listed on the NYSE or Nasdaq, Proposal 4 relating to the ratification of our independent auditor is considered to be a “routine” matter. Accordingly, brokers will have discretionary authority to vote on Proposal 4 but will not have discretionary authority to vote on Proposal 1, Proposal 2 or Proposal 3 at the 2026 Annual Meeting without your specific instructions.</w:t>
      </w:r>
    </w:p>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3" w:lineRule="exact"/>
        <w:rPr>
          <w:sz w:val="20"/>
          <w:szCs w:val="20"/>
          <w:color w:val="auto"/>
        </w:rPr>
      </w:pPr>
    </w:p>
    <w:p>
      <w:pPr>
        <w:ind w:right="1200"/>
        <w:spacing w:after="0" w:line="284" w:lineRule="auto"/>
        <w:rPr>
          <w:sz w:val="20"/>
          <w:szCs w:val="20"/>
          <w:color w:val="auto"/>
        </w:rPr>
      </w:pPr>
      <w:r>
        <w:rPr>
          <w:rFonts w:ascii="Arial" w:cs="Arial" w:eastAsia="Arial" w:hAnsi="Arial"/>
          <w:sz w:val="24"/>
          <w:szCs w:val="24"/>
          <w:b w:val="1"/>
          <w:bCs w:val="1"/>
          <w:color w:val="A26F2A"/>
        </w:rPr>
        <w:t>How many votes are needed to approve each of the proposals, and what are the effects of abstentions, broker non-votes and unmarked, signed proxy cards?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ind w:left="180"/>
              <w:spacing w:after="0"/>
              <w:rPr>
                <w:sz w:val="20"/>
                <w:szCs w:val="20"/>
                <w:color w:val="auto"/>
              </w:rPr>
            </w:pPr>
            <w:r>
              <w:rPr>
                <w:rFonts w:ascii="Arial" w:cs="Arial" w:eastAsia="Arial" w:hAnsi="Arial"/>
                <w:sz w:val="15"/>
                <w:szCs w:val="15"/>
                <w:b w:val="1"/>
                <w:bCs w:val="1"/>
                <w:color w:val="auto"/>
              </w:rPr>
              <w:t>Effect of</w:t>
            </w:r>
          </w:p>
        </w:tc>
        <w:tc>
          <w:tcPr>
            <w:tcW w:w="2060" w:type="dxa"/>
            <w:vAlign w:val="bottom"/>
          </w:tcPr>
          <w:p>
            <w:pPr>
              <w:spacing w:after="0"/>
              <w:rPr>
                <w:sz w:val="15"/>
                <w:szCs w:val="15"/>
                <w:color w:val="auto"/>
              </w:rPr>
            </w:pPr>
          </w:p>
        </w:tc>
      </w:tr>
      <w:tr>
        <w:trPr>
          <w:trHeight w:val="177"/>
        </w:trPr>
        <w:tc>
          <w:tcPr>
            <w:tcW w:w="2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20" w:type="dxa"/>
            <w:vAlign w:val="bottom"/>
          </w:tcPr>
          <w:p>
            <w:pPr>
              <w:ind w:left="80"/>
              <w:spacing w:after="0"/>
              <w:rPr>
                <w:sz w:val="20"/>
                <w:szCs w:val="20"/>
                <w:color w:val="auto"/>
              </w:rPr>
            </w:pPr>
            <w:r>
              <w:rPr>
                <w:rFonts w:ascii="Arial" w:cs="Arial" w:eastAsia="Arial" w:hAnsi="Arial"/>
                <w:sz w:val="15"/>
                <w:szCs w:val="15"/>
                <w:b w:val="1"/>
                <w:bCs w:val="1"/>
                <w:color w:val="auto"/>
              </w:rPr>
              <w:t>Effect of</w:t>
            </w:r>
          </w:p>
        </w:tc>
        <w:tc>
          <w:tcPr>
            <w:tcW w:w="1200" w:type="dxa"/>
            <w:vAlign w:val="bottom"/>
          </w:tcPr>
          <w:p>
            <w:pPr>
              <w:ind w:left="180"/>
              <w:spacing w:after="0"/>
              <w:rPr>
                <w:sz w:val="20"/>
                <w:szCs w:val="20"/>
                <w:color w:val="auto"/>
              </w:rPr>
            </w:pPr>
            <w:r>
              <w:rPr>
                <w:rFonts w:ascii="Arial" w:cs="Arial" w:eastAsia="Arial" w:hAnsi="Arial"/>
                <w:sz w:val="15"/>
                <w:szCs w:val="15"/>
                <w:b w:val="1"/>
                <w:bCs w:val="1"/>
                <w:color w:val="auto"/>
              </w:rPr>
              <w:t>Broker-Non</w:t>
            </w:r>
          </w:p>
        </w:tc>
        <w:tc>
          <w:tcPr>
            <w:tcW w:w="2060" w:type="dxa"/>
            <w:vAlign w:val="bottom"/>
          </w:tcPr>
          <w:p>
            <w:pPr>
              <w:ind w:left="200"/>
              <w:spacing w:after="0"/>
              <w:rPr>
                <w:sz w:val="20"/>
                <w:szCs w:val="20"/>
                <w:color w:val="auto"/>
              </w:rPr>
            </w:pPr>
            <w:r>
              <w:rPr>
                <w:rFonts w:ascii="Arial" w:cs="Arial" w:eastAsia="Arial" w:hAnsi="Arial"/>
                <w:sz w:val="15"/>
                <w:szCs w:val="15"/>
                <w:b w:val="1"/>
                <w:bCs w:val="1"/>
                <w:color w:val="auto"/>
              </w:rPr>
              <w:t>Unmarked/Signed</w:t>
            </w:r>
          </w:p>
        </w:tc>
      </w:tr>
      <w:tr>
        <w:trPr>
          <w:trHeight w:val="194"/>
        </w:trPr>
        <w:tc>
          <w:tcPr>
            <w:tcW w:w="3000" w:type="dxa"/>
            <w:vAlign w:val="bottom"/>
            <w:tcBorders>
              <w:bottom w:val="single" w:sz="8" w:color="A26F2A"/>
            </w:tcBorders>
            <w:gridSpan w:val="2"/>
          </w:tcPr>
          <w:p>
            <w:pPr>
              <w:ind w:left="60"/>
              <w:spacing w:after="0"/>
              <w:rPr>
                <w:sz w:val="20"/>
                <w:szCs w:val="20"/>
                <w:color w:val="auto"/>
              </w:rPr>
            </w:pPr>
            <w:r>
              <w:rPr>
                <w:rFonts w:ascii="Arial" w:cs="Arial" w:eastAsia="Arial" w:hAnsi="Arial"/>
                <w:sz w:val="15"/>
                <w:szCs w:val="15"/>
                <w:b w:val="1"/>
                <w:bCs w:val="1"/>
                <w:color w:val="auto"/>
              </w:rPr>
              <w:t>Brief Description of Proposal</w:t>
            </w:r>
          </w:p>
        </w:tc>
        <w:tc>
          <w:tcPr>
            <w:tcW w:w="3860" w:type="dxa"/>
            <w:vAlign w:val="bottom"/>
            <w:tcBorders>
              <w:bottom w:val="single" w:sz="8" w:color="A26F2A"/>
            </w:tcBorders>
          </w:tcPr>
          <w:p>
            <w:pPr>
              <w:ind w:left="60"/>
              <w:spacing w:after="0"/>
              <w:rPr>
                <w:sz w:val="20"/>
                <w:szCs w:val="20"/>
                <w:color w:val="auto"/>
              </w:rPr>
            </w:pPr>
            <w:r>
              <w:rPr>
                <w:rFonts w:ascii="Arial" w:cs="Arial" w:eastAsia="Arial" w:hAnsi="Arial"/>
                <w:sz w:val="15"/>
                <w:szCs w:val="15"/>
                <w:b w:val="1"/>
                <w:bCs w:val="1"/>
                <w:color w:val="auto"/>
              </w:rPr>
              <w:t>Vote Required to Adopt the Proposal</w:t>
            </w:r>
          </w:p>
        </w:tc>
        <w:tc>
          <w:tcPr>
            <w:tcW w:w="1120" w:type="dxa"/>
            <w:vAlign w:val="bottom"/>
            <w:tcBorders>
              <w:bottom w:val="single" w:sz="8" w:color="A26F2A"/>
            </w:tcBorders>
          </w:tcPr>
          <w:p>
            <w:pPr>
              <w:ind w:left="80"/>
              <w:spacing w:after="0"/>
              <w:rPr>
                <w:sz w:val="20"/>
                <w:szCs w:val="20"/>
                <w:color w:val="auto"/>
              </w:rPr>
            </w:pPr>
            <w:r>
              <w:rPr>
                <w:rFonts w:ascii="Arial" w:cs="Arial" w:eastAsia="Arial" w:hAnsi="Arial"/>
                <w:sz w:val="15"/>
                <w:szCs w:val="15"/>
                <w:b w:val="1"/>
                <w:bCs w:val="1"/>
                <w:color w:val="auto"/>
              </w:rPr>
              <w:t>Abstentions</w:t>
            </w:r>
          </w:p>
        </w:tc>
        <w:tc>
          <w:tcPr>
            <w:tcW w:w="1200" w:type="dxa"/>
            <w:vAlign w:val="bottom"/>
            <w:tcBorders>
              <w:bottom w:val="single" w:sz="8" w:color="A26F2A"/>
            </w:tcBorders>
          </w:tcPr>
          <w:p>
            <w:pPr>
              <w:ind w:left="180"/>
              <w:spacing w:after="0"/>
              <w:rPr>
                <w:sz w:val="20"/>
                <w:szCs w:val="20"/>
                <w:color w:val="auto"/>
              </w:rPr>
            </w:pPr>
            <w:r>
              <w:rPr>
                <w:rFonts w:ascii="Arial" w:cs="Arial" w:eastAsia="Arial" w:hAnsi="Arial"/>
                <w:sz w:val="15"/>
                <w:szCs w:val="15"/>
                <w:b w:val="1"/>
                <w:bCs w:val="1"/>
                <w:color w:val="auto"/>
              </w:rPr>
              <w:t>Votes</w:t>
            </w:r>
          </w:p>
        </w:tc>
        <w:tc>
          <w:tcPr>
            <w:tcW w:w="2060" w:type="dxa"/>
            <w:vAlign w:val="bottom"/>
            <w:tcBorders>
              <w:bottom w:val="single" w:sz="8" w:color="A26F2A"/>
            </w:tcBorders>
          </w:tcPr>
          <w:p>
            <w:pPr>
              <w:ind w:left="200"/>
              <w:spacing w:after="0"/>
              <w:rPr>
                <w:sz w:val="20"/>
                <w:szCs w:val="20"/>
                <w:color w:val="auto"/>
              </w:rPr>
            </w:pPr>
            <w:r>
              <w:rPr>
                <w:rFonts w:ascii="Arial" w:cs="Arial" w:eastAsia="Arial" w:hAnsi="Arial"/>
                <w:sz w:val="15"/>
                <w:szCs w:val="15"/>
                <w:b w:val="1"/>
                <w:bCs w:val="1"/>
                <w:color w:val="auto"/>
              </w:rPr>
              <w:t>Proxy Cards</w:t>
            </w:r>
          </w:p>
        </w:tc>
      </w:tr>
      <w:tr>
        <w:trPr>
          <w:trHeight w:val="190"/>
        </w:trPr>
        <w:tc>
          <w:tcPr>
            <w:tcW w:w="240" w:type="dxa"/>
            <w:vAlign w:val="bottom"/>
          </w:tcPr>
          <w:p>
            <w:pPr>
              <w:ind w:left="60"/>
              <w:spacing w:after="0"/>
              <w:rPr>
                <w:sz w:val="20"/>
                <w:szCs w:val="20"/>
                <w:color w:val="auto"/>
              </w:rPr>
            </w:pPr>
            <w:r>
              <w:rPr>
                <w:rFonts w:ascii="Arial" w:cs="Arial" w:eastAsia="Arial" w:hAnsi="Arial"/>
                <w:sz w:val="15"/>
                <w:szCs w:val="15"/>
                <w:color w:val="auto"/>
              </w:rPr>
              <w:t>1.</w:t>
            </w:r>
          </w:p>
        </w:tc>
        <w:tc>
          <w:tcPr>
            <w:tcW w:w="2760" w:type="dxa"/>
            <w:vAlign w:val="bottom"/>
          </w:tcPr>
          <w:p>
            <w:pPr>
              <w:ind w:left="80"/>
              <w:spacing w:after="0"/>
              <w:rPr>
                <w:sz w:val="20"/>
                <w:szCs w:val="20"/>
                <w:color w:val="auto"/>
              </w:rPr>
            </w:pPr>
            <w:r>
              <w:rPr>
                <w:rFonts w:ascii="Arial" w:cs="Arial" w:eastAsia="Arial" w:hAnsi="Arial"/>
                <w:sz w:val="15"/>
                <w:szCs w:val="15"/>
                <w:color w:val="auto"/>
              </w:rPr>
              <w:t>Election of Directors</w:t>
            </w:r>
          </w:p>
        </w:tc>
        <w:tc>
          <w:tcPr>
            <w:tcW w:w="3860" w:type="dxa"/>
            <w:vAlign w:val="bottom"/>
          </w:tcPr>
          <w:p>
            <w:pPr>
              <w:ind w:left="60"/>
              <w:spacing w:after="0"/>
              <w:rPr>
                <w:sz w:val="20"/>
                <w:szCs w:val="20"/>
                <w:color w:val="auto"/>
              </w:rPr>
            </w:pPr>
            <w:r>
              <w:rPr>
                <w:rFonts w:ascii="Arial" w:cs="Arial" w:eastAsia="Arial" w:hAnsi="Arial"/>
                <w:sz w:val="15"/>
                <w:szCs w:val="15"/>
                <w:color w:val="auto"/>
              </w:rPr>
              <w:t>Directors will be elected by the affirmative vote of a</w:t>
            </w:r>
          </w:p>
        </w:tc>
        <w:tc>
          <w:tcPr>
            <w:tcW w:w="1120" w:type="dxa"/>
            <w:vAlign w:val="bottom"/>
          </w:tcPr>
          <w:p>
            <w:pPr>
              <w:ind w:left="80"/>
              <w:spacing w:after="0"/>
              <w:rPr>
                <w:sz w:val="20"/>
                <w:szCs w:val="20"/>
                <w:color w:val="auto"/>
              </w:rPr>
            </w:pPr>
            <w:r>
              <w:rPr>
                <w:rFonts w:ascii="Arial" w:cs="Arial" w:eastAsia="Arial" w:hAnsi="Arial"/>
                <w:sz w:val="15"/>
                <w:szCs w:val="15"/>
                <w:color w:val="auto"/>
              </w:rPr>
              <w:t>None</w:t>
            </w:r>
          </w:p>
        </w:tc>
        <w:tc>
          <w:tcPr>
            <w:tcW w:w="1200" w:type="dxa"/>
            <w:vAlign w:val="bottom"/>
          </w:tcPr>
          <w:p>
            <w:pPr>
              <w:ind w:left="180"/>
              <w:spacing w:after="0"/>
              <w:rPr>
                <w:sz w:val="20"/>
                <w:szCs w:val="20"/>
                <w:color w:val="auto"/>
              </w:rPr>
            </w:pPr>
            <w:r>
              <w:rPr>
                <w:rFonts w:ascii="Arial" w:cs="Arial" w:eastAsia="Arial" w:hAnsi="Arial"/>
                <w:sz w:val="15"/>
                <w:szCs w:val="15"/>
                <w:color w:val="auto"/>
              </w:rPr>
              <w:t>None</w:t>
            </w:r>
          </w:p>
        </w:tc>
        <w:tc>
          <w:tcPr>
            <w:tcW w:w="2060" w:type="dxa"/>
            <w:vAlign w:val="bottom"/>
          </w:tcPr>
          <w:p>
            <w:pPr>
              <w:ind w:left="680"/>
              <w:spacing w:after="0"/>
              <w:rPr>
                <w:sz w:val="20"/>
                <w:szCs w:val="20"/>
                <w:color w:val="auto"/>
              </w:rPr>
            </w:pPr>
            <w:r>
              <w:rPr>
                <w:rFonts w:ascii="Arial" w:cs="Arial" w:eastAsia="Arial" w:hAnsi="Arial"/>
                <w:sz w:val="15"/>
                <w:szCs w:val="15"/>
                <w:b w:val="1"/>
                <w:bCs w:val="1"/>
                <w:color w:val="A26F2A"/>
              </w:rPr>
              <w:t xml:space="preserve">FOR </w:t>
            </w:r>
            <w:r>
              <w:rPr>
                <w:rFonts w:ascii="Arial" w:cs="Arial" w:eastAsia="Arial" w:hAnsi="Arial"/>
                <w:sz w:val="15"/>
                <w:szCs w:val="15"/>
                <w:color w:val="000000"/>
              </w:rPr>
              <w:t>each nominee</w:t>
            </w:r>
          </w:p>
        </w:tc>
      </w:tr>
      <w:tr>
        <w:trPr>
          <w:trHeight w:val="177"/>
        </w:trPr>
        <w:tc>
          <w:tcPr>
            <w:tcW w:w="2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860" w:type="dxa"/>
            <w:vAlign w:val="bottom"/>
          </w:tcPr>
          <w:p>
            <w:pPr>
              <w:ind w:left="60"/>
              <w:spacing w:after="0"/>
              <w:rPr>
                <w:sz w:val="20"/>
                <w:szCs w:val="20"/>
                <w:color w:val="auto"/>
              </w:rPr>
            </w:pPr>
            <w:r>
              <w:rPr>
                <w:rFonts w:ascii="Arial" w:cs="Arial" w:eastAsia="Arial" w:hAnsi="Arial"/>
                <w:sz w:val="15"/>
                <w:szCs w:val="15"/>
                <w:color w:val="auto"/>
              </w:rPr>
              <w:t>majority of the votes cast, in person or by proxy, which</w:t>
            </w: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7"/>
        </w:trPr>
        <w:tc>
          <w:tcPr>
            <w:tcW w:w="2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860" w:type="dxa"/>
            <w:vAlign w:val="bottom"/>
          </w:tcPr>
          <w:p>
            <w:pPr>
              <w:ind w:left="60"/>
              <w:spacing w:after="0"/>
              <w:rPr>
                <w:sz w:val="20"/>
                <w:szCs w:val="20"/>
                <w:color w:val="auto"/>
              </w:rPr>
            </w:pPr>
            <w:r>
              <w:rPr>
                <w:rFonts w:ascii="Arial" w:cs="Arial" w:eastAsia="Arial" w:hAnsi="Arial"/>
                <w:sz w:val="15"/>
                <w:szCs w:val="15"/>
                <w:color w:val="auto"/>
              </w:rPr>
              <w:t>means that the number of shares voted “</w:t>
            </w:r>
            <w:r>
              <w:rPr>
                <w:rFonts w:ascii="Arial" w:cs="Arial" w:eastAsia="Arial" w:hAnsi="Arial"/>
                <w:sz w:val="15"/>
                <w:szCs w:val="15"/>
                <w:b w:val="1"/>
                <w:bCs w:val="1"/>
                <w:color w:val="auto"/>
              </w:rPr>
              <w:t>FOR</w:t>
            </w:r>
            <w:r>
              <w:rPr>
                <w:rFonts w:ascii="Arial" w:cs="Arial" w:eastAsia="Arial" w:hAnsi="Arial"/>
                <w:sz w:val="15"/>
                <w:szCs w:val="15"/>
                <w:color w:val="auto"/>
              </w:rPr>
              <w:t>” a</w:t>
            </w: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6"/>
        </w:trPr>
        <w:tc>
          <w:tcPr>
            <w:tcW w:w="2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860" w:type="dxa"/>
            <w:vAlign w:val="bottom"/>
          </w:tcPr>
          <w:p>
            <w:pPr>
              <w:ind w:left="60"/>
              <w:spacing w:after="0"/>
              <w:rPr>
                <w:sz w:val="20"/>
                <w:szCs w:val="20"/>
                <w:color w:val="auto"/>
              </w:rPr>
            </w:pPr>
            <w:r>
              <w:rPr>
                <w:rFonts w:ascii="Arial" w:cs="Arial" w:eastAsia="Arial" w:hAnsi="Arial"/>
                <w:sz w:val="15"/>
                <w:szCs w:val="15"/>
                <w:color w:val="auto"/>
              </w:rPr>
              <w:t>director nominee must exceed the number of votes cast</w:t>
            </w: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52"/>
        </w:trPr>
        <w:tc>
          <w:tcPr>
            <w:tcW w:w="240" w:type="dxa"/>
            <w:vAlign w:val="bottom"/>
            <w:tcBorders>
              <w:bottom w:val="single" w:sz="8" w:color="A8A9AC"/>
            </w:tcBorders>
          </w:tcPr>
          <w:p>
            <w:pPr>
              <w:spacing w:after="0"/>
              <w:rPr>
                <w:sz w:val="21"/>
                <w:szCs w:val="21"/>
                <w:color w:val="auto"/>
              </w:rPr>
            </w:pPr>
          </w:p>
        </w:tc>
        <w:tc>
          <w:tcPr>
            <w:tcW w:w="2760" w:type="dxa"/>
            <w:vAlign w:val="bottom"/>
            <w:tcBorders>
              <w:bottom w:val="single" w:sz="8" w:color="A8A9AC"/>
            </w:tcBorders>
          </w:tcPr>
          <w:p>
            <w:pPr>
              <w:spacing w:after="0"/>
              <w:rPr>
                <w:sz w:val="21"/>
                <w:szCs w:val="21"/>
                <w:color w:val="auto"/>
              </w:rPr>
            </w:pPr>
          </w:p>
        </w:tc>
        <w:tc>
          <w:tcPr>
            <w:tcW w:w="3860" w:type="dxa"/>
            <w:vAlign w:val="bottom"/>
            <w:tcBorders>
              <w:bottom w:val="single" w:sz="8" w:color="A8A9AC"/>
            </w:tcBorders>
          </w:tcPr>
          <w:p>
            <w:pPr>
              <w:ind w:left="60"/>
              <w:spacing w:after="0" w:line="252" w:lineRule="exact"/>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AGAINST</w:t>
            </w:r>
            <w:r>
              <w:rPr>
                <w:rFonts w:ascii="Arial" w:cs="Arial" w:eastAsia="Arial" w:hAnsi="Arial"/>
                <w:sz w:val="15"/>
                <w:szCs w:val="15"/>
                <w:color w:val="auto"/>
              </w:rPr>
              <w:t>” that nominee.</w:t>
            </w:r>
            <w:r>
              <w:rPr>
                <w:rFonts w:ascii="Arial" w:cs="Arial" w:eastAsia="Arial" w:hAnsi="Arial"/>
                <w:sz w:val="25"/>
                <w:szCs w:val="25"/>
                <w:color w:val="auto"/>
                <w:vertAlign w:val="superscript"/>
              </w:rPr>
              <w:t>(1)</w:t>
            </w:r>
          </w:p>
        </w:tc>
        <w:tc>
          <w:tcPr>
            <w:tcW w:w="1120" w:type="dxa"/>
            <w:vAlign w:val="bottom"/>
            <w:tcBorders>
              <w:bottom w:val="single" w:sz="8" w:color="A8A9AC"/>
            </w:tcBorders>
          </w:tcPr>
          <w:p>
            <w:pPr>
              <w:spacing w:after="0"/>
              <w:rPr>
                <w:sz w:val="21"/>
                <w:szCs w:val="21"/>
                <w:color w:val="auto"/>
              </w:rPr>
            </w:pPr>
          </w:p>
        </w:tc>
        <w:tc>
          <w:tcPr>
            <w:tcW w:w="1200" w:type="dxa"/>
            <w:vAlign w:val="bottom"/>
            <w:tcBorders>
              <w:bottom w:val="single" w:sz="8" w:color="A8A9AC"/>
            </w:tcBorders>
          </w:tcPr>
          <w:p>
            <w:pPr>
              <w:spacing w:after="0"/>
              <w:rPr>
                <w:sz w:val="21"/>
                <w:szCs w:val="21"/>
                <w:color w:val="auto"/>
              </w:rPr>
            </w:pPr>
          </w:p>
        </w:tc>
        <w:tc>
          <w:tcPr>
            <w:tcW w:w="2060" w:type="dxa"/>
            <w:vAlign w:val="bottom"/>
            <w:tcBorders>
              <w:bottom w:val="single" w:sz="8" w:color="A8A9AC"/>
            </w:tcBorders>
          </w:tcPr>
          <w:p>
            <w:pPr>
              <w:spacing w:after="0"/>
              <w:rPr>
                <w:sz w:val="21"/>
                <w:szCs w:val="21"/>
                <w:color w:val="auto"/>
              </w:rPr>
            </w:pPr>
          </w:p>
        </w:tc>
      </w:tr>
      <w:tr>
        <w:trPr>
          <w:trHeight w:val="182"/>
        </w:trPr>
        <w:tc>
          <w:tcPr>
            <w:tcW w:w="240" w:type="dxa"/>
            <w:vAlign w:val="bottom"/>
          </w:tcPr>
          <w:p>
            <w:pPr>
              <w:ind w:left="60"/>
              <w:spacing w:after="0"/>
              <w:rPr>
                <w:sz w:val="20"/>
                <w:szCs w:val="20"/>
                <w:color w:val="auto"/>
              </w:rPr>
            </w:pPr>
            <w:r>
              <w:rPr>
                <w:rFonts w:ascii="Arial" w:cs="Arial" w:eastAsia="Arial" w:hAnsi="Arial"/>
                <w:sz w:val="15"/>
                <w:szCs w:val="15"/>
                <w:color w:val="auto"/>
              </w:rPr>
              <w:t>2.</w:t>
            </w:r>
          </w:p>
        </w:tc>
        <w:tc>
          <w:tcPr>
            <w:tcW w:w="2760" w:type="dxa"/>
            <w:vAlign w:val="bottom"/>
          </w:tcPr>
          <w:p>
            <w:pPr>
              <w:ind w:left="80"/>
              <w:spacing w:after="0"/>
              <w:rPr>
                <w:sz w:val="20"/>
                <w:szCs w:val="20"/>
                <w:color w:val="auto"/>
              </w:rPr>
            </w:pPr>
            <w:r>
              <w:rPr>
                <w:rFonts w:ascii="Arial" w:cs="Arial" w:eastAsia="Arial" w:hAnsi="Arial"/>
                <w:sz w:val="15"/>
                <w:szCs w:val="15"/>
                <w:color w:val="auto"/>
              </w:rPr>
              <w:t>Approval, on an Advisory Basis, the</w:t>
            </w:r>
          </w:p>
        </w:tc>
        <w:tc>
          <w:tcPr>
            <w:tcW w:w="3860" w:type="dxa"/>
            <w:vAlign w:val="bottom"/>
          </w:tcPr>
          <w:p>
            <w:pPr>
              <w:ind w:left="60"/>
              <w:spacing w:after="0"/>
              <w:rPr>
                <w:sz w:val="20"/>
                <w:szCs w:val="20"/>
                <w:color w:val="auto"/>
              </w:rPr>
            </w:pPr>
            <w:r>
              <w:rPr>
                <w:rFonts w:ascii="Arial" w:cs="Arial" w:eastAsia="Arial" w:hAnsi="Arial"/>
                <w:sz w:val="15"/>
                <w:szCs w:val="15"/>
                <w:color w:val="auto"/>
              </w:rPr>
              <w:t>Majority of the votes cast by the stockholders present in</w:t>
            </w:r>
          </w:p>
        </w:tc>
        <w:tc>
          <w:tcPr>
            <w:tcW w:w="1120" w:type="dxa"/>
            <w:vAlign w:val="bottom"/>
          </w:tcPr>
          <w:p>
            <w:pPr>
              <w:ind w:left="80"/>
              <w:spacing w:after="0"/>
              <w:rPr>
                <w:sz w:val="20"/>
                <w:szCs w:val="20"/>
                <w:color w:val="auto"/>
              </w:rPr>
            </w:pPr>
            <w:r>
              <w:rPr>
                <w:rFonts w:ascii="Arial" w:cs="Arial" w:eastAsia="Arial" w:hAnsi="Arial"/>
                <w:sz w:val="15"/>
                <w:szCs w:val="15"/>
                <w:color w:val="auto"/>
              </w:rPr>
              <w:t>None</w:t>
            </w:r>
          </w:p>
        </w:tc>
        <w:tc>
          <w:tcPr>
            <w:tcW w:w="1200" w:type="dxa"/>
            <w:vAlign w:val="bottom"/>
          </w:tcPr>
          <w:p>
            <w:pPr>
              <w:ind w:left="180"/>
              <w:spacing w:after="0"/>
              <w:rPr>
                <w:sz w:val="20"/>
                <w:szCs w:val="20"/>
                <w:color w:val="auto"/>
              </w:rPr>
            </w:pPr>
            <w:r>
              <w:rPr>
                <w:rFonts w:ascii="Arial" w:cs="Arial" w:eastAsia="Arial" w:hAnsi="Arial"/>
                <w:sz w:val="15"/>
                <w:szCs w:val="15"/>
                <w:color w:val="auto"/>
              </w:rPr>
              <w:t>None</w:t>
            </w:r>
          </w:p>
        </w:tc>
        <w:tc>
          <w:tcPr>
            <w:tcW w:w="2060" w:type="dxa"/>
            <w:vAlign w:val="bottom"/>
          </w:tcPr>
          <w:p>
            <w:pPr>
              <w:ind w:left="680"/>
              <w:spacing w:after="0"/>
              <w:rPr>
                <w:sz w:val="20"/>
                <w:szCs w:val="20"/>
                <w:color w:val="auto"/>
              </w:rPr>
            </w:pPr>
            <w:r>
              <w:rPr>
                <w:rFonts w:ascii="Arial" w:cs="Arial" w:eastAsia="Arial" w:hAnsi="Arial"/>
                <w:sz w:val="15"/>
                <w:szCs w:val="15"/>
                <w:b w:val="1"/>
                <w:bCs w:val="1"/>
                <w:color w:val="A26F2A"/>
              </w:rPr>
              <w:t>FOR</w:t>
            </w:r>
          </w:p>
        </w:tc>
      </w:tr>
      <w:tr>
        <w:trPr>
          <w:trHeight w:val="207"/>
        </w:trPr>
        <w:tc>
          <w:tcPr>
            <w:tcW w:w="240" w:type="dxa"/>
            <w:vAlign w:val="bottom"/>
            <w:tcBorders>
              <w:bottom w:val="single" w:sz="8" w:color="A8A9AC"/>
            </w:tcBorders>
          </w:tcPr>
          <w:p>
            <w:pPr>
              <w:spacing w:after="0"/>
              <w:rPr>
                <w:sz w:val="17"/>
                <w:szCs w:val="17"/>
                <w:color w:val="auto"/>
              </w:rPr>
            </w:pPr>
          </w:p>
        </w:tc>
        <w:tc>
          <w:tcPr>
            <w:tcW w:w="2760" w:type="dxa"/>
            <w:vAlign w:val="bottom"/>
            <w:tcBorders>
              <w:bottom w:val="single" w:sz="8" w:color="A8A9AC"/>
            </w:tcBorders>
          </w:tcPr>
          <w:p>
            <w:pPr>
              <w:ind w:left="80"/>
              <w:spacing w:after="0"/>
              <w:rPr>
                <w:sz w:val="20"/>
                <w:szCs w:val="20"/>
                <w:color w:val="auto"/>
              </w:rPr>
            </w:pPr>
            <w:r>
              <w:rPr>
                <w:rFonts w:ascii="Arial" w:cs="Arial" w:eastAsia="Arial" w:hAnsi="Arial"/>
                <w:sz w:val="15"/>
                <w:szCs w:val="15"/>
                <w:color w:val="auto"/>
              </w:rPr>
              <w:t>Company’s Executive Compensation</w:t>
            </w:r>
          </w:p>
        </w:tc>
        <w:tc>
          <w:tcPr>
            <w:tcW w:w="386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rPr>
              <w:t>person or represented by proxy</w:t>
            </w:r>
          </w:p>
        </w:tc>
        <w:tc>
          <w:tcPr>
            <w:tcW w:w="1120" w:type="dxa"/>
            <w:vAlign w:val="bottom"/>
            <w:tcBorders>
              <w:bottom w:val="single" w:sz="8" w:color="A8A9AC"/>
            </w:tcBorders>
          </w:tcPr>
          <w:p>
            <w:pPr>
              <w:spacing w:after="0"/>
              <w:rPr>
                <w:sz w:val="17"/>
                <w:szCs w:val="17"/>
                <w:color w:val="auto"/>
              </w:rPr>
            </w:pPr>
          </w:p>
        </w:tc>
        <w:tc>
          <w:tcPr>
            <w:tcW w:w="1200" w:type="dxa"/>
            <w:vAlign w:val="bottom"/>
            <w:tcBorders>
              <w:bottom w:val="single" w:sz="8" w:color="A8A9AC"/>
            </w:tcBorders>
          </w:tcPr>
          <w:p>
            <w:pPr>
              <w:spacing w:after="0"/>
              <w:rPr>
                <w:sz w:val="17"/>
                <w:szCs w:val="17"/>
                <w:color w:val="auto"/>
              </w:rPr>
            </w:pPr>
          </w:p>
        </w:tc>
        <w:tc>
          <w:tcPr>
            <w:tcW w:w="2060" w:type="dxa"/>
            <w:vAlign w:val="bottom"/>
            <w:tcBorders>
              <w:bottom w:val="single" w:sz="8" w:color="A8A9AC"/>
            </w:tcBorders>
          </w:tcPr>
          <w:p>
            <w:pPr>
              <w:spacing w:after="0"/>
              <w:rPr>
                <w:sz w:val="17"/>
                <w:szCs w:val="17"/>
                <w:color w:val="auto"/>
              </w:rPr>
            </w:pPr>
          </w:p>
        </w:tc>
      </w:tr>
      <w:tr>
        <w:trPr>
          <w:trHeight w:val="190"/>
        </w:trPr>
        <w:tc>
          <w:tcPr>
            <w:tcW w:w="240" w:type="dxa"/>
            <w:vAlign w:val="bottom"/>
          </w:tcPr>
          <w:p>
            <w:pPr>
              <w:ind w:left="60"/>
              <w:spacing w:after="0"/>
              <w:rPr>
                <w:sz w:val="20"/>
                <w:szCs w:val="20"/>
                <w:color w:val="auto"/>
              </w:rPr>
            </w:pPr>
            <w:r>
              <w:rPr>
                <w:rFonts w:ascii="Arial" w:cs="Arial" w:eastAsia="Arial" w:hAnsi="Arial"/>
                <w:sz w:val="15"/>
                <w:szCs w:val="15"/>
                <w:color w:val="auto"/>
              </w:rPr>
              <w:t>3.</w:t>
            </w:r>
          </w:p>
        </w:tc>
        <w:tc>
          <w:tcPr>
            <w:tcW w:w="2760" w:type="dxa"/>
            <w:vAlign w:val="bottom"/>
          </w:tcPr>
          <w:p>
            <w:pPr>
              <w:ind w:left="80"/>
              <w:spacing w:after="0"/>
              <w:rPr>
                <w:sz w:val="20"/>
                <w:szCs w:val="20"/>
                <w:color w:val="auto"/>
              </w:rPr>
            </w:pPr>
            <w:r>
              <w:rPr>
                <w:rFonts w:ascii="Arial" w:cs="Arial" w:eastAsia="Arial" w:hAnsi="Arial"/>
                <w:sz w:val="15"/>
                <w:szCs w:val="15"/>
                <w:color w:val="auto"/>
              </w:rPr>
              <w:t>Approval, on an Advisory Basis, on the</w:t>
            </w:r>
          </w:p>
        </w:tc>
        <w:tc>
          <w:tcPr>
            <w:tcW w:w="3860" w:type="dxa"/>
            <w:vAlign w:val="bottom"/>
          </w:tcPr>
          <w:p>
            <w:pPr>
              <w:ind w:left="60"/>
              <w:spacing w:after="0"/>
              <w:rPr>
                <w:sz w:val="20"/>
                <w:szCs w:val="20"/>
                <w:color w:val="auto"/>
              </w:rPr>
            </w:pPr>
            <w:r>
              <w:rPr>
                <w:rFonts w:ascii="Arial" w:cs="Arial" w:eastAsia="Arial" w:hAnsi="Arial"/>
                <w:sz w:val="15"/>
                <w:szCs w:val="15"/>
                <w:color w:val="auto"/>
              </w:rPr>
              <w:t>Majority of the votes cast by the stockholders present in</w:t>
            </w:r>
          </w:p>
        </w:tc>
        <w:tc>
          <w:tcPr>
            <w:tcW w:w="1120" w:type="dxa"/>
            <w:vAlign w:val="bottom"/>
          </w:tcPr>
          <w:p>
            <w:pPr>
              <w:ind w:left="80"/>
              <w:spacing w:after="0"/>
              <w:rPr>
                <w:sz w:val="20"/>
                <w:szCs w:val="20"/>
                <w:color w:val="auto"/>
              </w:rPr>
            </w:pPr>
            <w:r>
              <w:rPr>
                <w:rFonts w:ascii="Arial" w:cs="Arial" w:eastAsia="Arial" w:hAnsi="Arial"/>
                <w:sz w:val="15"/>
                <w:szCs w:val="15"/>
                <w:color w:val="auto"/>
              </w:rPr>
              <w:t>None</w:t>
            </w:r>
          </w:p>
        </w:tc>
        <w:tc>
          <w:tcPr>
            <w:tcW w:w="1200" w:type="dxa"/>
            <w:vAlign w:val="bottom"/>
          </w:tcPr>
          <w:p>
            <w:pPr>
              <w:ind w:left="180"/>
              <w:spacing w:after="0"/>
              <w:rPr>
                <w:sz w:val="20"/>
                <w:szCs w:val="20"/>
                <w:color w:val="auto"/>
              </w:rPr>
            </w:pPr>
            <w:r>
              <w:rPr>
                <w:rFonts w:ascii="Arial" w:cs="Arial" w:eastAsia="Arial" w:hAnsi="Arial"/>
                <w:sz w:val="15"/>
                <w:szCs w:val="15"/>
                <w:color w:val="auto"/>
              </w:rPr>
              <w:t>None</w:t>
            </w:r>
          </w:p>
        </w:tc>
        <w:tc>
          <w:tcPr>
            <w:tcW w:w="2060" w:type="dxa"/>
            <w:vAlign w:val="bottom"/>
          </w:tcPr>
          <w:p>
            <w:pPr>
              <w:ind w:left="680"/>
              <w:spacing w:after="0"/>
              <w:rPr>
                <w:sz w:val="20"/>
                <w:szCs w:val="20"/>
                <w:color w:val="auto"/>
              </w:rPr>
            </w:pPr>
            <w:r>
              <w:rPr>
                <w:rFonts w:ascii="Arial" w:cs="Arial" w:eastAsia="Arial" w:hAnsi="Arial"/>
                <w:sz w:val="15"/>
                <w:szCs w:val="15"/>
                <w:b w:val="1"/>
                <w:bCs w:val="1"/>
                <w:color w:val="A26F2A"/>
              </w:rPr>
              <w:t xml:space="preserve">FOR </w:t>
            </w:r>
            <w:r>
              <w:rPr>
                <w:rFonts w:ascii="Arial" w:cs="Arial" w:eastAsia="Arial" w:hAnsi="Arial"/>
                <w:sz w:val="15"/>
                <w:szCs w:val="15"/>
                <w:color w:val="000000"/>
              </w:rPr>
              <w:t>every year</w:t>
            </w:r>
          </w:p>
        </w:tc>
      </w:tr>
      <w:tr>
        <w:trPr>
          <w:trHeight w:val="177"/>
        </w:trPr>
        <w:tc>
          <w:tcPr>
            <w:tcW w:w="24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color w:val="auto"/>
              </w:rPr>
              <w:t>frequency of holding any advisory vote</w:t>
            </w:r>
          </w:p>
        </w:tc>
        <w:tc>
          <w:tcPr>
            <w:tcW w:w="3860" w:type="dxa"/>
            <w:vAlign w:val="bottom"/>
          </w:tcPr>
          <w:p>
            <w:pPr>
              <w:ind w:left="60"/>
              <w:spacing w:after="0"/>
              <w:rPr>
                <w:sz w:val="20"/>
                <w:szCs w:val="20"/>
                <w:color w:val="auto"/>
              </w:rPr>
            </w:pPr>
            <w:r>
              <w:rPr>
                <w:rFonts w:ascii="Arial" w:cs="Arial" w:eastAsia="Arial" w:hAnsi="Arial"/>
                <w:sz w:val="15"/>
                <w:szCs w:val="15"/>
                <w:color w:val="auto"/>
              </w:rPr>
              <w:t>person or represented by proxy</w:t>
            </w: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7"/>
        </w:trPr>
        <w:tc>
          <w:tcPr>
            <w:tcW w:w="24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color w:val="auto"/>
              </w:rPr>
              <w:t>on the compensation paid to the</w:t>
            </w:r>
          </w:p>
        </w:tc>
        <w:tc>
          <w:tcPr>
            <w:tcW w:w="3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99"/>
        </w:trPr>
        <w:tc>
          <w:tcPr>
            <w:tcW w:w="24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color w:val="auto"/>
              </w:rPr>
              <w:t>Company’s named executive officers</w:t>
            </w:r>
          </w:p>
        </w:tc>
        <w:tc>
          <w:tcPr>
            <w:tcW w:w="3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4121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6011545</wp:posOffset>
            </wp:positionH>
            <wp:positionV relativeFrom="paragraph">
              <wp:posOffset>-1344295</wp:posOffset>
            </wp:positionV>
            <wp:extent cx="136525" cy="1282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6525" cy="128270"/>
                    </a:xfrm>
                    <a:prstGeom prst="rect">
                      <a:avLst/>
                    </a:prstGeom>
                    <a:noFill/>
                  </pic:spPr>
                </pic:pic>
              </a:graphicData>
            </a:graphic>
          </wp:anchor>
        </w:drawing>
        <w:drawing>
          <wp:anchor simplePos="0" relativeHeight="251657728" behindDoc="1" locked="0" layoutInCell="0" allowOverlap="1">
            <wp:simplePos x="0" y="0"/>
            <wp:positionH relativeFrom="column">
              <wp:posOffset>6011545</wp:posOffset>
            </wp:positionH>
            <wp:positionV relativeFrom="paragraph">
              <wp:posOffset>-719455</wp:posOffset>
            </wp:positionV>
            <wp:extent cx="136525" cy="1282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6525" cy="128270"/>
                    </a:xfrm>
                    <a:prstGeom prst="rect">
                      <a:avLst/>
                    </a:prstGeom>
                    <a:noFill/>
                  </pic:spPr>
                </pic:pic>
              </a:graphicData>
            </a:graphic>
          </wp:anchor>
        </w:drawing>
        <w:drawing>
          <wp:anchor simplePos="0" relativeHeight="251657728" behindDoc="1" locked="0" layoutInCell="0" allowOverlap="1">
            <wp:simplePos x="0" y="0"/>
            <wp:positionH relativeFrom="column">
              <wp:posOffset>6011545</wp:posOffset>
            </wp:positionH>
            <wp:positionV relativeFrom="paragraph">
              <wp:posOffset>-454660</wp:posOffset>
            </wp:positionV>
            <wp:extent cx="136525" cy="1282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6525" cy="12827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p>
      <w:pPr>
        <w:spacing w:after="0" w:line="41" w:lineRule="exact"/>
        <w:rPr>
          <w:sz w:val="20"/>
          <w:szCs w:val="20"/>
          <w:color w:val="auto"/>
        </w:rPr>
      </w:pPr>
    </w:p>
    <w:p>
      <w:pPr>
        <w:ind w:left="320" w:hanging="269"/>
        <w:spacing w:after="0" w:line="282" w:lineRule="auto"/>
        <w:tabs>
          <w:tab w:leader="none" w:pos="32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Ratification of the appointment of our independent auditor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tabs>
          <w:tab w:leader="none" w:pos="3860" w:val="left"/>
          <w:tab w:leader="none" w:pos="5080" w:val="left"/>
          <w:tab w:leader="none" w:pos="6780" w:val="left"/>
        </w:tabs>
        <w:rPr>
          <w:sz w:val="20"/>
          <w:szCs w:val="20"/>
          <w:color w:val="auto"/>
        </w:rPr>
      </w:pPr>
      <w:r>
        <w:rPr>
          <w:rFonts w:ascii="Arial" w:cs="Arial" w:eastAsia="Arial" w:hAnsi="Arial"/>
          <w:sz w:val="15"/>
          <w:szCs w:val="15"/>
          <w:color w:val="auto"/>
        </w:rPr>
        <w:t>Majority of the votes cast by the stockholders present in</w:t>
        <w:tab/>
        <w:t>None</w:t>
      </w:r>
      <w:r>
        <w:rPr>
          <w:sz w:val="20"/>
          <w:szCs w:val="20"/>
          <w:color w:val="auto"/>
        </w:rPr>
        <w:tab/>
      </w:r>
      <w:r>
        <w:rPr>
          <w:rFonts w:ascii="Arial" w:cs="Arial" w:eastAsia="Arial" w:hAnsi="Arial"/>
          <w:sz w:val="15"/>
          <w:szCs w:val="15"/>
          <w:color w:val="auto"/>
        </w:rPr>
        <w:t>Not applicable</w:t>
      </w:r>
      <w:r>
        <w:rPr>
          <w:sz w:val="20"/>
          <w:szCs w:val="20"/>
          <w:color w:val="auto"/>
        </w:rPr>
        <w:tab/>
      </w:r>
      <w:r>
        <w:rPr>
          <w:rFonts w:ascii="Arial" w:cs="Arial" w:eastAsia="Arial" w:hAnsi="Arial"/>
          <w:sz w:val="14"/>
          <w:szCs w:val="14"/>
          <w:b w:val="1"/>
          <w:bCs w:val="1"/>
          <w:color w:val="A26F2A"/>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-100965</wp:posOffset>
            </wp:positionV>
            <wp:extent cx="136525" cy="1282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6525" cy="12827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person or represented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17780</wp:posOffset>
            </wp:positionV>
            <wp:extent cx="714121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2800" w:space="260"/>
            <w:col w:w="8180"/>
          </w:cols>
          <w:pgMar w:left="320" w:top="231" w:right="339" w:bottom="1440" w:gutter="0" w:footer="0" w:header="0"/>
          <w:type w:val="continuous"/>
        </w:sectPr>
      </w:pPr>
    </w:p>
    <w:p>
      <w:pPr>
        <w:jc w:val="both"/>
        <w:ind w:left="300" w:hanging="299"/>
        <w:spacing w:after="0" w:line="257" w:lineRule="auto"/>
        <w:tabs>
          <w:tab w:leader="none" w:pos="300" w:val="left"/>
        </w:tabs>
        <w:numPr>
          <w:ilvl w:val="0"/>
          <w:numId w:val="151"/>
        </w:numPr>
        <w:rPr>
          <w:rFonts w:ascii="Arial" w:cs="Arial" w:eastAsia="Arial" w:hAnsi="Arial"/>
          <w:sz w:val="13"/>
          <w:szCs w:val="13"/>
          <w:i w:val="1"/>
          <w:iCs w:val="1"/>
          <w:color w:val="auto"/>
        </w:rPr>
      </w:pPr>
      <w:r>
        <w:rPr>
          <w:rFonts w:ascii="Arial" w:cs="Arial" w:eastAsia="Arial" w:hAnsi="Arial"/>
          <w:sz w:val="13"/>
          <w:szCs w:val="13"/>
          <w:i w:val="1"/>
          <w:iCs w:val="1"/>
          <w:color w:val="auto"/>
        </w:rPr>
        <w:t>If any incumbent director is not elected because he or she does not receive a majority of the votes cast, he or she is required to immediately tender his or her resignation for consideration by our board of directors. Our board of directors will evaluate whether to accept or reject such resignation, or whether other action should be taken; provided, however, that the board will act on such resignation and publicly disclose its decision to accept or reject such resignation and the rationale behind such decision within 90 days from the date of the certification of the director election results.</w:t>
      </w: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How do I vote?</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You can vote either in person at the meeting or by proxy without attending the meeting.</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To vote by proxy, you may vote by telephone or through the Internet by following the instructions included on the Notice of Internet Availability of Proxy Materials or proxy card, or, if you request to receive a paper copy of the proxy card, by returning a signed, dated and marked proxy card. If you are a registered holder or hold your shares in street name, votes submitted by Internet or telephone must be received by 1:00 a.m., Central Time, on May 20, 2026.</w:t>
      </w:r>
    </w:p>
    <w:p>
      <w:pPr>
        <w:spacing w:after="0" w:line="13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Even if you plan to attend the meeting, we encourage you to vote your shares by proxy. If you plan to vote in person at the 2026 Annual Meeting, and you hold your stock in street name, you must obtain a proxy from your broker and bring that proxy to the meeting. See also “How to attend the Annual Meeting?” below.</w:t>
      </w:r>
    </w:p>
    <w:p>
      <w:pPr>
        <w:spacing w:after="0" w:line="228"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May I change my vote?</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Yes, if you are a registered stockholder. You may change or revoke your vote at any time before the polls close at the 2026 Annual Meeting. You may do this by:</w:t>
      </w:r>
    </w:p>
    <w:p>
      <w:pPr>
        <w:spacing w:after="0" w:line="181" w:lineRule="exact"/>
        <w:rPr>
          <w:sz w:val="20"/>
          <w:szCs w:val="20"/>
          <w:color w:val="auto"/>
        </w:rPr>
      </w:pPr>
    </w:p>
    <w:p>
      <w:pPr>
        <w:ind w:left="160" w:hanging="159"/>
        <w:spacing w:after="0"/>
        <w:tabs>
          <w:tab w:leader="none" w:pos="160" w:val="left"/>
        </w:tabs>
        <w:numPr>
          <w:ilvl w:val="0"/>
          <w:numId w:val="152"/>
        </w:numPr>
        <w:rPr>
          <w:rFonts w:ascii="Arial" w:cs="Arial" w:eastAsia="Arial" w:hAnsi="Arial"/>
          <w:sz w:val="15"/>
          <w:szCs w:val="15"/>
          <w:color w:val="A26F2A"/>
        </w:rPr>
      </w:pPr>
      <w:r>
        <w:rPr>
          <w:rFonts w:ascii="Arial" w:cs="Arial" w:eastAsia="Arial" w:hAnsi="Arial"/>
          <w:sz w:val="15"/>
          <w:szCs w:val="15"/>
          <w:color w:val="auto"/>
        </w:rPr>
        <w:t>If you voted by telephone or the internet, access the method you used and follow the instructions given for revoking a proxy;</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152"/>
        </w:numPr>
        <w:rPr>
          <w:rFonts w:ascii="Arial" w:cs="Arial" w:eastAsia="Arial" w:hAnsi="Arial"/>
          <w:sz w:val="15"/>
          <w:szCs w:val="15"/>
          <w:color w:val="A26F2A"/>
        </w:rPr>
      </w:pPr>
      <w:r>
        <w:rPr>
          <w:rFonts w:ascii="Arial" w:cs="Arial" w:eastAsia="Arial" w:hAnsi="Arial"/>
          <w:sz w:val="15"/>
          <w:szCs w:val="15"/>
          <w:color w:val="auto"/>
        </w:rPr>
        <w:t>If you mailed a signed proxy card, then mail a new valid proxy card bearing a later date and return it to us prior to the 2026 Annual Meeting;</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152"/>
        </w:numPr>
        <w:rPr>
          <w:rFonts w:ascii="Arial" w:cs="Arial" w:eastAsia="Arial" w:hAnsi="Arial"/>
          <w:sz w:val="15"/>
          <w:szCs w:val="15"/>
          <w:color w:val="A26F2A"/>
        </w:rPr>
      </w:pPr>
      <w:r>
        <w:rPr>
          <w:rFonts w:ascii="Arial" w:cs="Arial" w:eastAsia="Arial" w:hAnsi="Arial"/>
          <w:sz w:val="15"/>
          <w:szCs w:val="15"/>
          <w:color w:val="auto"/>
        </w:rPr>
        <w:t>Submitting another valid proxy bearing a later date and returning it to us prior to the meeting;</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152"/>
        </w:numPr>
        <w:rPr>
          <w:rFonts w:ascii="Arial" w:cs="Arial" w:eastAsia="Arial" w:hAnsi="Arial"/>
          <w:sz w:val="15"/>
          <w:szCs w:val="15"/>
          <w:color w:val="A26F2A"/>
        </w:rPr>
      </w:pPr>
      <w:r>
        <w:rPr>
          <w:rFonts w:ascii="Arial" w:cs="Arial" w:eastAsia="Arial" w:hAnsi="Arial"/>
          <w:sz w:val="15"/>
          <w:szCs w:val="15"/>
          <w:color w:val="auto"/>
        </w:rPr>
        <w:t>Sending our Corporate Secretary a written document revoking your earlier proxy; or</w:t>
      </w:r>
    </w:p>
    <w:p>
      <w:pPr>
        <w:spacing w:after="0" w:line="79" w:lineRule="exact"/>
        <w:rPr>
          <w:rFonts w:ascii="Arial" w:cs="Arial" w:eastAsia="Arial" w:hAnsi="Arial"/>
          <w:sz w:val="15"/>
          <w:szCs w:val="15"/>
          <w:color w:val="A26F2A"/>
        </w:rPr>
      </w:pPr>
    </w:p>
    <w:p>
      <w:pPr>
        <w:ind w:left="160" w:hanging="159"/>
        <w:spacing w:after="0"/>
        <w:tabs>
          <w:tab w:leader="none" w:pos="160" w:val="left"/>
        </w:tabs>
        <w:numPr>
          <w:ilvl w:val="0"/>
          <w:numId w:val="152"/>
        </w:numPr>
        <w:rPr>
          <w:rFonts w:ascii="Arial" w:cs="Arial" w:eastAsia="Arial" w:hAnsi="Arial"/>
          <w:sz w:val="15"/>
          <w:szCs w:val="15"/>
          <w:color w:val="A26F2A"/>
        </w:rPr>
      </w:pPr>
      <w:r>
        <w:rPr>
          <w:rFonts w:ascii="Arial" w:cs="Arial" w:eastAsia="Arial" w:hAnsi="Arial"/>
          <w:sz w:val="15"/>
          <w:szCs w:val="15"/>
          <w:color w:val="auto"/>
        </w:rPr>
        <w:t>Voting again at the 2026 Annual Meeting.</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However, if you are a beneficial owner and your shares are held in street name by a broker or other nominee, you must contact your broker or such other nominee to change or revoke your proxy.</w:t>
      </w:r>
    </w:p>
    <w:p>
      <w:pPr>
        <w:spacing w:after="0" w:line="125" w:lineRule="exact"/>
        <w:rPr>
          <w:sz w:val="20"/>
          <w:szCs w:val="20"/>
          <w:color w:val="auto"/>
        </w:rPr>
      </w:pPr>
    </w:p>
    <w:p>
      <w:pPr>
        <w:ind w:left="6580"/>
        <w:spacing w:after="0"/>
        <w:tabs>
          <w:tab w:leader="none" w:pos="1106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Who counts the votes?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We have engaged Computershare Trust Company, N.A., our transfer agent, to count the votes represented by proxies cast by telephone, Internet, mail or ballot. An employee of Computershare Trust Company, N.A. will act as our Inspector of Elections.</w:t>
      </w:r>
    </w:p>
    <w:p>
      <w:pPr>
        <w:spacing w:after="0" w:line="228"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How are proxies being solicited and who pays the related expenses?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board of directors has sent you this proxy statement. Our directors, officers and employees may solicit proxies by mail, by telephone or in person. Those persons will receive no additional compensation for any solicitation activities. We will request banking institutions, brokerage firms, custodians, trustees, nominees and fiduciaries to forward solicitation materials to the beneficial owners of common stock held of record by those entities, and we will, upon the request of those record holders, reimburse reasonable forwarding expenses. We have engaged Georgeson LLC (“Georgeson”) to assist in the distribution of proxy materials and solicitation of votes. The Company will pay Georgeson a base fee of $23,000, plus customary costs and expenses, for these services and has agreed to indemnify Georgeson against certain liabilities in connection with its engagement. We will pay the costs of preparing, printing, assembling and mailing the proxy material used in the solicitation of proxies.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Will my vote be confidential?</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Yes. As a matter of Company policy, proxies, ballots and voting tabulations that identify individual stockholders are treated as confidential. Only the tabulation agent and the inspector of elections have access to your vote. Directors and employees of the Company may see your vote only if there is a contested proxy solicitation, as required by law or in certain other special circumstances.</w:t>
      </w: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Where can I find the voting results of the Annual Meeting?</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We will report the voting results on a Current Report on Form 8-K which will be filed with the SEC no later than four business days after the 2026 Annual Meeting.</w:t>
      </w:r>
    </w:p>
    <w:p>
      <w:pPr>
        <w:spacing w:after="0" w:line="284"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Will my shares be voted if I don’t provide my proxy and don’t attend the Annual Meeting?</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If you do not provide a proxy or vote your shares held in your name, your shares will not be voted.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If you hold your shares in street name, your broker may be able to vote your shares for certain “routine” matters even if you do not provide the broker with voting instructions. As discussed above, Proposal 4 relating to the ratification of Grant Thornton LLP as our independent auditor for 2026 is considered routine. For matters not considered “routine”, if you do not give your broker instructions on how to vote your shares, the broker may not vote on that proposal. This is a broker non-vote.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Proposals 1, 2 and 3 are not considered routine. As a result, no broker may vote your shares on these proposals without your specific instructions.</w:t>
      </w:r>
    </w:p>
    <w:p>
      <w:pPr>
        <w:spacing w:after="0" w:line="284"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Could other matters be decided at the Annual Meeting?</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are not aware of any other matters that will be considered at the 2026 Annual Meeting. If any other matters are properly presented to be considered and voted on at the 2026 Annual Meeting, the persons named in your proxies will vote in accordance with their best judgment. Discretionary authority to vote on other matters is included in the proxy.</w:t>
      </w: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Who can attend the meeting?</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2026 Annual Meeting is only open to holders of our common stock as of the record date, March 30, 2026.</w:t>
      </w:r>
    </w:p>
    <w:p>
      <w:pPr>
        <w:spacing w:after="0" w:line="284"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What do I need to bring to attend the Annual Meeting?</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You will need proof of ownership of our common stock to attend the meeting in person. If your shares are in the name of your broker or bank or other nominee, you will need to bring evidence of your stock ownership, such as your most recent brokerage statement. All stockholders will be required to present valid picture identification.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IF YOU DO NOT HAVE VALID PICTURE IDENTIFICATION AND PROOF THAT YOU OWN SHARES OF OUR STOCK AS OF THE RECORD DATE, YOU MAY NOT BE ADMITTED INTO THE MEETING.</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00" w:name="page101"/>
    <w:bookmarkEnd w:id="100"/>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How to attend the Annual Meeting?</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2026 Annual Meeting will be held at our headquarters at 500 West Texas Avenue, Midland, TX 79701. From Midland International Air &amp; Space Port located at 9506 La Force Blvd., keep left on La Force Blvd., turn right on West Highway 80 East toward Odessa, Texas, keep right onto West Highway 80 East, turn left on West Country Road 117, turn left on US-80, continue toward Midland, Texas, then turn left onto North A Street, turn right onto West Texas Avenue and Fasken Tower will be on the left.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How can I access the Company’s proxy materials and annual report electronically?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This proxy statement and the Company’s 2025 Annual Report on Form 10-K are available at www.envisionreports.com/FANG.</w:t>
      </w:r>
    </w:p>
    <w:p>
      <w:pPr>
        <w:spacing w:after="0" w:line="284" w:lineRule="exact"/>
        <w:rPr>
          <w:sz w:val="20"/>
          <w:szCs w:val="20"/>
          <w:color w:val="auto"/>
        </w:rPr>
      </w:pPr>
    </w:p>
    <w:p>
      <w:pPr>
        <w:ind w:right="320"/>
        <w:spacing w:after="0" w:line="284" w:lineRule="auto"/>
        <w:rPr>
          <w:sz w:val="20"/>
          <w:szCs w:val="20"/>
          <w:color w:val="auto"/>
        </w:rPr>
      </w:pPr>
      <w:r>
        <w:rPr>
          <w:rFonts w:ascii="Arial" w:cs="Arial" w:eastAsia="Arial" w:hAnsi="Arial"/>
          <w:sz w:val="24"/>
          <w:szCs w:val="24"/>
          <w:b w:val="1"/>
          <w:bCs w:val="1"/>
          <w:color w:val="A26F2A"/>
        </w:rPr>
        <w:t>Why did I receive a Notice of Internet Availability of Proxy Materials instead of a paper copy of the proxy materials?</w:t>
      </w:r>
    </w:p>
    <w:p>
      <w:pPr>
        <w:spacing w:after="0" w:line="8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are providing access to our proxy materials, including this proxy statement and our 2025 Annual Report on Form 10-K, over the Internet in accordance with the rules of the Securities and Exchange Commission, or the SEC. As a result, we are mailing to our stockholders a Notice of Internet Availability instead of a paper copy of our proxy materials. Your Notice of Internet Availability contains instructions on how to access our proxy materials over the Internet, as well as instructions on how to request a paper copy of our proxy materials by mail.</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Our proxy materials are also available at www.envisionreports.com/FANG.</w:t>
      </w:r>
    </w:p>
    <w:p>
      <w:pPr>
        <w:spacing w:after="0" w:line="284"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How can I request a full set of proxy materials?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You may request, without charge, a full set of our proxy materials, including our 2025 Annual Report on Form 10-K, for one year following the annual meeting of stockholders, by following the instructions contained in the Notice of Internet Availability that you received.</w:t>
      </w:r>
    </w:p>
    <w:p>
      <w:pPr>
        <w:spacing w:after="0" w:line="228"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What is householding?</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SEC permits a single set of Notice of Internet Availability or annual reports and proxy statements to be sent to any household at which two or more stockholders reside if they appear to be members of the same family. Each stockholder continues to receive a separate proxy card, if a proxy card is provided. This procedure, referred to as householding, reduces the volume of duplicate information stockholders receive and reduces our mailing and printing expenses.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If you and other residents at your mailing address own shares of our common stock, you may have only received one Notice of Internet Availability or annual report and proxy statement, unless we have received contrary instructions from you. If you would like to receive your own set of Notice of Internet Availability or the annual report and proxy statement this year or in future years, follow the instructions described below. We will promptly send a separate copy of the Notice of Internet Availability or annual report and proxy statement, as applicable. Similarly, if you share an address with another Diamondback stockholder and together both of you would like to receive in the future only a single Notice of Internet Availability or annual report and proxy statement, follow these instructions:</w:t>
      </w:r>
    </w:p>
    <w:p>
      <w:pPr>
        <w:spacing w:after="0" w:line="144" w:lineRule="exact"/>
        <w:rPr>
          <w:sz w:val="20"/>
          <w:szCs w:val="20"/>
          <w:color w:val="auto"/>
        </w:rPr>
      </w:pPr>
    </w:p>
    <w:p>
      <w:pPr>
        <w:ind w:left="160" w:hanging="159"/>
        <w:spacing w:after="0" w:line="282" w:lineRule="auto"/>
        <w:tabs>
          <w:tab w:leader="none" w:pos="160" w:val="left"/>
        </w:tabs>
        <w:numPr>
          <w:ilvl w:val="0"/>
          <w:numId w:val="153"/>
        </w:numPr>
        <w:rPr>
          <w:rFonts w:ascii="Arial" w:cs="Arial" w:eastAsia="Arial" w:hAnsi="Arial"/>
          <w:sz w:val="15"/>
          <w:szCs w:val="15"/>
          <w:color w:val="A26F2A"/>
        </w:rPr>
      </w:pPr>
      <w:r>
        <w:rPr>
          <w:rFonts w:ascii="Arial" w:cs="Arial" w:eastAsia="Arial" w:hAnsi="Arial"/>
          <w:sz w:val="15"/>
          <w:szCs w:val="15"/>
          <w:color w:val="auto"/>
        </w:rPr>
        <w:t>If your shares of our common stock are registered in your own name, please contact our transfer agent, Computershare Trust Company, N.A., and inform them of your request by calling their toll-free number: (800) 962-4284 or by mail: Computershare Trust Company, N.A., 250 Royall Street, Canton, MA 02021.</w:t>
      </w:r>
    </w:p>
    <w:p>
      <w:pPr>
        <w:spacing w:after="0" w:line="23" w:lineRule="exact"/>
        <w:rPr>
          <w:rFonts w:ascii="Arial" w:cs="Arial" w:eastAsia="Arial" w:hAnsi="Arial"/>
          <w:sz w:val="15"/>
          <w:szCs w:val="15"/>
          <w:color w:val="A26F2A"/>
        </w:rPr>
      </w:pPr>
    </w:p>
    <w:p>
      <w:pPr>
        <w:ind w:left="160" w:hanging="159"/>
        <w:spacing w:after="0"/>
        <w:tabs>
          <w:tab w:leader="none" w:pos="160" w:val="left"/>
        </w:tabs>
        <w:numPr>
          <w:ilvl w:val="0"/>
          <w:numId w:val="153"/>
        </w:numPr>
        <w:rPr>
          <w:rFonts w:ascii="Arial" w:cs="Arial" w:eastAsia="Arial" w:hAnsi="Arial"/>
          <w:sz w:val="15"/>
          <w:szCs w:val="15"/>
          <w:color w:val="A26F2A"/>
        </w:rPr>
      </w:pPr>
      <w:r>
        <w:rPr>
          <w:rFonts w:ascii="Arial" w:cs="Arial" w:eastAsia="Arial" w:hAnsi="Arial"/>
          <w:sz w:val="15"/>
          <w:szCs w:val="15"/>
          <w:color w:val="auto"/>
        </w:rPr>
        <w:t>If a broker or other nominee holds your shares, please contact your broker or nominee.</w:t>
      </w:r>
    </w:p>
    <w:p>
      <w:pPr>
        <w:spacing w:after="0" w:line="18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111760</wp:posOffset>
            </wp:positionV>
            <wp:extent cx="136525" cy="1170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6525" cy="117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80" w:right="1280"/>
        <w:spacing w:after="0" w:line="279" w:lineRule="auto"/>
        <w:rPr>
          <w:sz w:val="20"/>
          <w:szCs w:val="20"/>
          <w:color w:val="auto"/>
        </w:rPr>
      </w:pPr>
      <w:r>
        <w:rPr>
          <w:rFonts w:ascii="Arial" w:cs="Arial" w:eastAsia="Arial" w:hAnsi="Arial"/>
          <w:sz w:val="44"/>
          <w:szCs w:val="44"/>
          <w:b w:val="1"/>
          <w:bCs w:val="1"/>
          <w:color w:val="auto"/>
        </w:rPr>
        <w:t>SUBMISSION OF FUTURE STOCKHOLDER PROPOSALS</w:t>
      </w:r>
    </w:p>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Under SEC rules, a stockholder who intends to present a proposal, other than director nominations, at the 2027 Annual Meeting and who wishes the proposal to be included in the proxy statement for that meeting must submit the proposal in writing to our Corporate Secretary. The proposal must comply with the requirements set forth in our bylaws and must be received no later than December 10, 2026.</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proxy access bylaw provisions permit a stockholder, or a group of up to 20 eligible stockholders, that has continuously owned for no less than three years at least 3% of our outstanding common stock, to nominate and include in our proxy materials up to the greater of two directors and 20% of the number of directors currently serving on the Company’s board, provided that the stockholder(s) and the nominee(s) satisfy the requirements specified in our bylaws. Subject to compliance with other applicable requirements specified in the proxy access provisions of our bylaws, stockholder director nominations for inclusion in our proxy materials for the 2027 Annual Meeting must be received between November 10, 2026 and December 10, 2026.</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Stockholders who wish to propose a matter for action at the 2027 Annual Meeting, including the nomination of directors, but who do not wish to have the proposal or nomination included in the proxy statement, must notify the Company in writing of the information required by the provisions of our bylaws dealing with stockholder proposals. The notice must be delivered to our Corporate Secretary between January 20, 2027 and February 19, 2027. You can obtain a copy of our bylaws by writing the Corporate Secretary at the address below.</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In addition to satisfying the foregoing requirements under our bylaws and complying with the SEC’s universal proxy rules, stockholders who intend to solicit proxies in support of director nominees other than the Company’s nominees must provide notice that sets forth the information required by Rule 14a-19 under the Exchange Act.</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All written proposals should be directed to Corporate Secretary, Diamondback Energy, Inc., 500 West Texas Ave, Suite 100, Midland, TX 79701.</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board of directors is responsible for selecting and recommending director candidates and will consider nominees recommended by stockholders. If you wish to have the board of directors consider a nominee for director, you must send a written notice to our Corporate Secretary at the address provided above and include the information required by our bylaws.</w:t>
      </w:r>
    </w:p>
    <w:p>
      <w:pPr>
        <w:spacing w:after="0" w:line="13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111760</wp:posOffset>
            </wp:positionV>
            <wp:extent cx="136525" cy="1170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6525" cy="117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80"/>
        <w:spacing w:after="0"/>
        <w:rPr>
          <w:sz w:val="20"/>
          <w:szCs w:val="20"/>
          <w:color w:val="auto"/>
        </w:rPr>
      </w:pPr>
      <w:r>
        <w:rPr>
          <w:rFonts w:ascii="Arial" w:cs="Arial" w:eastAsia="Arial" w:hAnsi="Arial"/>
          <w:sz w:val="44"/>
          <w:szCs w:val="44"/>
          <w:b w:val="1"/>
          <w:bCs w:val="1"/>
          <w:color w:val="auto"/>
        </w:rPr>
        <w:t>OTHER MATTERS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Availability of Annual Report on Form 10-K</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 xml:space="preserve">SEC rules require us to provide an Annual Report on Form 10-K to Stockholders who receive this proxy statement. Additional copies of the 2025 Annual Report on Form 10-K, including the financial statements and the financial statement schedules, are available without charge to stockholders upon written request to Corporate Secretary, Diamondback Energy, Inc., 500 West Texas Ave, Suite 100, Midland, TX 79701 or via the Internet at </w:t>
      </w:r>
      <w:r>
        <w:rPr>
          <w:rFonts w:ascii="Arial" w:cs="Arial" w:eastAsia="Arial" w:hAnsi="Arial"/>
          <w:sz w:val="15"/>
          <w:szCs w:val="15"/>
          <w:u w:val="single" w:color="auto"/>
          <w:color w:val="auto"/>
        </w:rPr>
        <w:t>https://ir.diamondbackenergy.com/investors/financial-information</w:t>
      </w:r>
      <w:r>
        <w:rPr>
          <w:rFonts w:ascii="Arial" w:cs="Arial" w:eastAsia="Arial" w:hAnsi="Arial"/>
          <w:sz w:val="15"/>
          <w:szCs w:val="15"/>
          <w:color w:val="auto"/>
        </w:rPr>
        <w:t>. We will furnish the exhibits to our 2025 Annual Report on Form 10-K upon payment of our copying and mailing expenses.</w:t>
      </w:r>
    </w:p>
    <w:p>
      <w:pPr>
        <w:spacing w:after="0" w:line="245" w:lineRule="exact"/>
        <w:rPr>
          <w:sz w:val="20"/>
          <w:szCs w:val="20"/>
          <w:color w:val="auto"/>
        </w:rPr>
      </w:pPr>
    </w:p>
    <w:p>
      <w:pPr>
        <w:spacing w:after="0"/>
        <w:rPr>
          <w:sz w:val="20"/>
          <w:szCs w:val="20"/>
          <w:color w:val="auto"/>
        </w:rPr>
      </w:pPr>
      <w:r>
        <w:rPr>
          <w:rFonts w:ascii="Arial" w:cs="Arial" w:eastAsia="Arial" w:hAnsi="Arial"/>
          <w:sz w:val="24"/>
          <w:szCs w:val="24"/>
          <w:b w:val="1"/>
          <w:bCs w:val="1"/>
          <w:color w:val="A26F2A"/>
        </w:rPr>
        <w:t>Forward-Looking Statements</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This proxy statement contains “forward-looking statements” within the meaning of Section 27A of the Securities Act and Section 21E of the Exchange Act, which involve risks, uncertainties, and assumptions. All statements, other than statements of historical fact, including statements regarding Diamondback’s: future performance; business strategy; future operations and plans and objectives of management (including plans for future cash flow from operations and for executing environmental strategies) are forward-looking statements. When used in this proxy statement, the words “aim,” “anticipate,” “believe,” “continue,” “could,” “estimate,” “expect,” “forecast,” “future,” “guidance,” “intend,” “may,” “model,” “outlook,” “plan,” “positioned,” “potential,” “predict,” “project,” “seek,” “should,” “target,” “will,” “would,” and similar expressions (including the negative of such terms) as they relate to Diamondback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In addition, some of our sustainability goals, in particular those related to environmental matters, are based on our current expectations that may turn out to be inaccurate. Accordingly, forward-looking statements are not guarantees of future performance and Diamondback’s actual outcomes could differ materially from what Diamondback has expressed in its forward-looking statements.</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Factors that could cause the outcomes to differ materially include (but are not limited to) the following: geopolitics and market conditions, including, changes in supply and demand levels for oil, natural gas, and natural gas liquids, and the resulting impact on the price for those commodities; changes in U.S. energy, environmental, monetary and trade policies, including with respect to tariffs or other trade barriers and any resulting trade tensions; actions taken by the members of OPEC and its non OPEC allies (“OPEC+”) affecting the production and pricing of oil, as well as other domestic and global political, economic, or diplomatic developments, changes in general economic, business or industry conditions, including changes in foreign currency exchange rates, interest rates, inflation rates, and instability in the financial sector; regional supply and demand factors, including delays, curtailment delays or interruptions of production, or governmental orders, rules or regulations that impose production limits; federal and state legislative and regulatory initiatives relating to hydraulic fracturing, including the effect of existing and future laws and governmental regulations; physical and transitional risks relating to climate change; changing political and social perspectives on climate change and other environmental, social and governance factors, and risks from our publicly disclosed targets related to sustainability and emissions reduction initiatives; challenges in developing our existing leasehold acreage and finding, developing or acquiring additional reserves; restrictions on the use of water, including limits on the use of produced water and a moratorium on new produced water disposal well permits recently imposed by the Texas Railroad Commission in an effort to control induced seismicity in the Permian Basin; significant declines in prices for oil, natural gas, or natural gas liquids, which could require recognition of significant impairment charges; conditions in the capital, financial and credit markets, including the availability and pricing of capital for acquisitions, exploration and development operations; challenges with employee retention and an increasingly competitive labor market; changes in availability or cost of rigs, equipment, raw materials, supplies and oilfield services; changes in safety, health, environmental, tax and other regulations or requirements (including those addressing air emissions, water management, or the impact of global climate change); security threats, including cybersecurity threats and disruptions to our business and operations from breaches of our information technology systems, or from breaches of information technology systems of third parties with whom we transact business; lack of, or disruption in, access to adequate and reliable electrical power, internet and telecommunication infrastructure, information and computer systems, transportation, processing, storage and other facilities for our oil, natural gas and natural gas liquids; failures or delays in achieving expected reserve or production levels from existing and future oil and natural gas developments, including due to operating hazards, drilling risks, or the inherent uncertainties in predicting reserve and reservoir performance; inability to keep pace with technological developments in our industry; failure to meet our obligations under our oil purchase contracts; loss of one or more customers or their inability to meet their obligations; geographical concentration of our primary operations; risks from our return of capital commitment, and uncertainties over our future dividends and share repurchases; difficulty in obtaining necessary approvals and permits; severe weather conditions and natural disasters; changes in the financial strength of counterparties to our credit facilities and hedging contracts; our substantial indebtedness and restrictions to</w:t>
      </w:r>
    </w:p>
    <w:p>
      <w:pPr>
        <w:spacing w:after="0" w:line="157"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operating and financial flexibility; changes in our credit rating; failure to identify, complete and successfully integrate acquisitions, including the recently completed Double Eagle Acquisition and Viper’s Sitio Acquisition; the Endeavor equityholders’ ability to significantly influence our business and potential conflicts of interest; and other; and the risks and other factors disclosed in Diamondback’s filings with the Securities and Exchange Commission, including on our latest annual report on Form 10-K, subsequent reports on Forms 10-Q and 8-K, which can be obtained free of charge on the Securities and Exchange Commission’s web site at http://www.sec.gov. Given these risks and uncertainties, investors are cautioned not to place undue reliance on such forward-looking statements.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made in this proxy statement. All forward-looking statements speak only as of the date of this proxy statement or, if earlier, as of the date they were made. Diamondback does not intend to, and disclaims any obligation to, update or revise any forward-looking statements unless required by applicable law.</w:t>
      </w:r>
    </w:p>
    <w:p>
      <w:pPr>
        <w:spacing w:after="0" w:line="146"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No reports, documents or websites that are cited or referred to in this proxy statement shall be deemed to form part of, or to be incorporated by reference into, this proxy statement.</w:t>
      </w:r>
    </w:p>
    <w:p>
      <w:pPr>
        <w:spacing w:after="0" w:line="125"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26F2A"/>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111760</wp:posOffset>
            </wp:positionV>
            <wp:extent cx="136525" cy="11779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6525" cy="117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80"/>
        <w:spacing w:after="0"/>
        <w:rPr>
          <w:sz w:val="20"/>
          <w:szCs w:val="20"/>
          <w:color w:val="auto"/>
        </w:rPr>
      </w:pPr>
      <w:r>
        <w:rPr>
          <w:rFonts w:ascii="Arial" w:cs="Arial" w:eastAsia="Arial" w:hAnsi="Arial"/>
          <w:sz w:val="30"/>
          <w:szCs w:val="30"/>
          <w:b w:val="1"/>
          <w:bCs w:val="1"/>
          <w:color w:val="A26F2A"/>
        </w:rPr>
        <w:t>SCHEDULE A</w:t>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44"/>
          <w:szCs w:val="44"/>
          <w:b w:val="1"/>
          <w:bCs w:val="1"/>
          <w:color w:val="auto"/>
        </w:rPr>
        <w:t>NON-GAAP RECONCILIATIONS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30"/>
          <w:szCs w:val="30"/>
          <w:color w:val="A26F2A"/>
        </w:rPr>
        <w:t xml:space="preserve">— </w:t>
      </w:r>
      <w:r>
        <w:rPr>
          <w:rFonts w:ascii="Arial" w:cs="Arial" w:eastAsia="Arial" w:hAnsi="Arial"/>
          <w:sz w:val="26"/>
          <w:szCs w:val="26"/>
          <w:b w:val="1"/>
          <w:bCs w:val="1"/>
          <w:color w:val="000000"/>
        </w:rPr>
        <w:t>OPERATING CASH FLOW BEFORE WORKING CAPITAL CHANGES; FREE CASH</w:t>
      </w:r>
    </w:p>
    <w:p>
      <w:pPr>
        <w:spacing w:after="0" w:line="31" w:lineRule="exact"/>
        <w:rPr>
          <w:sz w:val="20"/>
          <w:szCs w:val="20"/>
          <w:color w:val="auto"/>
        </w:rPr>
      </w:pPr>
    </w:p>
    <w:p>
      <w:pPr>
        <w:ind w:left="480"/>
        <w:spacing w:after="0"/>
        <w:rPr>
          <w:sz w:val="20"/>
          <w:szCs w:val="20"/>
          <w:color w:val="auto"/>
        </w:rPr>
      </w:pPr>
      <w:r>
        <w:rPr>
          <w:rFonts w:ascii="Arial" w:cs="Arial" w:eastAsia="Arial" w:hAnsi="Arial"/>
          <w:sz w:val="27"/>
          <w:szCs w:val="27"/>
          <w:b w:val="1"/>
          <w:bCs w:val="1"/>
          <w:color w:val="auto"/>
        </w:rPr>
        <w:t>FLOW AND ADJUSTED FREE CASH FLOW</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Operating cash flow before working capital changes, which is a non-GAAP financial measure, represents net cash provided by operating activities as determined under GAAP without regard to changes in working capital. The Company believes operating cash flow before working capital changes is a useful measure of an oil and natural gas company’s ability to generate cash used to fund exploration, development and acquisition activities and service debt or pay dividends. The Company also uses this measure because changes in working capital relate to the timing of cash receipts and disbursements that the Company may not control and may not relate to the period in which the operating activities occurred. This allows the Company to compare its operating performance with that of other companies without regard to financing methods and capital structure.</w:t>
      </w:r>
    </w:p>
    <w:p>
      <w:pPr>
        <w:spacing w:after="0" w:line="146"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Company defines Free Cash Flow, which is a non-GAAP financial measure, as cash flow from operating activities before changes in working capital in excess of cash capital expenditures. The Company defines Adjusted Free Cash Flow, which is a non-GAAP financial measure, as Free Cash Flow before the tax impact from divestitures, merger and transaction expenses, costs of early termination of derivatives and settlements of any treasury locks. The Company believes that Free Cash Flow and Adjusted Free Cash Flow are useful to investors as they provide a measure to compare both cash flow from operating activities and additions to oil and natural gas properties across periods on a consistent basis, adjusted, as applicable, for non- recurring impacts from divestitures, merger and transaction expenses, the early termination of derivative contracts and settlements of treasury locks. These measures should not be considered as an alternative to, or more meaningful than, net cash provided by operating activities as an indicator of liquidity. The Company’s computation of Free Cash Flow may not be comparable to other similarly titled measures of other companies.</w:t>
      </w:r>
    </w:p>
    <w:p>
      <w:pPr>
        <w:spacing w:after="0" w:line="147" w:lineRule="exact"/>
        <w:rPr>
          <w:sz w:val="20"/>
          <w:szCs w:val="20"/>
          <w:color w:val="auto"/>
        </w:rPr>
      </w:pPr>
    </w:p>
    <w:p>
      <w:pPr>
        <w:ind w:right="200"/>
        <w:spacing w:after="0" w:line="264" w:lineRule="auto"/>
        <w:rPr>
          <w:sz w:val="20"/>
          <w:szCs w:val="20"/>
          <w:color w:val="auto"/>
        </w:rPr>
      </w:pPr>
      <w:r>
        <w:rPr>
          <w:rFonts w:ascii="Arial" w:cs="Arial" w:eastAsia="Arial" w:hAnsi="Arial"/>
          <w:sz w:val="15"/>
          <w:szCs w:val="15"/>
          <w:color w:val="auto"/>
        </w:rPr>
        <w:t>These measures should not be considered as an alternative to, or more meaningful than, net cash provided by operating activities as an indicator of operating performance. The Company’s computation of operating cash flow before working capital changes and Free Cash Flow may not be comparable to other similarly titled measures of other companies.</w:t>
      </w:r>
    </w:p>
    <w:p>
      <w:pPr>
        <w:spacing w:after="0" w:line="138" w:lineRule="exact"/>
        <w:rPr>
          <w:sz w:val="20"/>
          <w:szCs w:val="20"/>
          <w:color w:val="auto"/>
        </w:rPr>
      </w:pPr>
    </w:p>
    <w:p>
      <w:pPr>
        <w:ind w:right="520"/>
        <w:spacing w:after="0" w:line="282" w:lineRule="auto"/>
        <w:rPr>
          <w:sz w:val="20"/>
          <w:szCs w:val="20"/>
          <w:color w:val="auto"/>
        </w:rPr>
      </w:pPr>
      <w:r>
        <w:rPr>
          <w:rFonts w:ascii="Arial" w:cs="Arial" w:eastAsia="Arial" w:hAnsi="Arial"/>
          <w:sz w:val="15"/>
          <w:szCs w:val="15"/>
          <w:color w:val="auto"/>
        </w:rPr>
        <w:t>The following table presents a non-GAAP reconciliation of net cash provided by operating activities, a GAAP financial measure, to Free Cash Flow, a non-GAAP financial measure.</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26F2A"/>
        </w:rPr>
        <w:t>DIAMONDBACK ENERGY, INC. NON-GAAP RECONCILIATION OF FREE CASH FLOW AND ADJUSTED FREE CASH FLOW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60" w:type="dxa"/>
            <w:vAlign w:val="bottom"/>
          </w:tcPr>
          <w:p>
            <w:pPr>
              <w:spacing w:after="0"/>
              <w:rPr>
                <w:sz w:val="17"/>
                <w:szCs w:val="17"/>
                <w:color w:val="auto"/>
              </w:rPr>
            </w:pPr>
          </w:p>
        </w:tc>
        <w:tc>
          <w:tcPr>
            <w:tcW w:w="420" w:type="dxa"/>
            <w:vAlign w:val="bottom"/>
            <w:tcBorders>
              <w:bottom w:val="single" w:sz="8" w:color="A26D29"/>
            </w:tcBorders>
          </w:tcPr>
          <w:p>
            <w:pPr>
              <w:spacing w:after="0"/>
              <w:rPr>
                <w:sz w:val="17"/>
                <w:szCs w:val="17"/>
                <w:color w:val="auto"/>
              </w:rPr>
            </w:pPr>
          </w:p>
        </w:tc>
        <w:tc>
          <w:tcPr>
            <w:tcW w:w="2260" w:type="dxa"/>
            <w:vAlign w:val="bottom"/>
            <w:tcBorders>
              <w:bottom w:val="single" w:sz="8" w:color="A26D29"/>
            </w:tcBorders>
            <w:gridSpan w:val="3"/>
          </w:tcPr>
          <w:p>
            <w:pPr>
              <w:jc w:val="right"/>
              <w:ind w:right="224"/>
              <w:spacing w:after="0"/>
              <w:rPr>
                <w:sz w:val="20"/>
                <w:szCs w:val="20"/>
                <w:color w:val="auto"/>
              </w:rPr>
            </w:pPr>
            <w:r>
              <w:rPr>
                <w:rFonts w:ascii="Arial" w:cs="Arial" w:eastAsia="Arial" w:hAnsi="Arial"/>
                <w:sz w:val="15"/>
                <w:szCs w:val="15"/>
                <w:b w:val="1"/>
                <w:bCs w:val="1"/>
                <w:color w:val="auto"/>
              </w:rPr>
              <w:t>Year Ended December 31,</w:t>
            </w:r>
          </w:p>
        </w:tc>
      </w:tr>
      <w:tr>
        <w:trPr>
          <w:trHeight w:val="187"/>
        </w:trPr>
        <w:tc>
          <w:tcPr>
            <w:tcW w:w="8560" w:type="dxa"/>
            <w:vAlign w:val="bottom"/>
            <w:tcBorders>
              <w:bottom w:val="single" w:sz="8" w:color="A26D29"/>
            </w:tcBorders>
          </w:tcPr>
          <w:p>
            <w:pPr>
              <w:spacing w:after="0"/>
              <w:rPr>
                <w:sz w:val="16"/>
                <w:szCs w:val="16"/>
                <w:color w:val="auto"/>
              </w:rPr>
            </w:pPr>
          </w:p>
        </w:tc>
        <w:tc>
          <w:tcPr>
            <w:tcW w:w="420" w:type="dxa"/>
            <w:vAlign w:val="bottom"/>
            <w:tcBorders>
              <w:bottom w:val="single" w:sz="8" w:color="A26D29"/>
            </w:tcBorders>
          </w:tcPr>
          <w:p>
            <w:pPr>
              <w:spacing w:after="0"/>
              <w:rPr>
                <w:sz w:val="16"/>
                <w:szCs w:val="16"/>
                <w:color w:val="auto"/>
              </w:rPr>
            </w:pPr>
          </w:p>
        </w:tc>
        <w:tc>
          <w:tcPr>
            <w:tcW w:w="1020" w:type="dxa"/>
            <w:vAlign w:val="bottom"/>
            <w:tcBorders>
              <w:bottom w:val="single" w:sz="8" w:color="A26D29"/>
            </w:tcBorders>
          </w:tcPr>
          <w:p>
            <w:pPr>
              <w:jc w:val="right"/>
              <w:ind w:right="124"/>
              <w:spacing w:after="0"/>
              <w:rPr>
                <w:sz w:val="20"/>
                <w:szCs w:val="20"/>
                <w:color w:val="auto"/>
              </w:rPr>
            </w:pPr>
            <w:r>
              <w:rPr>
                <w:rFonts w:ascii="Arial" w:cs="Arial" w:eastAsia="Arial" w:hAnsi="Arial"/>
                <w:sz w:val="15"/>
                <w:szCs w:val="15"/>
                <w:b w:val="1"/>
                <w:bCs w:val="1"/>
                <w:color w:val="auto"/>
              </w:rPr>
              <w:t>2025</w:t>
            </w:r>
          </w:p>
        </w:tc>
        <w:tc>
          <w:tcPr>
            <w:tcW w:w="480" w:type="dxa"/>
            <w:vAlign w:val="bottom"/>
            <w:tcBorders>
              <w:bottom w:val="single" w:sz="8" w:color="A26D29"/>
            </w:tcBorders>
          </w:tcPr>
          <w:p>
            <w:pPr>
              <w:spacing w:after="0"/>
              <w:rPr>
                <w:sz w:val="16"/>
                <w:szCs w:val="16"/>
                <w:color w:val="auto"/>
              </w:rPr>
            </w:pPr>
          </w:p>
        </w:tc>
        <w:tc>
          <w:tcPr>
            <w:tcW w:w="760" w:type="dxa"/>
            <w:vAlign w:val="bottom"/>
            <w:tcBorders>
              <w:bottom w:val="single" w:sz="8" w:color="A26D29"/>
            </w:tcBorders>
          </w:tcPr>
          <w:p>
            <w:pPr>
              <w:jc w:val="right"/>
              <w:ind w:right="24"/>
              <w:spacing w:after="0"/>
              <w:rPr>
                <w:sz w:val="20"/>
                <w:szCs w:val="20"/>
                <w:color w:val="auto"/>
              </w:rPr>
            </w:pPr>
            <w:r>
              <w:rPr>
                <w:rFonts w:ascii="Arial" w:cs="Arial" w:eastAsia="Arial" w:hAnsi="Arial"/>
                <w:sz w:val="15"/>
                <w:szCs w:val="15"/>
                <w:b w:val="1"/>
                <w:bCs w:val="1"/>
                <w:color w:val="auto"/>
              </w:rPr>
              <w:t>2024</w:t>
            </w:r>
          </w:p>
        </w:tc>
      </w:tr>
      <w:tr>
        <w:trPr>
          <w:trHeight w:val="201"/>
        </w:trPr>
        <w:tc>
          <w:tcPr>
            <w:tcW w:w="856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rPr>
              <w:t>Net cash provided by operating activities (GAAP)</w:t>
            </w:r>
          </w:p>
        </w:tc>
        <w:tc>
          <w:tcPr>
            <w:tcW w:w="42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8A9AC"/>
            </w:tcBorders>
          </w:tcPr>
          <w:p>
            <w:pPr>
              <w:jc w:val="right"/>
              <w:ind w:right="124"/>
              <w:spacing w:after="0"/>
              <w:rPr>
                <w:sz w:val="20"/>
                <w:szCs w:val="20"/>
                <w:color w:val="auto"/>
              </w:rPr>
            </w:pPr>
            <w:r>
              <w:rPr>
                <w:rFonts w:ascii="Arial" w:cs="Arial" w:eastAsia="Arial" w:hAnsi="Arial"/>
                <w:sz w:val="15"/>
                <w:szCs w:val="15"/>
                <w:color w:val="auto"/>
              </w:rPr>
              <w:t>8,758</w:t>
            </w:r>
          </w:p>
        </w:tc>
        <w:tc>
          <w:tcPr>
            <w:tcW w:w="480" w:type="dxa"/>
            <w:vAlign w:val="bottom"/>
            <w:tcBorders>
              <w:bottom w:val="single" w:sz="8" w:color="A8A9AC"/>
            </w:tcBorders>
          </w:tcPr>
          <w:p>
            <w:pPr>
              <w:jc w:val="right"/>
              <w:ind w:right="164"/>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6,413</w:t>
            </w:r>
          </w:p>
        </w:tc>
      </w:tr>
      <w:tr>
        <w:trPr>
          <w:trHeight w:val="195"/>
        </w:trPr>
        <w:tc>
          <w:tcPr>
            <w:tcW w:w="856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rPr>
              <w:t>Less: Changes in cash due to changes in operating assets and liabilities:</w:t>
            </w:r>
          </w:p>
        </w:tc>
        <w:tc>
          <w:tcPr>
            <w:tcW w:w="420" w:type="dxa"/>
            <w:vAlign w:val="bottom"/>
            <w:tcBorders>
              <w:bottom w:val="single" w:sz="8" w:color="A8A9AC"/>
            </w:tcBorders>
          </w:tcPr>
          <w:p>
            <w:pPr>
              <w:spacing w:after="0"/>
              <w:rPr>
                <w:sz w:val="16"/>
                <w:szCs w:val="16"/>
                <w:color w:val="auto"/>
              </w:rPr>
            </w:pPr>
          </w:p>
        </w:tc>
        <w:tc>
          <w:tcPr>
            <w:tcW w:w="1020" w:type="dxa"/>
            <w:vAlign w:val="bottom"/>
            <w:tcBorders>
              <w:bottom w:val="single" w:sz="8" w:color="A8A9AC"/>
            </w:tcBorders>
          </w:tcPr>
          <w:p>
            <w:pPr>
              <w:spacing w:after="0"/>
              <w:rPr>
                <w:sz w:val="16"/>
                <w:szCs w:val="16"/>
                <w:color w:val="auto"/>
              </w:rPr>
            </w:pPr>
          </w:p>
        </w:tc>
        <w:tc>
          <w:tcPr>
            <w:tcW w:w="480" w:type="dxa"/>
            <w:vAlign w:val="bottom"/>
            <w:tcBorders>
              <w:bottom w:val="single" w:sz="8" w:color="A8A9AC"/>
            </w:tcBorders>
          </w:tcPr>
          <w:p>
            <w:pPr>
              <w:spacing w:after="0"/>
              <w:rPr>
                <w:sz w:val="16"/>
                <w:szCs w:val="16"/>
                <w:color w:val="auto"/>
              </w:rPr>
            </w:pPr>
          </w:p>
        </w:tc>
        <w:tc>
          <w:tcPr>
            <w:tcW w:w="760" w:type="dxa"/>
            <w:vAlign w:val="bottom"/>
            <w:tcBorders>
              <w:bottom w:val="single" w:sz="8" w:color="A8A9AC"/>
            </w:tcBorders>
          </w:tcPr>
          <w:p>
            <w:pPr>
              <w:spacing w:after="0"/>
              <w:rPr>
                <w:sz w:val="16"/>
                <w:szCs w:val="16"/>
                <w:color w:val="auto"/>
              </w:rPr>
            </w:pPr>
          </w:p>
        </w:tc>
      </w:tr>
      <w:tr>
        <w:trPr>
          <w:trHeight w:val="195"/>
        </w:trPr>
        <w:tc>
          <w:tcPr>
            <w:tcW w:w="8560" w:type="dxa"/>
            <w:vAlign w:val="bottom"/>
            <w:tcBorders>
              <w:bottom w:val="single" w:sz="8" w:color="A8A9AC"/>
            </w:tcBorders>
          </w:tcPr>
          <w:p>
            <w:pPr>
              <w:ind w:left="160"/>
              <w:spacing w:after="0"/>
              <w:rPr>
                <w:sz w:val="20"/>
                <w:szCs w:val="20"/>
                <w:color w:val="auto"/>
              </w:rPr>
            </w:pPr>
            <w:r>
              <w:rPr>
                <w:rFonts w:ascii="Arial" w:cs="Arial" w:eastAsia="Arial" w:hAnsi="Arial"/>
                <w:sz w:val="15"/>
                <w:szCs w:val="15"/>
                <w:color w:val="auto"/>
              </w:rPr>
              <w:t>Accounts receivable</w:t>
            </w:r>
          </w:p>
        </w:tc>
        <w:tc>
          <w:tcPr>
            <w:tcW w:w="420" w:type="dxa"/>
            <w:vAlign w:val="bottom"/>
            <w:tcBorders>
              <w:bottom w:val="single" w:sz="8" w:color="A8A9AC"/>
            </w:tcBorders>
          </w:tcPr>
          <w:p>
            <w:pPr>
              <w:spacing w:after="0"/>
              <w:rPr>
                <w:sz w:val="16"/>
                <w:szCs w:val="16"/>
                <w:color w:val="auto"/>
              </w:rPr>
            </w:pPr>
          </w:p>
        </w:tc>
        <w:tc>
          <w:tcPr>
            <w:tcW w:w="1020" w:type="dxa"/>
            <w:vAlign w:val="bottom"/>
            <w:tcBorders>
              <w:bottom w:val="single" w:sz="8" w:color="A8A9AC"/>
            </w:tcBorders>
          </w:tcPr>
          <w:p>
            <w:pPr>
              <w:jc w:val="right"/>
              <w:ind w:right="124"/>
              <w:spacing w:after="0"/>
              <w:rPr>
                <w:sz w:val="20"/>
                <w:szCs w:val="20"/>
                <w:color w:val="auto"/>
              </w:rPr>
            </w:pPr>
            <w:r>
              <w:rPr>
                <w:rFonts w:ascii="Arial" w:cs="Arial" w:eastAsia="Arial" w:hAnsi="Arial"/>
                <w:sz w:val="15"/>
                <w:szCs w:val="15"/>
                <w:color w:val="auto"/>
              </w:rPr>
              <w:t>386</w:t>
            </w:r>
          </w:p>
        </w:tc>
        <w:tc>
          <w:tcPr>
            <w:tcW w:w="480" w:type="dxa"/>
            <w:vAlign w:val="bottom"/>
            <w:tcBorders>
              <w:bottom w:val="single" w:sz="8" w:color="A8A9AC"/>
            </w:tcBorders>
          </w:tcPr>
          <w:p>
            <w:pPr>
              <w:spacing w:after="0"/>
              <w:rPr>
                <w:sz w:val="16"/>
                <w:szCs w:val="16"/>
                <w:color w:val="auto"/>
              </w:rPr>
            </w:pPr>
          </w:p>
        </w:tc>
        <w:tc>
          <w:tcPr>
            <w:tcW w:w="7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(42)</w:t>
            </w:r>
          </w:p>
        </w:tc>
      </w:tr>
      <w:tr>
        <w:trPr>
          <w:trHeight w:val="195"/>
        </w:trPr>
        <w:tc>
          <w:tcPr>
            <w:tcW w:w="8560" w:type="dxa"/>
            <w:vAlign w:val="bottom"/>
            <w:tcBorders>
              <w:bottom w:val="single" w:sz="8" w:color="A8A9AC"/>
            </w:tcBorders>
          </w:tcPr>
          <w:p>
            <w:pPr>
              <w:ind w:left="160"/>
              <w:spacing w:after="0"/>
              <w:rPr>
                <w:sz w:val="20"/>
                <w:szCs w:val="20"/>
                <w:color w:val="auto"/>
              </w:rPr>
            </w:pPr>
            <w:r>
              <w:rPr>
                <w:rFonts w:ascii="Arial" w:cs="Arial" w:eastAsia="Arial" w:hAnsi="Arial"/>
                <w:sz w:val="15"/>
                <w:szCs w:val="15"/>
                <w:color w:val="auto"/>
              </w:rPr>
              <w:t>Accounts payable and accrued liabilities</w:t>
            </w:r>
          </w:p>
        </w:tc>
        <w:tc>
          <w:tcPr>
            <w:tcW w:w="420" w:type="dxa"/>
            <w:vAlign w:val="bottom"/>
            <w:tcBorders>
              <w:bottom w:val="single" w:sz="8" w:color="A8A9AC"/>
            </w:tcBorders>
          </w:tcPr>
          <w:p>
            <w:pPr>
              <w:spacing w:after="0"/>
              <w:rPr>
                <w:sz w:val="16"/>
                <w:szCs w:val="16"/>
                <w:color w:val="auto"/>
              </w:rPr>
            </w:pPr>
          </w:p>
        </w:tc>
        <w:tc>
          <w:tcPr>
            <w:tcW w:w="102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(343)</w:t>
            </w:r>
          </w:p>
        </w:tc>
        <w:tc>
          <w:tcPr>
            <w:tcW w:w="480" w:type="dxa"/>
            <w:vAlign w:val="bottom"/>
            <w:tcBorders>
              <w:bottom w:val="single" w:sz="8" w:color="A8A9AC"/>
            </w:tcBorders>
          </w:tcPr>
          <w:p>
            <w:pPr>
              <w:spacing w:after="0"/>
              <w:rPr>
                <w:sz w:val="16"/>
                <w:szCs w:val="16"/>
                <w:color w:val="auto"/>
              </w:rPr>
            </w:pPr>
          </w:p>
        </w:tc>
        <w:tc>
          <w:tcPr>
            <w:tcW w:w="7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(376)</w:t>
            </w:r>
          </w:p>
        </w:tc>
      </w:tr>
      <w:tr>
        <w:trPr>
          <w:trHeight w:val="195"/>
        </w:trPr>
        <w:tc>
          <w:tcPr>
            <w:tcW w:w="8560" w:type="dxa"/>
            <w:vAlign w:val="bottom"/>
            <w:tcBorders>
              <w:bottom w:val="single" w:sz="8" w:color="A8A9AC"/>
            </w:tcBorders>
          </w:tcPr>
          <w:p>
            <w:pPr>
              <w:ind w:left="160"/>
              <w:spacing w:after="0"/>
              <w:rPr>
                <w:sz w:val="20"/>
                <w:szCs w:val="20"/>
                <w:color w:val="auto"/>
              </w:rPr>
            </w:pPr>
            <w:r>
              <w:rPr>
                <w:rFonts w:ascii="Arial" w:cs="Arial" w:eastAsia="Arial" w:hAnsi="Arial"/>
                <w:sz w:val="15"/>
                <w:szCs w:val="15"/>
                <w:color w:val="auto"/>
              </w:rPr>
              <w:t>Income taxes payable</w:t>
            </w:r>
          </w:p>
        </w:tc>
        <w:tc>
          <w:tcPr>
            <w:tcW w:w="420" w:type="dxa"/>
            <w:vAlign w:val="bottom"/>
            <w:tcBorders>
              <w:bottom w:val="single" w:sz="8" w:color="A8A9AC"/>
            </w:tcBorders>
          </w:tcPr>
          <w:p>
            <w:pPr>
              <w:spacing w:after="0"/>
              <w:rPr>
                <w:sz w:val="16"/>
                <w:szCs w:val="16"/>
                <w:color w:val="auto"/>
              </w:rPr>
            </w:pPr>
          </w:p>
        </w:tc>
        <w:tc>
          <w:tcPr>
            <w:tcW w:w="102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(399)</w:t>
            </w:r>
          </w:p>
        </w:tc>
        <w:tc>
          <w:tcPr>
            <w:tcW w:w="480" w:type="dxa"/>
            <w:vAlign w:val="bottom"/>
            <w:tcBorders>
              <w:bottom w:val="single" w:sz="8" w:color="A8A9AC"/>
            </w:tcBorders>
          </w:tcPr>
          <w:p>
            <w:pPr>
              <w:spacing w:after="0"/>
              <w:rPr>
                <w:sz w:val="16"/>
                <w:szCs w:val="16"/>
                <w:color w:val="auto"/>
              </w:rPr>
            </w:pPr>
          </w:p>
        </w:tc>
        <w:tc>
          <w:tcPr>
            <w:tcW w:w="7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87</w:t>
            </w:r>
          </w:p>
        </w:tc>
      </w:tr>
      <w:tr>
        <w:trPr>
          <w:trHeight w:val="195"/>
        </w:trPr>
        <w:tc>
          <w:tcPr>
            <w:tcW w:w="8560" w:type="dxa"/>
            <w:vAlign w:val="bottom"/>
            <w:tcBorders>
              <w:bottom w:val="single" w:sz="8" w:color="A8A9AC"/>
            </w:tcBorders>
          </w:tcPr>
          <w:p>
            <w:pPr>
              <w:ind w:left="160"/>
              <w:spacing w:after="0"/>
              <w:rPr>
                <w:sz w:val="20"/>
                <w:szCs w:val="20"/>
                <w:color w:val="auto"/>
              </w:rPr>
            </w:pPr>
            <w:r>
              <w:rPr>
                <w:rFonts w:ascii="Arial" w:cs="Arial" w:eastAsia="Arial" w:hAnsi="Arial"/>
                <w:sz w:val="15"/>
                <w:szCs w:val="15"/>
                <w:color w:val="auto"/>
              </w:rPr>
              <w:t>Revenues and royalties payable</w:t>
            </w:r>
          </w:p>
        </w:tc>
        <w:tc>
          <w:tcPr>
            <w:tcW w:w="420" w:type="dxa"/>
            <w:vAlign w:val="bottom"/>
            <w:tcBorders>
              <w:bottom w:val="single" w:sz="8" w:color="A8A9AC"/>
            </w:tcBorders>
          </w:tcPr>
          <w:p>
            <w:pPr>
              <w:spacing w:after="0"/>
              <w:rPr>
                <w:sz w:val="16"/>
                <w:szCs w:val="16"/>
                <w:color w:val="auto"/>
              </w:rPr>
            </w:pPr>
          </w:p>
        </w:tc>
        <w:tc>
          <w:tcPr>
            <w:tcW w:w="1020" w:type="dxa"/>
            <w:vAlign w:val="bottom"/>
            <w:tcBorders>
              <w:bottom w:val="single" w:sz="8" w:color="A8A9AC"/>
            </w:tcBorders>
          </w:tcPr>
          <w:p>
            <w:pPr>
              <w:jc w:val="right"/>
              <w:ind w:right="124"/>
              <w:spacing w:after="0"/>
              <w:rPr>
                <w:sz w:val="20"/>
                <w:szCs w:val="20"/>
                <w:color w:val="auto"/>
              </w:rPr>
            </w:pPr>
            <w:r>
              <w:rPr>
                <w:rFonts w:ascii="Arial" w:cs="Arial" w:eastAsia="Arial" w:hAnsi="Arial"/>
                <w:sz w:val="15"/>
                <w:szCs w:val="15"/>
                <w:color w:val="auto"/>
              </w:rPr>
              <w:t>15</w:t>
            </w:r>
          </w:p>
        </w:tc>
        <w:tc>
          <w:tcPr>
            <w:tcW w:w="480" w:type="dxa"/>
            <w:vAlign w:val="bottom"/>
            <w:tcBorders>
              <w:bottom w:val="single" w:sz="8" w:color="A8A9AC"/>
            </w:tcBorders>
          </w:tcPr>
          <w:p>
            <w:pPr>
              <w:spacing w:after="0"/>
              <w:rPr>
                <w:sz w:val="16"/>
                <w:szCs w:val="16"/>
                <w:color w:val="auto"/>
              </w:rPr>
            </w:pPr>
          </w:p>
        </w:tc>
        <w:tc>
          <w:tcPr>
            <w:tcW w:w="7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168</w:t>
            </w:r>
          </w:p>
        </w:tc>
      </w:tr>
      <w:tr>
        <w:trPr>
          <w:trHeight w:val="195"/>
        </w:trPr>
        <w:tc>
          <w:tcPr>
            <w:tcW w:w="8560" w:type="dxa"/>
            <w:vAlign w:val="bottom"/>
            <w:tcBorders>
              <w:bottom w:val="single" w:sz="8" w:color="A8A9AC"/>
            </w:tcBorders>
          </w:tcPr>
          <w:p>
            <w:pPr>
              <w:ind w:left="160"/>
              <w:spacing w:after="0"/>
              <w:rPr>
                <w:sz w:val="20"/>
                <w:szCs w:val="20"/>
                <w:color w:val="auto"/>
              </w:rPr>
            </w:pPr>
            <w:r>
              <w:rPr>
                <w:rFonts w:ascii="Arial" w:cs="Arial" w:eastAsia="Arial" w:hAnsi="Arial"/>
                <w:sz w:val="15"/>
                <w:szCs w:val="15"/>
                <w:color w:val="auto"/>
              </w:rPr>
              <w:t>Other</w:t>
            </w:r>
          </w:p>
        </w:tc>
        <w:tc>
          <w:tcPr>
            <w:tcW w:w="420" w:type="dxa"/>
            <w:vAlign w:val="bottom"/>
            <w:tcBorders>
              <w:bottom w:val="single" w:sz="8" w:color="A8A9AC"/>
            </w:tcBorders>
          </w:tcPr>
          <w:p>
            <w:pPr>
              <w:spacing w:after="0"/>
              <w:rPr>
                <w:sz w:val="16"/>
                <w:szCs w:val="16"/>
                <w:color w:val="auto"/>
              </w:rPr>
            </w:pPr>
          </w:p>
        </w:tc>
        <w:tc>
          <w:tcPr>
            <w:tcW w:w="1020" w:type="dxa"/>
            <w:vAlign w:val="bottom"/>
            <w:tcBorders>
              <w:bottom w:val="single" w:sz="8" w:color="A8A9AC"/>
            </w:tcBorders>
          </w:tcPr>
          <w:p>
            <w:pPr>
              <w:jc w:val="right"/>
              <w:ind w:right="124"/>
              <w:spacing w:after="0"/>
              <w:rPr>
                <w:sz w:val="20"/>
                <w:szCs w:val="20"/>
                <w:color w:val="auto"/>
              </w:rPr>
            </w:pPr>
            <w:r>
              <w:rPr>
                <w:rFonts w:ascii="Arial" w:cs="Arial" w:eastAsia="Arial" w:hAnsi="Arial"/>
                <w:sz w:val="15"/>
                <w:szCs w:val="15"/>
                <w:color w:val="auto"/>
              </w:rPr>
              <w:t>27</w:t>
            </w:r>
          </w:p>
        </w:tc>
        <w:tc>
          <w:tcPr>
            <w:tcW w:w="480" w:type="dxa"/>
            <w:vAlign w:val="bottom"/>
            <w:tcBorders>
              <w:bottom w:val="single" w:sz="8" w:color="A8A9AC"/>
            </w:tcBorders>
          </w:tcPr>
          <w:p>
            <w:pPr>
              <w:spacing w:after="0"/>
              <w:rPr>
                <w:sz w:val="16"/>
                <w:szCs w:val="16"/>
                <w:color w:val="auto"/>
              </w:rPr>
            </w:pPr>
          </w:p>
        </w:tc>
        <w:tc>
          <w:tcPr>
            <w:tcW w:w="7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67</w:t>
            </w:r>
          </w:p>
        </w:tc>
      </w:tr>
      <w:tr>
        <w:trPr>
          <w:trHeight w:val="195"/>
        </w:trPr>
        <w:tc>
          <w:tcPr>
            <w:tcW w:w="8560" w:type="dxa"/>
            <w:vAlign w:val="bottom"/>
            <w:tcBorders>
              <w:bottom w:val="single" w:sz="8" w:color="A8A9AC"/>
            </w:tcBorders>
          </w:tcPr>
          <w:p>
            <w:pPr>
              <w:ind w:left="160"/>
              <w:spacing w:after="0"/>
              <w:rPr>
                <w:sz w:val="20"/>
                <w:szCs w:val="20"/>
                <w:color w:val="auto"/>
              </w:rPr>
            </w:pPr>
            <w:r>
              <w:rPr>
                <w:rFonts w:ascii="Arial" w:cs="Arial" w:eastAsia="Arial" w:hAnsi="Arial"/>
                <w:sz w:val="15"/>
                <w:szCs w:val="15"/>
                <w:color w:val="auto"/>
              </w:rPr>
              <w:t>Total working capital changes</w:t>
            </w:r>
          </w:p>
        </w:tc>
        <w:tc>
          <w:tcPr>
            <w:tcW w:w="420" w:type="dxa"/>
            <w:vAlign w:val="bottom"/>
            <w:tcBorders>
              <w:bottom w:val="single" w:sz="8" w:color="A8A9AC"/>
            </w:tcBorders>
          </w:tcPr>
          <w:p>
            <w:pPr>
              <w:spacing w:after="0"/>
              <w:rPr>
                <w:sz w:val="16"/>
                <w:szCs w:val="16"/>
                <w:color w:val="auto"/>
              </w:rPr>
            </w:pPr>
          </w:p>
        </w:tc>
        <w:tc>
          <w:tcPr>
            <w:tcW w:w="102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(314)</w:t>
            </w:r>
          </w:p>
        </w:tc>
        <w:tc>
          <w:tcPr>
            <w:tcW w:w="480" w:type="dxa"/>
            <w:vAlign w:val="bottom"/>
            <w:tcBorders>
              <w:bottom w:val="single" w:sz="8" w:color="A8A9AC"/>
            </w:tcBorders>
          </w:tcPr>
          <w:p>
            <w:pPr>
              <w:spacing w:after="0"/>
              <w:rPr>
                <w:sz w:val="16"/>
                <w:szCs w:val="16"/>
                <w:color w:val="auto"/>
              </w:rPr>
            </w:pPr>
          </w:p>
        </w:tc>
        <w:tc>
          <w:tcPr>
            <w:tcW w:w="7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(96)</w:t>
            </w:r>
          </w:p>
        </w:tc>
      </w:tr>
      <w:tr>
        <w:trPr>
          <w:trHeight w:val="195"/>
        </w:trPr>
        <w:tc>
          <w:tcPr>
            <w:tcW w:w="8560" w:type="dxa"/>
            <w:vAlign w:val="bottom"/>
            <w:tcBorders>
              <w:bottom w:val="single" w:sz="8" w:color="A8A9AC"/>
            </w:tcBorders>
          </w:tcPr>
          <w:p>
            <w:pPr>
              <w:ind w:left="160"/>
              <w:spacing w:after="0"/>
              <w:rPr>
                <w:sz w:val="20"/>
                <w:szCs w:val="20"/>
                <w:color w:val="auto"/>
              </w:rPr>
            </w:pPr>
            <w:r>
              <w:rPr>
                <w:rFonts w:ascii="Arial" w:cs="Arial" w:eastAsia="Arial" w:hAnsi="Arial"/>
                <w:sz w:val="15"/>
                <w:szCs w:val="15"/>
                <w:color w:val="auto"/>
              </w:rPr>
              <w:t>Operating cash flow before working capital changes</w:t>
            </w:r>
          </w:p>
        </w:tc>
        <w:tc>
          <w:tcPr>
            <w:tcW w:w="420" w:type="dxa"/>
            <w:vAlign w:val="bottom"/>
            <w:tcBorders>
              <w:bottom w:val="single" w:sz="8" w:color="A8A9AC"/>
            </w:tcBorders>
          </w:tcPr>
          <w:p>
            <w:pPr>
              <w:spacing w:after="0"/>
              <w:rPr>
                <w:sz w:val="16"/>
                <w:szCs w:val="16"/>
                <w:color w:val="auto"/>
              </w:rPr>
            </w:pPr>
          </w:p>
        </w:tc>
        <w:tc>
          <w:tcPr>
            <w:tcW w:w="1020" w:type="dxa"/>
            <w:vAlign w:val="bottom"/>
            <w:tcBorders>
              <w:bottom w:val="single" w:sz="8" w:color="A8A9AC"/>
            </w:tcBorders>
          </w:tcPr>
          <w:p>
            <w:pPr>
              <w:jc w:val="right"/>
              <w:ind w:right="124"/>
              <w:spacing w:after="0"/>
              <w:rPr>
                <w:sz w:val="20"/>
                <w:szCs w:val="20"/>
                <w:color w:val="auto"/>
              </w:rPr>
            </w:pPr>
            <w:r>
              <w:rPr>
                <w:rFonts w:ascii="Arial" w:cs="Arial" w:eastAsia="Arial" w:hAnsi="Arial"/>
                <w:sz w:val="15"/>
                <w:szCs w:val="15"/>
                <w:color w:val="auto"/>
              </w:rPr>
              <w:t>9,072</w:t>
            </w:r>
          </w:p>
        </w:tc>
        <w:tc>
          <w:tcPr>
            <w:tcW w:w="480" w:type="dxa"/>
            <w:vAlign w:val="bottom"/>
            <w:tcBorders>
              <w:bottom w:val="single" w:sz="8" w:color="A8A9AC"/>
            </w:tcBorders>
          </w:tcPr>
          <w:p>
            <w:pPr>
              <w:spacing w:after="0"/>
              <w:rPr>
                <w:sz w:val="16"/>
                <w:szCs w:val="16"/>
                <w:color w:val="auto"/>
              </w:rPr>
            </w:pPr>
          </w:p>
        </w:tc>
        <w:tc>
          <w:tcPr>
            <w:tcW w:w="7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6,509</w:t>
            </w:r>
          </w:p>
        </w:tc>
      </w:tr>
      <w:tr>
        <w:trPr>
          <w:trHeight w:val="195"/>
        </w:trPr>
        <w:tc>
          <w:tcPr>
            <w:tcW w:w="856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rPr>
              <w:t>Additions to oil and natural gas properties</w:t>
            </w:r>
          </w:p>
        </w:tc>
        <w:tc>
          <w:tcPr>
            <w:tcW w:w="420" w:type="dxa"/>
            <w:vAlign w:val="bottom"/>
            <w:tcBorders>
              <w:bottom w:val="single" w:sz="8" w:color="A8A9AC"/>
            </w:tcBorders>
          </w:tcPr>
          <w:p>
            <w:pPr>
              <w:spacing w:after="0"/>
              <w:rPr>
                <w:sz w:val="16"/>
                <w:szCs w:val="16"/>
                <w:color w:val="auto"/>
              </w:rPr>
            </w:pPr>
          </w:p>
        </w:tc>
        <w:tc>
          <w:tcPr>
            <w:tcW w:w="102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(3,523)</w:t>
            </w:r>
          </w:p>
        </w:tc>
        <w:tc>
          <w:tcPr>
            <w:tcW w:w="480" w:type="dxa"/>
            <w:vAlign w:val="bottom"/>
            <w:tcBorders>
              <w:bottom w:val="single" w:sz="8" w:color="A8A9AC"/>
            </w:tcBorders>
          </w:tcPr>
          <w:p>
            <w:pPr>
              <w:spacing w:after="0"/>
              <w:rPr>
                <w:sz w:val="16"/>
                <w:szCs w:val="16"/>
                <w:color w:val="auto"/>
              </w:rPr>
            </w:pPr>
          </w:p>
        </w:tc>
        <w:tc>
          <w:tcPr>
            <w:tcW w:w="7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(2,867)</w:t>
            </w:r>
          </w:p>
        </w:tc>
      </w:tr>
      <w:tr>
        <w:trPr>
          <w:trHeight w:val="195"/>
        </w:trPr>
        <w:tc>
          <w:tcPr>
            <w:tcW w:w="856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rPr>
              <w:t>Total Cash CAPEX</w:t>
            </w:r>
          </w:p>
        </w:tc>
        <w:tc>
          <w:tcPr>
            <w:tcW w:w="420" w:type="dxa"/>
            <w:vAlign w:val="bottom"/>
            <w:tcBorders>
              <w:bottom w:val="single" w:sz="8" w:color="A8A9AC"/>
            </w:tcBorders>
          </w:tcPr>
          <w:p>
            <w:pPr>
              <w:spacing w:after="0"/>
              <w:rPr>
                <w:sz w:val="16"/>
                <w:szCs w:val="16"/>
                <w:color w:val="auto"/>
              </w:rPr>
            </w:pPr>
          </w:p>
        </w:tc>
        <w:tc>
          <w:tcPr>
            <w:tcW w:w="102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(3,523)</w:t>
            </w:r>
          </w:p>
        </w:tc>
        <w:tc>
          <w:tcPr>
            <w:tcW w:w="480" w:type="dxa"/>
            <w:vAlign w:val="bottom"/>
            <w:tcBorders>
              <w:bottom w:val="single" w:sz="8" w:color="A8A9AC"/>
            </w:tcBorders>
          </w:tcPr>
          <w:p>
            <w:pPr>
              <w:spacing w:after="0"/>
              <w:rPr>
                <w:sz w:val="16"/>
                <w:szCs w:val="16"/>
                <w:color w:val="auto"/>
              </w:rPr>
            </w:pPr>
          </w:p>
        </w:tc>
        <w:tc>
          <w:tcPr>
            <w:tcW w:w="760" w:type="dxa"/>
            <w:vAlign w:val="bottom"/>
            <w:tcBorders>
              <w:bottom w:val="single" w:sz="8" w:color="A8A9AC"/>
            </w:tcBorders>
          </w:tcPr>
          <w:p>
            <w:pPr>
              <w:jc w:val="right"/>
              <w:spacing w:after="0"/>
              <w:rPr>
                <w:sz w:val="20"/>
                <w:szCs w:val="20"/>
                <w:color w:val="auto"/>
              </w:rPr>
            </w:pPr>
            <w:r>
              <w:rPr>
                <w:rFonts w:ascii="Arial" w:cs="Arial" w:eastAsia="Arial" w:hAnsi="Arial"/>
                <w:sz w:val="15"/>
                <w:szCs w:val="15"/>
                <w:color w:val="auto"/>
              </w:rPr>
              <w:t>(2,867)</w:t>
            </w:r>
          </w:p>
        </w:tc>
      </w:tr>
      <w:tr>
        <w:trPr>
          <w:trHeight w:val="195"/>
        </w:trPr>
        <w:tc>
          <w:tcPr>
            <w:tcW w:w="856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rPr>
              <w:t>Free Cash Flow</w:t>
            </w:r>
          </w:p>
        </w:tc>
        <w:tc>
          <w:tcPr>
            <w:tcW w:w="420" w:type="dxa"/>
            <w:vAlign w:val="bottom"/>
            <w:tcBorders>
              <w:bottom w:val="single" w:sz="8" w:color="A8A9AC"/>
            </w:tcBorders>
          </w:tcPr>
          <w:p>
            <w:pPr>
              <w:spacing w:after="0"/>
              <w:rPr>
                <w:sz w:val="16"/>
                <w:szCs w:val="16"/>
                <w:color w:val="auto"/>
              </w:rPr>
            </w:pPr>
          </w:p>
        </w:tc>
        <w:tc>
          <w:tcPr>
            <w:tcW w:w="1020" w:type="dxa"/>
            <w:vAlign w:val="bottom"/>
            <w:tcBorders>
              <w:bottom w:val="single" w:sz="8" w:color="A8A9AC"/>
            </w:tcBorders>
          </w:tcPr>
          <w:p>
            <w:pPr>
              <w:jc w:val="right"/>
              <w:ind w:right="124"/>
              <w:spacing w:after="0"/>
              <w:rPr>
                <w:sz w:val="20"/>
                <w:szCs w:val="20"/>
                <w:color w:val="auto"/>
              </w:rPr>
            </w:pPr>
            <w:r>
              <w:rPr>
                <w:rFonts w:ascii="Arial" w:cs="Arial" w:eastAsia="Arial" w:hAnsi="Arial"/>
                <w:sz w:val="15"/>
                <w:szCs w:val="15"/>
                <w:color w:val="auto"/>
              </w:rPr>
              <w:t>5,549</w:t>
            </w:r>
          </w:p>
        </w:tc>
        <w:tc>
          <w:tcPr>
            <w:tcW w:w="480" w:type="dxa"/>
            <w:vAlign w:val="bottom"/>
            <w:tcBorders>
              <w:bottom w:val="single" w:sz="8" w:color="A8A9AC"/>
            </w:tcBorders>
          </w:tcPr>
          <w:p>
            <w:pPr>
              <w:spacing w:after="0"/>
              <w:rPr>
                <w:sz w:val="16"/>
                <w:szCs w:val="16"/>
                <w:color w:val="auto"/>
              </w:rPr>
            </w:pPr>
          </w:p>
        </w:tc>
        <w:tc>
          <w:tcPr>
            <w:tcW w:w="7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3,642</w:t>
            </w:r>
          </w:p>
        </w:tc>
      </w:tr>
      <w:tr>
        <w:trPr>
          <w:trHeight w:val="234"/>
        </w:trPr>
        <w:tc>
          <w:tcPr>
            <w:tcW w:w="8560" w:type="dxa"/>
            <w:vAlign w:val="bottom"/>
            <w:tcBorders>
              <w:bottom w:val="single" w:sz="8" w:color="A8A9AC"/>
            </w:tcBorders>
          </w:tcPr>
          <w:p>
            <w:pPr>
              <w:ind w:left="60"/>
              <w:spacing w:after="0" w:line="234" w:lineRule="exact"/>
              <w:rPr>
                <w:sz w:val="20"/>
                <w:szCs w:val="20"/>
                <w:color w:val="auto"/>
              </w:rPr>
            </w:pPr>
            <w:r>
              <w:rPr>
                <w:rFonts w:ascii="Arial" w:cs="Arial" w:eastAsia="Arial" w:hAnsi="Arial"/>
                <w:sz w:val="15"/>
                <w:szCs w:val="15"/>
                <w:color w:val="auto"/>
              </w:rPr>
              <w:t>Tax impact from divestitures</w:t>
            </w:r>
            <w:r>
              <w:rPr>
                <w:rFonts w:ascii="Arial" w:cs="Arial" w:eastAsia="Arial" w:hAnsi="Arial"/>
                <w:sz w:val="25"/>
                <w:szCs w:val="25"/>
                <w:color w:val="auto"/>
                <w:vertAlign w:val="superscript"/>
              </w:rPr>
              <w:t>(1)</w:t>
            </w:r>
          </w:p>
        </w:tc>
        <w:tc>
          <w:tcPr>
            <w:tcW w:w="420" w:type="dxa"/>
            <w:vAlign w:val="bottom"/>
            <w:tcBorders>
              <w:bottom w:val="single" w:sz="8" w:color="A8A9AC"/>
            </w:tcBorders>
          </w:tcPr>
          <w:p>
            <w:pPr>
              <w:spacing w:after="0"/>
              <w:rPr>
                <w:sz w:val="20"/>
                <w:szCs w:val="20"/>
                <w:color w:val="auto"/>
              </w:rPr>
            </w:pPr>
          </w:p>
        </w:tc>
        <w:tc>
          <w:tcPr>
            <w:tcW w:w="1020" w:type="dxa"/>
            <w:vAlign w:val="bottom"/>
            <w:tcBorders>
              <w:bottom w:val="single" w:sz="8" w:color="A8A9AC"/>
            </w:tcBorders>
          </w:tcPr>
          <w:p>
            <w:pPr>
              <w:jc w:val="right"/>
              <w:ind w:right="124"/>
              <w:spacing w:after="0"/>
              <w:rPr>
                <w:sz w:val="20"/>
                <w:szCs w:val="20"/>
                <w:color w:val="auto"/>
              </w:rPr>
            </w:pPr>
            <w:r>
              <w:rPr>
                <w:rFonts w:ascii="Arial" w:cs="Arial" w:eastAsia="Arial" w:hAnsi="Arial"/>
                <w:sz w:val="15"/>
                <w:szCs w:val="15"/>
                <w:color w:val="auto"/>
              </w:rPr>
              <w:t>170</w:t>
            </w:r>
          </w:p>
        </w:tc>
        <w:tc>
          <w:tcPr>
            <w:tcW w:w="480" w:type="dxa"/>
            <w:vAlign w:val="bottom"/>
            <w:tcBorders>
              <w:bottom w:val="single" w:sz="8" w:color="A8A9AC"/>
            </w:tcBorders>
          </w:tcPr>
          <w:p>
            <w:pPr>
              <w:spacing w:after="0"/>
              <w:rPr>
                <w:sz w:val="20"/>
                <w:szCs w:val="20"/>
                <w:color w:val="auto"/>
              </w:rPr>
            </w:pPr>
          </w:p>
        </w:tc>
        <w:tc>
          <w:tcPr>
            <w:tcW w:w="7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2"/>
        </w:trPr>
        <w:tc>
          <w:tcPr>
            <w:tcW w:w="8560" w:type="dxa"/>
            <w:vAlign w:val="bottom"/>
            <w:tcBorders>
              <w:bottom w:val="single" w:sz="8" w:color="A8A9AC"/>
            </w:tcBorders>
          </w:tcPr>
          <w:p>
            <w:pPr>
              <w:ind w:left="60"/>
              <w:spacing w:after="0" w:line="233" w:lineRule="exact"/>
              <w:rPr>
                <w:sz w:val="20"/>
                <w:szCs w:val="20"/>
                <w:color w:val="auto"/>
              </w:rPr>
            </w:pPr>
            <w:r>
              <w:rPr>
                <w:rFonts w:ascii="Arial" w:cs="Arial" w:eastAsia="Arial" w:hAnsi="Arial"/>
                <w:sz w:val="15"/>
                <w:szCs w:val="15"/>
                <w:color w:val="auto"/>
              </w:rPr>
              <w:t>Merger and transaction expenses</w:t>
            </w:r>
            <w:r>
              <w:rPr>
                <w:rFonts w:ascii="Arial" w:cs="Arial" w:eastAsia="Arial" w:hAnsi="Arial"/>
                <w:sz w:val="25"/>
                <w:szCs w:val="25"/>
                <w:color w:val="auto"/>
                <w:vertAlign w:val="superscript"/>
              </w:rPr>
              <w:t>(2)</w:t>
            </w:r>
          </w:p>
        </w:tc>
        <w:tc>
          <w:tcPr>
            <w:tcW w:w="420" w:type="dxa"/>
            <w:vAlign w:val="bottom"/>
            <w:tcBorders>
              <w:bottom w:val="single" w:sz="8" w:color="A8A9AC"/>
            </w:tcBorders>
          </w:tcPr>
          <w:p>
            <w:pPr>
              <w:spacing w:after="0"/>
              <w:rPr>
                <w:sz w:val="20"/>
                <w:szCs w:val="20"/>
                <w:color w:val="auto"/>
              </w:rPr>
            </w:pPr>
          </w:p>
        </w:tc>
        <w:tc>
          <w:tcPr>
            <w:tcW w:w="1020" w:type="dxa"/>
            <w:vAlign w:val="bottom"/>
            <w:tcBorders>
              <w:bottom w:val="single" w:sz="8" w:color="A8A9AC"/>
            </w:tcBorders>
          </w:tcPr>
          <w:p>
            <w:pPr>
              <w:jc w:val="right"/>
              <w:ind w:right="124"/>
              <w:spacing w:after="0"/>
              <w:rPr>
                <w:sz w:val="20"/>
                <w:szCs w:val="20"/>
                <w:color w:val="auto"/>
              </w:rPr>
            </w:pPr>
            <w:r>
              <w:rPr>
                <w:rFonts w:ascii="Arial" w:cs="Arial" w:eastAsia="Arial" w:hAnsi="Arial"/>
                <w:sz w:val="15"/>
                <w:szCs w:val="15"/>
                <w:color w:val="auto"/>
              </w:rPr>
              <w:t>105</w:t>
            </w:r>
          </w:p>
        </w:tc>
        <w:tc>
          <w:tcPr>
            <w:tcW w:w="480" w:type="dxa"/>
            <w:vAlign w:val="bottom"/>
            <w:tcBorders>
              <w:bottom w:val="single" w:sz="8" w:color="A8A9AC"/>
            </w:tcBorders>
          </w:tcPr>
          <w:p>
            <w:pPr>
              <w:spacing w:after="0"/>
              <w:rPr>
                <w:sz w:val="20"/>
                <w:szCs w:val="20"/>
                <w:color w:val="auto"/>
              </w:rPr>
            </w:pPr>
          </w:p>
        </w:tc>
        <w:tc>
          <w:tcPr>
            <w:tcW w:w="76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303</w:t>
            </w:r>
          </w:p>
        </w:tc>
      </w:tr>
    </w:tbl>
    <w:p>
      <w:pPr>
        <w:spacing w:after="0" w:line="164" w:lineRule="exact"/>
        <w:rPr>
          <w:sz w:val="20"/>
          <w:szCs w:val="20"/>
          <w:color w:val="auto"/>
        </w:rPr>
      </w:pPr>
    </w:p>
    <w:p>
      <w:pPr>
        <w:ind w:left="6500"/>
        <w:spacing w:after="0"/>
        <w:tabs>
          <w:tab w:leader="none" w:pos="1098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49"/>
        </w:trPr>
        <w:tc>
          <w:tcPr>
            <w:tcW w:w="8560" w:type="dxa"/>
            <w:vAlign w:val="bottom"/>
            <w:gridSpan w:val="2"/>
          </w:tcPr>
          <w:p>
            <w:pPr>
              <w:spacing w:after="0"/>
              <w:rPr>
                <w:sz w:val="20"/>
                <w:szCs w:val="20"/>
                <w:color w:val="auto"/>
              </w:rPr>
            </w:pPr>
            <w:r>
              <w:rPr>
                <w:rFonts w:ascii="Arial" w:cs="Arial" w:eastAsia="Arial" w:hAnsi="Arial"/>
                <w:sz w:val="13"/>
                <w:szCs w:val="13"/>
                <w:b w:val="1"/>
                <w:bCs w:val="1"/>
                <w:color w:val="0000EE"/>
              </w:rPr>
              <w:t>Back to Contents</w:t>
            </w: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84"/>
        </w:trPr>
        <w:tc>
          <w:tcPr>
            <w:tcW w:w="1100" w:type="dxa"/>
            <w:vAlign w:val="bottom"/>
            <w:tcBorders>
              <w:top w:val="single" w:sz="8" w:color="0000EE"/>
            </w:tcBorders>
          </w:tcPr>
          <w:p>
            <w:pPr>
              <w:spacing w:after="0"/>
              <w:rPr>
                <w:sz w:val="24"/>
                <w:szCs w:val="24"/>
                <w:color w:val="auto"/>
              </w:rPr>
            </w:pPr>
          </w:p>
        </w:tc>
        <w:tc>
          <w:tcPr>
            <w:tcW w:w="7460" w:type="dxa"/>
            <w:vAlign w:val="bottom"/>
          </w:tcPr>
          <w:p>
            <w:pPr>
              <w:spacing w:after="0"/>
              <w:rPr>
                <w:sz w:val="24"/>
                <w:szCs w:val="24"/>
                <w:color w:val="auto"/>
              </w:rPr>
            </w:pPr>
          </w:p>
        </w:tc>
        <w:tc>
          <w:tcPr>
            <w:tcW w:w="420" w:type="dxa"/>
            <w:vAlign w:val="bottom"/>
            <w:tcBorders>
              <w:bottom w:val="single" w:sz="8" w:color="A26D29"/>
            </w:tcBorders>
          </w:tcPr>
          <w:p>
            <w:pPr>
              <w:spacing w:after="0"/>
              <w:rPr>
                <w:sz w:val="24"/>
                <w:szCs w:val="24"/>
                <w:color w:val="auto"/>
              </w:rPr>
            </w:pPr>
          </w:p>
        </w:tc>
        <w:tc>
          <w:tcPr>
            <w:tcW w:w="2260" w:type="dxa"/>
            <w:vAlign w:val="bottom"/>
            <w:tcBorders>
              <w:bottom w:val="single" w:sz="8" w:color="A26D29"/>
            </w:tcBorders>
            <w:gridSpan w:val="3"/>
          </w:tcPr>
          <w:p>
            <w:pPr>
              <w:jc w:val="right"/>
              <w:ind w:right="224"/>
              <w:spacing w:after="0"/>
              <w:rPr>
                <w:sz w:val="20"/>
                <w:szCs w:val="20"/>
                <w:color w:val="auto"/>
              </w:rPr>
            </w:pPr>
            <w:r>
              <w:rPr>
                <w:rFonts w:ascii="Arial" w:cs="Arial" w:eastAsia="Arial" w:hAnsi="Arial"/>
                <w:sz w:val="15"/>
                <w:szCs w:val="15"/>
                <w:b w:val="1"/>
                <w:bCs w:val="1"/>
                <w:color w:val="auto"/>
              </w:rPr>
              <w:t>Year Ended December 31,</w:t>
            </w:r>
          </w:p>
        </w:tc>
      </w:tr>
      <w:tr>
        <w:trPr>
          <w:trHeight w:val="187"/>
        </w:trPr>
        <w:tc>
          <w:tcPr>
            <w:tcW w:w="1100" w:type="dxa"/>
            <w:vAlign w:val="bottom"/>
            <w:tcBorders>
              <w:bottom w:val="single" w:sz="8" w:color="A26D29"/>
            </w:tcBorders>
          </w:tcPr>
          <w:p>
            <w:pPr>
              <w:spacing w:after="0"/>
              <w:rPr>
                <w:sz w:val="16"/>
                <w:szCs w:val="16"/>
                <w:color w:val="auto"/>
              </w:rPr>
            </w:pPr>
          </w:p>
        </w:tc>
        <w:tc>
          <w:tcPr>
            <w:tcW w:w="7460" w:type="dxa"/>
            <w:vAlign w:val="bottom"/>
            <w:tcBorders>
              <w:bottom w:val="single" w:sz="8" w:color="A26D29"/>
            </w:tcBorders>
          </w:tcPr>
          <w:p>
            <w:pPr>
              <w:spacing w:after="0"/>
              <w:rPr>
                <w:sz w:val="16"/>
                <w:szCs w:val="16"/>
                <w:color w:val="auto"/>
              </w:rPr>
            </w:pPr>
          </w:p>
        </w:tc>
        <w:tc>
          <w:tcPr>
            <w:tcW w:w="420" w:type="dxa"/>
            <w:vAlign w:val="bottom"/>
            <w:tcBorders>
              <w:bottom w:val="single" w:sz="8" w:color="A26D29"/>
            </w:tcBorders>
          </w:tcPr>
          <w:p>
            <w:pPr>
              <w:spacing w:after="0"/>
              <w:rPr>
                <w:sz w:val="16"/>
                <w:szCs w:val="16"/>
                <w:color w:val="auto"/>
              </w:rPr>
            </w:pPr>
          </w:p>
        </w:tc>
        <w:tc>
          <w:tcPr>
            <w:tcW w:w="1000" w:type="dxa"/>
            <w:vAlign w:val="bottom"/>
            <w:tcBorders>
              <w:bottom w:val="single" w:sz="8" w:color="A26D29"/>
            </w:tcBorders>
          </w:tcPr>
          <w:p>
            <w:pPr>
              <w:jc w:val="right"/>
              <w:ind w:right="104"/>
              <w:spacing w:after="0"/>
              <w:rPr>
                <w:sz w:val="20"/>
                <w:szCs w:val="20"/>
                <w:color w:val="auto"/>
              </w:rPr>
            </w:pPr>
            <w:r>
              <w:rPr>
                <w:rFonts w:ascii="Arial" w:cs="Arial" w:eastAsia="Arial" w:hAnsi="Arial"/>
                <w:sz w:val="15"/>
                <w:szCs w:val="15"/>
                <w:b w:val="1"/>
                <w:bCs w:val="1"/>
                <w:color w:val="auto"/>
              </w:rPr>
              <w:t>2025</w:t>
            </w:r>
          </w:p>
        </w:tc>
        <w:tc>
          <w:tcPr>
            <w:tcW w:w="520" w:type="dxa"/>
            <w:vAlign w:val="bottom"/>
            <w:tcBorders>
              <w:bottom w:val="single" w:sz="8" w:color="A26D29"/>
            </w:tcBorders>
          </w:tcPr>
          <w:p>
            <w:pPr>
              <w:spacing w:after="0"/>
              <w:rPr>
                <w:sz w:val="16"/>
                <w:szCs w:val="16"/>
                <w:color w:val="auto"/>
              </w:rPr>
            </w:pPr>
          </w:p>
        </w:tc>
        <w:tc>
          <w:tcPr>
            <w:tcW w:w="740" w:type="dxa"/>
            <w:vAlign w:val="bottom"/>
            <w:tcBorders>
              <w:bottom w:val="single" w:sz="8" w:color="A26D29"/>
            </w:tcBorders>
          </w:tcPr>
          <w:p>
            <w:pPr>
              <w:jc w:val="right"/>
              <w:ind w:right="24"/>
              <w:spacing w:after="0"/>
              <w:rPr>
                <w:sz w:val="20"/>
                <w:szCs w:val="20"/>
                <w:color w:val="auto"/>
              </w:rPr>
            </w:pPr>
            <w:r>
              <w:rPr>
                <w:rFonts w:ascii="Arial" w:cs="Arial" w:eastAsia="Arial" w:hAnsi="Arial"/>
                <w:sz w:val="15"/>
                <w:szCs w:val="15"/>
                <w:b w:val="1"/>
                <w:bCs w:val="1"/>
                <w:color w:val="auto"/>
              </w:rPr>
              <w:t>2024</w:t>
            </w:r>
          </w:p>
        </w:tc>
      </w:tr>
      <w:tr>
        <w:trPr>
          <w:trHeight w:val="189"/>
        </w:trPr>
        <w:tc>
          <w:tcPr>
            <w:tcW w:w="8560" w:type="dxa"/>
            <w:vAlign w:val="bottom"/>
            <w:tcBorders>
              <w:bottom w:val="single" w:sz="8" w:color="A8A9AC"/>
            </w:tcBorders>
            <w:gridSpan w:val="2"/>
          </w:tcPr>
          <w:p>
            <w:pPr>
              <w:ind w:left="60"/>
              <w:spacing w:after="0"/>
              <w:rPr>
                <w:sz w:val="20"/>
                <w:szCs w:val="20"/>
                <w:color w:val="auto"/>
              </w:rPr>
            </w:pPr>
            <w:r>
              <w:rPr>
                <w:rFonts w:ascii="Arial" w:cs="Arial" w:eastAsia="Arial" w:hAnsi="Arial"/>
                <w:sz w:val="15"/>
                <w:szCs w:val="15"/>
                <w:color w:val="auto"/>
              </w:rPr>
              <w:t>Early termination of derivatives</w:t>
            </w:r>
          </w:p>
        </w:tc>
        <w:tc>
          <w:tcPr>
            <w:tcW w:w="42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67</w:t>
            </w:r>
          </w:p>
        </w:tc>
        <w:tc>
          <w:tcPr>
            <w:tcW w:w="520" w:type="dxa"/>
            <w:vAlign w:val="bottom"/>
            <w:tcBorders>
              <w:bottom w:val="single" w:sz="8" w:color="A8A9AC"/>
            </w:tcBorders>
          </w:tcPr>
          <w:p>
            <w:pPr>
              <w:jc w:val="right"/>
              <w:ind w:right="18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37</w:t>
            </w:r>
          </w:p>
        </w:tc>
      </w:tr>
      <w:tr>
        <w:trPr>
          <w:trHeight w:val="182"/>
        </w:trPr>
        <w:tc>
          <w:tcPr>
            <w:tcW w:w="8560" w:type="dxa"/>
            <w:vAlign w:val="bottom"/>
            <w:tcBorders>
              <w:bottom w:val="single" w:sz="8" w:color="A8A9AC"/>
            </w:tcBorders>
            <w:gridSpan w:val="2"/>
          </w:tcPr>
          <w:p>
            <w:pPr>
              <w:ind w:left="60"/>
              <w:spacing w:after="0"/>
              <w:rPr>
                <w:sz w:val="20"/>
                <w:szCs w:val="20"/>
                <w:color w:val="auto"/>
              </w:rPr>
            </w:pPr>
            <w:r>
              <w:rPr>
                <w:rFonts w:ascii="Arial" w:cs="Arial" w:eastAsia="Arial" w:hAnsi="Arial"/>
                <w:sz w:val="15"/>
                <w:szCs w:val="15"/>
                <w:color w:val="auto"/>
              </w:rPr>
              <w:t>Treasury locks</w:t>
            </w:r>
          </w:p>
        </w:tc>
        <w:tc>
          <w:tcPr>
            <w:tcW w:w="420" w:type="dxa"/>
            <w:vAlign w:val="bottom"/>
            <w:tcBorders>
              <w:bottom w:val="single" w:sz="8" w:color="A8A9AC"/>
            </w:tcBorders>
          </w:tcPr>
          <w:p>
            <w:pPr>
              <w:spacing w:after="0"/>
              <w:rPr>
                <w:sz w:val="15"/>
                <w:szCs w:val="15"/>
                <w:color w:val="auto"/>
              </w:rPr>
            </w:pPr>
          </w:p>
        </w:tc>
        <w:tc>
          <w:tcPr>
            <w:tcW w:w="100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1</w:t>
            </w:r>
          </w:p>
        </w:tc>
        <w:tc>
          <w:tcPr>
            <w:tcW w:w="520" w:type="dxa"/>
            <w:vAlign w:val="bottom"/>
            <w:tcBorders>
              <w:bottom w:val="single" w:sz="8" w:color="A8A9AC"/>
            </w:tcBorders>
          </w:tcPr>
          <w:p>
            <w:pPr>
              <w:spacing w:after="0"/>
              <w:rPr>
                <w:sz w:val="15"/>
                <w:szCs w:val="15"/>
                <w:color w:val="auto"/>
              </w:rPr>
            </w:pPr>
          </w:p>
        </w:tc>
        <w:tc>
          <w:tcPr>
            <w:tcW w:w="740" w:type="dxa"/>
            <w:vAlign w:val="bottom"/>
            <w:tcBorders>
              <w:bottom w:val="single" w:sz="8" w:color="A8A9AC"/>
            </w:tcBorders>
          </w:tcPr>
          <w:p>
            <w:pPr>
              <w:jc w:val="right"/>
              <w:ind w:right="24"/>
              <w:spacing w:after="0"/>
              <w:rPr>
                <w:sz w:val="20"/>
                <w:szCs w:val="20"/>
                <w:color w:val="auto"/>
              </w:rPr>
            </w:pPr>
            <w:r>
              <w:rPr>
                <w:rFonts w:ascii="Arial" w:cs="Arial" w:eastAsia="Arial" w:hAnsi="Arial"/>
                <w:sz w:val="15"/>
                <w:szCs w:val="15"/>
                <w:color w:val="auto"/>
              </w:rPr>
              <w:t>25</w:t>
            </w:r>
          </w:p>
        </w:tc>
      </w:tr>
      <w:tr>
        <w:trPr>
          <w:trHeight w:val="182"/>
        </w:trPr>
        <w:tc>
          <w:tcPr>
            <w:tcW w:w="8560" w:type="dxa"/>
            <w:vAlign w:val="bottom"/>
            <w:tcBorders>
              <w:bottom w:val="single" w:sz="8" w:color="A26D29"/>
            </w:tcBorders>
            <w:gridSpan w:val="2"/>
          </w:tcPr>
          <w:p>
            <w:pPr>
              <w:ind w:left="60"/>
              <w:spacing w:after="0"/>
              <w:rPr>
                <w:sz w:val="20"/>
                <w:szCs w:val="20"/>
                <w:color w:val="auto"/>
              </w:rPr>
            </w:pPr>
            <w:r>
              <w:rPr>
                <w:rFonts w:ascii="Arial" w:cs="Arial" w:eastAsia="Arial" w:hAnsi="Arial"/>
                <w:sz w:val="15"/>
                <w:szCs w:val="15"/>
                <w:color w:val="auto"/>
              </w:rPr>
              <w:t>Adjusted Free Cash Flow</w:t>
            </w:r>
          </w:p>
        </w:tc>
        <w:tc>
          <w:tcPr>
            <w:tcW w:w="420" w:type="dxa"/>
            <w:vAlign w:val="bottom"/>
            <w:tcBorders>
              <w:bottom w:val="single" w:sz="8" w:color="A26D29"/>
            </w:tcBorders>
          </w:tcPr>
          <w:p>
            <w:pPr>
              <w:jc w:val="right"/>
              <w:ind w:right="2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26D29"/>
            </w:tcBorders>
          </w:tcPr>
          <w:p>
            <w:pPr>
              <w:jc w:val="right"/>
              <w:ind w:right="104"/>
              <w:spacing w:after="0"/>
              <w:rPr>
                <w:sz w:val="20"/>
                <w:szCs w:val="20"/>
                <w:color w:val="auto"/>
              </w:rPr>
            </w:pPr>
            <w:r>
              <w:rPr>
                <w:rFonts w:ascii="Arial" w:cs="Arial" w:eastAsia="Arial" w:hAnsi="Arial"/>
                <w:sz w:val="15"/>
                <w:szCs w:val="15"/>
                <w:color w:val="auto"/>
              </w:rPr>
              <w:t>5,892</w:t>
            </w:r>
          </w:p>
        </w:tc>
        <w:tc>
          <w:tcPr>
            <w:tcW w:w="520" w:type="dxa"/>
            <w:vAlign w:val="bottom"/>
            <w:tcBorders>
              <w:bottom w:val="single" w:sz="8" w:color="A26D29"/>
            </w:tcBorders>
          </w:tcPr>
          <w:p>
            <w:pPr>
              <w:jc w:val="right"/>
              <w:ind w:right="18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26D29"/>
            </w:tcBorders>
          </w:tcPr>
          <w:p>
            <w:pPr>
              <w:jc w:val="right"/>
              <w:ind w:right="24"/>
              <w:spacing w:after="0"/>
              <w:rPr>
                <w:sz w:val="20"/>
                <w:szCs w:val="20"/>
                <w:color w:val="auto"/>
              </w:rPr>
            </w:pPr>
            <w:r>
              <w:rPr>
                <w:rFonts w:ascii="Arial" w:cs="Arial" w:eastAsia="Arial" w:hAnsi="Arial"/>
                <w:sz w:val="15"/>
                <w:szCs w:val="15"/>
                <w:color w:val="auto"/>
              </w:rPr>
              <w:t>4,007</w:t>
            </w:r>
          </w:p>
        </w:tc>
      </w:tr>
    </w:tbl>
    <w:p>
      <w:pPr>
        <w:spacing w:after="0" w:line="56" w:lineRule="exact"/>
        <w:rPr>
          <w:sz w:val="20"/>
          <w:szCs w:val="20"/>
          <w:color w:val="auto"/>
        </w:rPr>
      </w:pPr>
    </w:p>
    <w:p>
      <w:pPr>
        <w:ind w:left="300" w:hanging="299"/>
        <w:spacing w:after="0"/>
        <w:tabs>
          <w:tab w:leader="none" w:pos="300" w:val="left"/>
        </w:tabs>
        <w:numPr>
          <w:ilvl w:val="0"/>
          <w:numId w:val="155"/>
        </w:numPr>
        <w:rPr>
          <w:rFonts w:ascii="Arial" w:cs="Arial" w:eastAsia="Arial" w:hAnsi="Arial"/>
          <w:sz w:val="13"/>
          <w:szCs w:val="13"/>
          <w:i w:val="1"/>
          <w:iCs w:val="1"/>
          <w:color w:val="auto"/>
        </w:rPr>
      </w:pPr>
      <w:r>
        <w:rPr>
          <w:rFonts w:ascii="Arial" w:cs="Arial" w:eastAsia="Arial" w:hAnsi="Arial"/>
          <w:sz w:val="13"/>
          <w:szCs w:val="13"/>
          <w:i w:val="1"/>
          <w:iCs w:val="1"/>
          <w:color w:val="auto"/>
        </w:rPr>
        <w:t>Includes the tax impact for the disposal of certain non-core assets.</w:t>
      </w:r>
    </w:p>
    <w:p>
      <w:pPr>
        <w:spacing w:after="0" w:line="52" w:lineRule="exact"/>
        <w:rPr>
          <w:rFonts w:ascii="Arial" w:cs="Arial" w:eastAsia="Arial" w:hAnsi="Arial"/>
          <w:sz w:val="13"/>
          <w:szCs w:val="13"/>
          <w:i w:val="1"/>
          <w:iCs w:val="1"/>
          <w:color w:val="auto"/>
        </w:rPr>
      </w:pPr>
    </w:p>
    <w:p>
      <w:pPr>
        <w:ind w:left="300" w:hanging="299"/>
        <w:spacing w:after="0"/>
        <w:tabs>
          <w:tab w:leader="none" w:pos="300" w:val="left"/>
        </w:tabs>
        <w:numPr>
          <w:ilvl w:val="0"/>
          <w:numId w:val="155"/>
        </w:numPr>
        <w:rPr>
          <w:rFonts w:ascii="Arial" w:cs="Arial" w:eastAsia="Arial" w:hAnsi="Arial"/>
          <w:sz w:val="13"/>
          <w:szCs w:val="13"/>
          <w:i w:val="1"/>
          <w:iCs w:val="1"/>
          <w:color w:val="auto"/>
        </w:rPr>
      </w:pPr>
      <w:r>
        <w:rPr>
          <w:rFonts w:ascii="Arial" w:cs="Arial" w:eastAsia="Arial" w:hAnsi="Arial"/>
          <w:sz w:val="13"/>
          <w:szCs w:val="13"/>
          <w:i w:val="1"/>
          <w:iCs w:val="1"/>
          <w:color w:val="auto"/>
        </w:rPr>
        <w:t>Includes $31 million of Viper’s transaction expenses related to the Sitio Acquisition and the Drop Down for the year ended December 31, 2025.</w:t>
      </w:r>
    </w:p>
    <w:p>
      <w:pPr>
        <w:spacing w:after="0" w:line="268" w:lineRule="exact"/>
        <w:rPr>
          <w:sz w:val="20"/>
          <w:szCs w:val="20"/>
          <w:color w:val="auto"/>
        </w:rPr>
      </w:pPr>
    </w:p>
    <w:p>
      <w:pPr>
        <w:spacing w:after="0"/>
        <w:rPr>
          <w:sz w:val="20"/>
          <w:szCs w:val="20"/>
          <w:color w:val="auto"/>
        </w:rPr>
      </w:pPr>
      <w:r>
        <w:rPr>
          <w:rFonts w:ascii="Arial" w:cs="Arial" w:eastAsia="Arial" w:hAnsi="Arial"/>
          <w:sz w:val="27"/>
          <w:szCs w:val="27"/>
          <w:b w:val="1"/>
          <w:bCs w:val="1"/>
          <w:color w:val="A26F2A"/>
        </w:rPr>
        <w:t xml:space="preserve">— </w:t>
      </w:r>
      <w:r>
        <w:rPr>
          <w:rFonts w:ascii="Arial" w:cs="Arial" w:eastAsia="Arial" w:hAnsi="Arial"/>
          <w:sz w:val="27"/>
          <w:szCs w:val="27"/>
          <w:b w:val="1"/>
          <w:bCs w:val="1"/>
          <w:color w:val="000000"/>
        </w:rPr>
        <w:t>ADJUSTED EBITDA AND RETURN ON AVERAGE CAPITAL EMPLOYED</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Adjusted EBITDA is a supplemental non-GAAP financial measure that is used by management and external users of our financial statements, such as industry analysts, investors, lenders and rating agencies. The Company defines Adjusted EBITDA as net income (loss) attributable to Diamondback Energy, Inc., plus net income (loss) attributable to non-controlling interest (“net income (loss)”) before non-cash (gain) loss on derivative instruments, net, interest expense, net, depreciation, depletion, amortization and accretion, depreciation and interest expense related to equity method investments, (gain) loss on extinguishment of debt, impairment of oil and natural gas properties, non-cash equity-based compensation expense, capitalized equity-based compensation expense, other non-cash transactions and provision for (benefit from) income taxes. Adjusted EBITDA is not a measure of net income as determined by United States generally accepted accounting principles (“GAAP”). Management believes Adjusted EBITDA is useful because the measure allows it to evaluate the Company’s operating performance and compare the results of its operations from period to period without regard to its financing methods or capital structure. The Company excludes the items listed above from net income (loss) to determine Adjusted EBITDA because these amounts can vary substantially from company to company within its industry depending upon accounting methods and book values of assets, capital structures and the method by which the assets were acquired. Further, the Company excludes the effects of significant transactions that may affect earnings but are unpredictable in nature, timing and amount, although they may recur in different reporting periods. Adjusted EBITDA should not be considered as an alternative to, or more meaningful than, net income as determined in accordance with GAAP or as an indicator of the Company’s operating performance. Certain items excluded from Adjusted EBITDA are significant components in understanding and assessing a company’s financial performance, such as a company’s cost of capital and tax structure, as well as the historic costs of depreciable assets. The Company’s computation of Adjusted EBITDA may not be comparable to other similarly titled measures of other companies or to such measure in our credit facility or any of our other contracts.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Return on Average Capital Employed, or ROACE, is a supplemental non-GAAP financial measure that is used by management to measure profitability after factoring in the amount of capital used in the Company’s operations. The Company defines ROACE as consolidated Adjusted EBITDA less depreciation, depletion, amortization and accretion (“Adjusted EBIT”), divided by the sum of the average total assets less average current liabilities (“capital employed”) for the current year and prior year. ROACE should not be considered as an alternative to, or more meaningful than, net income as determined in accordance with GAAP or as an indicator of the Company’s operating performance or liquidity. For 2024, management made further adjustments to (i) Adjusted EBIT to remove the net effect of the EBIT attributable to the Endeavor Merger for the period from September 10, 2024 through December 31, 2024, and (ii) average capital employed to remove the net average capital employed for the Endeavor Merger, (“Adjusted ROACE”).</w:t>
      </w:r>
    </w:p>
    <w:p>
      <w:pPr>
        <w:spacing w:after="0" w:line="146"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following table presents a non-GAAP reconciliation of Net income (loss) attributable to Diamondback Energy, Inc., a GAAP measure, to Adjusted EBITDA, a non-GAAP financial measure, and the further reconciliation to ROACE, an additional non-GAAP financial measure (in millions).</w:t>
      </w:r>
    </w:p>
    <w:p>
      <w:pPr>
        <w:spacing w:after="0" w:line="125"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159"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b w:val="1"/>
          <w:bCs w:val="1"/>
          <w:color w:val="A26F2A"/>
        </w:rPr>
        <w:t>DIAMONDBACK ENERGY, INC. RECONCILIATION OF NET INCOME (LOSS) TO ADJUSTED EBITDA AND RETURN ON AVERAGE CAPITAL EMPLOYED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26D29"/>
            </w:tcBorders>
          </w:tcPr>
          <w:p>
            <w:pPr>
              <w:spacing w:after="0"/>
              <w:rPr>
                <w:sz w:val="16"/>
                <w:szCs w:val="16"/>
                <w:color w:val="auto"/>
              </w:rPr>
            </w:pPr>
          </w:p>
        </w:tc>
        <w:tc>
          <w:tcPr>
            <w:tcW w:w="880" w:type="dxa"/>
            <w:vAlign w:val="bottom"/>
            <w:tcBorders>
              <w:bottom w:val="single" w:sz="8" w:color="A26D29"/>
            </w:tcBorders>
          </w:tcPr>
          <w:p>
            <w:pPr>
              <w:spacing w:after="0"/>
              <w:rPr>
                <w:sz w:val="16"/>
                <w:szCs w:val="16"/>
                <w:color w:val="auto"/>
              </w:rPr>
            </w:pPr>
          </w:p>
        </w:tc>
        <w:tc>
          <w:tcPr>
            <w:tcW w:w="340" w:type="dxa"/>
            <w:vAlign w:val="bottom"/>
            <w:tcBorders>
              <w:bottom w:val="single" w:sz="8" w:color="A26D29"/>
            </w:tcBorders>
          </w:tcPr>
          <w:p>
            <w:pPr>
              <w:spacing w:after="0"/>
              <w:rPr>
                <w:sz w:val="16"/>
                <w:szCs w:val="16"/>
                <w:color w:val="auto"/>
              </w:rPr>
            </w:pPr>
          </w:p>
        </w:tc>
        <w:tc>
          <w:tcPr>
            <w:tcW w:w="2560" w:type="dxa"/>
            <w:vAlign w:val="bottom"/>
            <w:tcBorders>
              <w:bottom w:val="single" w:sz="8" w:color="A26D29"/>
            </w:tcBorders>
            <w:gridSpan w:val="4"/>
          </w:tcPr>
          <w:p>
            <w:pPr>
              <w:jc w:val="right"/>
              <w:ind w:right="44"/>
              <w:spacing w:after="0"/>
              <w:rPr>
                <w:sz w:val="20"/>
                <w:szCs w:val="20"/>
                <w:color w:val="auto"/>
              </w:rPr>
            </w:pPr>
            <w:r>
              <w:rPr>
                <w:rFonts w:ascii="Arial" w:cs="Arial" w:eastAsia="Arial" w:hAnsi="Arial"/>
                <w:sz w:val="15"/>
                <w:szCs w:val="15"/>
                <w:b w:val="1"/>
                <w:bCs w:val="1"/>
                <w:color w:val="auto"/>
              </w:rPr>
              <w:t>Year Ended December 31,</w:t>
            </w:r>
          </w:p>
        </w:tc>
        <w:tc>
          <w:tcPr>
            <w:tcW w:w="820" w:type="dxa"/>
            <w:vAlign w:val="bottom"/>
            <w:tcBorders>
              <w:bottom w:val="single" w:sz="8" w:color="A26D29"/>
            </w:tcBorders>
          </w:tcPr>
          <w:p>
            <w:pPr>
              <w:spacing w:after="0"/>
              <w:rPr>
                <w:sz w:val="16"/>
                <w:szCs w:val="16"/>
                <w:color w:val="auto"/>
              </w:rPr>
            </w:pPr>
          </w:p>
        </w:tc>
        <w:tc>
          <w:tcPr>
            <w:tcW w:w="360" w:type="dxa"/>
            <w:vAlign w:val="bottom"/>
            <w:tcBorders>
              <w:bottom w:val="single" w:sz="8" w:color="A26D29"/>
            </w:tcBorders>
          </w:tcPr>
          <w:p>
            <w:pPr>
              <w:spacing w:after="0"/>
              <w:rPr>
                <w:sz w:val="16"/>
                <w:szCs w:val="16"/>
                <w:color w:val="auto"/>
              </w:rPr>
            </w:pPr>
          </w:p>
        </w:tc>
        <w:tc>
          <w:tcPr>
            <w:tcW w:w="760" w:type="dxa"/>
            <w:vAlign w:val="bottom"/>
            <w:tcBorders>
              <w:bottom w:val="single" w:sz="8" w:color="A26D29"/>
            </w:tcBorders>
          </w:tcPr>
          <w:p>
            <w:pPr>
              <w:spacing w:after="0"/>
              <w:rPr>
                <w:sz w:val="16"/>
                <w:szCs w:val="16"/>
                <w:color w:val="auto"/>
              </w:rPr>
            </w:pPr>
          </w:p>
        </w:tc>
      </w:tr>
      <w:tr>
        <w:trPr>
          <w:trHeight w:val="175"/>
        </w:trPr>
        <w:tc>
          <w:tcPr>
            <w:tcW w:w="5140" w:type="dxa"/>
            <w:vAlign w:val="bottom"/>
            <w:tcBorders>
              <w:bottom w:val="single" w:sz="8" w:color="A26D29"/>
            </w:tcBorders>
          </w:tcPr>
          <w:p>
            <w:pPr>
              <w:spacing w:after="0"/>
              <w:rPr>
                <w:sz w:val="15"/>
                <w:szCs w:val="15"/>
                <w:color w:val="auto"/>
              </w:rPr>
            </w:pPr>
          </w:p>
        </w:tc>
        <w:tc>
          <w:tcPr>
            <w:tcW w:w="140" w:type="dxa"/>
            <w:vAlign w:val="bottom"/>
            <w:tcBorders>
              <w:bottom w:val="single" w:sz="8" w:color="A26D29"/>
            </w:tcBorders>
          </w:tcPr>
          <w:p>
            <w:pPr>
              <w:spacing w:after="0"/>
              <w:rPr>
                <w:sz w:val="15"/>
                <w:szCs w:val="15"/>
                <w:color w:val="auto"/>
              </w:rPr>
            </w:pPr>
          </w:p>
        </w:tc>
        <w:tc>
          <w:tcPr>
            <w:tcW w:w="240" w:type="dxa"/>
            <w:vAlign w:val="bottom"/>
            <w:tcBorders>
              <w:bottom w:val="single" w:sz="8" w:color="A26D29"/>
            </w:tcBorders>
          </w:tcPr>
          <w:p>
            <w:pPr>
              <w:spacing w:after="0"/>
              <w:rPr>
                <w:sz w:val="15"/>
                <w:szCs w:val="15"/>
                <w:color w:val="auto"/>
              </w:rPr>
            </w:pPr>
          </w:p>
        </w:tc>
        <w:tc>
          <w:tcPr>
            <w:tcW w:w="880" w:type="dxa"/>
            <w:vAlign w:val="bottom"/>
            <w:tcBorders>
              <w:bottom w:val="single" w:sz="8" w:color="A26D29"/>
            </w:tcBorders>
          </w:tcPr>
          <w:p>
            <w:pPr>
              <w:jc w:val="right"/>
              <w:ind w:right="164"/>
              <w:spacing w:after="0" w:line="169" w:lineRule="exact"/>
              <w:rPr>
                <w:sz w:val="20"/>
                <w:szCs w:val="20"/>
                <w:color w:val="auto"/>
              </w:rPr>
            </w:pPr>
            <w:r>
              <w:rPr>
                <w:rFonts w:ascii="Arial" w:cs="Arial" w:eastAsia="Arial" w:hAnsi="Arial"/>
                <w:sz w:val="15"/>
                <w:szCs w:val="15"/>
                <w:b w:val="1"/>
                <w:bCs w:val="1"/>
                <w:color w:val="auto"/>
              </w:rPr>
              <w:t>2025</w:t>
            </w:r>
          </w:p>
        </w:tc>
        <w:tc>
          <w:tcPr>
            <w:tcW w:w="340" w:type="dxa"/>
            <w:vAlign w:val="bottom"/>
            <w:tcBorders>
              <w:bottom w:val="single" w:sz="8" w:color="A26D29"/>
            </w:tcBorders>
          </w:tcPr>
          <w:p>
            <w:pPr>
              <w:spacing w:after="0"/>
              <w:rPr>
                <w:sz w:val="15"/>
                <w:szCs w:val="15"/>
                <w:color w:val="auto"/>
              </w:rPr>
            </w:pPr>
          </w:p>
        </w:tc>
        <w:tc>
          <w:tcPr>
            <w:tcW w:w="900" w:type="dxa"/>
            <w:vAlign w:val="bottom"/>
            <w:tcBorders>
              <w:bottom w:val="single" w:sz="8" w:color="A26D29"/>
            </w:tcBorders>
          </w:tcPr>
          <w:p>
            <w:pPr>
              <w:jc w:val="right"/>
              <w:ind w:right="164"/>
              <w:spacing w:after="0" w:line="169" w:lineRule="exact"/>
              <w:rPr>
                <w:sz w:val="20"/>
                <w:szCs w:val="20"/>
                <w:color w:val="auto"/>
              </w:rPr>
            </w:pPr>
            <w:r>
              <w:rPr>
                <w:rFonts w:ascii="Arial" w:cs="Arial" w:eastAsia="Arial" w:hAnsi="Arial"/>
                <w:sz w:val="15"/>
                <w:szCs w:val="15"/>
                <w:b w:val="1"/>
                <w:bCs w:val="1"/>
                <w:color w:val="auto"/>
              </w:rPr>
              <w:t>2024</w:t>
            </w:r>
          </w:p>
        </w:tc>
        <w:tc>
          <w:tcPr>
            <w:tcW w:w="360" w:type="dxa"/>
            <w:vAlign w:val="bottom"/>
            <w:tcBorders>
              <w:bottom w:val="single" w:sz="8" w:color="A26D29"/>
            </w:tcBorders>
          </w:tcPr>
          <w:p>
            <w:pPr>
              <w:spacing w:after="0"/>
              <w:rPr>
                <w:sz w:val="15"/>
                <w:szCs w:val="15"/>
                <w:color w:val="auto"/>
              </w:rPr>
            </w:pPr>
          </w:p>
        </w:tc>
        <w:tc>
          <w:tcPr>
            <w:tcW w:w="880" w:type="dxa"/>
            <w:vAlign w:val="bottom"/>
            <w:tcBorders>
              <w:bottom w:val="single" w:sz="8" w:color="A26D29"/>
            </w:tcBorders>
          </w:tcPr>
          <w:p>
            <w:pPr>
              <w:jc w:val="right"/>
              <w:ind w:right="164"/>
              <w:spacing w:after="0" w:line="169" w:lineRule="exact"/>
              <w:rPr>
                <w:sz w:val="20"/>
                <w:szCs w:val="20"/>
                <w:color w:val="auto"/>
              </w:rPr>
            </w:pPr>
            <w:r>
              <w:rPr>
                <w:rFonts w:ascii="Arial" w:cs="Arial" w:eastAsia="Arial" w:hAnsi="Arial"/>
                <w:sz w:val="15"/>
                <w:szCs w:val="15"/>
                <w:b w:val="1"/>
                <w:bCs w:val="1"/>
                <w:color w:val="auto"/>
              </w:rPr>
              <w:t>2023</w:t>
            </w:r>
          </w:p>
        </w:tc>
        <w:tc>
          <w:tcPr>
            <w:tcW w:w="420" w:type="dxa"/>
            <w:vAlign w:val="bottom"/>
            <w:tcBorders>
              <w:bottom w:val="single" w:sz="8" w:color="A26D29"/>
            </w:tcBorders>
          </w:tcPr>
          <w:p>
            <w:pPr>
              <w:spacing w:after="0"/>
              <w:rPr>
                <w:sz w:val="15"/>
                <w:szCs w:val="15"/>
                <w:color w:val="auto"/>
              </w:rPr>
            </w:pPr>
          </w:p>
        </w:tc>
        <w:tc>
          <w:tcPr>
            <w:tcW w:w="820" w:type="dxa"/>
            <w:vAlign w:val="bottom"/>
            <w:tcBorders>
              <w:bottom w:val="single" w:sz="8" w:color="A26D29"/>
            </w:tcBorders>
          </w:tcPr>
          <w:p>
            <w:pPr>
              <w:jc w:val="right"/>
              <w:ind w:right="164"/>
              <w:spacing w:after="0" w:line="169" w:lineRule="exact"/>
              <w:rPr>
                <w:sz w:val="20"/>
                <w:szCs w:val="20"/>
                <w:color w:val="auto"/>
              </w:rPr>
            </w:pPr>
            <w:r>
              <w:rPr>
                <w:rFonts w:ascii="Arial" w:cs="Arial" w:eastAsia="Arial" w:hAnsi="Arial"/>
                <w:sz w:val="15"/>
                <w:szCs w:val="15"/>
                <w:b w:val="1"/>
                <w:bCs w:val="1"/>
                <w:color w:val="auto"/>
              </w:rPr>
              <w:t>2022</w:t>
            </w:r>
          </w:p>
        </w:tc>
        <w:tc>
          <w:tcPr>
            <w:tcW w:w="360" w:type="dxa"/>
            <w:vAlign w:val="bottom"/>
            <w:tcBorders>
              <w:bottom w:val="single" w:sz="8" w:color="A26D29"/>
            </w:tcBorders>
          </w:tcPr>
          <w:p>
            <w:pPr>
              <w:spacing w:after="0"/>
              <w:rPr>
                <w:sz w:val="15"/>
                <w:szCs w:val="15"/>
                <w:color w:val="auto"/>
              </w:rPr>
            </w:pPr>
          </w:p>
        </w:tc>
        <w:tc>
          <w:tcPr>
            <w:tcW w:w="760" w:type="dxa"/>
            <w:vAlign w:val="bottom"/>
            <w:tcBorders>
              <w:bottom w:val="single" w:sz="8" w:color="A26D29"/>
            </w:tcBorders>
          </w:tcPr>
          <w:p>
            <w:pPr>
              <w:jc w:val="right"/>
              <w:ind w:right="64"/>
              <w:spacing w:after="0" w:line="169" w:lineRule="exact"/>
              <w:rPr>
                <w:sz w:val="20"/>
                <w:szCs w:val="20"/>
                <w:color w:val="auto"/>
              </w:rPr>
            </w:pPr>
            <w:r>
              <w:rPr>
                <w:rFonts w:ascii="Arial" w:cs="Arial" w:eastAsia="Arial" w:hAnsi="Arial"/>
                <w:sz w:val="15"/>
                <w:szCs w:val="15"/>
                <w:b w:val="1"/>
                <w:bCs w:val="1"/>
                <w:color w:val="auto"/>
              </w:rPr>
              <w:t>2021</w:t>
            </w:r>
          </w:p>
        </w:tc>
      </w:tr>
      <w:tr>
        <w:trPr>
          <w:trHeight w:val="177"/>
        </w:trPr>
        <w:tc>
          <w:tcPr>
            <w:tcW w:w="5140" w:type="dxa"/>
            <w:vAlign w:val="bottom"/>
            <w:tcBorders>
              <w:bottom w:val="single" w:sz="8" w:color="A8A9AC"/>
            </w:tcBorders>
          </w:tcPr>
          <w:p>
            <w:pPr>
              <w:ind w:left="60"/>
              <w:spacing w:after="0"/>
              <w:rPr>
                <w:sz w:val="20"/>
                <w:szCs w:val="20"/>
                <w:color w:val="auto"/>
              </w:rPr>
            </w:pPr>
            <w:r>
              <w:rPr>
                <w:rFonts w:ascii="Arial" w:cs="Arial" w:eastAsia="Arial" w:hAnsi="Arial"/>
                <w:sz w:val="15"/>
                <w:szCs w:val="15"/>
                <w:color w:val="auto"/>
              </w:rPr>
              <w:t>Net income (loss) attributable to Diamondback Energy, Inc.</w:t>
            </w:r>
          </w:p>
        </w:tc>
        <w:tc>
          <w:tcPr>
            <w:tcW w:w="380" w:type="dxa"/>
            <w:vAlign w:val="bottom"/>
            <w:tcBorders>
              <w:bottom w:val="single" w:sz="8" w:color="A8A9AC"/>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64"/>
              <w:spacing w:after="0"/>
              <w:rPr>
                <w:sz w:val="20"/>
                <w:szCs w:val="20"/>
                <w:color w:val="auto"/>
              </w:rPr>
            </w:pPr>
            <w:r>
              <w:rPr>
                <w:rFonts w:ascii="Arial" w:cs="Arial" w:eastAsia="Arial" w:hAnsi="Arial"/>
                <w:sz w:val="15"/>
                <w:szCs w:val="15"/>
                <w:color w:val="auto"/>
              </w:rPr>
              <w:t>1,664</w:t>
            </w:r>
          </w:p>
        </w:tc>
        <w:tc>
          <w:tcPr>
            <w:tcW w:w="34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tcPr>
          <w:p>
            <w:pPr>
              <w:jc w:val="right"/>
              <w:ind w:right="164"/>
              <w:spacing w:after="0"/>
              <w:rPr>
                <w:sz w:val="20"/>
                <w:szCs w:val="20"/>
                <w:color w:val="auto"/>
              </w:rPr>
            </w:pPr>
            <w:r>
              <w:rPr>
                <w:rFonts w:ascii="Arial" w:cs="Arial" w:eastAsia="Arial" w:hAnsi="Arial"/>
                <w:sz w:val="15"/>
                <w:szCs w:val="15"/>
                <w:color w:val="auto"/>
              </w:rPr>
              <w:t>3,338</w:t>
            </w:r>
          </w:p>
        </w:tc>
        <w:tc>
          <w:tcPr>
            <w:tcW w:w="360" w:type="dxa"/>
            <w:vAlign w:val="bottom"/>
            <w:tcBorders>
              <w:bottom w:val="single" w:sz="8" w:color="A8A9AC"/>
            </w:tcBorders>
          </w:tcPr>
          <w:p>
            <w:pPr>
              <w:jc w:val="right"/>
              <w:ind w:right="84"/>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64"/>
              <w:spacing w:after="0"/>
              <w:rPr>
                <w:sz w:val="20"/>
                <w:szCs w:val="20"/>
                <w:color w:val="auto"/>
              </w:rPr>
            </w:pPr>
            <w:r>
              <w:rPr>
                <w:rFonts w:ascii="Arial" w:cs="Arial" w:eastAsia="Arial" w:hAnsi="Arial"/>
                <w:sz w:val="15"/>
                <w:szCs w:val="15"/>
                <w:color w:val="auto"/>
              </w:rPr>
              <w:t>3,143</w:t>
            </w:r>
          </w:p>
        </w:tc>
        <w:tc>
          <w:tcPr>
            <w:tcW w:w="420" w:type="dxa"/>
            <w:vAlign w:val="bottom"/>
            <w:tcBorders>
              <w:bottom w:val="single" w:sz="8" w:color="A8A9AC"/>
            </w:tcBorders>
          </w:tcPr>
          <w:p>
            <w:pPr>
              <w:jc w:val="right"/>
              <w:ind w:right="14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8A9AC"/>
            </w:tcBorders>
          </w:tcPr>
          <w:p>
            <w:pPr>
              <w:jc w:val="right"/>
              <w:ind w:right="164"/>
              <w:spacing w:after="0"/>
              <w:rPr>
                <w:sz w:val="20"/>
                <w:szCs w:val="20"/>
                <w:color w:val="auto"/>
              </w:rPr>
            </w:pPr>
            <w:r>
              <w:rPr>
                <w:rFonts w:ascii="Arial" w:cs="Arial" w:eastAsia="Arial" w:hAnsi="Arial"/>
                <w:sz w:val="15"/>
                <w:szCs w:val="15"/>
                <w:color w:val="auto"/>
              </w:rPr>
              <w:t>4,386</w:t>
            </w:r>
          </w:p>
        </w:tc>
        <w:tc>
          <w:tcPr>
            <w:tcW w:w="360" w:type="dxa"/>
            <w:vAlign w:val="bottom"/>
            <w:tcBorders>
              <w:bottom w:val="single" w:sz="8" w:color="A8A9AC"/>
            </w:tcBorders>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64"/>
              <w:spacing w:after="0"/>
              <w:rPr>
                <w:sz w:val="20"/>
                <w:szCs w:val="20"/>
                <w:color w:val="auto"/>
              </w:rPr>
            </w:pPr>
            <w:r>
              <w:rPr>
                <w:rFonts w:ascii="Arial" w:cs="Arial" w:eastAsia="Arial" w:hAnsi="Arial"/>
                <w:sz w:val="15"/>
                <w:szCs w:val="15"/>
                <w:color w:val="auto"/>
              </w:rPr>
              <w:t>2,182</w:t>
            </w:r>
          </w:p>
        </w:tc>
      </w:tr>
      <w:tr>
        <w:trPr>
          <w:trHeight w:val="169"/>
        </w:trPr>
        <w:tc>
          <w:tcPr>
            <w:tcW w:w="5140" w:type="dxa"/>
            <w:vAlign w:val="bottom"/>
            <w:tcBorders>
              <w:bottom w:val="single" w:sz="8" w:color="A8A9AC"/>
            </w:tcBorders>
          </w:tcPr>
          <w:p>
            <w:pPr>
              <w:ind w:left="160"/>
              <w:spacing w:after="0" w:line="169" w:lineRule="exact"/>
              <w:rPr>
                <w:sz w:val="20"/>
                <w:szCs w:val="20"/>
                <w:color w:val="auto"/>
              </w:rPr>
            </w:pPr>
            <w:r>
              <w:rPr>
                <w:rFonts w:ascii="Arial" w:cs="Arial" w:eastAsia="Arial" w:hAnsi="Arial"/>
                <w:sz w:val="15"/>
                <w:szCs w:val="15"/>
                <w:color w:val="auto"/>
              </w:rPr>
              <w:t>Net income (loss) attributable to non-controlling interest</w:t>
            </w:r>
          </w:p>
        </w:tc>
        <w:tc>
          <w:tcPr>
            <w:tcW w:w="140" w:type="dxa"/>
            <w:vAlign w:val="bottom"/>
            <w:tcBorders>
              <w:bottom w:val="single" w:sz="8" w:color="A8A9AC"/>
            </w:tcBorders>
          </w:tcPr>
          <w:p>
            <w:pPr>
              <w:spacing w:after="0"/>
              <w:rPr>
                <w:sz w:val="14"/>
                <w:szCs w:val="14"/>
                <w:color w:val="auto"/>
              </w:rPr>
            </w:pPr>
          </w:p>
        </w:tc>
        <w:tc>
          <w:tcPr>
            <w:tcW w:w="24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(117)</w:t>
            </w:r>
          </w:p>
        </w:tc>
        <w:tc>
          <w:tcPr>
            <w:tcW w:w="3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363</w:t>
            </w:r>
          </w:p>
        </w:tc>
        <w:tc>
          <w:tcPr>
            <w:tcW w:w="36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193</w:t>
            </w:r>
          </w:p>
        </w:tc>
        <w:tc>
          <w:tcPr>
            <w:tcW w:w="42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176</w:t>
            </w:r>
          </w:p>
        </w:tc>
        <w:tc>
          <w:tcPr>
            <w:tcW w:w="360" w:type="dxa"/>
            <w:vAlign w:val="bottom"/>
            <w:tcBorders>
              <w:bottom w:val="single" w:sz="8" w:color="A8A9AC"/>
            </w:tcBorders>
          </w:tcPr>
          <w:p>
            <w:pPr>
              <w:spacing w:after="0"/>
              <w:rPr>
                <w:sz w:val="14"/>
                <w:szCs w:val="14"/>
                <w:color w:val="auto"/>
              </w:rPr>
            </w:pP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94</w:t>
            </w:r>
          </w:p>
        </w:tc>
      </w:tr>
      <w:tr>
        <w:trPr>
          <w:trHeight w:val="169"/>
        </w:trPr>
        <w:tc>
          <w:tcPr>
            <w:tcW w:w="51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color w:val="auto"/>
              </w:rPr>
              <w:t>Net income (loss)</w:t>
            </w:r>
          </w:p>
        </w:tc>
        <w:tc>
          <w:tcPr>
            <w:tcW w:w="140" w:type="dxa"/>
            <w:vAlign w:val="bottom"/>
            <w:tcBorders>
              <w:bottom w:val="single" w:sz="8" w:color="A8A9AC"/>
            </w:tcBorders>
          </w:tcPr>
          <w:p>
            <w:pPr>
              <w:spacing w:after="0"/>
              <w:rPr>
                <w:sz w:val="14"/>
                <w:szCs w:val="14"/>
                <w:color w:val="auto"/>
              </w:rPr>
            </w:pPr>
          </w:p>
        </w:tc>
        <w:tc>
          <w:tcPr>
            <w:tcW w:w="24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1,547</w:t>
            </w:r>
          </w:p>
        </w:tc>
        <w:tc>
          <w:tcPr>
            <w:tcW w:w="3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3,701</w:t>
            </w:r>
          </w:p>
        </w:tc>
        <w:tc>
          <w:tcPr>
            <w:tcW w:w="36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3,336</w:t>
            </w:r>
          </w:p>
        </w:tc>
        <w:tc>
          <w:tcPr>
            <w:tcW w:w="42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4,562</w:t>
            </w:r>
          </w:p>
        </w:tc>
        <w:tc>
          <w:tcPr>
            <w:tcW w:w="360" w:type="dxa"/>
            <w:vAlign w:val="bottom"/>
            <w:tcBorders>
              <w:bottom w:val="single" w:sz="8" w:color="A8A9AC"/>
            </w:tcBorders>
          </w:tcPr>
          <w:p>
            <w:pPr>
              <w:spacing w:after="0"/>
              <w:rPr>
                <w:sz w:val="14"/>
                <w:szCs w:val="14"/>
                <w:color w:val="auto"/>
              </w:rPr>
            </w:pP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2,276</w:t>
            </w:r>
          </w:p>
        </w:tc>
      </w:tr>
      <w:tr>
        <w:trPr>
          <w:trHeight w:val="169"/>
        </w:trPr>
        <w:tc>
          <w:tcPr>
            <w:tcW w:w="5140" w:type="dxa"/>
            <w:vAlign w:val="bottom"/>
            <w:tcBorders>
              <w:bottom w:val="single" w:sz="8" w:color="A8A9AC"/>
            </w:tcBorders>
          </w:tcPr>
          <w:p>
            <w:pPr>
              <w:ind w:left="160"/>
              <w:spacing w:after="0" w:line="169" w:lineRule="exact"/>
              <w:rPr>
                <w:sz w:val="20"/>
                <w:szCs w:val="20"/>
                <w:color w:val="auto"/>
              </w:rPr>
            </w:pPr>
            <w:r>
              <w:rPr>
                <w:rFonts w:ascii="Arial" w:cs="Arial" w:eastAsia="Arial" w:hAnsi="Arial"/>
                <w:sz w:val="15"/>
                <w:szCs w:val="15"/>
                <w:color w:val="auto"/>
              </w:rPr>
              <w:t>Non-cash (gain) loss on derivative instruments, net</w:t>
            </w:r>
          </w:p>
        </w:tc>
        <w:tc>
          <w:tcPr>
            <w:tcW w:w="140" w:type="dxa"/>
            <w:vAlign w:val="bottom"/>
            <w:tcBorders>
              <w:bottom w:val="single" w:sz="8" w:color="A8A9AC"/>
            </w:tcBorders>
          </w:tcPr>
          <w:p>
            <w:pPr>
              <w:spacing w:after="0"/>
              <w:rPr>
                <w:sz w:val="14"/>
                <w:szCs w:val="14"/>
                <w:color w:val="auto"/>
              </w:rPr>
            </w:pPr>
          </w:p>
        </w:tc>
        <w:tc>
          <w:tcPr>
            <w:tcW w:w="24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(160)</w:t>
            </w:r>
          </w:p>
        </w:tc>
        <w:tc>
          <w:tcPr>
            <w:tcW w:w="3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(188)</w:t>
            </w:r>
          </w:p>
        </w:tc>
        <w:tc>
          <w:tcPr>
            <w:tcW w:w="36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149</w:t>
            </w:r>
          </w:p>
        </w:tc>
        <w:tc>
          <w:tcPr>
            <w:tcW w:w="42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(264)</w:t>
            </w:r>
          </w:p>
        </w:tc>
        <w:tc>
          <w:tcPr>
            <w:tcW w:w="360" w:type="dxa"/>
            <w:vAlign w:val="bottom"/>
            <w:tcBorders>
              <w:bottom w:val="single" w:sz="8" w:color="A8A9AC"/>
            </w:tcBorders>
          </w:tcPr>
          <w:p>
            <w:pPr>
              <w:spacing w:after="0"/>
              <w:rPr>
                <w:sz w:val="14"/>
                <w:szCs w:val="14"/>
                <w:color w:val="auto"/>
              </w:rPr>
            </w:pPr>
          </w:p>
        </w:tc>
        <w:tc>
          <w:tcPr>
            <w:tcW w:w="760" w:type="dxa"/>
            <w:vAlign w:val="bottom"/>
            <w:tcBorders>
              <w:bottom w:val="single" w:sz="8" w:color="A8A9AC"/>
            </w:tcBorders>
          </w:tcPr>
          <w:p>
            <w:pPr>
              <w:jc w:val="right"/>
              <w:ind w:right="4"/>
              <w:spacing w:after="0" w:line="169" w:lineRule="exact"/>
              <w:rPr>
                <w:sz w:val="20"/>
                <w:szCs w:val="20"/>
                <w:color w:val="auto"/>
              </w:rPr>
            </w:pPr>
            <w:r>
              <w:rPr>
                <w:rFonts w:ascii="Arial" w:cs="Arial" w:eastAsia="Arial" w:hAnsi="Arial"/>
                <w:sz w:val="15"/>
                <w:szCs w:val="15"/>
                <w:color w:val="auto"/>
              </w:rPr>
              <w:t>(377)</w:t>
            </w:r>
          </w:p>
        </w:tc>
      </w:tr>
      <w:tr>
        <w:trPr>
          <w:trHeight w:val="169"/>
        </w:trPr>
        <w:tc>
          <w:tcPr>
            <w:tcW w:w="5140" w:type="dxa"/>
            <w:vAlign w:val="bottom"/>
            <w:tcBorders>
              <w:bottom w:val="single" w:sz="8" w:color="A8A9AC"/>
            </w:tcBorders>
          </w:tcPr>
          <w:p>
            <w:pPr>
              <w:ind w:left="160"/>
              <w:spacing w:after="0" w:line="169" w:lineRule="exact"/>
              <w:rPr>
                <w:sz w:val="20"/>
                <w:szCs w:val="20"/>
                <w:color w:val="auto"/>
              </w:rPr>
            </w:pPr>
            <w:r>
              <w:rPr>
                <w:rFonts w:ascii="Arial" w:cs="Arial" w:eastAsia="Arial" w:hAnsi="Arial"/>
                <w:sz w:val="15"/>
                <w:szCs w:val="15"/>
                <w:color w:val="auto"/>
              </w:rPr>
              <w:t>Interest expense, net</w:t>
            </w:r>
          </w:p>
        </w:tc>
        <w:tc>
          <w:tcPr>
            <w:tcW w:w="140" w:type="dxa"/>
            <w:vAlign w:val="bottom"/>
            <w:tcBorders>
              <w:bottom w:val="single" w:sz="8" w:color="A8A9AC"/>
            </w:tcBorders>
          </w:tcPr>
          <w:p>
            <w:pPr>
              <w:spacing w:after="0"/>
              <w:rPr>
                <w:sz w:val="14"/>
                <w:szCs w:val="14"/>
                <w:color w:val="auto"/>
              </w:rPr>
            </w:pPr>
          </w:p>
        </w:tc>
        <w:tc>
          <w:tcPr>
            <w:tcW w:w="24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244</w:t>
            </w:r>
          </w:p>
        </w:tc>
        <w:tc>
          <w:tcPr>
            <w:tcW w:w="3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135</w:t>
            </w:r>
          </w:p>
        </w:tc>
        <w:tc>
          <w:tcPr>
            <w:tcW w:w="36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159</w:t>
            </w:r>
          </w:p>
        </w:tc>
        <w:tc>
          <w:tcPr>
            <w:tcW w:w="42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154</w:t>
            </w:r>
          </w:p>
        </w:tc>
        <w:tc>
          <w:tcPr>
            <w:tcW w:w="360" w:type="dxa"/>
            <w:vAlign w:val="bottom"/>
            <w:tcBorders>
              <w:bottom w:val="single" w:sz="8" w:color="A8A9AC"/>
            </w:tcBorders>
          </w:tcPr>
          <w:p>
            <w:pPr>
              <w:spacing w:after="0"/>
              <w:rPr>
                <w:sz w:val="14"/>
                <w:szCs w:val="14"/>
                <w:color w:val="auto"/>
              </w:rPr>
            </w:pP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199</w:t>
            </w:r>
          </w:p>
        </w:tc>
      </w:tr>
      <w:tr>
        <w:trPr>
          <w:trHeight w:val="169"/>
        </w:trPr>
        <w:tc>
          <w:tcPr>
            <w:tcW w:w="5140" w:type="dxa"/>
            <w:vAlign w:val="bottom"/>
            <w:tcBorders>
              <w:bottom w:val="single" w:sz="8" w:color="A8A9AC"/>
            </w:tcBorders>
          </w:tcPr>
          <w:p>
            <w:pPr>
              <w:ind w:left="160"/>
              <w:spacing w:after="0" w:line="169" w:lineRule="exact"/>
              <w:rPr>
                <w:sz w:val="20"/>
                <w:szCs w:val="20"/>
                <w:color w:val="auto"/>
              </w:rPr>
            </w:pPr>
            <w:r>
              <w:rPr>
                <w:rFonts w:ascii="Arial" w:cs="Arial" w:eastAsia="Arial" w:hAnsi="Arial"/>
                <w:sz w:val="15"/>
                <w:szCs w:val="15"/>
                <w:color w:val="auto"/>
              </w:rPr>
              <w:t>Depreciation, depletion, amortization and accretion</w:t>
            </w:r>
          </w:p>
        </w:tc>
        <w:tc>
          <w:tcPr>
            <w:tcW w:w="140" w:type="dxa"/>
            <w:vAlign w:val="bottom"/>
            <w:tcBorders>
              <w:bottom w:val="single" w:sz="8" w:color="A8A9AC"/>
            </w:tcBorders>
          </w:tcPr>
          <w:p>
            <w:pPr>
              <w:spacing w:after="0"/>
              <w:rPr>
                <w:sz w:val="14"/>
                <w:szCs w:val="14"/>
                <w:color w:val="auto"/>
              </w:rPr>
            </w:pPr>
          </w:p>
        </w:tc>
        <w:tc>
          <w:tcPr>
            <w:tcW w:w="24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5,038</w:t>
            </w:r>
          </w:p>
        </w:tc>
        <w:tc>
          <w:tcPr>
            <w:tcW w:w="3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2,850</w:t>
            </w:r>
          </w:p>
        </w:tc>
        <w:tc>
          <w:tcPr>
            <w:tcW w:w="36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1,746</w:t>
            </w:r>
          </w:p>
        </w:tc>
        <w:tc>
          <w:tcPr>
            <w:tcW w:w="42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1,344</w:t>
            </w:r>
          </w:p>
        </w:tc>
        <w:tc>
          <w:tcPr>
            <w:tcW w:w="360" w:type="dxa"/>
            <w:vAlign w:val="bottom"/>
            <w:tcBorders>
              <w:bottom w:val="single" w:sz="8" w:color="A8A9AC"/>
            </w:tcBorders>
          </w:tcPr>
          <w:p>
            <w:pPr>
              <w:spacing w:after="0"/>
              <w:rPr>
                <w:sz w:val="14"/>
                <w:szCs w:val="14"/>
                <w:color w:val="auto"/>
              </w:rPr>
            </w:pP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1,275</w:t>
            </w:r>
          </w:p>
        </w:tc>
      </w:tr>
      <w:tr>
        <w:trPr>
          <w:trHeight w:val="169"/>
        </w:trPr>
        <w:tc>
          <w:tcPr>
            <w:tcW w:w="5140" w:type="dxa"/>
            <w:vAlign w:val="bottom"/>
            <w:tcBorders>
              <w:bottom w:val="single" w:sz="8" w:color="A8A9AC"/>
            </w:tcBorders>
          </w:tcPr>
          <w:p>
            <w:pPr>
              <w:ind w:left="160"/>
              <w:spacing w:after="0" w:line="169" w:lineRule="exact"/>
              <w:rPr>
                <w:sz w:val="20"/>
                <w:szCs w:val="20"/>
                <w:color w:val="auto"/>
              </w:rPr>
            </w:pPr>
            <w:r>
              <w:rPr>
                <w:rFonts w:ascii="Arial" w:cs="Arial" w:eastAsia="Arial" w:hAnsi="Arial"/>
                <w:sz w:val="15"/>
                <w:szCs w:val="15"/>
                <w:color w:val="auto"/>
              </w:rPr>
              <w:t>Depreciation and interest expense related to equity method investments</w:t>
            </w:r>
          </w:p>
        </w:tc>
        <w:tc>
          <w:tcPr>
            <w:tcW w:w="140" w:type="dxa"/>
            <w:vAlign w:val="bottom"/>
            <w:tcBorders>
              <w:bottom w:val="single" w:sz="8" w:color="A8A9AC"/>
            </w:tcBorders>
          </w:tcPr>
          <w:p>
            <w:pPr>
              <w:spacing w:after="0"/>
              <w:rPr>
                <w:sz w:val="14"/>
                <w:szCs w:val="14"/>
                <w:color w:val="auto"/>
              </w:rPr>
            </w:pPr>
          </w:p>
        </w:tc>
        <w:tc>
          <w:tcPr>
            <w:tcW w:w="24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84</w:t>
            </w:r>
          </w:p>
        </w:tc>
        <w:tc>
          <w:tcPr>
            <w:tcW w:w="3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91</w:t>
            </w:r>
          </w:p>
        </w:tc>
        <w:tc>
          <w:tcPr>
            <w:tcW w:w="36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70</w:t>
            </w:r>
          </w:p>
        </w:tc>
        <w:tc>
          <w:tcPr>
            <w:tcW w:w="42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63</w:t>
            </w:r>
          </w:p>
        </w:tc>
        <w:tc>
          <w:tcPr>
            <w:tcW w:w="360" w:type="dxa"/>
            <w:vAlign w:val="bottom"/>
            <w:tcBorders>
              <w:bottom w:val="single" w:sz="8" w:color="A8A9AC"/>
            </w:tcBorders>
          </w:tcPr>
          <w:p>
            <w:pPr>
              <w:spacing w:after="0"/>
              <w:rPr>
                <w:sz w:val="14"/>
                <w:szCs w:val="14"/>
                <w:color w:val="auto"/>
              </w:rPr>
            </w:pP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43</w:t>
            </w:r>
          </w:p>
        </w:tc>
      </w:tr>
      <w:tr>
        <w:trPr>
          <w:trHeight w:val="169"/>
        </w:trPr>
        <w:tc>
          <w:tcPr>
            <w:tcW w:w="5140" w:type="dxa"/>
            <w:vAlign w:val="bottom"/>
            <w:tcBorders>
              <w:bottom w:val="single" w:sz="8" w:color="A8A9AC"/>
            </w:tcBorders>
          </w:tcPr>
          <w:p>
            <w:pPr>
              <w:ind w:left="160"/>
              <w:spacing w:after="0" w:line="169" w:lineRule="exact"/>
              <w:rPr>
                <w:sz w:val="20"/>
                <w:szCs w:val="20"/>
                <w:color w:val="auto"/>
              </w:rPr>
            </w:pPr>
            <w:r>
              <w:rPr>
                <w:rFonts w:ascii="Arial" w:cs="Arial" w:eastAsia="Arial" w:hAnsi="Arial"/>
                <w:sz w:val="15"/>
                <w:szCs w:val="15"/>
                <w:color w:val="auto"/>
              </w:rPr>
              <w:t>(Gain) loss on extinguishment of debt</w:t>
            </w:r>
          </w:p>
        </w:tc>
        <w:tc>
          <w:tcPr>
            <w:tcW w:w="140" w:type="dxa"/>
            <w:vAlign w:val="bottom"/>
            <w:tcBorders>
              <w:bottom w:val="single" w:sz="8" w:color="A8A9AC"/>
            </w:tcBorders>
          </w:tcPr>
          <w:p>
            <w:pPr>
              <w:spacing w:after="0"/>
              <w:rPr>
                <w:sz w:val="14"/>
                <w:szCs w:val="14"/>
                <w:color w:val="auto"/>
              </w:rPr>
            </w:pPr>
          </w:p>
        </w:tc>
        <w:tc>
          <w:tcPr>
            <w:tcW w:w="24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(56)</w:t>
            </w:r>
          </w:p>
        </w:tc>
        <w:tc>
          <w:tcPr>
            <w:tcW w:w="3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(2)</w:t>
            </w:r>
          </w:p>
        </w:tc>
        <w:tc>
          <w:tcPr>
            <w:tcW w:w="36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4</w:t>
            </w:r>
          </w:p>
        </w:tc>
        <w:tc>
          <w:tcPr>
            <w:tcW w:w="42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99</w:t>
            </w:r>
          </w:p>
        </w:tc>
        <w:tc>
          <w:tcPr>
            <w:tcW w:w="360" w:type="dxa"/>
            <w:vAlign w:val="bottom"/>
            <w:tcBorders>
              <w:bottom w:val="single" w:sz="8" w:color="A8A9AC"/>
            </w:tcBorders>
          </w:tcPr>
          <w:p>
            <w:pPr>
              <w:spacing w:after="0"/>
              <w:rPr>
                <w:sz w:val="14"/>
                <w:szCs w:val="14"/>
                <w:color w:val="auto"/>
              </w:rPr>
            </w:pP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75</w:t>
            </w:r>
          </w:p>
        </w:tc>
      </w:tr>
      <w:tr>
        <w:trPr>
          <w:trHeight w:val="169"/>
        </w:trPr>
        <w:tc>
          <w:tcPr>
            <w:tcW w:w="5140" w:type="dxa"/>
            <w:vAlign w:val="bottom"/>
            <w:tcBorders>
              <w:bottom w:val="single" w:sz="8" w:color="A8A9AC"/>
            </w:tcBorders>
          </w:tcPr>
          <w:p>
            <w:pPr>
              <w:ind w:left="160"/>
              <w:spacing w:after="0" w:line="169" w:lineRule="exact"/>
              <w:rPr>
                <w:sz w:val="20"/>
                <w:szCs w:val="20"/>
                <w:color w:val="auto"/>
              </w:rPr>
            </w:pPr>
            <w:r>
              <w:rPr>
                <w:rFonts w:ascii="Arial" w:cs="Arial" w:eastAsia="Arial" w:hAnsi="Arial"/>
                <w:sz w:val="15"/>
                <w:szCs w:val="15"/>
                <w:color w:val="auto"/>
              </w:rPr>
              <w:t>Impairment of oil and natural gas properties</w:t>
            </w:r>
          </w:p>
        </w:tc>
        <w:tc>
          <w:tcPr>
            <w:tcW w:w="140" w:type="dxa"/>
            <w:vAlign w:val="bottom"/>
            <w:tcBorders>
              <w:bottom w:val="single" w:sz="8" w:color="A8A9AC"/>
            </w:tcBorders>
          </w:tcPr>
          <w:p>
            <w:pPr>
              <w:spacing w:after="0"/>
              <w:rPr>
                <w:sz w:val="14"/>
                <w:szCs w:val="14"/>
                <w:color w:val="auto"/>
              </w:rPr>
            </w:pPr>
          </w:p>
        </w:tc>
        <w:tc>
          <w:tcPr>
            <w:tcW w:w="24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3,652</w:t>
            </w:r>
          </w:p>
        </w:tc>
        <w:tc>
          <w:tcPr>
            <w:tcW w:w="3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w:t>
            </w:r>
          </w:p>
        </w:tc>
        <w:tc>
          <w:tcPr>
            <w:tcW w:w="36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w:t>
            </w:r>
          </w:p>
        </w:tc>
        <w:tc>
          <w:tcPr>
            <w:tcW w:w="360" w:type="dxa"/>
            <w:vAlign w:val="bottom"/>
            <w:tcBorders>
              <w:bottom w:val="single" w:sz="8" w:color="A8A9AC"/>
            </w:tcBorders>
          </w:tcPr>
          <w:p>
            <w:pPr>
              <w:spacing w:after="0"/>
              <w:rPr>
                <w:sz w:val="14"/>
                <w:szCs w:val="14"/>
                <w:color w:val="auto"/>
              </w:rPr>
            </w:pP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w:t>
            </w:r>
          </w:p>
        </w:tc>
      </w:tr>
      <w:tr>
        <w:trPr>
          <w:trHeight w:val="169"/>
        </w:trPr>
        <w:tc>
          <w:tcPr>
            <w:tcW w:w="5140" w:type="dxa"/>
            <w:vAlign w:val="bottom"/>
            <w:tcBorders>
              <w:bottom w:val="single" w:sz="8" w:color="A8A9AC"/>
            </w:tcBorders>
          </w:tcPr>
          <w:p>
            <w:pPr>
              <w:ind w:left="160"/>
              <w:spacing w:after="0" w:line="169" w:lineRule="exact"/>
              <w:rPr>
                <w:sz w:val="20"/>
                <w:szCs w:val="20"/>
                <w:color w:val="auto"/>
              </w:rPr>
            </w:pPr>
            <w:r>
              <w:rPr>
                <w:rFonts w:ascii="Arial" w:cs="Arial" w:eastAsia="Arial" w:hAnsi="Arial"/>
                <w:sz w:val="15"/>
                <w:szCs w:val="15"/>
                <w:color w:val="auto"/>
              </w:rPr>
              <w:t>Non-cash equity-based compensation expense</w:t>
            </w:r>
          </w:p>
        </w:tc>
        <w:tc>
          <w:tcPr>
            <w:tcW w:w="140" w:type="dxa"/>
            <w:vAlign w:val="bottom"/>
            <w:tcBorders>
              <w:bottom w:val="single" w:sz="8" w:color="A8A9AC"/>
            </w:tcBorders>
          </w:tcPr>
          <w:p>
            <w:pPr>
              <w:spacing w:after="0"/>
              <w:rPr>
                <w:sz w:val="14"/>
                <w:szCs w:val="14"/>
                <w:color w:val="auto"/>
              </w:rPr>
            </w:pPr>
          </w:p>
        </w:tc>
        <w:tc>
          <w:tcPr>
            <w:tcW w:w="24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114</w:t>
            </w:r>
          </w:p>
        </w:tc>
        <w:tc>
          <w:tcPr>
            <w:tcW w:w="3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95</w:t>
            </w:r>
          </w:p>
        </w:tc>
        <w:tc>
          <w:tcPr>
            <w:tcW w:w="36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80</w:t>
            </w:r>
          </w:p>
        </w:tc>
        <w:tc>
          <w:tcPr>
            <w:tcW w:w="42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76</w:t>
            </w:r>
          </w:p>
        </w:tc>
        <w:tc>
          <w:tcPr>
            <w:tcW w:w="360" w:type="dxa"/>
            <w:vAlign w:val="bottom"/>
            <w:tcBorders>
              <w:bottom w:val="single" w:sz="8" w:color="A8A9AC"/>
            </w:tcBorders>
          </w:tcPr>
          <w:p>
            <w:pPr>
              <w:spacing w:after="0"/>
              <w:rPr>
                <w:sz w:val="14"/>
                <w:szCs w:val="14"/>
                <w:color w:val="auto"/>
              </w:rPr>
            </w:pP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71</w:t>
            </w:r>
          </w:p>
        </w:tc>
      </w:tr>
      <w:tr>
        <w:trPr>
          <w:trHeight w:val="169"/>
        </w:trPr>
        <w:tc>
          <w:tcPr>
            <w:tcW w:w="5140" w:type="dxa"/>
            <w:vAlign w:val="bottom"/>
            <w:tcBorders>
              <w:bottom w:val="single" w:sz="8" w:color="A8A9AC"/>
            </w:tcBorders>
          </w:tcPr>
          <w:p>
            <w:pPr>
              <w:ind w:left="160"/>
              <w:spacing w:after="0" w:line="169" w:lineRule="exact"/>
              <w:rPr>
                <w:sz w:val="20"/>
                <w:szCs w:val="20"/>
                <w:color w:val="auto"/>
              </w:rPr>
            </w:pPr>
            <w:r>
              <w:rPr>
                <w:rFonts w:ascii="Arial" w:cs="Arial" w:eastAsia="Arial" w:hAnsi="Arial"/>
                <w:sz w:val="15"/>
                <w:szCs w:val="15"/>
                <w:color w:val="auto"/>
              </w:rPr>
              <w:t>Capitalized equity-based compensation expense</w:t>
            </w:r>
          </w:p>
        </w:tc>
        <w:tc>
          <w:tcPr>
            <w:tcW w:w="140" w:type="dxa"/>
            <w:vAlign w:val="bottom"/>
            <w:tcBorders>
              <w:bottom w:val="single" w:sz="8" w:color="A8A9AC"/>
            </w:tcBorders>
          </w:tcPr>
          <w:p>
            <w:pPr>
              <w:spacing w:after="0"/>
              <w:rPr>
                <w:sz w:val="14"/>
                <w:szCs w:val="14"/>
                <w:color w:val="auto"/>
              </w:rPr>
            </w:pPr>
          </w:p>
        </w:tc>
        <w:tc>
          <w:tcPr>
            <w:tcW w:w="24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(33)</w:t>
            </w:r>
          </w:p>
        </w:tc>
        <w:tc>
          <w:tcPr>
            <w:tcW w:w="3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(30)</w:t>
            </w:r>
          </w:p>
        </w:tc>
        <w:tc>
          <w:tcPr>
            <w:tcW w:w="36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(26)</w:t>
            </w:r>
          </w:p>
        </w:tc>
        <w:tc>
          <w:tcPr>
            <w:tcW w:w="42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(21)</w:t>
            </w:r>
          </w:p>
        </w:tc>
        <w:tc>
          <w:tcPr>
            <w:tcW w:w="360" w:type="dxa"/>
            <w:vAlign w:val="bottom"/>
            <w:tcBorders>
              <w:bottom w:val="single" w:sz="8" w:color="A8A9AC"/>
            </w:tcBorders>
          </w:tcPr>
          <w:p>
            <w:pPr>
              <w:spacing w:after="0"/>
              <w:rPr>
                <w:sz w:val="14"/>
                <w:szCs w:val="14"/>
                <w:color w:val="auto"/>
              </w:rPr>
            </w:pPr>
          </w:p>
        </w:tc>
        <w:tc>
          <w:tcPr>
            <w:tcW w:w="760" w:type="dxa"/>
            <w:vAlign w:val="bottom"/>
            <w:tcBorders>
              <w:bottom w:val="single" w:sz="8" w:color="A8A9AC"/>
            </w:tcBorders>
          </w:tcPr>
          <w:p>
            <w:pPr>
              <w:jc w:val="right"/>
              <w:ind w:right="4"/>
              <w:spacing w:after="0" w:line="169" w:lineRule="exact"/>
              <w:rPr>
                <w:sz w:val="20"/>
                <w:szCs w:val="20"/>
                <w:color w:val="auto"/>
              </w:rPr>
            </w:pPr>
            <w:r>
              <w:rPr>
                <w:rFonts w:ascii="Arial" w:cs="Arial" w:eastAsia="Arial" w:hAnsi="Arial"/>
                <w:sz w:val="15"/>
                <w:szCs w:val="15"/>
                <w:color w:val="auto"/>
              </w:rPr>
              <w:t>(20)</w:t>
            </w:r>
          </w:p>
        </w:tc>
      </w:tr>
      <w:tr>
        <w:trPr>
          <w:trHeight w:val="169"/>
        </w:trPr>
        <w:tc>
          <w:tcPr>
            <w:tcW w:w="5140" w:type="dxa"/>
            <w:vAlign w:val="bottom"/>
            <w:tcBorders>
              <w:bottom w:val="single" w:sz="8" w:color="A8A9AC"/>
            </w:tcBorders>
          </w:tcPr>
          <w:p>
            <w:pPr>
              <w:ind w:left="160"/>
              <w:spacing w:after="0" w:line="169" w:lineRule="exact"/>
              <w:rPr>
                <w:sz w:val="20"/>
                <w:szCs w:val="20"/>
                <w:color w:val="auto"/>
              </w:rPr>
            </w:pPr>
            <w:r>
              <w:rPr>
                <w:rFonts w:ascii="Arial" w:cs="Arial" w:eastAsia="Arial" w:hAnsi="Arial"/>
                <w:sz w:val="15"/>
                <w:szCs w:val="15"/>
                <w:color w:val="auto"/>
              </w:rPr>
              <w:t>Other non-cash transactions</w:t>
            </w:r>
          </w:p>
        </w:tc>
        <w:tc>
          <w:tcPr>
            <w:tcW w:w="140" w:type="dxa"/>
            <w:vAlign w:val="bottom"/>
            <w:tcBorders>
              <w:bottom w:val="single" w:sz="8" w:color="A8A9AC"/>
            </w:tcBorders>
          </w:tcPr>
          <w:p>
            <w:pPr>
              <w:spacing w:after="0"/>
              <w:rPr>
                <w:sz w:val="14"/>
                <w:szCs w:val="14"/>
                <w:color w:val="auto"/>
              </w:rPr>
            </w:pPr>
          </w:p>
        </w:tc>
        <w:tc>
          <w:tcPr>
            <w:tcW w:w="24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(476)</w:t>
            </w:r>
          </w:p>
        </w:tc>
        <w:tc>
          <w:tcPr>
            <w:tcW w:w="3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241</w:t>
            </w:r>
          </w:p>
        </w:tc>
        <w:tc>
          <w:tcPr>
            <w:tcW w:w="36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(41)</w:t>
            </w:r>
          </w:p>
        </w:tc>
        <w:tc>
          <w:tcPr>
            <w:tcW w:w="42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25</w:t>
            </w:r>
          </w:p>
        </w:tc>
        <w:tc>
          <w:tcPr>
            <w:tcW w:w="360" w:type="dxa"/>
            <w:vAlign w:val="bottom"/>
            <w:tcBorders>
              <w:bottom w:val="single" w:sz="8" w:color="A8A9AC"/>
            </w:tcBorders>
          </w:tcPr>
          <w:p>
            <w:pPr>
              <w:spacing w:after="0"/>
              <w:rPr>
                <w:sz w:val="14"/>
                <w:szCs w:val="14"/>
                <w:color w:val="auto"/>
              </w:rPr>
            </w:pP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65</w:t>
            </w:r>
          </w:p>
        </w:tc>
      </w:tr>
      <w:tr>
        <w:trPr>
          <w:trHeight w:val="169"/>
        </w:trPr>
        <w:tc>
          <w:tcPr>
            <w:tcW w:w="5140" w:type="dxa"/>
            <w:vAlign w:val="bottom"/>
            <w:tcBorders>
              <w:bottom w:val="single" w:sz="8" w:color="A8A9AC"/>
            </w:tcBorders>
          </w:tcPr>
          <w:p>
            <w:pPr>
              <w:ind w:left="160"/>
              <w:spacing w:after="0" w:line="169" w:lineRule="exact"/>
              <w:rPr>
                <w:sz w:val="20"/>
                <w:szCs w:val="20"/>
                <w:color w:val="auto"/>
              </w:rPr>
            </w:pPr>
            <w:r>
              <w:rPr>
                <w:rFonts w:ascii="Arial" w:cs="Arial" w:eastAsia="Arial" w:hAnsi="Arial"/>
                <w:sz w:val="15"/>
                <w:szCs w:val="15"/>
                <w:color w:val="auto"/>
              </w:rPr>
              <w:t>Provision for (benefit from) income taxes</w:t>
            </w:r>
          </w:p>
        </w:tc>
        <w:tc>
          <w:tcPr>
            <w:tcW w:w="140" w:type="dxa"/>
            <w:vAlign w:val="bottom"/>
            <w:tcBorders>
              <w:bottom w:val="single" w:sz="8" w:color="A8A9AC"/>
            </w:tcBorders>
          </w:tcPr>
          <w:p>
            <w:pPr>
              <w:spacing w:after="0"/>
              <w:rPr>
                <w:sz w:val="14"/>
                <w:szCs w:val="14"/>
                <w:color w:val="auto"/>
              </w:rPr>
            </w:pPr>
          </w:p>
        </w:tc>
        <w:tc>
          <w:tcPr>
            <w:tcW w:w="24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327</w:t>
            </w:r>
          </w:p>
        </w:tc>
        <w:tc>
          <w:tcPr>
            <w:tcW w:w="3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800</w:t>
            </w:r>
          </w:p>
        </w:tc>
        <w:tc>
          <w:tcPr>
            <w:tcW w:w="36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912</w:t>
            </w:r>
          </w:p>
        </w:tc>
        <w:tc>
          <w:tcPr>
            <w:tcW w:w="42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1,174</w:t>
            </w:r>
          </w:p>
        </w:tc>
        <w:tc>
          <w:tcPr>
            <w:tcW w:w="360" w:type="dxa"/>
            <w:vAlign w:val="bottom"/>
            <w:tcBorders>
              <w:bottom w:val="single" w:sz="8" w:color="A8A9AC"/>
            </w:tcBorders>
          </w:tcPr>
          <w:p>
            <w:pPr>
              <w:spacing w:after="0"/>
              <w:rPr>
                <w:sz w:val="14"/>
                <w:szCs w:val="14"/>
                <w:color w:val="auto"/>
              </w:rPr>
            </w:pP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631</w:t>
            </w:r>
          </w:p>
        </w:tc>
      </w:tr>
      <w:tr>
        <w:trPr>
          <w:trHeight w:val="169"/>
        </w:trPr>
        <w:tc>
          <w:tcPr>
            <w:tcW w:w="51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Consolidated Adjusted EBITDA</w:t>
            </w:r>
          </w:p>
        </w:tc>
        <w:tc>
          <w:tcPr>
            <w:tcW w:w="380" w:type="dxa"/>
            <w:vAlign w:val="bottom"/>
            <w:tcBorders>
              <w:bottom w:val="single" w:sz="8" w:color="A8A9AC"/>
            </w:tcBorders>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10,281</w:t>
            </w:r>
          </w:p>
        </w:tc>
        <w:tc>
          <w:tcPr>
            <w:tcW w:w="34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7,693</w:t>
            </w:r>
          </w:p>
        </w:tc>
        <w:tc>
          <w:tcPr>
            <w:tcW w:w="360" w:type="dxa"/>
            <w:vAlign w:val="bottom"/>
            <w:tcBorders>
              <w:bottom w:val="single" w:sz="8" w:color="A8A9AC"/>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6,389</w:t>
            </w:r>
          </w:p>
        </w:tc>
        <w:tc>
          <w:tcPr>
            <w:tcW w:w="420" w:type="dxa"/>
            <w:vAlign w:val="bottom"/>
            <w:tcBorders>
              <w:bottom w:val="single" w:sz="8" w:color="A8A9AC"/>
            </w:tcBorders>
          </w:tcPr>
          <w:p>
            <w:pPr>
              <w:jc w:val="right"/>
              <w:ind w:right="144"/>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7,212</w:t>
            </w:r>
          </w:p>
        </w:tc>
        <w:tc>
          <w:tcPr>
            <w:tcW w:w="36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4,238</w:t>
            </w:r>
          </w:p>
        </w:tc>
      </w:tr>
      <w:tr>
        <w:trPr>
          <w:trHeight w:val="169"/>
        </w:trPr>
        <w:tc>
          <w:tcPr>
            <w:tcW w:w="5140" w:type="dxa"/>
            <w:vAlign w:val="bottom"/>
            <w:tcBorders>
              <w:bottom w:val="single" w:sz="8" w:color="A8A9AC"/>
            </w:tcBorders>
          </w:tcPr>
          <w:p>
            <w:pPr>
              <w:spacing w:after="0"/>
              <w:rPr>
                <w:sz w:val="14"/>
                <w:szCs w:val="14"/>
                <w:color w:val="auto"/>
              </w:rPr>
            </w:pPr>
          </w:p>
        </w:tc>
        <w:tc>
          <w:tcPr>
            <w:tcW w:w="140" w:type="dxa"/>
            <w:vAlign w:val="bottom"/>
            <w:tcBorders>
              <w:bottom w:val="single" w:sz="8" w:color="A8A9AC"/>
            </w:tcBorders>
          </w:tcPr>
          <w:p>
            <w:pPr>
              <w:spacing w:after="0"/>
              <w:rPr>
                <w:sz w:val="14"/>
                <w:szCs w:val="14"/>
                <w:color w:val="auto"/>
              </w:rPr>
            </w:pPr>
          </w:p>
        </w:tc>
        <w:tc>
          <w:tcPr>
            <w:tcW w:w="24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spacing w:after="0"/>
              <w:rPr>
                <w:sz w:val="14"/>
                <w:szCs w:val="14"/>
                <w:color w:val="auto"/>
              </w:rPr>
            </w:pPr>
          </w:p>
        </w:tc>
        <w:tc>
          <w:tcPr>
            <w:tcW w:w="3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spacing w:after="0"/>
              <w:rPr>
                <w:sz w:val="14"/>
                <w:szCs w:val="14"/>
                <w:color w:val="auto"/>
              </w:rPr>
            </w:pPr>
          </w:p>
        </w:tc>
        <w:tc>
          <w:tcPr>
            <w:tcW w:w="36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spacing w:after="0"/>
              <w:rPr>
                <w:sz w:val="14"/>
                <w:szCs w:val="14"/>
                <w:color w:val="auto"/>
              </w:rPr>
            </w:pPr>
          </w:p>
        </w:tc>
        <w:tc>
          <w:tcPr>
            <w:tcW w:w="42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spacing w:after="0"/>
              <w:rPr>
                <w:sz w:val="14"/>
                <w:szCs w:val="14"/>
                <w:color w:val="auto"/>
              </w:rPr>
            </w:pPr>
          </w:p>
        </w:tc>
        <w:tc>
          <w:tcPr>
            <w:tcW w:w="360" w:type="dxa"/>
            <w:vAlign w:val="bottom"/>
            <w:tcBorders>
              <w:bottom w:val="single" w:sz="8" w:color="A8A9AC"/>
            </w:tcBorders>
          </w:tcPr>
          <w:p>
            <w:pPr>
              <w:spacing w:after="0"/>
              <w:rPr>
                <w:sz w:val="14"/>
                <w:szCs w:val="14"/>
                <w:color w:val="auto"/>
              </w:rPr>
            </w:pPr>
          </w:p>
        </w:tc>
        <w:tc>
          <w:tcPr>
            <w:tcW w:w="760" w:type="dxa"/>
            <w:vAlign w:val="bottom"/>
            <w:tcBorders>
              <w:bottom w:val="single" w:sz="8" w:color="A8A9AC"/>
            </w:tcBorders>
          </w:tcPr>
          <w:p>
            <w:pPr>
              <w:spacing w:after="0"/>
              <w:rPr>
                <w:sz w:val="14"/>
                <w:szCs w:val="14"/>
                <w:color w:val="auto"/>
              </w:rPr>
            </w:pPr>
          </w:p>
        </w:tc>
      </w:tr>
      <w:tr>
        <w:trPr>
          <w:trHeight w:val="169"/>
        </w:trPr>
        <w:tc>
          <w:tcPr>
            <w:tcW w:w="51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Consolidated Adjusted EBITDA</w:t>
            </w:r>
          </w:p>
        </w:tc>
        <w:tc>
          <w:tcPr>
            <w:tcW w:w="380" w:type="dxa"/>
            <w:vAlign w:val="bottom"/>
            <w:tcBorders>
              <w:bottom w:val="single" w:sz="8" w:color="A8A9AC"/>
            </w:tcBorders>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10,281</w:t>
            </w:r>
          </w:p>
        </w:tc>
        <w:tc>
          <w:tcPr>
            <w:tcW w:w="34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7,693</w:t>
            </w:r>
          </w:p>
        </w:tc>
        <w:tc>
          <w:tcPr>
            <w:tcW w:w="360" w:type="dxa"/>
            <w:vAlign w:val="bottom"/>
            <w:tcBorders>
              <w:bottom w:val="single" w:sz="8" w:color="A8A9AC"/>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6,389</w:t>
            </w:r>
          </w:p>
        </w:tc>
        <w:tc>
          <w:tcPr>
            <w:tcW w:w="420" w:type="dxa"/>
            <w:vAlign w:val="bottom"/>
            <w:tcBorders>
              <w:bottom w:val="single" w:sz="8" w:color="A8A9AC"/>
            </w:tcBorders>
          </w:tcPr>
          <w:p>
            <w:pPr>
              <w:jc w:val="right"/>
              <w:ind w:right="144"/>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7,212</w:t>
            </w:r>
          </w:p>
        </w:tc>
        <w:tc>
          <w:tcPr>
            <w:tcW w:w="36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4,238</w:t>
            </w:r>
          </w:p>
        </w:tc>
      </w:tr>
      <w:tr>
        <w:trPr>
          <w:trHeight w:val="169"/>
        </w:trPr>
        <w:tc>
          <w:tcPr>
            <w:tcW w:w="5140" w:type="dxa"/>
            <w:vAlign w:val="bottom"/>
            <w:tcBorders>
              <w:bottom w:val="single" w:sz="8" w:color="A8A9AC"/>
            </w:tcBorders>
          </w:tcPr>
          <w:p>
            <w:pPr>
              <w:ind w:left="160"/>
              <w:spacing w:after="0" w:line="169" w:lineRule="exact"/>
              <w:rPr>
                <w:sz w:val="20"/>
                <w:szCs w:val="20"/>
                <w:color w:val="auto"/>
              </w:rPr>
            </w:pPr>
            <w:r>
              <w:rPr>
                <w:rFonts w:ascii="Arial" w:cs="Arial" w:eastAsia="Arial" w:hAnsi="Arial"/>
                <w:sz w:val="15"/>
                <w:szCs w:val="15"/>
                <w:color w:val="auto"/>
              </w:rPr>
              <w:t>Depreciation, depletion, amortization and accretion</w:t>
            </w:r>
          </w:p>
        </w:tc>
        <w:tc>
          <w:tcPr>
            <w:tcW w:w="140" w:type="dxa"/>
            <w:vAlign w:val="bottom"/>
            <w:tcBorders>
              <w:bottom w:val="single" w:sz="8" w:color="A8A9AC"/>
            </w:tcBorders>
          </w:tcPr>
          <w:p>
            <w:pPr>
              <w:spacing w:after="0"/>
              <w:rPr>
                <w:sz w:val="14"/>
                <w:szCs w:val="14"/>
                <w:color w:val="auto"/>
              </w:rPr>
            </w:pPr>
          </w:p>
        </w:tc>
        <w:tc>
          <w:tcPr>
            <w:tcW w:w="24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(5,038)</w:t>
            </w:r>
          </w:p>
        </w:tc>
        <w:tc>
          <w:tcPr>
            <w:tcW w:w="3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(2,850)</w:t>
            </w:r>
          </w:p>
        </w:tc>
        <w:tc>
          <w:tcPr>
            <w:tcW w:w="36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(1,746)</w:t>
            </w:r>
          </w:p>
        </w:tc>
        <w:tc>
          <w:tcPr>
            <w:tcW w:w="42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(1,344)</w:t>
            </w:r>
          </w:p>
        </w:tc>
        <w:tc>
          <w:tcPr>
            <w:tcW w:w="360" w:type="dxa"/>
            <w:vAlign w:val="bottom"/>
            <w:tcBorders>
              <w:bottom w:val="single" w:sz="8" w:color="A8A9AC"/>
            </w:tcBorders>
          </w:tcPr>
          <w:p>
            <w:pPr>
              <w:spacing w:after="0"/>
              <w:rPr>
                <w:sz w:val="14"/>
                <w:szCs w:val="14"/>
                <w:color w:val="auto"/>
              </w:rPr>
            </w:pPr>
          </w:p>
        </w:tc>
        <w:tc>
          <w:tcPr>
            <w:tcW w:w="760" w:type="dxa"/>
            <w:vAlign w:val="bottom"/>
            <w:tcBorders>
              <w:bottom w:val="single" w:sz="8" w:color="A8A9AC"/>
            </w:tcBorders>
          </w:tcPr>
          <w:p>
            <w:pPr>
              <w:jc w:val="right"/>
              <w:ind w:right="4"/>
              <w:spacing w:after="0" w:line="169" w:lineRule="exact"/>
              <w:rPr>
                <w:sz w:val="20"/>
                <w:szCs w:val="20"/>
                <w:color w:val="auto"/>
              </w:rPr>
            </w:pPr>
            <w:r>
              <w:rPr>
                <w:rFonts w:ascii="Arial" w:cs="Arial" w:eastAsia="Arial" w:hAnsi="Arial"/>
                <w:sz w:val="15"/>
                <w:szCs w:val="15"/>
                <w:color w:val="auto"/>
              </w:rPr>
              <w:t>(1,275)</w:t>
            </w:r>
          </w:p>
        </w:tc>
      </w:tr>
      <w:tr>
        <w:trPr>
          <w:trHeight w:val="169"/>
        </w:trPr>
        <w:tc>
          <w:tcPr>
            <w:tcW w:w="51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Adjusted EBIT</w:t>
            </w:r>
          </w:p>
        </w:tc>
        <w:tc>
          <w:tcPr>
            <w:tcW w:w="380" w:type="dxa"/>
            <w:vAlign w:val="bottom"/>
            <w:tcBorders>
              <w:bottom w:val="single" w:sz="8" w:color="A8A9AC"/>
            </w:tcBorders>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5,243</w:t>
            </w:r>
          </w:p>
        </w:tc>
        <w:tc>
          <w:tcPr>
            <w:tcW w:w="34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4,843</w:t>
            </w:r>
          </w:p>
        </w:tc>
        <w:tc>
          <w:tcPr>
            <w:tcW w:w="360" w:type="dxa"/>
            <w:vAlign w:val="bottom"/>
            <w:tcBorders>
              <w:bottom w:val="single" w:sz="8" w:color="A8A9AC"/>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4,643</w:t>
            </w:r>
          </w:p>
        </w:tc>
        <w:tc>
          <w:tcPr>
            <w:tcW w:w="420" w:type="dxa"/>
            <w:vAlign w:val="bottom"/>
            <w:tcBorders>
              <w:bottom w:val="single" w:sz="8" w:color="A8A9AC"/>
            </w:tcBorders>
          </w:tcPr>
          <w:p>
            <w:pPr>
              <w:jc w:val="right"/>
              <w:ind w:right="144"/>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5,868</w:t>
            </w:r>
          </w:p>
        </w:tc>
        <w:tc>
          <w:tcPr>
            <w:tcW w:w="36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2,963</w:t>
            </w:r>
          </w:p>
        </w:tc>
      </w:tr>
      <w:tr>
        <w:trPr>
          <w:trHeight w:val="169"/>
        </w:trPr>
        <w:tc>
          <w:tcPr>
            <w:tcW w:w="5140" w:type="dxa"/>
            <w:vAlign w:val="bottom"/>
            <w:tcBorders>
              <w:bottom w:val="single" w:sz="8" w:color="A8A9AC"/>
            </w:tcBorders>
          </w:tcPr>
          <w:p>
            <w:pPr>
              <w:ind w:left="160"/>
              <w:spacing w:after="0" w:line="169" w:lineRule="exact"/>
              <w:rPr>
                <w:sz w:val="20"/>
                <w:szCs w:val="20"/>
                <w:color w:val="auto"/>
              </w:rPr>
            </w:pPr>
            <w:r>
              <w:rPr>
                <w:rFonts w:ascii="Arial" w:cs="Arial" w:eastAsia="Arial" w:hAnsi="Arial"/>
                <w:sz w:val="15"/>
                <w:szCs w:val="15"/>
                <w:color w:val="auto"/>
              </w:rPr>
              <w:t>Adjustment for effect of Endeavor Merger</w:t>
            </w:r>
          </w:p>
        </w:tc>
        <w:tc>
          <w:tcPr>
            <w:tcW w:w="140" w:type="dxa"/>
            <w:vAlign w:val="bottom"/>
            <w:tcBorders>
              <w:bottom w:val="single" w:sz="8" w:color="A8A9AC"/>
            </w:tcBorders>
          </w:tcPr>
          <w:p>
            <w:pPr>
              <w:spacing w:after="0"/>
              <w:rPr>
                <w:sz w:val="14"/>
                <w:szCs w:val="14"/>
                <w:color w:val="auto"/>
              </w:rPr>
            </w:pPr>
          </w:p>
        </w:tc>
        <w:tc>
          <w:tcPr>
            <w:tcW w:w="24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w:t>
            </w:r>
          </w:p>
        </w:tc>
        <w:tc>
          <w:tcPr>
            <w:tcW w:w="3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(608)</w:t>
            </w:r>
          </w:p>
        </w:tc>
        <w:tc>
          <w:tcPr>
            <w:tcW w:w="36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w:t>
            </w:r>
          </w:p>
        </w:tc>
        <w:tc>
          <w:tcPr>
            <w:tcW w:w="360" w:type="dxa"/>
            <w:vAlign w:val="bottom"/>
            <w:tcBorders>
              <w:bottom w:val="single" w:sz="8" w:color="A8A9AC"/>
            </w:tcBorders>
          </w:tcPr>
          <w:p>
            <w:pPr>
              <w:spacing w:after="0"/>
              <w:rPr>
                <w:sz w:val="14"/>
                <w:szCs w:val="14"/>
                <w:color w:val="auto"/>
              </w:rPr>
            </w:pP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w:t>
            </w:r>
          </w:p>
        </w:tc>
      </w:tr>
      <w:tr>
        <w:trPr>
          <w:trHeight w:val="169"/>
        </w:trPr>
        <w:tc>
          <w:tcPr>
            <w:tcW w:w="51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Further Adjusted EBIT</w:t>
            </w:r>
          </w:p>
        </w:tc>
        <w:tc>
          <w:tcPr>
            <w:tcW w:w="380" w:type="dxa"/>
            <w:vAlign w:val="bottom"/>
            <w:tcBorders>
              <w:bottom w:val="single" w:sz="8" w:color="A8A9AC"/>
            </w:tcBorders>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5,243</w:t>
            </w:r>
          </w:p>
        </w:tc>
        <w:tc>
          <w:tcPr>
            <w:tcW w:w="34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4,235</w:t>
            </w:r>
          </w:p>
        </w:tc>
        <w:tc>
          <w:tcPr>
            <w:tcW w:w="360" w:type="dxa"/>
            <w:vAlign w:val="bottom"/>
            <w:tcBorders>
              <w:bottom w:val="single" w:sz="8" w:color="A8A9AC"/>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4,643</w:t>
            </w:r>
          </w:p>
        </w:tc>
        <w:tc>
          <w:tcPr>
            <w:tcW w:w="420" w:type="dxa"/>
            <w:vAlign w:val="bottom"/>
            <w:tcBorders>
              <w:bottom w:val="single" w:sz="8" w:color="A8A9AC"/>
            </w:tcBorders>
          </w:tcPr>
          <w:p>
            <w:pPr>
              <w:jc w:val="right"/>
              <w:ind w:right="144"/>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5,868</w:t>
            </w:r>
          </w:p>
        </w:tc>
        <w:tc>
          <w:tcPr>
            <w:tcW w:w="36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2,963</w:t>
            </w:r>
          </w:p>
        </w:tc>
      </w:tr>
      <w:tr>
        <w:trPr>
          <w:trHeight w:val="169"/>
        </w:trPr>
        <w:tc>
          <w:tcPr>
            <w:tcW w:w="5140" w:type="dxa"/>
            <w:vAlign w:val="bottom"/>
            <w:tcBorders>
              <w:bottom w:val="single" w:sz="8" w:color="A8A9AC"/>
            </w:tcBorders>
          </w:tcPr>
          <w:p>
            <w:pPr>
              <w:spacing w:after="0"/>
              <w:rPr>
                <w:sz w:val="14"/>
                <w:szCs w:val="14"/>
                <w:color w:val="auto"/>
              </w:rPr>
            </w:pPr>
          </w:p>
        </w:tc>
        <w:tc>
          <w:tcPr>
            <w:tcW w:w="140" w:type="dxa"/>
            <w:vAlign w:val="bottom"/>
            <w:tcBorders>
              <w:bottom w:val="single" w:sz="8" w:color="A8A9AC"/>
            </w:tcBorders>
          </w:tcPr>
          <w:p>
            <w:pPr>
              <w:spacing w:after="0"/>
              <w:rPr>
                <w:sz w:val="14"/>
                <w:szCs w:val="14"/>
                <w:color w:val="auto"/>
              </w:rPr>
            </w:pPr>
          </w:p>
        </w:tc>
        <w:tc>
          <w:tcPr>
            <w:tcW w:w="24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spacing w:after="0"/>
              <w:rPr>
                <w:sz w:val="14"/>
                <w:szCs w:val="14"/>
                <w:color w:val="auto"/>
              </w:rPr>
            </w:pPr>
          </w:p>
        </w:tc>
        <w:tc>
          <w:tcPr>
            <w:tcW w:w="3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spacing w:after="0"/>
              <w:rPr>
                <w:sz w:val="14"/>
                <w:szCs w:val="14"/>
                <w:color w:val="auto"/>
              </w:rPr>
            </w:pPr>
          </w:p>
        </w:tc>
        <w:tc>
          <w:tcPr>
            <w:tcW w:w="36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spacing w:after="0"/>
              <w:rPr>
                <w:sz w:val="14"/>
                <w:szCs w:val="14"/>
                <w:color w:val="auto"/>
              </w:rPr>
            </w:pPr>
          </w:p>
        </w:tc>
        <w:tc>
          <w:tcPr>
            <w:tcW w:w="42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spacing w:after="0"/>
              <w:rPr>
                <w:sz w:val="14"/>
                <w:szCs w:val="14"/>
                <w:color w:val="auto"/>
              </w:rPr>
            </w:pPr>
          </w:p>
        </w:tc>
        <w:tc>
          <w:tcPr>
            <w:tcW w:w="360" w:type="dxa"/>
            <w:vAlign w:val="bottom"/>
            <w:tcBorders>
              <w:bottom w:val="single" w:sz="8" w:color="A8A9AC"/>
            </w:tcBorders>
          </w:tcPr>
          <w:p>
            <w:pPr>
              <w:spacing w:after="0"/>
              <w:rPr>
                <w:sz w:val="14"/>
                <w:szCs w:val="14"/>
                <w:color w:val="auto"/>
              </w:rPr>
            </w:pPr>
          </w:p>
        </w:tc>
        <w:tc>
          <w:tcPr>
            <w:tcW w:w="760" w:type="dxa"/>
            <w:vAlign w:val="bottom"/>
            <w:tcBorders>
              <w:bottom w:val="single" w:sz="8" w:color="A8A9AC"/>
            </w:tcBorders>
          </w:tcPr>
          <w:p>
            <w:pPr>
              <w:spacing w:after="0"/>
              <w:rPr>
                <w:sz w:val="14"/>
                <w:szCs w:val="14"/>
                <w:color w:val="auto"/>
              </w:rPr>
            </w:pPr>
          </w:p>
        </w:tc>
      </w:tr>
      <w:tr>
        <w:trPr>
          <w:trHeight w:val="169"/>
        </w:trPr>
        <w:tc>
          <w:tcPr>
            <w:tcW w:w="51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color w:val="auto"/>
              </w:rPr>
              <w:t>Total Assets</w:t>
            </w:r>
          </w:p>
        </w:tc>
        <w:tc>
          <w:tcPr>
            <w:tcW w:w="380" w:type="dxa"/>
            <w:vAlign w:val="bottom"/>
            <w:tcBorders>
              <w:bottom w:val="single" w:sz="8" w:color="A8A9AC"/>
            </w:tcBorders>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71,059</w:t>
            </w:r>
          </w:p>
        </w:tc>
        <w:tc>
          <w:tcPr>
            <w:tcW w:w="34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67,292</w:t>
            </w:r>
          </w:p>
        </w:tc>
        <w:tc>
          <w:tcPr>
            <w:tcW w:w="360" w:type="dxa"/>
            <w:vAlign w:val="bottom"/>
            <w:tcBorders>
              <w:bottom w:val="single" w:sz="8" w:color="A8A9AC"/>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29,001</w:t>
            </w:r>
          </w:p>
        </w:tc>
        <w:tc>
          <w:tcPr>
            <w:tcW w:w="420" w:type="dxa"/>
            <w:vAlign w:val="bottom"/>
            <w:tcBorders>
              <w:bottom w:val="single" w:sz="8" w:color="A8A9AC"/>
            </w:tcBorders>
          </w:tcPr>
          <w:p>
            <w:pPr>
              <w:jc w:val="right"/>
              <w:ind w:right="144"/>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26,209</w:t>
            </w:r>
          </w:p>
        </w:tc>
        <w:tc>
          <w:tcPr>
            <w:tcW w:w="36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22,898</w:t>
            </w:r>
          </w:p>
        </w:tc>
      </w:tr>
      <w:tr>
        <w:trPr>
          <w:trHeight w:val="169"/>
        </w:trPr>
        <w:tc>
          <w:tcPr>
            <w:tcW w:w="51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color w:val="auto"/>
              </w:rPr>
              <w:t>Current Liabilities</w:t>
            </w:r>
          </w:p>
        </w:tc>
        <w:tc>
          <w:tcPr>
            <w:tcW w:w="380" w:type="dxa"/>
            <w:vAlign w:val="bottom"/>
            <w:tcBorders>
              <w:bottom w:val="single" w:sz="8" w:color="A8A9AC"/>
            </w:tcBorders>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(4,600)</w:t>
            </w:r>
          </w:p>
        </w:tc>
        <w:tc>
          <w:tcPr>
            <w:tcW w:w="34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(4,811)</w:t>
            </w:r>
          </w:p>
        </w:tc>
        <w:tc>
          <w:tcPr>
            <w:tcW w:w="360" w:type="dxa"/>
            <w:vAlign w:val="bottom"/>
            <w:tcBorders>
              <w:bottom w:val="single" w:sz="8" w:color="A8A9AC"/>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(2,108)</w:t>
            </w:r>
          </w:p>
        </w:tc>
        <w:tc>
          <w:tcPr>
            <w:tcW w:w="420" w:type="dxa"/>
            <w:vAlign w:val="bottom"/>
            <w:tcBorders>
              <w:bottom w:val="single" w:sz="8" w:color="A8A9AC"/>
            </w:tcBorders>
          </w:tcPr>
          <w:p>
            <w:pPr>
              <w:jc w:val="right"/>
              <w:ind w:right="144"/>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(1,716)</w:t>
            </w:r>
          </w:p>
        </w:tc>
        <w:tc>
          <w:tcPr>
            <w:tcW w:w="36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4"/>
              <w:spacing w:after="0" w:line="169" w:lineRule="exact"/>
              <w:rPr>
                <w:sz w:val="20"/>
                <w:szCs w:val="20"/>
                <w:color w:val="auto"/>
              </w:rPr>
            </w:pPr>
            <w:r>
              <w:rPr>
                <w:rFonts w:ascii="Arial" w:cs="Arial" w:eastAsia="Arial" w:hAnsi="Arial"/>
                <w:sz w:val="15"/>
                <w:szCs w:val="15"/>
                <w:color w:val="auto"/>
              </w:rPr>
              <w:t>(1,438)</w:t>
            </w:r>
          </w:p>
        </w:tc>
      </w:tr>
      <w:tr>
        <w:trPr>
          <w:trHeight w:val="169"/>
        </w:trPr>
        <w:tc>
          <w:tcPr>
            <w:tcW w:w="51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color w:val="auto"/>
              </w:rPr>
              <w:t>Capital Employed</w:t>
            </w:r>
          </w:p>
        </w:tc>
        <w:tc>
          <w:tcPr>
            <w:tcW w:w="380" w:type="dxa"/>
            <w:vAlign w:val="bottom"/>
            <w:tcBorders>
              <w:bottom w:val="single" w:sz="8" w:color="A8A9AC"/>
            </w:tcBorders>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66,459</w:t>
            </w:r>
          </w:p>
        </w:tc>
        <w:tc>
          <w:tcPr>
            <w:tcW w:w="34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62,481</w:t>
            </w:r>
          </w:p>
        </w:tc>
        <w:tc>
          <w:tcPr>
            <w:tcW w:w="360" w:type="dxa"/>
            <w:vAlign w:val="bottom"/>
            <w:tcBorders>
              <w:bottom w:val="single" w:sz="8" w:color="A8A9AC"/>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26,893</w:t>
            </w:r>
          </w:p>
        </w:tc>
        <w:tc>
          <w:tcPr>
            <w:tcW w:w="420" w:type="dxa"/>
            <w:vAlign w:val="bottom"/>
            <w:tcBorders>
              <w:bottom w:val="single" w:sz="8" w:color="A8A9AC"/>
            </w:tcBorders>
          </w:tcPr>
          <w:p>
            <w:pPr>
              <w:jc w:val="right"/>
              <w:ind w:right="144"/>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24,493</w:t>
            </w:r>
          </w:p>
        </w:tc>
        <w:tc>
          <w:tcPr>
            <w:tcW w:w="36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21,460</w:t>
            </w:r>
          </w:p>
        </w:tc>
      </w:tr>
      <w:tr>
        <w:trPr>
          <w:trHeight w:val="169"/>
        </w:trPr>
        <w:tc>
          <w:tcPr>
            <w:tcW w:w="51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Average Capital Employed</w:t>
            </w:r>
          </w:p>
        </w:tc>
        <w:tc>
          <w:tcPr>
            <w:tcW w:w="380" w:type="dxa"/>
            <w:vAlign w:val="bottom"/>
            <w:tcBorders>
              <w:bottom w:val="single" w:sz="8" w:color="A8A9AC"/>
            </w:tcBorders>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64,470</w:t>
            </w:r>
          </w:p>
        </w:tc>
        <w:tc>
          <w:tcPr>
            <w:tcW w:w="34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44,687</w:t>
            </w:r>
          </w:p>
        </w:tc>
        <w:tc>
          <w:tcPr>
            <w:tcW w:w="360" w:type="dxa"/>
            <w:vAlign w:val="bottom"/>
            <w:tcBorders>
              <w:bottom w:val="single" w:sz="8" w:color="A8A9AC"/>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25,693</w:t>
            </w:r>
          </w:p>
        </w:tc>
        <w:tc>
          <w:tcPr>
            <w:tcW w:w="420" w:type="dxa"/>
            <w:vAlign w:val="bottom"/>
            <w:tcBorders>
              <w:bottom w:val="single" w:sz="8" w:color="A8A9AC"/>
            </w:tcBorders>
          </w:tcPr>
          <w:p>
            <w:pPr>
              <w:jc w:val="right"/>
              <w:ind w:right="144"/>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22,977</w:t>
            </w:r>
          </w:p>
        </w:tc>
        <w:tc>
          <w:tcPr>
            <w:tcW w:w="36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18,922</w:t>
            </w:r>
          </w:p>
        </w:tc>
      </w:tr>
      <w:tr>
        <w:trPr>
          <w:trHeight w:val="169"/>
        </w:trPr>
        <w:tc>
          <w:tcPr>
            <w:tcW w:w="5140" w:type="dxa"/>
            <w:vAlign w:val="bottom"/>
            <w:tcBorders>
              <w:bottom w:val="single" w:sz="8" w:color="A8A9AC"/>
            </w:tcBorders>
          </w:tcPr>
          <w:p>
            <w:pPr>
              <w:ind w:left="160"/>
              <w:spacing w:after="0" w:line="169" w:lineRule="exact"/>
              <w:rPr>
                <w:sz w:val="20"/>
                <w:szCs w:val="20"/>
                <w:color w:val="auto"/>
              </w:rPr>
            </w:pPr>
            <w:r>
              <w:rPr>
                <w:rFonts w:ascii="Arial" w:cs="Arial" w:eastAsia="Arial" w:hAnsi="Arial"/>
                <w:sz w:val="15"/>
                <w:szCs w:val="15"/>
                <w:color w:val="auto"/>
              </w:rPr>
              <w:t>Adjustment for effect of Endeavor Merger</w:t>
            </w:r>
          </w:p>
        </w:tc>
        <w:tc>
          <w:tcPr>
            <w:tcW w:w="140" w:type="dxa"/>
            <w:vAlign w:val="bottom"/>
            <w:tcBorders>
              <w:bottom w:val="single" w:sz="8" w:color="A8A9AC"/>
            </w:tcBorders>
          </w:tcPr>
          <w:p>
            <w:pPr>
              <w:spacing w:after="0"/>
              <w:rPr>
                <w:sz w:val="14"/>
                <w:szCs w:val="14"/>
                <w:color w:val="auto"/>
              </w:rPr>
            </w:pPr>
          </w:p>
        </w:tc>
        <w:tc>
          <w:tcPr>
            <w:tcW w:w="24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w:t>
            </w:r>
          </w:p>
        </w:tc>
        <w:tc>
          <w:tcPr>
            <w:tcW w:w="3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jc w:val="right"/>
              <w:ind w:right="124"/>
              <w:spacing w:after="0" w:line="169" w:lineRule="exact"/>
              <w:rPr>
                <w:sz w:val="20"/>
                <w:szCs w:val="20"/>
                <w:color w:val="auto"/>
              </w:rPr>
            </w:pPr>
            <w:r>
              <w:rPr>
                <w:rFonts w:ascii="Arial" w:cs="Arial" w:eastAsia="Arial" w:hAnsi="Arial"/>
                <w:sz w:val="15"/>
                <w:szCs w:val="15"/>
                <w:color w:val="auto"/>
              </w:rPr>
              <w:t>(17,240)</w:t>
            </w:r>
          </w:p>
        </w:tc>
        <w:tc>
          <w:tcPr>
            <w:tcW w:w="36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w:t>
            </w:r>
          </w:p>
        </w:tc>
        <w:tc>
          <w:tcPr>
            <w:tcW w:w="360" w:type="dxa"/>
            <w:vAlign w:val="bottom"/>
            <w:tcBorders>
              <w:bottom w:val="single" w:sz="8" w:color="A8A9AC"/>
            </w:tcBorders>
          </w:tcPr>
          <w:p>
            <w:pPr>
              <w:spacing w:after="0"/>
              <w:rPr>
                <w:sz w:val="14"/>
                <w:szCs w:val="14"/>
                <w:color w:val="auto"/>
              </w:rPr>
            </w:pP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w:t>
            </w:r>
          </w:p>
        </w:tc>
      </w:tr>
      <w:tr>
        <w:trPr>
          <w:trHeight w:val="169"/>
        </w:trPr>
        <w:tc>
          <w:tcPr>
            <w:tcW w:w="51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Further Adjusted Average Capital Employed</w:t>
            </w:r>
          </w:p>
        </w:tc>
        <w:tc>
          <w:tcPr>
            <w:tcW w:w="380" w:type="dxa"/>
            <w:vAlign w:val="bottom"/>
            <w:tcBorders>
              <w:bottom w:val="single" w:sz="8" w:color="A8A9AC"/>
            </w:tcBorders>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64,470</w:t>
            </w:r>
          </w:p>
        </w:tc>
        <w:tc>
          <w:tcPr>
            <w:tcW w:w="34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27,447</w:t>
            </w:r>
          </w:p>
        </w:tc>
        <w:tc>
          <w:tcPr>
            <w:tcW w:w="360" w:type="dxa"/>
            <w:vAlign w:val="bottom"/>
            <w:tcBorders>
              <w:bottom w:val="single" w:sz="8" w:color="A8A9AC"/>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25,693</w:t>
            </w:r>
          </w:p>
        </w:tc>
        <w:tc>
          <w:tcPr>
            <w:tcW w:w="420" w:type="dxa"/>
            <w:vAlign w:val="bottom"/>
            <w:tcBorders>
              <w:bottom w:val="single" w:sz="8" w:color="A8A9AC"/>
            </w:tcBorders>
          </w:tcPr>
          <w:p>
            <w:pPr>
              <w:jc w:val="right"/>
              <w:ind w:right="144"/>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8A9AC"/>
            </w:tcBorders>
          </w:tcPr>
          <w:p>
            <w:pPr>
              <w:jc w:val="right"/>
              <w:ind w:right="164"/>
              <w:spacing w:after="0" w:line="169" w:lineRule="exact"/>
              <w:rPr>
                <w:sz w:val="20"/>
                <w:szCs w:val="20"/>
                <w:color w:val="auto"/>
              </w:rPr>
            </w:pPr>
            <w:r>
              <w:rPr>
                <w:rFonts w:ascii="Arial" w:cs="Arial" w:eastAsia="Arial" w:hAnsi="Arial"/>
                <w:sz w:val="15"/>
                <w:szCs w:val="15"/>
                <w:color w:val="auto"/>
              </w:rPr>
              <w:t>22,977</w:t>
            </w:r>
          </w:p>
        </w:tc>
        <w:tc>
          <w:tcPr>
            <w:tcW w:w="360" w:type="dxa"/>
            <w:vAlign w:val="bottom"/>
            <w:tcBorders>
              <w:bottom w:val="single" w:sz="8" w:color="A8A9AC"/>
            </w:tcBorders>
          </w:tcPr>
          <w:p>
            <w:pPr>
              <w:jc w:val="right"/>
              <w:ind w:right="104"/>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8A9AC"/>
            </w:tcBorders>
          </w:tcPr>
          <w:p>
            <w:pPr>
              <w:jc w:val="right"/>
              <w:ind w:right="64"/>
              <w:spacing w:after="0" w:line="169" w:lineRule="exact"/>
              <w:rPr>
                <w:sz w:val="20"/>
                <w:szCs w:val="20"/>
                <w:color w:val="auto"/>
              </w:rPr>
            </w:pPr>
            <w:r>
              <w:rPr>
                <w:rFonts w:ascii="Arial" w:cs="Arial" w:eastAsia="Arial" w:hAnsi="Arial"/>
                <w:sz w:val="15"/>
                <w:szCs w:val="15"/>
                <w:color w:val="auto"/>
              </w:rPr>
              <w:t>18,922</w:t>
            </w:r>
          </w:p>
        </w:tc>
      </w:tr>
      <w:tr>
        <w:trPr>
          <w:trHeight w:val="169"/>
        </w:trPr>
        <w:tc>
          <w:tcPr>
            <w:tcW w:w="5140" w:type="dxa"/>
            <w:vAlign w:val="bottom"/>
            <w:tcBorders>
              <w:bottom w:val="single" w:sz="8" w:color="A8A9AC"/>
            </w:tcBorders>
          </w:tcPr>
          <w:p>
            <w:pPr>
              <w:spacing w:after="0"/>
              <w:rPr>
                <w:sz w:val="14"/>
                <w:szCs w:val="14"/>
                <w:color w:val="auto"/>
              </w:rPr>
            </w:pPr>
          </w:p>
        </w:tc>
        <w:tc>
          <w:tcPr>
            <w:tcW w:w="140" w:type="dxa"/>
            <w:vAlign w:val="bottom"/>
            <w:tcBorders>
              <w:bottom w:val="single" w:sz="8" w:color="A8A9AC"/>
            </w:tcBorders>
          </w:tcPr>
          <w:p>
            <w:pPr>
              <w:spacing w:after="0"/>
              <w:rPr>
                <w:sz w:val="14"/>
                <w:szCs w:val="14"/>
                <w:color w:val="auto"/>
              </w:rPr>
            </w:pPr>
          </w:p>
        </w:tc>
        <w:tc>
          <w:tcPr>
            <w:tcW w:w="24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spacing w:after="0"/>
              <w:rPr>
                <w:sz w:val="14"/>
                <w:szCs w:val="14"/>
                <w:color w:val="auto"/>
              </w:rPr>
            </w:pPr>
          </w:p>
        </w:tc>
        <w:tc>
          <w:tcPr>
            <w:tcW w:w="3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spacing w:after="0"/>
              <w:rPr>
                <w:sz w:val="14"/>
                <w:szCs w:val="14"/>
                <w:color w:val="auto"/>
              </w:rPr>
            </w:pPr>
          </w:p>
        </w:tc>
        <w:tc>
          <w:tcPr>
            <w:tcW w:w="36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spacing w:after="0"/>
              <w:rPr>
                <w:sz w:val="14"/>
                <w:szCs w:val="14"/>
                <w:color w:val="auto"/>
              </w:rPr>
            </w:pPr>
          </w:p>
        </w:tc>
        <w:tc>
          <w:tcPr>
            <w:tcW w:w="42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spacing w:after="0"/>
              <w:rPr>
                <w:sz w:val="14"/>
                <w:szCs w:val="14"/>
                <w:color w:val="auto"/>
              </w:rPr>
            </w:pPr>
          </w:p>
        </w:tc>
        <w:tc>
          <w:tcPr>
            <w:tcW w:w="360" w:type="dxa"/>
            <w:vAlign w:val="bottom"/>
            <w:tcBorders>
              <w:bottom w:val="single" w:sz="8" w:color="A8A9AC"/>
            </w:tcBorders>
          </w:tcPr>
          <w:p>
            <w:pPr>
              <w:spacing w:after="0"/>
              <w:rPr>
                <w:sz w:val="14"/>
                <w:szCs w:val="14"/>
                <w:color w:val="auto"/>
              </w:rPr>
            </w:pPr>
          </w:p>
        </w:tc>
        <w:tc>
          <w:tcPr>
            <w:tcW w:w="760" w:type="dxa"/>
            <w:vAlign w:val="bottom"/>
            <w:tcBorders>
              <w:bottom w:val="single" w:sz="8" w:color="A8A9AC"/>
            </w:tcBorders>
          </w:tcPr>
          <w:p>
            <w:pPr>
              <w:spacing w:after="0"/>
              <w:rPr>
                <w:sz w:val="14"/>
                <w:szCs w:val="14"/>
                <w:color w:val="auto"/>
              </w:rPr>
            </w:pPr>
          </w:p>
        </w:tc>
      </w:tr>
      <w:tr>
        <w:trPr>
          <w:trHeight w:val="169"/>
        </w:trPr>
        <w:tc>
          <w:tcPr>
            <w:tcW w:w="5140" w:type="dxa"/>
            <w:vAlign w:val="bottom"/>
            <w:tcBorders>
              <w:bottom w:val="single" w:sz="8" w:color="A8A9AC"/>
            </w:tcBorders>
          </w:tcPr>
          <w:p>
            <w:pPr>
              <w:ind w:left="60"/>
              <w:spacing w:after="0" w:line="169" w:lineRule="exact"/>
              <w:rPr>
                <w:sz w:val="20"/>
                <w:szCs w:val="20"/>
                <w:color w:val="auto"/>
              </w:rPr>
            </w:pPr>
            <w:r>
              <w:rPr>
                <w:rFonts w:ascii="Arial" w:cs="Arial" w:eastAsia="Arial" w:hAnsi="Arial"/>
                <w:sz w:val="15"/>
                <w:szCs w:val="15"/>
                <w:b w:val="1"/>
                <w:bCs w:val="1"/>
                <w:color w:val="auto"/>
              </w:rPr>
              <w:t>ROACE</w:t>
            </w:r>
          </w:p>
        </w:tc>
        <w:tc>
          <w:tcPr>
            <w:tcW w:w="140" w:type="dxa"/>
            <w:vAlign w:val="bottom"/>
            <w:tcBorders>
              <w:bottom w:val="single" w:sz="8" w:color="A8A9AC"/>
            </w:tcBorders>
          </w:tcPr>
          <w:p>
            <w:pPr>
              <w:spacing w:after="0"/>
              <w:rPr>
                <w:sz w:val="14"/>
                <w:szCs w:val="14"/>
                <w:color w:val="auto"/>
              </w:rPr>
            </w:pPr>
          </w:p>
        </w:tc>
        <w:tc>
          <w:tcPr>
            <w:tcW w:w="24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24"/>
              <w:spacing w:after="0" w:line="169" w:lineRule="exact"/>
              <w:rPr>
                <w:sz w:val="20"/>
                <w:szCs w:val="20"/>
                <w:color w:val="auto"/>
              </w:rPr>
            </w:pPr>
            <w:r>
              <w:rPr>
                <w:rFonts w:ascii="Arial" w:cs="Arial" w:eastAsia="Arial" w:hAnsi="Arial"/>
                <w:sz w:val="15"/>
                <w:szCs w:val="15"/>
                <w:color w:val="auto"/>
              </w:rPr>
              <w:t>8.1%</w:t>
            </w:r>
          </w:p>
        </w:tc>
        <w:tc>
          <w:tcPr>
            <w:tcW w:w="340" w:type="dxa"/>
            <w:vAlign w:val="bottom"/>
            <w:tcBorders>
              <w:bottom w:val="single" w:sz="8" w:color="A8A9AC"/>
            </w:tcBorders>
          </w:tcPr>
          <w:p>
            <w:pPr>
              <w:spacing w:after="0"/>
              <w:rPr>
                <w:sz w:val="14"/>
                <w:szCs w:val="14"/>
                <w:color w:val="auto"/>
              </w:rPr>
            </w:pPr>
          </w:p>
        </w:tc>
        <w:tc>
          <w:tcPr>
            <w:tcW w:w="900" w:type="dxa"/>
            <w:vAlign w:val="bottom"/>
            <w:tcBorders>
              <w:bottom w:val="single" w:sz="8" w:color="A8A9AC"/>
            </w:tcBorders>
          </w:tcPr>
          <w:p>
            <w:pPr>
              <w:jc w:val="right"/>
              <w:ind w:right="24"/>
              <w:spacing w:after="0" w:line="169" w:lineRule="exact"/>
              <w:rPr>
                <w:sz w:val="20"/>
                <w:szCs w:val="20"/>
                <w:color w:val="auto"/>
              </w:rPr>
            </w:pPr>
            <w:r>
              <w:rPr>
                <w:rFonts w:ascii="Arial" w:cs="Arial" w:eastAsia="Arial" w:hAnsi="Arial"/>
                <w:sz w:val="15"/>
                <w:szCs w:val="15"/>
                <w:color w:val="auto"/>
              </w:rPr>
              <w:t>10.8%</w:t>
            </w:r>
          </w:p>
        </w:tc>
        <w:tc>
          <w:tcPr>
            <w:tcW w:w="360" w:type="dxa"/>
            <w:vAlign w:val="bottom"/>
            <w:tcBorders>
              <w:bottom w:val="single" w:sz="8" w:color="A8A9AC"/>
            </w:tcBorders>
          </w:tcPr>
          <w:p>
            <w:pPr>
              <w:spacing w:after="0"/>
              <w:rPr>
                <w:sz w:val="14"/>
                <w:szCs w:val="14"/>
                <w:color w:val="auto"/>
              </w:rPr>
            </w:pPr>
          </w:p>
        </w:tc>
        <w:tc>
          <w:tcPr>
            <w:tcW w:w="880" w:type="dxa"/>
            <w:vAlign w:val="bottom"/>
            <w:tcBorders>
              <w:bottom w:val="single" w:sz="8" w:color="A8A9AC"/>
            </w:tcBorders>
          </w:tcPr>
          <w:p>
            <w:pPr>
              <w:jc w:val="right"/>
              <w:ind w:right="44"/>
              <w:spacing w:after="0" w:line="169" w:lineRule="exact"/>
              <w:rPr>
                <w:sz w:val="20"/>
                <w:szCs w:val="20"/>
                <w:color w:val="auto"/>
              </w:rPr>
            </w:pPr>
            <w:r>
              <w:rPr>
                <w:rFonts w:ascii="Arial" w:cs="Arial" w:eastAsia="Arial" w:hAnsi="Arial"/>
                <w:sz w:val="15"/>
                <w:szCs w:val="15"/>
                <w:color w:val="auto"/>
              </w:rPr>
              <w:t>18.1%</w:t>
            </w:r>
          </w:p>
        </w:tc>
        <w:tc>
          <w:tcPr>
            <w:tcW w:w="420" w:type="dxa"/>
            <w:vAlign w:val="bottom"/>
            <w:tcBorders>
              <w:bottom w:val="single" w:sz="8" w:color="A8A9AC"/>
            </w:tcBorders>
          </w:tcPr>
          <w:p>
            <w:pPr>
              <w:spacing w:after="0"/>
              <w:rPr>
                <w:sz w:val="14"/>
                <w:szCs w:val="14"/>
                <w:color w:val="auto"/>
              </w:rPr>
            </w:pPr>
          </w:p>
        </w:tc>
        <w:tc>
          <w:tcPr>
            <w:tcW w:w="820" w:type="dxa"/>
            <w:vAlign w:val="bottom"/>
            <w:tcBorders>
              <w:bottom w:val="single" w:sz="8" w:color="A8A9AC"/>
            </w:tcBorders>
          </w:tcPr>
          <w:p>
            <w:pPr>
              <w:jc w:val="right"/>
              <w:ind w:right="44"/>
              <w:spacing w:after="0" w:line="169" w:lineRule="exact"/>
              <w:rPr>
                <w:sz w:val="20"/>
                <w:szCs w:val="20"/>
                <w:color w:val="auto"/>
              </w:rPr>
            </w:pPr>
            <w:r>
              <w:rPr>
                <w:rFonts w:ascii="Arial" w:cs="Arial" w:eastAsia="Arial" w:hAnsi="Arial"/>
                <w:sz w:val="15"/>
                <w:szCs w:val="15"/>
                <w:color w:val="auto"/>
              </w:rPr>
              <w:t>25.5%</w:t>
            </w:r>
          </w:p>
        </w:tc>
        <w:tc>
          <w:tcPr>
            <w:tcW w:w="360" w:type="dxa"/>
            <w:vAlign w:val="bottom"/>
            <w:tcBorders>
              <w:bottom w:val="single" w:sz="8" w:color="A8A9AC"/>
            </w:tcBorders>
          </w:tcPr>
          <w:p>
            <w:pPr>
              <w:spacing w:after="0"/>
              <w:rPr>
                <w:sz w:val="14"/>
                <w:szCs w:val="14"/>
                <w:color w:val="auto"/>
              </w:rPr>
            </w:pPr>
          </w:p>
        </w:tc>
        <w:tc>
          <w:tcPr>
            <w:tcW w:w="760" w:type="dxa"/>
            <w:vAlign w:val="bottom"/>
            <w:tcBorders>
              <w:bottom w:val="single" w:sz="8" w:color="A8A9AC"/>
            </w:tcBorders>
          </w:tcPr>
          <w:p>
            <w:pPr>
              <w:jc w:val="right"/>
              <w:spacing w:after="0" w:line="169" w:lineRule="exact"/>
              <w:rPr>
                <w:sz w:val="20"/>
                <w:szCs w:val="20"/>
                <w:color w:val="auto"/>
              </w:rPr>
            </w:pPr>
            <w:r>
              <w:rPr>
                <w:rFonts w:ascii="Arial" w:cs="Arial" w:eastAsia="Arial" w:hAnsi="Arial"/>
                <w:sz w:val="15"/>
                <w:szCs w:val="15"/>
                <w:color w:val="auto"/>
              </w:rPr>
              <w:t>15.7%</w:t>
            </w:r>
          </w:p>
        </w:tc>
      </w:tr>
      <w:tr>
        <w:trPr>
          <w:trHeight w:val="169"/>
        </w:trPr>
        <w:tc>
          <w:tcPr>
            <w:tcW w:w="5140" w:type="dxa"/>
            <w:vAlign w:val="bottom"/>
            <w:tcBorders>
              <w:bottom w:val="single" w:sz="8" w:color="A26D29"/>
            </w:tcBorders>
          </w:tcPr>
          <w:p>
            <w:pPr>
              <w:ind w:left="60"/>
              <w:spacing w:after="0" w:line="169" w:lineRule="exact"/>
              <w:rPr>
                <w:sz w:val="20"/>
                <w:szCs w:val="20"/>
                <w:color w:val="auto"/>
              </w:rPr>
            </w:pPr>
            <w:r>
              <w:rPr>
                <w:rFonts w:ascii="Arial" w:cs="Arial" w:eastAsia="Arial" w:hAnsi="Arial"/>
                <w:sz w:val="15"/>
                <w:szCs w:val="15"/>
                <w:b w:val="1"/>
                <w:bCs w:val="1"/>
                <w:color w:val="auto"/>
              </w:rPr>
              <w:t>Adjusted ROACE</w:t>
            </w:r>
          </w:p>
        </w:tc>
        <w:tc>
          <w:tcPr>
            <w:tcW w:w="140" w:type="dxa"/>
            <w:vAlign w:val="bottom"/>
            <w:tcBorders>
              <w:bottom w:val="single" w:sz="8" w:color="A26D29"/>
            </w:tcBorders>
          </w:tcPr>
          <w:p>
            <w:pPr>
              <w:spacing w:after="0"/>
              <w:rPr>
                <w:sz w:val="14"/>
                <w:szCs w:val="14"/>
                <w:color w:val="auto"/>
              </w:rPr>
            </w:pPr>
          </w:p>
        </w:tc>
        <w:tc>
          <w:tcPr>
            <w:tcW w:w="240" w:type="dxa"/>
            <w:vAlign w:val="bottom"/>
            <w:tcBorders>
              <w:bottom w:val="single" w:sz="8" w:color="A26D29"/>
            </w:tcBorders>
          </w:tcPr>
          <w:p>
            <w:pPr>
              <w:spacing w:after="0"/>
              <w:rPr>
                <w:sz w:val="14"/>
                <w:szCs w:val="14"/>
                <w:color w:val="auto"/>
              </w:rPr>
            </w:pPr>
          </w:p>
        </w:tc>
        <w:tc>
          <w:tcPr>
            <w:tcW w:w="880" w:type="dxa"/>
            <w:vAlign w:val="bottom"/>
            <w:tcBorders>
              <w:bottom w:val="single" w:sz="8" w:color="A26D29"/>
            </w:tcBorders>
          </w:tcPr>
          <w:p>
            <w:pPr>
              <w:jc w:val="right"/>
              <w:ind w:right="24"/>
              <w:spacing w:after="0" w:line="169" w:lineRule="exact"/>
              <w:rPr>
                <w:sz w:val="20"/>
                <w:szCs w:val="20"/>
                <w:color w:val="auto"/>
              </w:rPr>
            </w:pPr>
            <w:r>
              <w:rPr>
                <w:rFonts w:ascii="Arial" w:cs="Arial" w:eastAsia="Arial" w:hAnsi="Arial"/>
                <w:sz w:val="15"/>
                <w:szCs w:val="15"/>
                <w:color w:val="auto"/>
              </w:rPr>
              <w:t>8.1%</w:t>
            </w:r>
          </w:p>
        </w:tc>
        <w:tc>
          <w:tcPr>
            <w:tcW w:w="340" w:type="dxa"/>
            <w:vAlign w:val="bottom"/>
            <w:tcBorders>
              <w:bottom w:val="single" w:sz="8" w:color="A26D29"/>
            </w:tcBorders>
          </w:tcPr>
          <w:p>
            <w:pPr>
              <w:spacing w:after="0"/>
              <w:rPr>
                <w:sz w:val="14"/>
                <w:szCs w:val="14"/>
                <w:color w:val="auto"/>
              </w:rPr>
            </w:pPr>
          </w:p>
        </w:tc>
        <w:tc>
          <w:tcPr>
            <w:tcW w:w="900" w:type="dxa"/>
            <w:vAlign w:val="bottom"/>
            <w:tcBorders>
              <w:bottom w:val="single" w:sz="8" w:color="A26D29"/>
            </w:tcBorders>
          </w:tcPr>
          <w:p>
            <w:pPr>
              <w:jc w:val="right"/>
              <w:ind w:right="24"/>
              <w:spacing w:after="0" w:line="169" w:lineRule="exact"/>
              <w:rPr>
                <w:sz w:val="20"/>
                <w:szCs w:val="20"/>
                <w:color w:val="auto"/>
              </w:rPr>
            </w:pPr>
            <w:r>
              <w:rPr>
                <w:rFonts w:ascii="Arial" w:cs="Arial" w:eastAsia="Arial" w:hAnsi="Arial"/>
                <w:sz w:val="15"/>
                <w:szCs w:val="15"/>
                <w:color w:val="auto"/>
              </w:rPr>
              <w:t>15.4%</w:t>
            </w:r>
          </w:p>
        </w:tc>
        <w:tc>
          <w:tcPr>
            <w:tcW w:w="360" w:type="dxa"/>
            <w:vAlign w:val="bottom"/>
            <w:tcBorders>
              <w:bottom w:val="single" w:sz="8" w:color="A26D29"/>
            </w:tcBorders>
          </w:tcPr>
          <w:p>
            <w:pPr>
              <w:spacing w:after="0"/>
              <w:rPr>
                <w:sz w:val="14"/>
                <w:szCs w:val="14"/>
                <w:color w:val="auto"/>
              </w:rPr>
            </w:pPr>
          </w:p>
        </w:tc>
        <w:tc>
          <w:tcPr>
            <w:tcW w:w="880" w:type="dxa"/>
            <w:vAlign w:val="bottom"/>
            <w:tcBorders>
              <w:bottom w:val="single" w:sz="8" w:color="A26D29"/>
            </w:tcBorders>
          </w:tcPr>
          <w:p>
            <w:pPr>
              <w:jc w:val="right"/>
              <w:ind w:right="44"/>
              <w:spacing w:after="0" w:line="169" w:lineRule="exact"/>
              <w:rPr>
                <w:sz w:val="20"/>
                <w:szCs w:val="20"/>
                <w:color w:val="auto"/>
              </w:rPr>
            </w:pPr>
            <w:r>
              <w:rPr>
                <w:rFonts w:ascii="Arial" w:cs="Arial" w:eastAsia="Arial" w:hAnsi="Arial"/>
                <w:sz w:val="15"/>
                <w:szCs w:val="15"/>
                <w:color w:val="auto"/>
              </w:rPr>
              <w:t>18.1%</w:t>
            </w:r>
          </w:p>
        </w:tc>
        <w:tc>
          <w:tcPr>
            <w:tcW w:w="420" w:type="dxa"/>
            <w:vAlign w:val="bottom"/>
            <w:tcBorders>
              <w:bottom w:val="single" w:sz="8" w:color="A26D29"/>
            </w:tcBorders>
          </w:tcPr>
          <w:p>
            <w:pPr>
              <w:spacing w:after="0"/>
              <w:rPr>
                <w:sz w:val="14"/>
                <w:szCs w:val="14"/>
                <w:color w:val="auto"/>
              </w:rPr>
            </w:pPr>
          </w:p>
        </w:tc>
        <w:tc>
          <w:tcPr>
            <w:tcW w:w="820" w:type="dxa"/>
            <w:vAlign w:val="bottom"/>
            <w:tcBorders>
              <w:bottom w:val="single" w:sz="8" w:color="A26D29"/>
            </w:tcBorders>
          </w:tcPr>
          <w:p>
            <w:pPr>
              <w:jc w:val="right"/>
              <w:ind w:right="44"/>
              <w:spacing w:after="0" w:line="169" w:lineRule="exact"/>
              <w:rPr>
                <w:sz w:val="20"/>
                <w:szCs w:val="20"/>
                <w:color w:val="auto"/>
              </w:rPr>
            </w:pPr>
            <w:r>
              <w:rPr>
                <w:rFonts w:ascii="Arial" w:cs="Arial" w:eastAsia="Arial" w:hAnsi="Arial"/>
                <w:sz w:val="15"/>
                <w:szCs w:val="15"/>
                <w:color w:val="auto"/>
              </w:rPr>
              <w:t>25.5%</w:t>
            </w:r>
          </w:p>
        </w:tc>
        <w:tc>
          <w:tcPr>
            <w:tcW w:w="360" w:type="dxa"/>
            <w:vAlign w:val="bottom"/>
            <w:tcBorders>
              <w:bottom w:val="single" w:sz="8" w:color="A26D29"/>
            </w:tcBorders>
          </w:tcPr>
          <w:p>
            <w:pPr>
              <w:spacing w:after="0"/>
              <w:rPr>
                <w:sz w:val="14"/>
                <w:szCs w:val="14"/>
                <w:color w:val="auto"/>
              </w:rPr>
            </w:pPr>
          </w:p>
        </w:tc>
        <w:tc>
          <w:tcPr>
            <w:tcW w:w="760" w:type="dxa"/>
            <w:vAlign w:val="bottom"/>
            <w:tcBorders>
              <w:bottom w:val="single" w:sz="8" w:color="A26D29"/>
            </w:tcBorders>
          </w:tcPr>
          <w:p>
            <w:pPr>
              <w:jc w:val="right"/>
              <w:spacing w:after="0" w:line="169" w:lineRule="exact"/>
              <w:rPr>
                <w:sz w:val="20"/>
                <w:szCs w:val="20"/>
                <w:color w:val="auto"/>
              </w:rPr>
            </w:pPr>
            <w:r>
              <w:rPr>
                <w:rFonts w:ascii="Arial" w:cs="Arial" w:eastAsia="Arial" w:hAnsi="Arial"/>
                <w:sz w:val="15"/>
                <w:szCs w:val="15"/>
                <w:color w:val="auto"/>
              </w:rPr>
              <w:t>15.7%</w:t>
            </w:r>
          </w:p>
        </w:tc>
      </w:tr>
    </w:tbl>
    <w:p>
      <w:pPr>
        <w:spacing w:after="0" w:line="164" w:lineRule="exact"/>
        <w:rPr>
          <w:sz w:val="20"/>
          <w:szCs w:val="20"/>
          <w:color w:val="auto"/>
        </w:rPr>
      </w:pPr>
    </w:p>
    <w:p>
      <w:pPr>
        <w:ind w:left="6500"/>
        <w:spacing w:after="0"/>
        <w:tabs>
          <w:tab w:leader="none" w:pos="10980" w:val="left"/>
        </w:tabs>
        <w:rPr>
          <w:sz w:val="20"/>
          <w:szCs w:val="20"/>
          <w:color w:val="auto"/>
        </w:rPr>
      </w:pPr>
      <w:r>
        <w:rPr>
          <w:rFonts w:ascii="Arial" w:cs="Arial" w:eastAsia="Arial" w:hAnsi="Arial"/>
          <w:sz w:val="15"/>
          <w:szCs w:val="15"/>
          <w:b w:val="1"/>
          <w:bCs w:val="1"/>
          <w:i w:val="1"/>
          <w:iCs w:val="1"/>
          <w:color w:val="auto"/>
        </w:rPr>
        <w:t xml:space="preserve">DIAMONDBACK ENERGY, INC. </w:t>
      </w:r>
      <w:r>
        <w:rPr>
          <w:rFonts w:ascii="Arial" w:cs="Arial" w:eastAsia="Arial" w:hAnsi="Arial"/>
          <w:sz w:val="15"/>
          <w:szCs w:val="15"/>
          <w:color w:val="A9690D"/>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PROXY STATEMENT</w:t>
      </w:r>
      <w:r>
        <w:rPr>
          <w:sz w:val="20"/>
          <w:szCs w:val="20"/>
          <w:color w:val="auto"/>
        </w:rPr>
        <w:tab/>
      </w:r>
      <w:r>
        <w:rPr>
          <w:rFonts w:ascii="Arial" w:cs="Arial" w:eastAsia="Arial" w:hAnsi="Arial"/>
          <w:sz w:val="14"/>
          <w:szCs w:val="14"/>
          <w:b w:val="1"/>
          <w:b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141210" cy="317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1210" cy="3175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41210" cy="8528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1210" cy="8528050"/>
                    </a:xfrm>
                    <a:prstGeom prst="rect">
                      <a:avLst/>
                    </a:prstGeom>
                    <a:noFill/>
                  </pic:spPr>
                </pic:pic>
              </a:graphicData>
            </a:graphic>
          </wp:anchor>
        </w:drawing>
      </w:r>
    </w:p>
    <w:p>
      <w:pPr>
        <w:sectPr>
          <w:pgSz w:w="11900" w:h="16838" w:orient="portrait"/>
          <w:cols w:equalWidth="0" w:num="1">
            <w:col w:w="10139"/>
          </w:cols>
          <w:pgMar w:left="320" w:top="231" w:right="1440"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41210" cy="84797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1210" cy="8479790"/>
                    </a:xfrm>
                    <a:prstGeom prst="rect">
                      <a:avLst/>
                    </a:prstGeom>
                    <a:noFill/>
                  </pic:spPr>
                </pic:pic>
              </a:graphicData>
            </a:graphic>
          </wp:anchor>
        </w:drawing>
      </w:r>
    </w:p>
    <w:p>
      <w:pPr>
        <w:sectPr>
          <w:pgSz w:w="11900" w:h="16838" w:orient="portrait"/>
          <w:cols w:equalWidth="0" w:num="1">
            <w:col w:w="10139"/>
          </w:cols>
          <w:pgMar w:left="320" w:top="231" w:right="1440"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41210" cy="84715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1210" cy="8471535"/>
                    </a:xfrm>
                    <a:prstGeom prst="rect">
                      <a:avLst/>
                    </a:prstGeom>
                    <a:noFill/>
                  </pic:spPr>
                </pic:pic>
              </a:graphicData>
            </a:graphic>
          </wp:anchor>
        </w:drawing>
      </w:r>
    </w:p>
    <w:sectPr>
      <w:pgSz w:w="11900" w:h="16838" w:orient="portrait"/>
      <w:cols w:equalWidth="0" w:num="1">
        <w:col w:w="10139"/>
      </w:cols>
      <w:pgMar w:left="320" w:top="2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F2B15E"/>
    <w:multiLevelType w:val="hybridMultilevel"/>
    <w:lvl w:ilvl="0">
      <w:lvlJc w:val="left"/>
      <w:lvlText w:val="%1."/>
      <w:numFmt w:val="decimal"/>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1)"/>
      <w:numFmt w:val="decimal"/>
    </w:lvl>
    <w:lvl w:ilvl="1">
      <w:lvlJc w:val="left"/>
      <w:lvlText w:val="•"/>
      <w:numFmt w:val="bullet"/>
      <w:start w:val="1"/>
    </w:lvl>
  </w:abstractNum>
  <w:abstractNum w:abstractNumId="5">
    <w:nsid w:val="60B6DF70"/>
    <w:multiLevelType w:val="hybridMultilevel"/>
    <w:lvl w:ilvl="0">
      <w:lvlJc w:val="left"/>
      <w:lvlText w:val="(%1)"/>
      <w:numFmt w:val="decimal"/>
      <w:start w:val="1"/>
    </w:lvl>
  </w:abstractNum>
  <w:abstractNum w:abstractNumId="6">
    <w:nsid w:val="6A5EE64"/>
    <w:multiLevelType w:val="hybridMultilevel"/>
    <w:lvl w:ilvl="0">
      <w:lvlJc w:val="left"/>
      <w:lvlText w:val="\emdash "/>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
      <w:numFmt w:val="bullet"/>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emdash "/>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emdash "/>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emdash "/>
      <w:numFmt w:val="bullet"/>
      <w:start w:val="1"/>
    </w:lvl>
  </w:abstractNum>
  <w:abstractNum w:abstractNumId="37">
    <w:nsid w:val="50801EE1"/>
    <w:multiLevelType w:val="hybridMultilevel"/>
    <w:lvl w:ilvl="0">
      <w:lvlJc w:val="left"/>
      <w:lvlText w:val="\emdash "/>
      <w:numFmt w:val="bullet"/>
      <w:start w:val="1"/>
    </w:lvl>
  </w:abstractNum>
  <w:abstractNum w:abstractNumId="38">
    <w:nsid w:val="488AC1A"/>
    <w:multiLevelType w:val="hybridMultilevel"/>
    <w:lvl w:ilvl="0">
      <w:lvlJc w:val="left"/>
      <w:lvlText w:val="\emdash "/>
      <w:numFmt w:val="bullet"/>
      <w:start w:val="1"/>
    </w:lvl>
  </w:abstractNum>
  <w:abstractNum w:abstractNumId="39">
    <w:nsid w:val="5FB8011C"/>
    <w:multiLevelType w:val="hybridMultilevel"/>
    <w:lvl w:ilvl="0">
      <w:lvlJc w:val="left"/>
      <w:lvlText w:val="•"/>
      <w:numFmt w:val="bullet"/>
      <w:start w:val="1"/>
    </w:lvl>
  </w:abstractNum>
  <w:abstractNum w:abstractNumId="40">
    <w:nsid w:val="6AA78F7F"/>
    <w:multiLevelType w:val="hybridMultilevel"/>
    <w:lvl w:ilvl="0">
      <w:lvlJc w:val="left"/>
      <w:lvlText w:val="\emdash "/>
      <w:numFmt w:val="bullet"/>
      <w:start w:val="1"/>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
      <w:numFmt w:val="bullet"/>
      <w:start w:val="1"/>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
      <w:numFmt w:val="bullet"/>
      <w:start w:val="1"/>
    </w:lvl>
  </w:abstractNum>
  <w:abstractNum w:abstractNumId="46">
    <w:nsid w:val="73A1821B"/>
    <w:multiLevelType w:val="hybridMultilevel"/>
    <w:lvl w:ilvl="0">
      <w:lvlJc w:val="left"/>
      <w:lvlText w:val="\emdash "/>
      <w:numFmt w:val="bullet"/>
      <w:start w:val="1"/>
    </w:lvl>
  </w:abstractNum>
  <w:abstractNum w:abstractNumId="47">
    <w:nsid w:val="7DE67713"/>
    <w:multiLevelType w:val="hybridMultilevel"/>
    <w:lvl w:ilvl="0">
      <w:lvlJc w:val="left"/>
      <w:lvlText w:val="•"/>
      <w:numFmt w:val="bullet"/>
      <w:start w:val="1"/>
    </w:lvl>
  </w:abstractNum>
  <w:abstractNum w:abstractNumId="48">
    <w:nsid w:val="555C55B5"/>
    <w:multiLevelType w:val="hybridMultilevel"/>
    <w:lvl w:ilvl="0">
      <w:lvlJc w:val="left"/>
      <w:lvlText w:val="\emdash "/>
      <w:numFmt w:val="bullet"/>
      <w:start w:val="1"/>
    </w:lvl>
  </w:abstractNum>
  <w:abstractNum w:abstractNumId="49">
    <w:nsid w:val="3FA62ACA"/>
    <w:multiLevelType w:val="hybridMultilevel"/>
    <w:lvl w:ilvl="0">
      <w:lvlJc w:val="left"/>
      <w:lvlText w:val="\emdash "/>
      <w:numFmt w:val="bullet"/>
      <w:start w:val="1"/>
    </w:lvl>
  </w:abstractNum>
  <w:abstractNum w:abstractNumId="50">
    <w:nsid w:val="14FCE74E"/>
    <w:multiLevelType w:val="hybridMultilevel"/>
    <w:lvl w:ilvl="0">
      <w:lvlJc w:val="left"/>
      <w:lvlText w:val="•"/>
      <w:numFmt w:val="bullet"/>
      <w:start w:val="1"/>
    </w:lvl>
  </w:abstractNum>
  <w:abstractNum w:abstractNumId="51">
    <w:nsid w:val="6A3DD3E8"/>
    <w:multiLevelType w:val="hybridMultilevel"/>
    <w:lvl w:ilvl="0">
      <w:lvlJc w:val="left"/>
      <w:lvlText w:val="•"/>
      <w:numFmt w:val="bullet"/>
      <w:start w:val="1"/>
    </w:lvl>
  </w:abstractNum>
  <w:abstractNum w:abstractNumId="52">
    <w:nsid w:val="71C91298"/>
    <w:multiLevelType w:val="hybridMultilevel"/>
    <w:lvl w:ilvl="0">
      <w:lvlJc w:val="left"/>
      <w:lvlText w:val="\emdash "/>
      <w:numFmt w:val="bullet"/>
      <w:start w:val="1"/>
    </w:lvl>
  </w:abstractNum>
  <w:abstractNum w:abstractNumId="53">
    <w:nsid w:val="9DAF632"/>
    <w:multiLevelType w:val="hybridMultilevel"/>
    <w:lvl w:ilvl="0">
      <w:lvlJc w:val="left"/>
      <w:lvlText w:val="\emdash "/>
      <w:numFmt w:val="bullet"/>
      <w:start w:val="1"/>
    </w:lvl>
  </w:abstractNum>
  <w:abstractNum w:abstractNumId="54">
    <w:nsid w:val="53299938"/>
    <w:multiLevelType w:val="hybridMultilevel"/>
    <w:lvl w:ilvl="0">
      <w:lvlJc w:val="left"/>
      <w:lvlText w:val="\emdash "/>
      <w:numFmt w:val="bullet"/>
      <w:start w:val="1"/>
    </w:lvl>
  </w:abstractNum>
  <w:abstractNum w:abstractNumId="55">
    <w:nsid w:val="1FBFE8E0"/>
    <w:multiLevelType w:val="hybridMultilevel"/>
    <w:lvl w:ilvl="0">
      <w:lvlJc w:val="left"/>
      <w:lvlText w:val="\emdash "/>
      <w:numFmt w:val="bullet"/>
      <w:start w:val="1"/>
    </w:lvl>
  </w:abstractNum>
  <w:abstractNum w:abstractNumId="56">
    <w:nsid w:val="5092CA79"/>
    <w:multiLevelType w:val="hybridMultilevel"/>
    <w:lvl w:ilvl="0">
      <w:lvlJc w:val="left"/>
      <w:lvlText w:val="\emdash "/>
      <w:numFmt w:val="bullet"/>
      <w:start w:val="1"/>
    </w:lvl>
  </w:abstractNum>
  <w:abstractNum w:abstractNumId="57">
    <w:nsid w:val="1D545C4D"/>
    <w:multiLevelType w:val="hybridMultilevel"/>
    <w:lvl w:ilvl="0">
      <w:lvlJc w:val="left"/>
      <w:lvlText w:val="•"/>
      <w:numFmt w:val="bullet"/>
      <w:start w:val="1"/>
    </w:lvl>
  </w:abstractNum>
  <w:abstractNum w:abstractNumId="58">
    <w:nsid w:val="59ADEA3D"/>
    <w:multiLevelType w:val="hybridMultilevel"/>
    <w:lvl w:ilvl="0">
      <w:lvlJc w:val="left"/>
      <w:lvlText w:val="•"/>
      <w:numFmt w:val="bullet"/>
      <w:start w:val="1"/>
    </w:lvl>
  </w:abstractNum>
  <w:abstractNum w:abstractNumId="59">
    <w:nsid w:val="288F1A34"/>
    <w:multiLevelType w:val="hybridMultilevel"/>
    <w:lvl w:ilvl="0">
      <w:lvlJc w:val="left"/>
      <w:lvlText w:val="•"/>
      <w:numFmt w:val="bullet"/>
      <w:start w:val="1"/>
    </w:lvl>
  </w:abstractNum>
  <w:abstractNum w:abstractNumId="60">
    <w:nsid w:val="2A155DBC"/>
    <w:multiLevelType w:val="hybridMultilevel"/>
    <w:lvl w:ilvl="0">
      <w:lvlJc w:val="left"/>
      <w:lvlText w:val="•"/>
      <w:numFmt w:val="bullet"/>
      <w:start w:val="1"/>
    </w:lvl>
  </w:abstractNum>
  <w:abstractNum w:abstractNumId="61">
    <w:nsid w:val="1D9F6E5F"/>
    <w:multiLevelType w:val="hybridMultilevel"/>
    <w:lvl w:ilvl="0">
      <w:lvlJc w:val="left"/>
      <w:lvlText w:val="•"/>
      <w:numFmt w:val="bullet"/>
      <w:start w:val="1"/>
    </w:lvl>
  </w:abstractNum>
  <w:abstractNum w:abstractNumId="62">
    <w:nsid w:val="97E1B4E"/>
    <w:multiLevelType w:val="hybridMultilevel"/>
    <w:lvl w:ilvl="0">
      <w:lvlJc w:val="left"/>
      <w:lvlText w:val="(%1)"/>
      <w:numFmt w:val="decimal"/>
      <w:start w:val="1"/>
    </w:lvl>
  </w:abstractNum>
  <w:abstractNum w:abstractNumId="63">
    <w:nsid w:val="51088277"/>
    <w:multiLevelType w:val="hybridMultilevel"/>
    <w:lvl w:ilvl="0">
      <w:lvlJc w:val="left"/>
      <w:lvlText w:val="\emdash "/>
      <w:numFmt w:val="bullet"/>
      <w:start w:val="1"/>
    </w:lvl>
  </w:abstractNum>
  <w:abstractNum w:abstractNumId="64">
    <w:nsid w:val="1CA0C5FA"/>
    <w:multiLevelType w:val="hybridMultilevel"/>
    <w:lvl w:ilvl="0">
      <w:lvlJc w:val="left"/>
      <w:lvlText w:val="*"/>
      <w:numFmt w:val="bullet"/>
      <w:start w:val="1"/>
    </w:lvl>
  </w:abstractNum>
  <w:abstractNum w:abstractNumId="65">
    <w:nsid w:val="53584BCB"/>
    <w:multiLevelType w:val="hybridMultilevel"/>
    <w:lvl w:ilvl="0">
      <w:lvlJc w:val="left"/>
      <w:lvlText w:val="\emdash "/>
      <w:numFmt w:val="bullet"/>
      <w:start w:val="1"/>
    </w:lvl>
  </w:abstractNum>
  <w:abstractNum w:abstractNumId="66">
    <w:nsid w:val="415E286C"/>
    <w:multiLevelType w:val="hybridMultilevel"/>
    <w:lvl w:ilvl="0">
      <w:lvlJc w:val="left"/>
      <w:lvlText w:val="\emdash "/>
      <w:numFmt w:val="bullet"/>
      <w:start w:val="1"/>
    </w:lvl>
  </w:abstractNum>
  <w:abstractNum w:abstractNumId="67">
    <w:nsid w:val="7C58FD05"/>
    <w:multiLevelType w:val="hybridMultilevel"/>
    <w:lvl w:ilvl="0">
      <w:lvlJc w:val="left"/>
      <w:lvlText w:val="•"/>
      <w:numFmt w:val="bullet"/>
      <w:start w:val="1"/>
    </w:lvl>
  </w:abstractNum>
  <w:abstractNum w:abstractNumId="68">
    <w:nsid w:val="23D86AAC"/>
    <w:multiLevelType w:val="hybridMultilevel"/>
    <w:lvl w:ilvl="0">
      <w:lvlJc w:val="left"/>
      <w:lvlText w:val="\emdash "/>
      <w:numFmt w:val="bullet"/>
      <w:start w:val="1"/>
    </w:lvl>
  </w:abstractNum>
  <w:abstractNum w:abstractNumId="69">
    <w:nsid w:val="45E6D486"/>
    <w:multiLevelType w:val="hybridMultilevel"/>
    <w:lvl w:ilvl="0">
      <w:lvlJc w:val="left"/>
      <w:lvlText w:val="\emdash "/>
      <w:numFmt w:val="bullet"/>
      <w:start w:val="1"/>
    </w:lvl>
  </w:abstractNum>
  <w:abstractNum w:abstractNumId="70">
    <w:nsid w:val="5C10FE21"/>
    <w:multiLevelType w:val="hybridMultilevel"/>
    <w:lvl w:ilvl="0">
      <w:lvlJc w:val="left"/>
      <w:lvlText w:val="\emdash "/>
      <w:numFmt w:val="bullet"/>
      <w:start w:val="1"/>
    </w:lvl>
  </w:abstractNum>
  <w:abstractNum w:abstractNumId="71">
    <w:nsid w:val="E7FFA2B"/>
    <w:multiLevelType w:val="hybridMultilevel"/>
    <w:lvl w:ilvl="0">
      <w:lvlJc w:val="left"/>
      <w:lvlText w:val="(%1)"/>
      <w:numFmt w:val="decimal"/>
      <w:start w:val="1"/>
    </w:lvl>
  </w:abstractNum>
  <w:abstractNum w:abstractNumId="72">
    <w:nsid w:val="3C5991AA"/>
    <w:multiLevelType w:val="hybridMultilevel"/>
    <w:lvl w:ilvl="0">
      <w:lvlJc w:val="left"/>
      <w:lvlText w:val="•"/>
      <w:numFmt w:val="bullet"/>
      <w:start w:val="1"/>
    </w:lvl>
  </w:abstractNum>
  <w:abstractNum w:abstractNumId="73">
    <w:nsid w:val="4BD8591A"/>
    <w:multiLevelType w:val="hybridMultilevel"/>
    <w:lvl w:ilvl="0">
      <w:lvlJc w:val="left"/>
      <w:lvlText w:val="•"/>
      <w:numFmt w:val="bullet"/>
      <w:start w:val="1"/>
    </w:lvl>
  </w:abstractNum>
  <w:abstractNum w:abstractNumId="74">
    <w:nsid w:val="78DF6A55"/>
    <w:multiLevelType w:val="hybridMultilevel"/>
    <w:lvl w:ilvl="0">
      <w:lvlJc w:val="left"/>
      <w:lvlText w:val="(%1)"/>
      <w:numFmt w:val="decimal"/>
      <w:start w:val="1"/>
    </w:lvl>
  </w:abstractNum>
  <w:abstractNum w:abstractNumId="75">
    <w:nsid w:val="39B7AAA2"/>
    <w:multiLevelType w:val="hybridMultilevel"/>
    <w:lvl w:ilvl="0">
      <w:lvlJc w:val="left"/>
      <w:lvlText w:val="(%1)"/>
      <w:numFmt w:val="lowerRoman"/>
      <w:start w:val="1"/>
    </w:lvl>
  </w:abstractNum>
  <w:abstractNum w:abstractNumId="76">
    <w:nsid w:val="2B0D8DBE"/>
    <w:multiLevelType w:val="hybridMultilevel"/>
    <w:lvl w:ilvl="0">
      <w:lvlJc w:val="left"/>
      <w:lvlText w:val="•"/>
      <w:numFmt w:val="bullet"/>
      <w:start w:val="1"/>
    </w:lvl>
  </w:abstractNum>
  <w:abstractNum w:abstractNumId="77">
    <w:nsid w:val="6C80EC70"/>
    <w:multiLevelType w:val="hybridMultilevel"/>
    <w:lvl w:ilvl="0">
      <w:lvlJc w:val="left"/>
      <w:lvlText w:val="(%1)"/>
      <w:numFmt w:val="decimal"/>
      <w:start w:val="1"/>
    </w:lvl>
  </w:abstractNum>
  <w:abstractNum w:abstractNumId="78">
    <w:nsid w:val="379E21B5"/>
    <w:multiLevelType w:val="hybridMultilevel"/>
    <w:lvl w:ilvl="0">
      <w:lvlJc w:val="left"/>
      <w:lvlText w:val="(%1)"/>
      <w:numFmt w:val="decimal"/>
      <w:start w:val="1"/>
    </w:lvl>
  </w:abstractNum>
  <w:abstractNum w:abstractNumId="79">
    <w:nsid w:val="69E373"/>
    <w:multiLevelType w:val="hybridMultilevel"/>
    <w:lvl w:ilvl="0">
      <w:lvlJc w:val="left"/>
      <w:lvlText w:val="(%1)"/>
      <w:numFmt w:val="decimal"/>
      <w:start w:val="1"/>
    </w:lvl>
  </w:abstractNum>
  <w:abstractNum w:abstractNumId="80">
    <w:nsid w:val="2C27173B"/>
    <w:multiLevelType w:val="hybridMultilevel"/>
    <w:lvl w:ilvl="0">
      <w:lvlJc w:val="left"/>
      <w:lvlText w:val="(%1)"/>
      <w:numFmt w:val="decimal"/>
      <w:start w:val="1"/>
    </w:lvl>
  </w:abstractNum>
  <w:abstractNum w:abstractNumId="81">
    <w:nsid w:val="4C9B0904"/>
    <w:multiLevelType w:val="hybridMultilevel"/>
    <w:lvl w:ilvl="0">
      <w:lvlJc w:val="left"/>
      <w:lvlText w:val="(%1)"/>
      <w:numFmt w:val="decimal"/>
      <w:start w:val="1"/>
    </w:lvl>
  </w:abstractNum>
  <w:abstractNum w:abstractNumId="82">
    <w:nsid w:val="6AA7B75C"/>
    <w:multiLevelType w:val="hybridMultilevel"/>
    <w:lvl w:ilvl="0">
      <w:lvlJc w:val="left"/>
      <w:lvlText w:val="(%1)"/>
      <w:numFmt w:val="lowerRoman"/>
      <w:start w:val="1"/>
    </w:lvl>
  </w:abstractNum>
  <w:abstractNum w:abstractNumId="83">
    <w:nsid w:val="1DF029D3"/>
    <w:multiLevelType w:val="hybridMultilevel"/>
    <w:lvl w:ilvl="0">
      <w:lvlJc w:val="left"/>
      <w:lvlText w:val="\emdash "/>
      <w:numFmt w:val="bullet"/>
      <w:start w:val="1"/>
    </w:lvl>
  </w:abstractNum>
  <w:abstractNum w:abstractNumId="84">
    <w:nsid w:val="5675FF36"/>
    <w:multiLevelType w:val="hybridMultilevel"/>
    <w:lvl w:ilvl="0">
      <w:lvlJc w:val="left"/>
      <w:lvlText w:val="(%1)"/>
      <w:numFmt w:val="lowerRoman"/>
      <w:start w:val="1"/>
    </w:lvl>
  </w:abstractNum>
  <w:abstractNum w:abstractNumId="85">
    <w:nsid w:val="3DD15094"/>
    <w:multiLevelType w:val="hybridMultilevel"/>
    <w:lvl w:ilvl="0">
      <w:lvlJc w:val="left"/>
      <w:lvlText w:val="•"/>
      <w:numFmt w:val="bullet"/>
      <w:start w:val="1"/>
    </w:lvl>
  </w:abstractNum>
  <w:abstractNum w:abstractNumId="86">
    <w:nsid w:val="3DB012B3"/>
    <w:multiLevelType w:val="hybridMultilevel"/>
    <w:lvl w:ilvl="0">
      <w:lvlJc w:val="left"/>
      <w:lvlText w:val="•"/>
      <w:numFmt w:val="bullet"/>
      <w:start w:val="1"/>
    </w:lvl>
  </w:abstractNum>
  <w:abstractNum w:abstractNumId="87">
    <w:nsid w:val="2708C9AF"/>
    <w:multiLevelType w:val="hybridMultilevel"/>
    <w:lvl w:ilvl="0">
      <w:lvlJc w:val="left"/>
      <w:lvlText w:val="•"/>
      <w:numFmt w:val="bullet"/>
      <w:start w:val="1"/>
    </w:lvl>
  </w:abstractNum>
  <w:abstractNum w:abstractNumId="88">
    <w:nsid w:val="5B25ACE2"/>
    <w:multiLevelType w:val="hybridMultilevel"/>
    <w:lvl w:ilvl="0">
      <w:lvlJc w:val="left"/>
      <w:lvlText w:val="\emdash "/>
      <w:numFmt w:val="bullet"/>
      <w:start w:val="1"/>
    </w:lvl>
  </w:abstractNum>
  <w:abstractNum w:abstractNumId="89">
    <w:nsid w:val="175DFCF0"/>
    <w:multiLevelType w:val="hybridMultilevel"/>
    <w:lvl w:ilvl="0">
      <w:lvlJc w:val="left"/>
      <w:lvlText w:val="\emdash "/>
      <w:numFmt w:val="bullet"/>
      <w:start w:val="1"/>
    </w:lvl>
  </w:abstractNum>
  <w:abstractNum w:abstractNumId="90">
    <w:nsid w:val="4F97E3E4"/>
    <w:multiLevelType w:val="hybridMultilevel"/>
    <w:lvl w:ilvl="0">
      <w:lvlJc w:val="left"/>
      <w:lvlText w:val="\emdash "/>
      <w:numFmt w:val="bullet"/>
      <w:start w:val="1"/>
    </w:lvl>
  </w:abstractNum>
  <w:abstractNum w:abstractNumId="91">
    <w:nsid w:val="53B0A9E"/>
    <w:multiLevelType w:val="hybridMultilevel"/>
    <w:lvl w:ilvl="0">
      <w:lvlJc w:val="left"/>
      <w:lvlText w:val="*"/>
      <w:numFmt w:val="bullet"/>
      <w:start w:val="1"/>
    </w:lvl>
  </w:abstractNum>
  <w:abstractNum w:abstractNumId="92">
    <w:nsid w:val="34FD6B4F"/>
    <w:multiLevelType w:val="hybridMultilevel"/>
    <w:lvl w:ilvl="0">
      <w:lvlJc w:val="left"/>
      <w:lvlText w:val="(%1)"/>
      <w:numFmt w:val="decimal"/>
      <w:start w:val="1"/>
    </w:lvl>
  </w:abstractNum>
  <w:abstractNum w:abstractNumId="93">
    <w:nsid w:val="5915FF32"/>
    <w:multiLevelType w:val="hybridMultilevel"/>
    <w:lvl w:ilvl="0">
      <w:lvlJc w:val="left"/>
      <w:lvlText w:val="(%1)"/>
      <w:numFmt w:val="decimal"/>
      <w:start w:val="2"/>
    </w:lvl>
  </w:abstractNum>
  <w:abstractNum w:abstractNumId="94">
    <w:nsid w:val="56438D15"/>
    <w:multiLevelType w:val="hybridMultilevel"/>
    <w:lvl w:ilvl="0">
      <w:lvlJc w:val="left"/>
      <w:lvlText w:val="%1"/>
      <w:numFmt w:val="decimal"/>
      <w:start w:val="1"/>
    </w:lvl>
    <w:lvl w:ilvl="1">
      <w:lvlJc w:val="left"/>
      <w:lvlText w:val="(%2)"/>
      <w:numFmt w:val="lowerLetter"/>
      <w:start w:val="1"/>
    </w:lvl>
  </w:abstractNum>
  <w:abstractNum w:abstractNumId="95">
    <w:nsid w:val="519E3149"/>
    <w:multiLevelType w:val="hybridMultilevel"/>
    <w:lvl w:ilvl="0">
      <w:lvlJc w:val="left"/>
      <w:lvlText w:val="(%1)"/>
      <w:numFmt w:val="decimal"/>
      <w:start w:val="6"/>
    </w:lvl>
    <w:lvl w:ilvl="1">
      <w:lvlJc w:val="left"/>
      <w:lvlText w:val="%2"/>
      <w:numFmt w:val="lowerLetter"/>
      <w:start w:val="1"/>
    </w:lvl>
  </w:abstractNum>
  <w:abstractNum w:abstractNumId="96">
    <w:nsid w:val="2C6E4AFD"/>
    <w:multiLevelType w:val="hybridMultilevel"/>
    <w:lvl w:ilvl="0">
      <w:lvlJc w:val="left"/>
      <w:lvlText w:val="\emdash "/>
      <w:numFmt w:val="bullet"/>
      <w:start w:val="1"/>
    </w:lvl>
  </w:abstractNum>
  <w:abstractNum w:abstractNumId="97">
    <w:nsid w:val="17A1B582"/>
    <w:multiLevelType w:val="hybridMultilevel"/>
    <w:lvl w:ilvl="0">
      <w:lvlJc w:val="left"/>
      <w:lvlText w:val="(%1)"/>
      <w:numFmt w:val="decimal"/>
      <w:start w:val="1"/>
    </w:lvl>
  </w:abstractNum>
  <w:abstractNum w:abstractNumId="98">
    <w:nsid w:val="4DF72E4E"/>
    <w:multiLevelType w:val="hybridMultilevel"/>
    <w:lvl w:ilvl="0">
      <w:lvlJc w:val="left"/>
      <w:lvlText w:val="\emdash "/>
      <w:numFmt w:val="bullet"/>
      <w:start w:val="1"/>
    </w:lvl>
  </w:abstractNum>
  <w:abstractNum w:abstractNumId="99">
    <w:nsid w:val="5046B5A9"/>
    <w:multiLevelType w:val="hybridMultilevel"/>
    <w:lvl w:ilvl="0">
      <w:lvlJc w:val="left"/>
      <w:lvlText w:val="(%1)"/>
      <w:numFmt w:val="decimal"/>
      <w:start w:val="1"/>
    </w:lvl>
  </w:abstractNum>
  <w:abstractNum w:abstractNumId="100">
    <w:nsid w:val="5D888A08"/>
    <w:multiLevelType w:val="hybridMultilevel"/>
    <w:lvl w:ilvl="0">
      <w:lvlJc w:val="left"/>
      <w:lvlText w:val="\emdash "/>
      <w:numFmt w:val="bullet"/>
      <w:start w:val="1"/>
    </w:lvl>
  </w:abstractNum>
  <w:abstractNum w:abstractNumId="101">
    <w:nsid w:val="2A082C70"/>
    <w:multiLevelType w:val="hybridMultilevel"/>
    <w:lvl w:ilvl="0">
      <w:lvlJc w:val="left"/>
      <w:lvlText w:val="(%1)"/>
      <w:numFmt w:val="decimal"/>
      <w:start w:val="1"/>
    </w:lvl>
    <w:lvl w:ilvl="1">
      <w:lvlJc w:val="left"/>
      <w:lvlText w:val="(%2)"/>
      <w:numFmt w:val="decimal"/>
      <w:start w:val="1"/>
    </w:lvl>
  </w:abstractNum>
  <w:abstractNum w:abstractNumId="102">
    <w:nsid w:val="5EC6AFD4"/>
    <w:multiLevelType w:val="hybridMultilevel"/>
    <w:lvl w:ilvl="0">
      <w:lvlJc w:val="left"/>
      <w:lvlText w:val="(%1)"/>
      <w:numFmt w:val="decimal"/>
      <w:start w:val="4"/>
    </w:lvl>
  </w:abstractNum>
  <w:abstractNum w:abstractNumId="103">
    <w:nsid w:val="19E21BB2"/>
    <w:multiLevelType w:val="hybridMultilevel"/>
    <w:lvl w:ilvl="0">
      <w:lvlJc w:val="left"/>
      <w:lvlText w:val="\emdash "/>
      <w:numFmt w:val="bullet"/>
      <w:start w:val="1"/>
    </w:lvl>
  </w:abstractNum>
  <w:abstractNum w:abstractNumId="104">
    <w:nsid w:val="75E0858A"/>
    <w:multiLevelType w:val="hybridMultilevel"/>
    <w:lvl w:ilvl="0">
      <w:lvlJc w:val="left"/>
      <w:lvlText w:val="(%1)"/>
      <w:numFmt w:val="decimal"/>
      <w:start w:val="1"/>
    </w:lvl>
  </w:abstractNum>
  <w:abstractNum w:abstractNumId="105">
    <w:nsid w:val="57A61A29"/>
    <w:multiLevelType w:val="hybridMultilevel"/>
    <w:lvl w:ilvl="0">
      <w:lvlJc w:val="left"/>
      <w:lvlText w:val="\emdash "/>
      <w:numFmt w:val="bullet"/>
      <w:start w:val="1"/>
    </w:lvl>
  </w:abstractNum>
  <w:abstractNum w:abstractNumId="106">
    <w:nsid w:val="5399C654"/>
    <w:multiLevelType w:val="hybridMultilevel"/>
    <w:lvl w:ilvl="0">
      <w:lvlJc w:val="left"/>
      <w:lvlText w:val="(%1)"/>
      <w:numFmt w:val="decimal"/>
      <w:start w:val="1"/>
    </w:lvl>
  </w:abstractNum>
  <w:abstractNum w:abstractNumId="107">
    <w:nsid w:val="20EE1348"/>
    <w:multiLevelType w:val="hybridMultilevel"/>
    <w:lvl w:ilvl="0">
      <w:lvlJc w:val="left"/>
      <w:lvlText w:val="\emdash "/>
      <w:numFmt w:val="bullet"/>
      <w:start w:val="1"/>
    </w:lvl>
  </w:abstractNum>
  <w:abstractNum w:abstractNumId="108">
    <w:nsid w:val="4427069A"/>
    <w:multiLevelType w:val="hybridMultilevel"/>
    <w:lvl w:ilvl="0">
      <w:lvlJc w:val="left"/>
      <w:lvlText w:val="\emdash "/>
      <w:numFmt w:val="bullet"/>
      <w:start w:val="1"/>
    </w:lvl>
  </w:abstractNum>
  <w:abstractNum w:abstractNumId="109">
    <w:nsid w:val="B37E80A"/>
    <w:multiLevelType w:val="hybridMultilevel"/>
    <w:lvl w:ilvl="0">
      <w:lvlJc w:val="left"/>
      <w:lvlText w:val="(%1)"/>
      <w:numFmt w:val="decimal"/>
      <w:start w:val="1"/>
    </w:lvl>
  </w:abstractNum>
  <w:abstractNum w:abstractNumId="110">
    <w:nsid w:val="2157F6BC"/>
    <w:multiLevelType w:val="hybridMultilevel"/>
    <w:lvl w:ilvl="0">
      <w:lvlJc w:val="left"/>
      <w:lvlText w:val="(%1)"/>
      <w:numFmt w:val="decimal"/>
      <w:start w:val="2"/>
    </w:lvl>
    <w:lvl w:ilvl="1">
      <w:lvlJc w:val="left"/>
      <w:lvlText w:val="(%2)"/>
      <w:numFmt w:val="lowerRoman"/>
      <w:start w:val="3"/>
    </w:lvl>
  </w:abstractNum>
  <w:abstractNum w:abstractNumId="111">
    <w:nsid w:val="704E1DD5"/>
    <w:multiLevelType w:val="hybridMultilevel"/>
    <w:lvl w:ilvl="0">
      <w:lvlJc w:val="left"/>
      <w:lvlText w:val="\emdash "/>
      <w:numFmt w:val="bullet"/>
      <w:start w:val="1"/>
    </w:lvl>
  </w:abstractNum>
  <w:abstractNum w:abstractNumId="112">
    <w:nsid w:val="57D2F10E"/>
    <w:multiLevelType w:val="hybridMultilevel"/>
    <w:lvl w:ilvl="0">
      <w:lvlJc w:val="left"/>
      <w:lvlText w:val="•"/>
      <w:numFmt w:val="bullet"/>
      <w:start w:val="1"/>
    </w:lvl>
  </w:abstractNum>
  <w:abstractNum w:abstractNumId="113">
    <w:nsid w:val="BFFAE18"/>
    <w:multiLevelType w:val="hybridMultilevel"/>
    <w:lvl w:ilvl="0">
      <w:lvlJc w:val="left"/>
      <w:lvlText w:val="\emdash "/>
      <w:numFmt w:val="bullet"/>
      <w:start w:val="1"/>
    </w:lvl>
  </w:abstractNum>
  <w:abstractNum w:abstractNumId="114">
    <w:nsid w:val="E3E47A8"/>
    <w:multiLevelType w:val="hybridMultilevel"/>
    <w:lvl w:ilvl="0">
      <w:lvlJc w:val="left"/>
      <w:lvlText w:val="(%1)"/>
      <w:numFmt w:val="decimal"/>
      <w:start w:val="1"/>
    </w:lvl>
  </w:abstractNum>
  <w:abstractNum w:abstractNumId="115">
    <w:nsid w:val="2E48F044"/>
    <w:multiLevelType w:val="hybridMultilevel"/>
    <w:lvl w:ilvl="0">
      <w:lvlJc w:val="left"/>
      <w:lvlText w:val="(%1)"/>
      <w:numFmt w:val="lowerLetter"/>
      <w:start w:val="1"/>
    </w:lvl>
  </w:abstractNum>
  <w:abstractNum w:abstractNumId="116">
    <w:nsid w:val="49D0FEAC"/>
    <w:multiLevelType w:val="hybridMultilevel"/>
    <w:lvl w:ilvl="0">
      <w:lvlJc w:val="left"/>
      <w:lvlText w:val="(%1)"/>
      <w:numFmt w:val="lowerLetter"/>
      <w:start w:val="2"/>
    </w:lvl>
  </w:abstractNum>
  <w:abstractNum w:abstractNumId="117">
    <w:nsid w:val="4BEE5A5B"/>
    <w:multiLevelType w:val="hybridMultilevel"/>
    <w:lvl w:ilvl="0">
      <w:lvlJc w:val="left"/>
      <w:lvlText w:val="(%1)"/>
      <w:numFmt w:val="decimal"/>
      <w:start w:val="3"/>
    </w:lvl>
  </w:abstractNum>
  <w:abstractNum w:abstractNumId="118">
    <w:nsid w:val="5551B9F3"/>
    <w:multiLevelType w:val="hybridMultilevel"/>
    <w:lvl w:ilvl="0">
      <w:lvlJc w:val="left"/>
      <w:lvlText w:val="(%1)"/>
      <w:numFmt w:val="lowerLetter"/>
      <w:start w:val="1"/>
    </w:lvl>
  </w:abstractNum>
  <w:abstractNum w:abstractNumId="119">
    <w:nsid w:val="24F6AB8E"/>
    <w:multiLevelType w:val="hybridMultilevel"/>
    <w:lvl w:ilvl="0">
      <w:lvlJc w:val="left"/>
      <w:lvlText w:val="(%1)"/>
      <w:numFmt w:val="decimal"/>
      <w:start w:val="5"/>
    </w:lvl>
  </w:abstractNum>
  <w:abstractNum w:abstractNumId="120">
    <w:nsid w:val="634C574C"/>
    <w:multiLevelType w:val="hybridMultilevel"/>
    <w:lvl w:ilvl="0">
      <w:lvlJc w:val="left"/>
      <w:lvlText w:val="•"/>
      <w:numFmt w:val="bullet"/>
      <w:start w:val="1"/>
    </w:lvl>
  </w:abstractNum>
  <w:abstractNum w:abstractNumId="121">
    <w:nsid w:val="24E99DD7"/>
    <w:multiLevelType w:val="hybridMultilevel"/>
    <w:lvl w:ilvl="0">
      <w:lvlJc w:val="left"/>
      <w:lvlText w:val="\emdash "/>
      <w:numFmt w:val="bullet"/>
      <w:start w:val="1"/>
    </w:lvl>
  </w:abstractNum>
  <w:abstractNum w:abstractNumId="122">
    <w:nsid w:val="2A31B62D"/>
    <w:multiLevelType w:val="hybridMultilevel"/>
    <w:lvl w:ilvl="0">
      <w:lvlJc w:val="left"/>
      <w:lvlText w:val="(%1)"/>
      <w:numFmt w:val="decimal"/>
      <w:start w:val="1"/>
    </w:lvl>
  </w:abstractNum>
  <w:abstractNum w:abstractNumId="123">
    <w:nsid w:val="1849C29B"/>
    <w:multiLevelType w:val="hybridMultilevel"/>
    <w:lvl w:ilvl="0">
      <w:lvlJc w:val="left"/>
      <w:lvlText w:val="\emdash "/>
      <w:numFmt w:val="bullet"/>
      <w:start w:val="1"/>
    </w:lvl>
  </w:abstractNum>
  <w:abstractNum w:abstractNumId="124">
    <w:nsid w:val="7DFF9D09"/>
    <w:multiLevelType w:val="hybridMultilevel"/>
    <w:lvl w:ilvl="0">
      <w:lvlJc w:val="left"/>
      <w:lvlText w:val="(%1)"/>
      <w:numFmt w:val="decimal"/>
      <w:start w:val="1"/>
    </w:lvl>
  </w:abstractNum>
  <w:abstractNum w:abstractNumId="125">
    <w:nsid w:val="754342"/>
    <w:multiLevelType w:val="hybridMultilevel"/>
    <w:lvl w:ilvl="0">
      <w:lvlJc w:val="left"/>
      <w:lvlText w:val="(%1)"/>
      <w:numFmt w:val="decimal"/>
      <w:start w:val="1"/>
    </w:lvl>
  </w:abstractNum>
  <w:abstractNum w:abstractNumId="126">
    <w:nsid w:val="69E7F3E5"/>
    <w:multiLevelType w:val="hybridMultilevel"/>
    <w:lvl w:ilvl="0">
      <w:lvlJc w:val="left"/>
      <w:lvlText w:val="\emdash "/>
      <w:numFmt w:val="bullet"/>
      <w:start w:val="1"/>
    </w:lvl>
  </w:abstractNum>
  <w:abstractNum w:abstractNumId="127">
    <w:nsid w:val="2A6DE806"/>
    <w:multiLevelType w:val="hybridMultilevel"/>
    <w:lvl w:ilvl="0">
      <w:lvlJc w:val="left"/>
      <w:lvlText w:val="(%1)"/>
      <w:numFmt w:val="decimal"/>
      <w:start w:val="1"/>
    </w:lvl>
  </w:abstractNum>
  <w:abstractNum w:abstractNumId="128">
    <w:nsid w:val="1816F8C4"/>
    <w:multiLevelType w:val="hybridMultilevel"/>
    <w:lvl w:ilvl="0">
      <w:lvlJc w:val="left"/>
      <w:lvlText w:val="\emdash "/>
      <w:numFmt w:val="bullet"/>
      <w:start w:val="1"/>
    </w:lvl>
  </w:abstractNum>
  <w:abstractNum w:abstractNumId="129">
    <w:nsid w:val="37DF2233"/>
    <w:multiLevelType w:val="hybridMultilevel"/>
    <w:lvl w:ilvl="0">
      <w:lvlJc w:val="left"/>
      <w:lvlText w:val="*"/>
      <w:numFmt w:val="bullet"/>
      <w:start w:val="1"/>
    </w:lvl>
  </w:abstractNum>
  <w:abstractNum w:abstractNumId="130">
    <w:nsid w:val="7AB49DAF"/>
    <w:multiLevelType w:val="hybridMultilevel"/>
    <w:lvl w:ilvl="0">
      <w:lvlJc w:val="left"/>
      <w:lvlText w:val="(%1)"/>
      <w:numFmt w:val="decimal"/>
      <w:start w:val="1"/>
    </w:lvl>
  </w:abstractNum>
  <w:abstractNum w:abstractNumId="131">
    <w:nsid w:val="759F82CD"/>
    <w:multiLevelType w:val="hybridMultilevel"/>
    <w:lvl w:ilvl="0">
      <w:lvlJc w:val="left"/>
      <w:lvlText w:val="(%1)"/>
      <w:numFmt w:val="decimal"/>
      <w:start w:val="3"/>
    </w:lvl>
  </w:abstractNum>
  <w:abstractNum w:abstractNumId="132">
    <w:nsid w:val="61E74EA3"/>
    <w:multiLevelType w:val="hybridMultilevel"/>
    <w:lvl w:ilvl="0">
      <w:lvlJc w:val="left"/>
      <w:lvlText w:val="(%1)"/>
      <w:numFmt w:val="decimal"/>
      <w:start w:val="11"/>
    </w:lvl>
  </w:abstractNum>
  <w:abstractNum w:abstractNumId="133">
    <w:nsid w:val="597B4D84"/>
    <w:multiLevelType w:val="hybridMultilevel"/>
    <w:lvl w:ilvl="0">
      <w:lvlJc w:val="left"/>
      <w:lvlText w:val="\emdash "/>
      <w:numFmt w:val="bullet"/>
      <w:start w:val="1"/>
    </w:lvl>
  </w:abstractNum>
  <w:abstractNum w:abstractNumId="134">
    <w:nsid w:val="F819E7F"/>
    <w:multiLevelType w:val="hybridMultilevel"/>
    <w:lvl w:ilvl="0">
      <w:lvlJc w:val="left"/>
      <w:lvlText w:val="•"/>
      <w:numFmt w:val="bullet"/>
      <w:start w:val="1"/>
    </w:lvl>
  </w:abstractNum>
  <w:abstractNum w:abstractNumId="135">
    <w:nsid w:val="57C7D42D"/>
    <w:multiLevelType w:val="hybridMultilevel"/>
    <w:lvl w:ilvl="0">
      <w:lvlJc w:val="left"/>
      <w:lvlText w:val="\emdash "/>
      <w:numFmt w:val="bullet"/>
      <w:start w:val="1"/>
    </w:lvl>
  </w:abstractNum>
  <w:abstractNum w:abstractNumId="136">
    <w:nsid w:val="312167AD"/>
    <w:multiLevelType w:val="hybridMultilevel"/>
    <w:lvl w:ilvl="0">
      <w:lvlJc w:val="left"/>
      <w:lvlText w:val="\emdash "/>
      <w:numFmt w:val="bullet"/>
      <w:start w:val="1"/>
    </w:lvl>
  </w:abstractNum>
  <w:abstractNum w:abstractNumId="137">
    <w:nsid w:val="631B64D4"/>
    <w:multiLevelType w:val="hybridMultilevel"/>
    <w:lvl w:ilvl="0">
      <w:lvlJc w:val="left"/>
      <w:lvlText w:val="\emdash "/>
      <w:numFmt w:val="bullet"/>
      <w:start w:val="1"/>
    </w:lvl>
  </w:abstractNum>
  <w:abstractNum w:abstractNumId="138">
    <w:nsid w:val="78B5E776"/>
    <w:multiLevelType w:val="hybridMultilevel"/>
    <w:lvl w:ilvl="0">
      <w:lvlJc w:val="left"/>
      <w:lvlText w:val="\emdash "/>
      <w:numFmt w:val="bullet"/>
      <w:start w:val="1"/>
    </w:lvl>
  </w:abstractNum>
  <w:abstractNum w:abstractNumId="139">
    <w:nsid w:val="75486E47"/>
    <w:multiLevelType w:val="hybridMultilevel"/>
    <w:lvl w:ilvl="0">
      <w:lvlJc w:val="left"/>
      <w:lvlText w:val="\emdash "/>
      <w:numFmt w:val="bullet"/>
      <w:start w:val="1"/>
    </w:lvl>
  </w:abstractNum>
  <w:abstractNum w:abstractNumId="140">
    <w:nsid w:val="6E534CDE"/>
    <w:multiLevelType w:val="hybridMultilevel"/>
    <w:lvl w:ilvl="0">
      <w:lvlJc w:val="left"/>
      <w:lvlText w:val="\emdash "/>
      <w:numFmt w:val="bullet"/>
      <w:start w:val="1"/>
    </w:lvl>
  </w:abstractNum>
  <w:abstractNum w:abstractNumId="141">
    <w:nsid w:val="1A0DDE32"/>
    <w:multiLevelType w:val="hybridMultilevel"/>
    <w:lvl w:ilvl="0">
      <w:lvlJc w:val="left"/>
      <w:lvlText w:val="\emdash "/>
      <w:numFmt w:val="bullet"/>
      <w:start w:val="1"/>
    </w:lvl>
  </w:abstractNum>
  <w:abstractNum w:abstractNumId="142">
    <w:nsid w:val="65968C1C"/>
    <w:multiLevelType w:val="hybridMultilevel"/>
    <w:lvl w:ilvl="0">
      <w:lvlJc w:val="left"/>
      <w:lvlText w:val="(%1)"/>
      <w:numFmt w:val="decimal"/>
      <w:start w:val="1"/>
    </w:lvl>
  </w:abstractNum>
  <w:abstractNum w:abstractNumId="143">
    <w:nsid w:val="46263DEC"/>
    <w:multiLevelType w:val="hybridMultilevel"/>
    <w:lvl w:ilvl="0">
      <w:lvlJc w:val="left"/>
      <w:lvlText w:val="\emdash "/>
      <w:numFmt w:val="bullet"/>
      <w:start w:val="1"/>
    </w:lvl>
  </w:abstractNum>
  <w:abstractNum w:abstractNumId="144">
    <w:nsid w:val="260D8C4A"/>
    <w:multiLevelType w:val="hybridMultilevel"/>
    <w:lvl w:ilvl="0">
      <w:lvlJc w:val="left"/>
      <w:lvlText w:val="\emdash "/>
      <w:numFmt w:val="bullet"/>
      <w:start w:val="1"/>
    </w:lvl>
  </w:abstractNum>
  <w:abstractNum w:abstractNumId="145">
    <w:nsid w:val="73D4D3C4"/>
    <w:multiLevelType w:val="hybridMultilevel"/>
    <w:lvl w:ilvl="0">
      <w:lvlJc w:val="left"/>
      <w:lvlText w:val="\emdash "/>
      <w:numFmt w:val="bullet"/>
      <w:start w:val="1"/>
    </w:lvl>
  </w:abstractNum>
  <w:abstractNum w:abstractNumId="146">
    <w:nsid w:val="746F2E30"/>
    <w:multiLevelType w:val="hybridMultilevel"/>
    <w:lvl w:ilvl="0">
      <w:lvlJc w:val="left"/>
      <w:lvlText w:val="\emdash "/>
      <w:numFmt w:val="bullet"/>
      <w:start w:val="1"/>
    </w:lvl>
  </w:abstractNum>
  <w:abstractNum w:abstractNumId="147">
    <w:nsid w:val="6FDE8AF6"/>
    <w:multiLevelType w:val="hybridMultilevel"/>
    <w:lvl w:ilvl="0">
      <w:lvlJc w:val="left"/>
      <w:lvlText w:val="\emdash "/>
      <w:numFmt w:val="bullet"/>
      <w:start w:val="1"/>
    </w:lvl>
  </w:abstractNum>
  <w:abstractNum w:abstractNumId="148">
    <w:nsid w:val="3FC32E20"/>
    <w:multiLevelType w:val="hybridMultilevel"/>
    <w:lvl w:ilvl="0">
      <w:lvlJc w:val="left"/>
      <w:lvlText w:val="%1."/>
      <w:numFmt w:val="decimal"/>
      <w:start w:val="3"/>
    </w:lvl>
  </w:abstractNum>
  <w:abstractNum w:abstractNumId="149">
    <w:nsid w:val="49C0E823"/>
    <w:multiLevelType w:val="hybridMultilevel"/>
    <w:lvl w:ilvl="0">
      <w:lvlJc w:val="left"/>
      <w:lvlText w:val="%1."/>
      <w:numFmt w:val="decimal"/>
      <w:start w:val="4"/>
    </w:lvl>
  </w:abstractNum>
  <w:abstractNum w:abstractNumId="150">
    <w:nsid w:val="14D53685"/>
    <w:multiLevelType w:val="hybridMultilevel"/>
    <w:lvl w:ilvl="0">
      <w:lvlJc w:val="left"/>
      <w:lvlText w:val="(%1)"/>
      <w:numFmt w:val="decimal"/>
      <w:start w:val="1"/>
    </w:lvl>
  </w:abstractNum>
  <w:abstractNum w:abstractNumId="151">
    <w:nsid w:val="230F856C"/>
    <w:multiLevelType w:val="hybridMultilevel"/>
    <w:lvl w:ilvl="0">
      <w:lvlJc w:val="left"/>
      <w:lvlText w:val="•"/>
      <w:numFmt w:val="bullet"/>
      <w:start w:val="1"/>
    </w:lvl>
  </w:abstractNum>
  <w:abstractNum w:abstractNumId="152">
    <w:nsid w:val="6EAA85FB"/>
    <w:multiLevelType w:val="hybridMultilevel"/>
    <w:lvl w:ilvl="0">
      <w:lvlJc w:val="left"/>
      <w:lvlText w:val="•"/>
      <w:numFmt w:val="bullet"/>
      <w:start w:val="1"/>
    </w:lvl>
  </w:abstractNum>
  <w:abstractNum w:abstractNumId="153">
    <w:nsid w:val="3F06ECB2"/>
    <w:multiLevelType w:val="hybridMultilevel"/>
    <w:lvl w:ilvl="0">
      <w:lvlJc w:val="left"/>
      <w:lvlText w:val="\emdash "/>
      <w:numFmt w:val="bullet"/>
      <w:start w:val="1"/>
    </w:lvl>
  </w:abstractNum>
  <w:abstractNum w:abstractNumId="154">
    <w:nsid w:val="3B594807"/>
    <w:multiLevelType w:val="hybridMultilevel"/>
    <w:lvl w:ilvl="0">
      <w:lvlJc w:val="left"/>
      <w:lvlText w:val="(%1)"/>
      <w:numFmt w:val="decimal"/>
      <w:start w:val="1"/>
    </w:lvl>
  </w:abstractNum>
  <w:abstractNum w:abstractNumId="155">
    <w:nsid w:val="6CAA2304"/>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2026-04-09T15:18:56Z</dcterms:created>
  <dcterms:modified xsi:type="dcterms:W3CDTF">2026-04-09T15:18:56Z</dcterms:modified>
</cp:coreProperties>
</file>