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46990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41275</wp:posOffset>
            </wp:positionV>
            <wp:extent cx="2614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93" w:lineRule="exact"/>
        <w:rPr>
          <w:sz w:val="24"/>
          <w:szCs w:val="24"/>
          <w:color w:val="auto"/>
        </w:rPr>
      </w:pPr>
    </w:p>
    <w:p>
      <w:pPr>
        <w:ind w:left="980" w:right="360" w:hanging="617"/>
        <w:spacing w:after="0" w:line="235"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980" w:right="360" w:hanging="617"/>
        <w:spacing w:after="0" w:line="235"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Diamondback Energy,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71"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Arial" w:cs="Arial" w:eastAsia="Arial" w:hAnsi="Arial"/>
                <w:sz w:val="16"/>
                <w:szCs w:val="16"/>
                <w:b w:val="1"/>
                <w:bCs w:val="1"/>
                <w:color w:val="auto"/>
              </w:rPr>
              <w:t>45-4502447</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4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r>
      <w:tr>
        <w:trPr>
          <w:trHeight w:val="21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Suite 1200</w:t>
            </w:r>
          </w:p>
        </w:tc>
        <w:tc>
          <w:tcPr>
            <w:tcW w:w="3640" w:type="dxa"/>
            <w:vAlign w:val="bottom"/>
          </w:tcPr>
          <w:p>
            <w:pPr>
              <w:spacing w:after="0"/>
              <w:rPr>
                <w:sz w:val="18"/>
                <w:szCs w:val="18"/>
                <w:color w:val="auto"/>
              </w:rPr>
            </w:pPr>
          </w:p>
        </w:tc>
      </w:tr>
      <w:tr>
        <w:trPr>
          <w:trHeight w:val="216"/>
        </w:trPr>
        <w:tc>
          <w:tcPr>
            <w:tcW w:w="4980" w:type="dxa"/>
            <w:vAlign w:val="bottom"/>
          </w:tcPr>
          <w:p>
            <w:pPr>
              <w:ind w:left="140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2"/>
              </w:rPr>
              <w:t>(Zip code)</w:t>
            </w:r>
          </w:p>
        </w:tc>
      </w:tr>
    </w:tbl>
    <w:p>
      <w:pPr>
        <w:spacing w:after="0" w:line="3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472" w:right="339" w:bottom="1440" w:gutter="0" w:footer="0" w:header="0"/>
        </w:sectPr>
      </w:pPr>
    </w:p>
    <w:p>
      <w:pPr>
        <w:spacing w:after="0" w:line="154"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1920" w:space="720"/>
            <w:col w:w="3620"/>
          </w:cols>
          <w:pgMar w:left="320" w:top="472" w:right="339"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55" w:lineRule="exact"/>
        <w:rPr>
          <w:sz w:val="24"/>
          <w:szCs w:val="24"/>
          <w:color w:val="auto"/>
        </w:rPr>
      </w:pPr>
    </w:p>
    <w:p>
      <w:pPr>
        <w:sectPr>
          <w:pgSz w:w="11900" w:h="16838" w:orient="portrait"/>
          <w:cols w:equalWidth="0" w:num="3">
            <w:col w:w="4680" w:space="720"/>
            <w:col w:w="1980" w:space="720"/>
            <w:col w:w="3140"/>
          </w:cols>
          <w:pgMar w:left="320" w:top="472" w:right="339" w:bottom="1440" w:gutter="0" w:footer="0" w:header="0"/>
          <w:type w:val="continuous"/>
        </w:sectPr>
      </w:pPr>
    </w:p>
    <w:p>
      <w:pPr>
        <w:ind w:left="802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472" w:right="339" w:bottom="1440" w:gutter="0" w:footer="0" w:header="0"/>
          <w:type w:val="continuous"/>
        </w:sectPr>
      </w:pPr>
    </w:p>
    <w:p>
      <w:pPr>
        <w:spacing w:after="0" w:line="354" w:lineRule="exact"/>
        <w:rPr>
          <w:sz w:val="24"/>
          <w:szCs w:val="24"/>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30" w:lineRule="exact"/>
        <w:rPr>
          <w:sz w:val="24"/>
          <w:szCs w:val="24"/>
          <w:color w:val="auto"/>
        </w:rPr>
      </w:pPr>
    </w:p>
    <w:p>
      <w:pPr>
        <w:ind w:right="4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2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8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8"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4" w:lineRule="exact"/>
        <w:rPr>
          <w:sz w:val="24"/>
          <w:szCs w:val="24"/>
          <w:color w:val="auto"/>
        </w:rPr>
      </w:pPr>
    </w:p>
    <w:p>
      <w:pPr>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29, 2021, the registrant had 181,174,549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8"/>
            <w:shd w:val="clear" w:color="auto" w:fill="CCEEFF"/>
          </w:tcPr>
          <w:p>
            <w:pPr>
              <w:spacing w:after="0" w:line="149" w:lineRule="exact"/>
              <w:rPr>
                <w:rFonts w:ascii="Arial" w:cs="Arial" w:eastAsia="Arial" w:hAnsi="Arial"/>
                <w:sz w:val="17"/>
                <w:szCs w:val="17"/>
                <w:color w:val="0000FF"/>
                <w:w w:val="95"/>
              </w:rPr>
            </w:pPr>
            <w:hyperlink w:anchor="page2">
              <w:r>
                <w:rPr>
                  <w:rFonts w:ascii="Arial" w:cs="Arial" w:eastAsia="Arial" w:hAnsi="Arial"/>
                  <w:sz w:val="17"/>
                  <w:szCs w:val="17"/>
                  <w:color w:val="0000FF"/>
                  <w:w w:val="95"/>
                </w:rPr>
                <w:t>Glossary of Oil and Natural Gas Terms</w:t>
              </w:r>
            </w:hyperlink>
          </w:p>
        </w:tc>
        <w:tc>
          <w:tcPr>
            <w:tcW w:w="7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center"/>
              <w:ind w:right="280"/>
              <w:spacing w:after="0" w:line="169"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60" w:type="dxa"/>
            <w:vAlign w:val="bottom"/>
            <w:gridSpan w:val="23"/>
          </w:tcPr>
          <w:p>
            <w:pPr>
              <w:spacing w:after="0" w:line="183" w:lineRule="exact"/>
              <w:rPr>
                <w:rFonts w:ascii="Arial" w:cs="Arial" w:eastAsia="Arial" w:hAnsi="Arial"/>
                <w:sz w:val="18"/>
                <w:szCs w:val="18"/>
                <w:color w:val="0000FF"/>
              </w:rPr>
            </w:pPr>
            <w:hyperlink w:anchor="page4">
              <w:r>
                <w:rPr>
                  <w:rFonts w:ascii="Arial" w:cs="Arial" w:eastAsia="Arial" w:hAnsi="Arial"/>
                  <w:sz w:val="18"/>
                  <w:szCs w:val="18"/>
                  <w:color w:val="0000FF"/>
                </w:rPr>
                <w:t>Glossary of Certain Other Terms</w:t>
              </w:r>
            </w:hyperlink>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3"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8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v</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gridSpan w:val="12"/>
            <w:shd w:val="clear" w:color="auto" w:fill="CCEEFF"/>
          </w:tcPr>
          <w:p>
            <w:pPr>
              <w:jc w:val="center"/>
              <w:spacing w:after="0" w:line="189" w:lineRule="exact"/>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PART I. FINANCIAL INFORMATION</w:t>
              </w:r>
            </w:hyperlink>
          </w:p>
        </w:tc>
        <w:tc>
          <w:tcPr>
            <w:tcW w:w="3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Item 1. Condensed Consolidated Financial Statements (Unaudited)</w:t>
              </w:r>
            </w:hyperlink>
          </w:p>
        </w:tc>
        <w:tc>
          <w:tcPr>
            <w:tcW w:w="380" w:type="dxa"/>
            <w:vAlign w:val="bottom"/>
            <w:gridSpan w:val="2"/>
          </w:tcPr>
          <w:p>
            <w:pPr>
              <w:jc w:val="center"/>
              <w:ind w:left="19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1</w:t>
              </w:r>
            </w:hyperlink>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8"/>
            <w:shd w:val="clear" w:color="auto" w:fill="CCEEFF"/>
          </w:tcPr>
          <w:p>
            <w:pPr>
              <w:spacing w:after="0" w:line="182"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Condensed Consolidated Balance Sheets</w:t>
              </w:r>
            </w:hyperlink>
          </w:p>
        </w:tc>
        <w:tc>
          <w:tcPr>
            <w:tcW w:w="6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center"/>
              <w:ind w:left="190"/>
              <w:spacing w:after="0" w:line="196"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1</w:t>
              </w:r>
            </w:hyperlink>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9900" w:type="dxa"/>
            <w:vAlign w:val="bottom"/>
            <w:tcBorders>
              <w:top w:val="single" w:sz="8" w:color="CCEEFF"/>
            </w:tcBorders>
            <w:gridSpan w:val="22"/>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Operations</w:t>
              </w:r>
            </w:hyperlink>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3</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Stockholders’ Equity</w:t>
              </w:r>
            </w:hyperlink>
          </w:p>
        </w:tc>
        <w:tc>
          <w:tcPr>
            <w:tcW w:w="380" w:type="dxa"/>
            <w:vAlign w:val="bottom"/>
            <w:gridSpan w:val="2"/>
            <w:shd w:val="clear" w:color="auto" w:fill="CCEEFF"/>
          </w:tcPr>
          <w:p>
            <w:pPr>
              <w:jc w:val="center"/>
              <w:ind w:left="190"/>
              <w:spacing w:after="0" w:line="189" w:lineRule="exact"/>
              <w:rPr>
                <w:rFonts w:ascii="Arial" w:cs="Arial" w:eastAsia="Arial" w:hAnsi="Arial"/>
                <w:sz w:val="18"/>
                <w:szCs w:val="18"/>
                <w:color w:val="0000FF"/>
                <w:w w:val="99"/>
              </w:rPr>
            </w:pPr>
            <w:hyperlink w:anchor="page10">
              <w:r>
                <w:rPr>
                  <w:rFonts w:ascii="Arial" w:cs="Arial" w:eastAsia="Arial" w:hAnsi="Arial"/>
                  <w:sz w:val="18"/>
                  <w:szCs w:val="18"/>
                  <w:color w:val="0000FF"/>
                  <w:w w:val="99"/>
                </w:rPr>
                <w:t>4</w:t>
              </w:r>
            </w:hyperlink>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380" w:type="dxa"/>
            <w:vAlign w:val="bottom"/>
            <w:tcBorders>
              <w:top w:val="single" w:sz="8" w:color="0000FF"/>
            </w:tcBorders>
            <w:gridSpan w:val="18"/>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Condensed Consolidated Statements of Cash Flows</w:t>
              </w:r>
            </w:hyperlink>
          </w:p>
        </w:tc>
        <w:tc>
          <w:tcPr>
            <w:tcW w:w="5520" w:type="dxa"/>
            <w:vAlign w:val="bottom"/>
            <w:tcBorders>
              <w:top w:val="single" w:sz="8" w:color="CCEEFF"/>
            </w:tcBorders>
            <w:gridSpan w:val="4"/>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6</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Condensed Notes to Consolidated Financial Statements</w:t>
              </w:r>
            </w:hyperlink>
          </w:p>
        </w:tc>
        <w:tc>
          <w:tcPr>
            <w:tcW w:w="380" w:type="dxa"/>
            <w:vAlign w:val="bottom"/>
            <w:gridSpan w:val="2"/>
            <w:shd w:val="clear" w:color="auto" w:fill="CCEEFF"/>
          </w:tcPr>
          <w:p>
            <w:pPr>
              <w:jc w:val="center"/>
              <w:ind w:left="190"/>
              <w:spacing w:after="0" w:line="189" w:lineRule="exact"/>
              <w:rPr>
                <w:rFonts w:ascii="Arial" w:cs="Arial" w:eastAsia="Arial" w:hAnsi="Arial"/>
                <w:sz w:val="18"/>
                <w:szCs w:val="18"/>
                <w:color w:val="0000FF"/>
                <w:w w:val="99"/>
              </w:rPr>
            </w:pPr>
            <w:hyperlink w:anchor="page13">
              <w:r>
                <w:rPr>
                  <w:rFonts w:ascii="Arial" w:cs="Arial" w:eastAsia="Arial" w:hAnsi="Arial"/>
                  <w:sz w:val="18"/>
                  <w:szCs w:val="18"/>
                  <w:color w:val="0000FF"/>
                  <w:w w:val="99"/>
                </w:rPr>
                <w:t>7</w:t>
              </w:r>
            </w:hyperlink>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32</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3. Quantitative and Qualitative Disclosures About Market Risk</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48</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4. Controls and Procedures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49</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580"/>
              <w:spacing w:after="0" w:line="189" w:lineRule="exact"/>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PART II. OTHER INFORMATION</w:t>
              </w:r>
            </w:hyperlink>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CCEEFF"/>
            </w:tcBorders>
            <w:gridSpan w:val="11"/>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1. Legal Proceedings</w:t>
              </w:r>
            </w:hyperlink>
          </w:p>
        </w:tc>
        <w:tc>
          <w:tcPr>
            <w:tcW w:w="2760" w:type="dxa"/>
            <w:vAlign w:val="bottom"/>
            <w:tcBorders>
              <w:top w:val="single" w:sz="8" w:color="0000FF"/>
            </w:tcBorders>
            <w:gridSpan w:val="9"/>
          </w:tcPr>
          <w:p>
            <w:pPr>
              <w:spacing w:after="0"/>
              <w:rPr>
                <w:sz w:val="16"/>
                <w:szCs w:val="16"/>
                <w:color w:val="auto"/>
              </w:rPr>
            </w:pPr>
          </w:p>
        </w:tc>
        <w:tc>
          <w:tcPr>
            <w:tcW w:w="3580" w:type="dxa"/>
            <w:vAlign w:val="bottom"/>
            <w:tcBorders>
              <w:top w:val="single" w:sz="8" w:color="CCEEFF"/>
            </w:tcBorders>
            <w:gridSpan w:val="3"/>
          </w:tcPr>
          <w:p>
            <w:pPr>
              <w:spacing w:after="0"/>
              <w:rPr>
                <w:sz w:val="16"/>
                <w:szCs w:val="16"/>
                <w:color w:val="auto"/>
              </w:rPr>
            </w:pPr>
          </w:p>
        </w:tc>
        <w:tc>
          <w:tcPr>
            <w:tcW w:w="660" w:type="dxa"/>
            <w:vAlign w:val="bottom"/>
            <w:tcBorders>
              <w:top w:val="single" w:sz="8" w:color="CCEEFF"/>
            </w:tcBorders>
            <w:gridSpan w:val="4"/>
          </w:tcPr>
          <w:p>
            <w:pPr>
              <w:jc w:val="center"/>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50</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1A. Risk Factors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50</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2. Unregistered Sales of Equity Securities and Use of Proceeds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50</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6. Exhibits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51</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Signatures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52</w:t>
              </w:r>
            </w:hyperlink>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is a glossary of certain oil and natural gas industry terms that are used in this Quarterly Report on Form 10-Q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5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Bbl or barrel</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89"/>
              </w:rPr>
              <w:t>One stock tank barrel, or 42 U.S. gallons liquid volume, used in this report in reference to crude oil or other liquid</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hydrocarbons.</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barrel of crude oil.</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BOE</w:t>
            </w:r>
          </w:p>
        </w:tc>
        <w:tc>
          <w:tcPr>
            <w:tcW w:w="8520" w:type="dxa"/>
            <w:vAlign w:val="bottom"/>
          </w:tcPr>
          <w:p>
            <w:pPr>
              <w:ind w:left="500"/>
              <w:spacing w:after="0"/>
              <w:rPr>
                <w:sz w:val="20"/>
                <w:szCs w:val="20"/>
                <w:color w:val="auto"/>
              </w:rPr>
            </w:pPr>
            <w:r>
              <w:rPr>
                <w:rFonts w:ascii="Arial" w:cs="Arial" w:eastAsia="Arial" w:hAnsi="Arial"/>
                <w:sz w:val="18"/>
                <w:szCs w:val="18"/>
                <w:color w:val="auto"/>
                <w:w w:val="94"/>
              </w:rPr>
              <w:t>One barrel of oil equivalent, with six thousand cubic feet of natural gas being equivalent to one barrel of oil.</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BOE/d</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BOE per day.</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British Thermal Unit or Btu</w:t>
            </w:r>
          </w:p>
        </w:tc>
        <w:tc>
          <w:tcPr>
            <w:tcW w:w="8520" w:type="dxa"/>
            <w:vAlign w:val="bottom"/>
          </w:tcPr>
          <w:p>
            <w:pPr>
              <w:ind w:left="500"/>
              <w:spacing w:after="0"/>
              <w:rPr>
                <w:sz w:val="20"/>
                <w:szCs w:val="20"/>
                <w:color w:val="auto"/>
              </w:rPr>
            </w:pPr>
            <w:r>
              <w:rPr>
                <w:rFonts w:ascii="Arial" w:cs="Arial" w:eastAsia="Arial" w:hAnsi="Arial"/>
                <w:sz w:val="18"/>
                <w:szCs w:val="18"/>
                <w:color w:val="auto"/>
                <w:w w:val="97"/>
              </w:rPr>
              <w:t>The quantity of heat required to raise the temperature of one pound of water by one degree Fahrenheit.</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Completion</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92"/>
              </w:rPr>
              <w:t>The process of treating a drilled well followed by the installation of permanent equipment for the production of</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natural gas or oil, or in the case of a dry hole, the reporting of abandonment to the appropriate agency.</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Finding and development costs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4"/>
              </w:rPr>
              <w:t>Capital costs incurred in the acquisition, exploitation and exploration of proved oil and natural gas reserves</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acres or gross wells</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Horizontal wells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4"/>
              </w:rPr>
              <w:t>Wells drilled directionally horizontal to allow for development of structures not reachable through traditional</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vertical drilling mechanisms.</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MBbl</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thousand barrels of crude oil and other liquid hydrocarbons.</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MBO/d</w:t>
            </w:r>
          </w:p>
        </w:tc>
        <w:tc>
          <w:tcPr>
            <w:tcW w:w="8520" w:type="dxa"/>
            <w:vAlign w:val="bottom"/>
          </w:tcPr>
          <w:p>
            <w:pPr>
              <w:ind w:left="500"/>
              <w:spacing w:after="0"/>
              <w:rPr>
                <w:sz w:val="20"/>
                <w:szCs w:val="20"/>
                <w:color w:val="auto"/>
              </w:rPr>
            </w:pPr>
            <w:r>
              <w:rPr>
                <w:rFonts w:ascii="Arial" w:cs="Arial" w:eastAsia="Arial" w:hAnsi="Arial"/>
                <w:sz w:val="18"/>
                <w:szCs w:val="18"/>
                <w:color w:val="auto"/>
              </w:rPr>
              <w:t>One thousand BO per day.</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MBOE/d</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thousand BOE per day.</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Mcf</w:t>
            </w:r>
          </w:p>
        </w:tc>
        <w:tc>
          <w:tcPr>
            <w:tcW w:w="8520" w:type="dxa"/>
            <w:vAlign w:val="bottom"/>
          </w:tcPr>
          <w:p>
            <w:pPr>
              <w:ind w:left="500"/>
              <w:spacing w:after="0"/>
              <w:rPr>
                <w:sz w:val="20"/>
                <w:szCs w:val="20"/>
                <w:color w:val="auto"/>
              </w:rPr>
            </w:pPr>
            <w:r>
              <w:rPr>
                <w:rFonts w:ascii="Arial" w:cs="Arial" w:eastAsia="Arial" w:hAnsi="Arial"/>
                <w:sz w:val="18"/>
                <w:szCs w:val="18"/>
                <w:color w:val="auto"/>
              </w:rPr>
              <w:t>One thousand cubic feet of natural gas.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Mineral interests</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96"/>
              </w:rPr>
              <w:t>The interests in ownership of the resource and mineral rights, giving an owner the right to profit from the</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extracted resources.</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MMBtu</w:t>
            </w:r>
          </w:p>
        </w:tc>
        <w:tc>
          <w:tcPr>
            <w:tcW w:w="8520" w:type="dxa"/>
            <w:vAlign w:val="bottom"/>
          </w:tcPr>
          <w:p>
            <w:pPr>
              <w:ind w:left="500"/>
              <w:spacing w:after="0"/>
              <w:rPr>
                <w:sz w:val="20"/>
                <w:szCs w:val="20"/>
                <w:color w:val="auto"/>
              </w:rPr>
            </w:pPr>
            <w:r>
              <w:rPr>
                <w:rFonts w:ascii="Arial" w:cs="Arial" w:eastAsia="Arial" w:hAnsi="Arial"/>
                <w:sz w:val="18"/>
                <w:szCs w:val="18"/>
                <w:color w:val="auto"/>
              </w:rPr>
              <w:t>One million British Thermal Units.</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acres or net wells</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Net revenue interest</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6"/>
              </w:rPr>
              <w:t>An owner’s interest in the revenues of a well after deducting proceeds allocated to royalty and overriding</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interests.</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Plugging and abandonment</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Prospect</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88"/>
              </w:rPr>
              <w:t>A specific geographic area which, based on supporting geological, geophysical or other data and also preliminary</w:t>
            </w:r>
          </w:p>
        </w:tc>
      </w:tr>
      <w:tr>
        <w:trPr>
          <w:trHeight w:val="176"/>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8"/>
              </w:rPr>
              <w:t>economic analysis using reasonably anticipated prices and costs, is deemed to have potential for the discovery of</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commercial hydrocarbons.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Proved reserves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5"/>
              </w:rPr>
              <w:t>The estimated quantities of oil, natural gas and natural gas liquids which geological and engineering data</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under existing economic and operating conditions.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Reserves</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89"/>
              </w:rPr>
              <w:t>The estimated remaining quantities of oil and natural gas and related substances anticipated to be economically</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9"/>
              </w:rPr>
              <w:t>producible, as of a given date, by application of development projects to known accumulations. In addition, there</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9"/>
              </w:rPr>
              <w:t>must exist, or there must be a reasonable expectation that there will exist, the legal right to produce or a revenue</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8"/>
              </w:rPr>
              <w:t>interest in the production, installed means of delivering oil and natural gas or related substances to the market and</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2"/>
              </w:rPr>
              <w:t>all permits and financing required to implement the project. Reserves are not assigned to adjacent reservoirs</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0"/>
              </w:rPr>
              <w:t>isolated by major, potentially sealing, faults until those reservoirs are penetrated and evaluated as economically</w:t>
            </w:r>
          </w:p>
        </w:tc>
      </w:tr>
      <w:tr>
        <w:trPr>
          <w:trHeight w:val="176"/>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8"/>
              </w:rPr>
              <w:t>producible. Reserves should not be assigned to areas that are clearly separated from a known accumulation by a</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8"/>
              </w:rPr>
              <w:t>non-productive reservoir (i.e., absence of reservoir, structurally low reservoir or negative test results). Such areas</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may contain prospective resources (i.e., potentially recoverable resources from undiscovered accumulations).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Reservoir</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3"/>
              </w:rPr>
              <w:t>A porous and permeable underground formation containing a natural accumulation of producible natural gas</w:t>
            </w:r>
          </w:p>
        </w:tc>
      </w:tr>
      <w:tr>
        <w:trPr>
          <w:trHeight w:val="222"/>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2"/>
              </w:rPr>
              <w:t>and/or crude oil that is confined by impermeable rock or water barriers and is separate from other reservoirs.</w:t>
            </w: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Royalty interest</w:t>
            </w:r>
          </w:p>
        </w:tc>
        <w:tc>
          <w:tcPr>
            <w:tcW w:w="9040" w:type="dxa"/>
            <w:vAlign w:val="bottom"/>
            <w:tcBorders>
              <w:top w:val="single" w:sz="8" w:color="auto"/>
            </w:tcBorders>
            <w:shd w:val="clear" w:color="auto" w:fill="CCEEFF"/>
          </w:tcPr>
          <w:p>
            <w:pPr>
              <w:ind w:left="1020"/>
              <w:spacing w:after="0" w:line="195" w:lineRule="exact"/>
              <w:rPr>
                <w:sz w:val="20"/>
                <w:szCs w:val="20"/>
                <w:color w:val="auto"/>
              </w:rPr>
            </w:pPr>
            <w:r>
              <w:rPr>
                <w:rFonts w:ascii="Arial" w:cs="Arial" w:eastAsia="Arial" w:hAnsi="Arial"/>
                <w:sz w:val="18"/>
                <w:szCs w:val="18"/>
                <w:color w:val="auto"/>
                <w:w w:val="89"/>
              </w:rPr>
              <w:t>An interest that gives an owner the right to receive a portion of the resources or revenues without having to carry</w:t>
            </w:r>
          </w:p>
        </w:tc>
      </w:tr>
      <w:tr>
        <w:trPr>
          <w:trHeight w:val="224"/>
        </w:trPr>
        <w:tc>
          <w:tcPr>
            <w:tcW w:w="2200" w:type="dxa"/>
            <w:vAlign w:val="bottom"/>
            <w:shd w:val="clear" w:color="auto" w:fill="CCEEFF"/>
          </w:tcPr>
          <w:p>
            <w:pPr>
              <w:spacing w:after="0"/>
              <w:rPr>
                <w:sz w:val="19"/>
                <w:szCs w:val="19"/>
                <w:color w:val="auto"/>
              </w:rPr>
            </w:pPr>
          </w:p>
        </w:tc>
        <w:tc>
          <w:tcPr>
            <w:tcW w:w="90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any costs of development, which may be subject to expiration.</w:t>
            </w:r>
          </w:p>
        </w:tc>
      </w:tr>
      <w:tr>
        <w:trPr>
          <w:trHeight w:val="181"/>
        </w:trPr>
        <w:tc>
          <w:tcPr>
            <w:tcW w:w="2200" w:type="dxa"/>
            <w:vAlign w:val="bottom"/>
          </w:tcPr>
          <w:p>
            <w:pPr>
              <w:ind w:left="20"/>
              <w:spacing w:after="0" w:line="181" w:lineRule="exact"/>
              <w:rPr>
                <w:sz w:val="20"/>
                <w:szCs w:val="20"/>
                <w:color w:val="auto"/>
              </w:rPr>
            </w:pPr>
            <w:r>
              <w:rPr>
                <w:rFonts w:ascii="Arial" w:cs="Arial" w:eastAsia="Arial" w:hAnsi="Arial"/>
                <w:sz w:val="18"/>
                <w:szCs w:val="18"/>
                <w:color w:val="auto"/>
              </w:rPr>
              <w:t>Working interest</w:t>
            </w:r>
          </w:p>
        </w:tc>
        <w:tc>
          <w:tcPr>
            <w:tcW w:w="9040" w:type="dxa"/>
            <w:vAlign w:val="bottom"/>
          </w:tcPr>
          <w:p>
            <w:pPr>
              <w:ind w:left="1020"/>
              <w:spacing w:after="0" w:line="181" w:lineRule="exact"/>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w:t>
            </w:r>
          </w:p>
        </w:tc>
      </w:tr>
      <w:tr>
        <w:trPr>
          <w:trHeight w:val="176"/>
        </w:trPr>
        <w:tc>
          <w:tcPr>
            <w:tcW w:w="2200" w:type="dxa"/>
            <w:vAlign w:val="bottom"/>
          </w:tcPr>
          <w:p>
            <w:pPr>
              <w:spacing w:after="0"/>
              <w:rPr>
                <w:sz w:val="15"/>
                <w:szCs w:val="15"/>
                <w:color w:val="auto"/>
              </w:rPr>
            </w:pPr>
          </w:p>
        </w:tc>
        <w:tc>
          <w:tcPr>
            <w:tcW w:w="9040" w:type="dxa"/>
            <w:vAlign w:val="bottom"/>
          </w:tcPr>
          <w:p>
            <w:pPr>
              <w:ind w:left="1020"/>
              <w:spacing w:after="0" w:line="176" w:lineRule="exact"/>
              <w:rPr>
                <w:sz w:val="20"/>
                <w:szCs w:val="20"/>
                <w:color w:val="auto"/>
              </w:rPr>
            </w:pPr>
            <w:r>
              <w:rPr>
                <w:rFonts w:ascii="Arial" w:cs="Arial" w:eastAsia="Arial" w:hAnsi="Arial"/>
                <w:sz w:val="18"/>
                <w:szCs w:val="18"/>
                <w:color w:val="auto"/>
                <w:w w:val="93"/>
              </w:rPr>
              <w:t>property and receive a share of production and requires the owner to pay a share of the costs of drilling and</w:t>
            </w:r>
          </w:p>
        </w:tc>
      </w:tr>
      <w:tr>
        <w:trPr>
          <w:trHeight w:val="223"/>
        </w:trPr>
        <w:tc>
          <w:tcPr>
            <w:tcW w:w="220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production operations.</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8740" w:type="dxa"/>
            <w:vAlign w:val="bottom"/>
          </w:tcPr>
          <w:p>
            <w:pPr>
              <w:ind w:left="13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89"/>
        </w:trPr>
        <w:tc>
          <w:tcPr>
            <w:tcW w:w="2500" w:type="dxa"/>
            <w:vAlign w:val="bottom"/>
            <w:tcBorders>
              <w:bottom w:val="single" w:sz="8" w:color="auto"/>
            </w:tcBorders>
          </w:tcPr>
          <w:p>
            <w:pPr>
              <w:spacing w:after="0"/>
              <w:rPr>
                <w:sz w:val="16"/>
                <w:szCs w:val="16"/>
                <w:color w:val="auto"/>
              </w:rPr>
            </w:pPr>
          </w:p>
        </w:tc>
        <w:tc>
          <w:tcPr>
            <w:tcW w:w="8740" w:type="dxa"/>
            <w:vAlign w:val="bottom"/>
            <w:tcBorders>
              <w:bottom w:val="single" w:sz="8" w:color="auto"/>
            </w:tcBorders>
          </w:tcPr>
          <w:p>
            <w:pPr>
              <w:spacing w:after="0"/>
              <w:rPr>
                <w:sz w:val="16"/>
                <w:szCs w:val="16"/>
                <w:color w:val="auto"/>
              </w:rPr>
            </w:pPr>
          </w:p>
        </w:tc>
      </w:tr>
      <w:tr>
        <w:trPr>
          <w:trHeight w:val="174"/>
        </w:trPr>
        <w:tc>
          <w:tcPr>
            <w:tcW w:w="25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2019 Indenture</w:t>
            </w:r>
          </w:p>
        </w:tc>
        <w:tc>
          <w:tcPr>
            <w:tcW w:w="8740" w:type="dxa"/>
            <w:vAlign w:val="bottom"/>
            <w:shd w:val="clear" w:color="auto" w:fill="CCEEFF"/>
          </w:tcPr>
          <w:p>
            <w:pPr>
              <w:ind w:left="720"/>
              <w:spacing w:after="0" w:line="174" w:lineRule="exact"/>
              <w:rPr>
                <w:sz w:val="20"/>
                <w:szCs w:val="20"/>
                <w:color w:val="auto"/>
              </w:rPr>
            </w:pPr>
            <w:r>
              <w:rPr>
                <w:rFonts w:ascii="Arial" w:cs="Arial" w:eastAsia="Arial" w:hAnsi="Arial"/>
                <w:sz w:val="18"/>
                <w:szCs w:val="18"/>
                <w:color w:val="auto"/>
                <w:w w:val="97"/>
              </w:rPr>
              <w:t>The indenture, dated as of December 5, 2019, among the Company and Wells Fargo, as the trustee, as</w:t>
            </w:r>
          </w:p>
        </w:tc>
      </w:tr>
      <w:tr>
        <w:trPr>
          <w:trHeight w:val="175"/>
        </w:trPr>
        <w:tc>
          <w:tcPr>
            <w:tcW w:w="2500" w:type="dxa"/>
            <w:vAlign w:val="bottom"/>
            <w:shd w:val="clear" w:color="auto" w:fill="CCEEFF"/>
          </w:tcPr>
          <w:p>
            <w:pPr>
              <w:spacing w:after="0"/>
              <w:rPr>
                <w:sz w:val="15"/>
                <w:szCs w:val="15"/>
                <w:color w:val="auto"/>
              </w:rPr>
            </w:pPr>
          </w:p>
        </w:tc>
        <w:tc>
          <w:tcPr>
            <w:tcW w:w="87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94"/>
              </w:rPr>
              <w:t>supplemented by the first supplemental indenture dated as of December 5, 2019, the second supplemental</w:t>
            </w:r>
          </w:p>
        </w:tc>
      </w:tr>
      <w:tr>
        <w:trPr>
          <w:trHeight w:val="176"/>
        </w:trPr>
        <w:tc>
          <w:tcPr>
            <w:tcW w:w="2500" w:type="dxa"/>
            <w:vAlign w:val="bottom"/>
            <w:shd w:val="clear" w:color="auto" w:fill="CCEEFF"/>
          </w:tcPr>
          <w:p>
            <w:pPr>
              <w:spacing w:after="0"/>
              <w:rPr>
                <w:sz w:val="15"/>
                <w:szCs w:val="15"/>
                <w:color w:val="auto"/>
              </w:rPr>
            </w:pPr>
          </w:p>
        </w:tc>
        <w:tc>
          <w:tcPr>
            <w:tcW w:w="87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89"/>
              </w:rPr>
              <w:t>indenture dated as of May 26, 2020, the third supplemental indenture dated as of March 24, 2021, and the fourth</w:t>
            </w:r>
          </w:p>
        </w:tc>
      </w:tr>
      <w:tr>
        <w:trPr>
          <w:trHeight w:val="175"/>
        </w:trPr>
        <w:tc>
          <w:tcPr>
            <w:tcW w:w="2500" w:type="dxa"/>
            <w:vAlign w:val="bottom"/>
            <w:shd w:val="clear" w:color="auto" w:fill="CCEEFF"/>
          </w:tcPr>
          <w:p>
            <w:pPr>
              <w:spacing w:after="0"/>
              <w:rPr>
                <w:sz w:val="15"/>
                <w:szCs w:val="15"/>
                <w:color w:val="auto"/>
              </w:rPr>
            </w:pPr>
          </w:p>
        </w:tc>
        <w:tc>
          <w:tcPr>
            <w:tcW w:w="87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88"/>
              </w:rPr>
              <w:t>supplemental indenture dated as of June 30, 2021, relating to the December 2019 Notes (defined above), the May</w:t>
            </w:r>
          </w:p>
        </w:tc>
      </w:tr>
      <w:tr>
        <w:trPr>
          <w:trHeight w:val="224"/>
        </w:trPr>
        <w:tc>
          <w:tcPr>
            <w:tcW w:w="2500" w:type="dxa"/>
            <w:vAlign w:val="bottom"/>
            <w:shd w:val="clear" w:color="auto" w:fill="CCEEFF"/>
          </w:tcPr>
          <w:p>
            <w:pPr>
              <w:spacing w:after="0"/>
              <w:rPr>
                <w:sz w:val="19"/>
                <w:szCs w:val="19"/>
                <w:color w:val="auto"/>
              </w:rPr>
            </w:pP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2020 Notes (defined below) and the March 2021 Notes (defined below).</w:t>
            </w:r>
          </w:p>
        </w:tc>
      </w:tr>
      <w:tr>
        <w:trPr>
          <w:trHeight w:val="181"/>
        </w:trPr>
        <w:tc>
          <w:tcPr>
            <w:tcW w:w="2500" w:type="dxa"/>
            <w:vAlign w:val="bottom"/>
          </w:tcPr>
          <w:p>
            <w:pPr>
              <w:ind w:left="20"/>
              <w:spacing w:after="0" w:line="181" w:lineRule="exact"/>
              <w:rPr>
                <w:sz w:val="20"/>
                <w:szCs w:val="20"/>
                <w:color w:val="auto"/>
              </w:rPr>
            </w:pPr>
            <w:r>
              <w:rPr>
                <w:rFonts w:ascii="Arial" w:cs="Arial" w:eastAsia="Arial" w:hAnsi="Arial"/>
                <w:sz w:val="18"/>
                <w:szCs w:val="18"/>
                <w:color w:val="auto"/>
              </w:rPr>
              <w:t>2025 Indenture</w:t>
            </w:r>
          </w:p>
        </w:tc>
        <w:tc>
          <w:tcPr>
            <w:tcW w:w="8740" w:type="dxa"/>
            <w:vAlign w:val="bottom"/>
          </w:tcPr>
          <w:p>
            <w:pPr>
              <w:ind w:left="720"/>
              <w:spacing w:after="0" w:line="181" w:lineRule="exact"/>
              <w:rPr>
                <w:sz w:val="20"/>
                <w:szCs w:val="20"/>
                <w:color w:val="auto"/>
              </w:rPr>
            </w:pPr>
            <w:r>
              <w:rPr>
                <w:rFonts w:ascii="Arial" w:cs="Arial" w:eastAsia="Arial" w:hAnsi="Arial"/>
                <w:sz w:val="18"/>
                <w:szCs w:val="18"/>
                <w:color w:val="auto"/>
                <w:w w:val="92"/>
              </w:rPr>
              <w:t>The indenture relating to the 2025 Senior Notes (defined below), dated as of December 20, 2016, among the</w:t>
            </w:r>
          </w:p>
        </w:tc>
      </w:tr>
      <w:tr>
        <w:trPr>
          <w:trHeight w:val="223"/>
        </w:trPr>
        <w:tc>
          <w:tcPr>
            <w:tcW w:w="2500" w:type="dxa"/>
            <w:vAlign w:val="bottom"/>
          </w:tcPr>
          <w:p>
            <w:pPr>
              <w:spacing w:after="0"/>
              <w:rPr>
                <w:sz w:val="19"/>
                <w:szCs w:val="19"/>
                <w:color w:val="auto"/>
              </w:rPr>
            </w:pPr>
          </w:p>
        </w:tc>
        <w:tc>
          <w:tcPr>
            <w:tcW w:w="8740" w:type="dxa"/>
            <w:vAlign w:val="bottom"/>
          </w:tcPr>
          <w:p>
            <w:pPr>
              <w:ind w:left="720"/>
              <w:spacing w:after="0"/>
              <w:rPr>
                <w:sz w:val="20"/>
                <w:szCs w:val="20"/>
                <w:color w:val="auto"/>
              </w:rPr>
            </w:pPr>
            <w:r>
              <w:rPr>
                <w:rFonts w:ascii="Arial" w:cs="Arial" w:eastAsia="Arial" w:hAnsi="Arial"/>
                <w:sz w:val="18"/>
                <w:szCs w:val="18"/>
                <w:color w:val="auto"/>
              </w:rPr>
              <w:t>Company, the subsidiary guarantor party thereto and Wells Fargo, as the trustee, as supplemented.</w:t>
            </w: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Senior Notes</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The Company’s 5.375% senior unsecured notes due 2025 issued under the 2025 Indenture.</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ASC</w:t>
            </w:r>
          </w:p>
        </w:tc>
        <w:tc>
          <w:tcPr>
            <w:tcW w:w="8740" w:type="dxa"/>
            <w:vAlign w:val="bottom"/>
          </w:tcPr>
          <w:p>
            <w:pPr>
              <w:ind w:left="720"/>
              <w:spacing w:after="0"/>
              <w:rPr>
                <w:sz w:val="20"/>
                <w:szCs w:val="20"/>
                <w:color w:val="auto"/>
              </w:rPr>
            </w:pPr>
            <w:r>
              <w:rPr>
                <w:rFonts w:ascii="Arial" w:cs="Arial" w:eastAsia="Arial" w:hAnsi="Arial"/>
                <w:sz w:val="18"/>
                <w:szCs w:val="18"/>
                <w:color w:val="auto"/>
              </w:rPr>
              <w:t>Accounting Standards Codification.</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Accounting Standards Update.</w:t>
            </w:r>
          </w:p>
        </w:tc>
      </w:tr>
      <w:tr>
        <w:trPr>
          <w:trHeight w:val="181"/>
        </w:trPr>
        <w:tc>
          <w:tcPr>
            <w:tcW w:w="2500" w:type="dxa"/>
            <w:vAlign w:val="bottom"/>
          </w:tcPr>
          <w:p>
            <w:pPr>
              <w:ind w:left="20"/>
              <w:spacing w:after="0" w:line="181" w:lineRule="exact"/>
              <w:rPr>
                <w:sz w:val="20"/>
                <w:szCs w:val="20"/>
                <w:color w:val="auto"/>
              </w:rPr>
            </w:pPr>
            <w:r>
              <w:rPr>
                <w:rFonts w:ascii="Arial" w:cs="Arial" w:eastAsia="Arial" w:hAnsi="Arial"/>
                <w:sz w:val="18"/>
                <w:szCs w:val="18"/>
                <w:color w:val="auto"/>
              </w:rPr>
              <w:t>December 2019 Notes</w:t>
            </w:r>
          </w:p>
        </w:tc>
        <w:tc>
          <w:tcPr>
            <w:tcW w:w="8740" w:type="dxa"/>
            <w:vAlign w:val="bottom"/>
          </w:tcPr>
          <w:p>
            <w:pPr>
              <w:ind w:left="720"/>
              <w:spacing w:after="0" w:line="181" w:lineRule="exact"/>
              <w:rPr>
                <w:sz w:val="20"/>
                <w:szCs w:val="20"/>
                <w:color w:val="auto"/>
              </w:rPr>
            </w:pPr>
            <w:r>
              <w:rPr>
                <w:rFonts w:ascii="Arial" w:cs="Arial" w:eastAsia="Arial" w:hAnsi="Arial"/>
                <w:sz w:val="18"/>
                <w:szCs w:val="18"/>
                <w:color w:val="auto"/>
                <w:w w:val="90"/>
              </w:rPr>
              <w:t>The Company’s 2.875% senior unsecured notes due 2024, the Company’s 3.250% senior unsecured notes due</w:t>
            </w:r>
          </w:p>
        </w:tc>
      </w:tr>
      <w:tr>
        <w:trPr>
          <w:trHeight w:val="223"/>
        </w:trPr>
        <w:tc>
          <w:tcPr>
            <w:tcW w:w="2500" w:type="dxa"/>
            <w:vAlign w:val="bottom"/>
          </w:tcPr>
          <w:p>
            <w:pPr>
              <w:spacing w:after="0"/>
              <w:rPr>
                <w:sz w:val="19"/>
                <w:szCs w:val="19"/>
                <w:color w:val="auto"/>
              </w:rPr>
            </w:pPr>
          </w:p>
        </w:tc>
        <w:tc>
          <w:tcPr>
            <w:tcW w:w="8740" w:type="dxa"/>
            <w:vAlign w:val="bottom"/>
          </w:tcPr>
          <w:p>
            <w:pPr>
              <w:ind w:left="720"/>
              <w:spacing w:after="0"/>
              <w:rPr>
                <w:sz w:val="20"/>
                <w:szCs w:val="20"/>
                <w:color w:val="auto"/>
              </w:rPr>
            </w:pPr>
            <w:r>
              <w:rPr>
                <w:rFonts w:ascii="Arial" w:cs="Arial" w:eastAsia="Arial" w:hAnsi="Arial"/>
                <w:sz w:val="18"/>
                <w:szCs w:val="18"/>
                <w:color w:val="auto"/>
                <w:w w:val="99"/>
              </w:rPr>
              <w:t>2026 and the Company’s 3.500% senior unsecured notes due 2029 issued under the 2019 Indenture.</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Plan</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The Company’s Equity Incentive Plan.</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740" w:type="dxa"/>
            <w:vAlign w:val="bottom"/>
          </w:tcPr>
          <w:p>
            <w:pPr>
              <w:ind w:left="720"/>
              <w:spacing w:after="0"/>
              <w:rPr>
                <w:sz w:val="20"/>
                <w:szCs w:val="20"/>
                <w:color w:val="auto"/>
              </w:rPr>
            </w:pPr>
            <w:r>
              <w:rPr>
                <w:rFonts w:ascii="Arial" w:cs="Arial" w:eastAsia="Arial" w:hAnsi="Arial"/>
                <w:sz w:val="18"/>
                <w:szCs w:val="18"/>
                <w:color w:val="auto"/>
              </w:rPr>
              <w:t>The Securities Exchange Act of 1934, as amended.</w:t>
            </w: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Financial Accounting Standards Board.</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GAAP</w:t>
            </w:r>
          </w:p>
        </w:tc>
        <w:tc>
          <w:tcPr>
            <w:tcW w:w="8740" w:type="dxa"/>
            <w:vAlign w:val="bottom"/>
          </w:tcPr>
          <w:p>
            <w:pPr>
              <w:ind w:left="7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The London interbank offered rate.</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May 2020 Notes</w:t>
            </w:r>
          </w:p>
        </w:tc>
        <w:tc>
          <w:tcPr>
            <w:tcW w:w="8740" w:type="dxa"/>
            <w:vAlign w:val="bottom"/>
          </w:tcPr>
          <w:p>
            <w:pPr>
              <w:ind w:left="720"/>
              <w:spacing w:after="0"/>
              <w:rPr>
                <w:sz w:val="20"/>
                <w:szCs w:val="20"/>
                <w:color w:val="auto"/>
              </w:rPr>
            </w:pPr>
            <w:r>
              <w:rPr>
                <w:rFonts w:ascii="Arial" w:cs="Arial" w:eastAsia="Arial" w:hAnsi="Arial"/>
                <w:sz w:val="18"/>
                <w:szCs w:val="18"/>
                <w:color w:val="auto"/>
              </w:rPr>
              <w:t>The Company’s 4.750% Senior Notes due 2025 issued under the 2019 Indenture.</w:t>
            </w:r>
          </w:p>
        </w:tc>
      </w:tr>
      <w:tr>
        <w:trPr>
          <w:trHeight w:val="182"/>
        </w:trPr>
        <w:tc>
          <w:tcPr>
            <w:tcW w:w="25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March 2021 Notes</w:t>
            </w:r>
          </w:p>
        </w:tc>
        <w:tc>
          <w:tcPr>
            <w:tcW w:w="8740" w:type="dxa"/>
            <w:vAlign w:val="bottom"/>
            <w:shd w:val="clear" w:color="auto" w:fill="CCEEFF"/>
          </w:tcPr>
          <w:p>
            <w:pPr>
              <w:ind w:left="720"/>
              <w:spacing w:after="0" w:line="182" w:lineRule="exact"/>
              <w:rPr>
                <w:sz w:val="20"/>
                <w:szCs w:val="20"/>
                <w:color w:val="auto"/>
              </w:rPr>
            </w:pPr>
            <w:r>
              <w:rPr>
                <w:rFonts w:ascii="Arial" w:cs="Arial" w:eastAsia="Arial" w:hAnsi="Arial"/>
                <w:sz w:val="18"/>
                <w:szCs w:val="18"/>
                <w:color w:val="auto"/>
                <w:w w:val="96"/>
              </w:rPr>
              <w:t>The Company’s 0.900% Senior Notes due 2023, the Company’s 3.125% Senior Notes due 2031 and the</w:t>
            </w:r>
          </w:p>
        </w:tc>
      </w:tr>
      <w:tr>
        <w:trPr>
          <w:trHeight w:val="224"/>
        </w:trPr>
        <w:tc>
          <w:tcPr>
            <w:tcW w:w="2500" w:type="dxa"/>
            <w:vAlign w:val="bottom"/>
            <w:shd w:val="clear" w:color="auto" w:fill="CCEEFF"/>
          </w:tcPr>
          <w:p>
            <w:pPr>
              <w:spacing w:after="0"/>
              <w:rPr>
                <w:sz w:val="19"/>
                <w:szCs w:val="19"/>
                <w:color w:val="auto"/>
              </w:rPr>
            </w:pP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Company’s 4.400% Senior Notes due 2051 issued under the 2019 Indenture.</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NYMEX</w:t>
            </w:r>
          </w:p>
        </w:tc>
        <w:tc>
          <w:tcPr>
            <w:tcW w:w="8740" w:type="dxa"/>
            <w:vAlign w:val="bottom"/>
          </w:tcPr>
          <w:p>
            <w:pPr>
              <w:ind w:left="720"/>
              <w:spacing w:after="0"/>
              <w:rPr>
                <w:sz w:val="20"/>
                <w:szCs w:val="20"/>
                <w:color w:val="auto"/>
              </w:rPr>
            </w:pPr>
            <w:r>
              <w:rPr>
                <w:rFonts w:ascii="Arial" w:cs="Arial" w:eastAsia="Arial" w:hAnsi="Arial"/>
                <w:sz w:val="18"/>
                <w:szCs w:val="18"/>
                <w:color w:val="auto"/>
              </w:rPr>
              <w:t>New York Mercantile Exchange.</w:t>
            </w: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OPEC</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Organization of the Petroleum Exporting Countries.</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Rattler</w:t>
            </w:r>
          </w:p>
        </w:tc>
        <w:tc>
          <w:tcPr>
            <w:tcW w:w="8740" w:type="dxa"/>
            <w:vAlign w:val="bottom"/>
          </w:tcPr>
          <w:p>
            <w:pPr>
              <w:ind w:left="720"/>
              <w:spacing w:after="0"/>
              <w:rPr>
                <w:sz w:val="20"/>
                <w:szCs w:val="20"/>
                <w:color w:val="auto"/>
              </w:rPr>
            </w:pPr>
            <w:r>
              <w:rPr>
                <w:rFonts w:ascii="Arial" w:cs="Arial" w:eastAsia="Arial" w:hAnsi="Arial"/>
                <w:sz w:val="18"/>
                <w:szCs w:val="18"/>
                <w:color w:val="auto"/>
              </w:rPr>
              <w:t>Rattler Midstream LP, a Delaware limited partnership.</w:t>
            </w:r>
          </w:p>
        </w:tc>
      </w:tr>
      <w:tr>
        <w:trPr>
          <w:trHeight w:val="182"/>
        </w:trPr>
        <w:tc>
          <w:tcPr>
            <w:tcW w:w="25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Rattler’s General Partner</w:t>
            </w:r>
          </w:p>
        </w:tc>
        <w:tc>
          <w:tcPr>
            <w:tcW w:w="8740" w:type="dxa"/>
            <w:vAlign w:val="bottom"/>
            <w:shd w:val="clear" w:color="auto" w:fill="CCEEFF"/>
          </w:tcPr>
          <w:p>
            <w:pPr>
              <w:ind w:left="720"/>
              <w:spacing w:after="0" w:line="182" w:lineRule="exact"/>
              <w:rPr>
                <w:sz w:val="20"/>
                <w:szCs w:val="20"/>
                <w:color w:val="auto"/>
              </w:rPr>
            </w:pPr>
            <w:r>
              <w:rPr>
                <w:rFonts w:ascii="Arial" w:cs="Arial" w:eastAsia="Arial" w:hAnsi="Arial"/>
                <w:sz w:val="18"/>
                <w:szCs w:val="18"/>
                <w:color w:val="auto"/>
                <w:w w:val="92"/>
              </w:rPr>
              <w:t>Rattler Midstream GP LLC, a Delaware limited liability company; the general partner of Rattler Midstream LP</w:t>
            </w:r>
          </w:p>
        </w:tc>
      </w:tr>
      <w:tr>
        <w:trPr>
          <w:trHeight w:val="224"/>
        </w:trPr>
        <w:tc>
          <w:tcPr>
            <w:tcW w:w="2500" w:type="dxa"/>
            <w:vAlign w:val="bottom"/>
            <w:shd w:val="clear" w:color="auto" w:fill="CCEEFF"/>
          </w:tcPr>
          <w:p>
            <w:pPr>
              <w:spacing w:after="0"/>
              <w:rPr>
                <w:sz w:val="19"/>
                <w:szCs w:val="19"/>
                <w:color w:val="auto"/>
              </w:rPr>
            </w:pP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and a wholly owned subsidiary of the Company.</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Rattler LLC</w:t>
            </w:r>
          </w:p>
        </w:tc>
        <w:tc>
          <w:tcPr>
            <w:tcW w:w="8740" w:type="dxa"/>
            <w:vAlign w:val="bottom"/>
          </w:tcPr>
          <w:p>
            <w:pPr>
              <w:ind w:left="720"/>
              <w:spacing w:after="0"/>
              <w:rPr>
                <w:sz w:val="20"/>
                <w:szCs w:val="20"/>
                <w:color w:val="auto"/>
              </w:rPr>
            </w:pPr>
            <w:r>
              <w:rPr>
                <w:rFonts w:ascii="Arial" w:cs="Arial" w:eastAsia="Arial" w:hAnsi="Arial"/>
                <w:sz w:val="18"/>
                <w:szCs w:val="18"/>
                <w:color w:val="auto"/>
              </w:rPr>
              <w:t>Rattler Midstream Operating LLC, a Delaware limited liability company and a subsidiary of Rattler.</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United States Securities and Exchange Commission.</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740" w:type="dxa"/>
            <w:vAlign w:val="bottom"/>
          </w:tcPr>
          <w:p>
            <w:pPr>
              <w:ind w:left="720"/>
              <w:spacing w:after="0"/>
              <w:rPr>
                <w:sz w:val="20"/>
                <w:szCs w:val="20"/>
                <w:color w:val="auto"/>
              </w:rPr>
            </w:pPr>
            <w:r>
              <w:rPr>
                <w:rFonts w:ascii="Arial" w:cs="Arial" w:eastAsia="Arial" w:hAnsi="Arial"/>
                <w:sz w:val="18"/>
                <w:szCs w:val="18"/>
                <w:color w:val="auto"/>
              </w:rPr>
              <w:t>The 2025 Senior Notes, the December 2019 Notes, the May 2020 Notes and the March 2021 Notes.</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Viper LLC</w:t>
            </w:r>
          </w:p>
        </w:tc>
        <w:tc>
          <w:tcPr>
            <w:tcW w:w="8740" w:type="dxa"/>
            <w:vAlign w:val="bottom"/>
          </w:tcPr>
          <w:p>
            <w:pPr>
              <w:ind w:left="720"/>
              <w:spacing w:after="0"/>
              <w:rPr>
                <w:sz w:val="20"/>
                <w:szCs w:val="20"/>
                <w:color w:val="auto"/>
              </w:rPr>
            </w:pPr>
            <w:r>
              <w:rPr>
                <w:rFonts w:ascii="Arial" w:cs="Arial" w:eastAsia="Arial" w:hAnsi="Arial"/>
                <w:sz w:val="18"/>
                <w:szCs w:val="18"/>
                <w:color w:val="auto"/>
              </w:rPr>
              <w:t>Viper Energy Partners LLC, a Delaware limited liability company and a subsidiary of Viper.</w:t>
            </w:r>
          </w:p>
        </w:tc>
      </w:tr>
      <w:tr>
        <w:trPr>
          <w:trHeight w:val="229"/>
        </w:trPr>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Wells Fargo</w:t>
            </w:r>
          </w:p>
        </w:tc>
        <w:tc>
          <w:tcPr>
            <w:tcW w:w="87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36" w:lineRule="auto"/>
        <w:rPr>
          <w:rFonts w:ascii="Arial" w:cs="Arial" w:eastAsia="Arial" w:hAnsi="Arial"/>
          <w:sz w:val="16"/>
          <w:szCs w:val="16"/>
          <w:color w:val="0000FF"/>
        </w:rPr>
      </w:pPr>
      <w:r>
        <w:rPr>
          <w:rFonts w:ascii="Arial" w:cs="Arial" w:eastAsia="Arial" w:hAnsi="Arial"/>
          <w:sz w:val="16"/>
          <w:szCs w:val="16"/>
          <w:color w:val="auto"/>
        </w:rPr>
        <w:t xml:space="preserve">Various statements contained in this report are “forward-looking statements” as defined by the SEC. These forward-looking statements are subject to a number of risks, uncertainties and assumptions,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hyperlink w:anchor="page57">
        <w:r>
          <w:rPr>
            <w:rFonts w:ascii="Arial" w:cs="Arial" w:eastAsia="Arial" w:hAnsi="Arial"/>
            <w:sz w:val="16"/>
            <w:szCs w:val="16"/>
            <w:i w:val="1"/>
            <w:iCs w:val="1"/>
            <w:u w:val="single" w:color="auto"/>
            <w:color w:val="0000FF"/>
          </w:rPr>
          <w:t>Part II, Item 1A. Risk Factors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in this report and our </w:t>
      </w:r>
      <w:hyperlink r:id="rId17">
        <w:r>
          <w:rPr>
            <w:rFonts w:ascii="Arial" w:cs="Arial" w:eastAsia="Arial" w:hAnsi="Arial"/>
            <w:sz w:val="16"/>
            <w:szCs w:val="16"/>
            <w:u w:val="single" w:color="auto"/>
            <w:color w:val="0000FF"/>
          </w:rPr>
          <w:t>Annual Report on Form 10–K</w:t>
        </w:r>
        <w:r>
          <w:rPr>
            <w:rFonts w:ascii="Arial" w:cs="Arial" w:eastAsia="Arial" w:hAnsi="Arial"/>
            <w:sz w:val="16"/>
            <w:szCs w:val="16"/>
            <w:color w:val="0000FF"/>
          </w:rPr>
          <w:t xml:space="preserve">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the year ended December 31, 2020 could affect our actual results and cause our actual results to differ materially from</w:t>
      </w:r>
      <w:r>
        <w:rPr>
          <w:rFonts w:ascii="Arial" w:cs="Arial" w:eastAsia="Arial" w:hAnsi="Arial"/>
          <w:sz w:val="16"/>
          <w:szCs w:val="16"/>
          <w:color w:val="0000FF"/>
        </w:rPr>
        <w:t xml:space="preserve"> </w:t>
      </w:r>
      <w:r>
        <w:rPr>
          <w:rFonts w:ascii="Arial" w:cs="Arial" w:eastAsia="Arial" w:hAnsi="Arial"/>
          <w:sz w:val="16"/>
          <w:szCs w:val="16"/>
          <w:color w:val="000000"/>
        </w:rPr>
        <w:t>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11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w:t>
      </w:r>
    </w:p>
    <w:p>
      <w:pPr>
        <w:spacing w:after="0" w:line="11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implications and logistical challenges of epidemic or pandemic diseases, including the COVID-19 pandemic and its impact on the oil and natural gas industry, pricing and demand for oil and natural gas and supply chain logistics;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w:t>
      </w:r>
    </w:p>
    <w:p>
      <w:pPr>
        <w:spacing w:after="0" w:line="117"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conditions of the U.S. oil and natural gas industry and the effect of U.S. energy, environmental, monetary and trade policies;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needed for development and exploration operations on favorable terms or at all;</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conditions of the U.S. oil and natural gas industry and the effect of U.S. energy, monetary and trade policies on our industry and business;</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production;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reduced drilling activity on our exploration and development drilling prospects, inventories, projects and programs;</w:t>
      </w:r>
    </w:p>
    <w:p>
      <w:pPr>
        <w:spacing w:after="0" w:line="128" w:lineRule="exact"/>
        <w:rPr>
          <w:rFonts w:ascii="Arial" w:cs="Arial" w:eastAsia="Arial" w:hAnsi="Arial"/>
          <w:sz w:val="17"/>
          <w:szCs w:val="17"/>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any delays, curtailment delays or interruptions of production, and any governmental order, rule or regulation that may impose production limits;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sales of assets and our anticipated synergies and cost savings from these transactions;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severe weather conditions on our production;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applicable governmental laws and regulations and to obtain permits and governmental approvals;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environmental initiatives and targets;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dividends to our stockholders;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any impairment charges;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 plans;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proceeds from divestiture of assets;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conditions impacting the timing and amount of common stock repurchases under our common stock repurchase program;</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plans, objectives, expectations and intentions;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8220" w:type="dxa"/>
            <w:vAlign w:val="bottom"/>
            <w:vMerge w:val="restart"/>
          </w:tcPr>
          <w:p>
            <w:pPr>
              <w:ind w:left="390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Joint interest and other,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220" w:type="dxa"/>
            <w:vAlign w:val="bottom"/>
          </w:tcPr>
          <w:p>
            <w:pPr>
              <w:ind w:left="680"/>
              <w:spacing w:after="0"/>
              <w:rPr>
                <w:sz w:val="20"/>
                <w:szCs w:val="20"/>
                <w:color w:val="auto"/>
              </w:rPr>
            </w:pPr>
            <w:r>
              <w:rPr>
                <w:rFonts w:ascii="Arial" w:cs="Arial" w:eastAsia="Arial" w:hAnsi="Arial"/>
                <w:sz w:val="18"/>
                <w:szCs w:val="18"/>
                <w:color w:val="auto"/>
              </w:rPr>
              <w:t>Oil and natural gas sales,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360"/>
              <w:spacing w:after="0" w:line="176" w:lineRule="exact"/>
              <w:rPr>
                <w:sz w:val="20"/>
                <w:szCs w:val="20"/>
                <w:color w:val="auto"/>
              </w:rPr>
            </w:pPr>
            <w:r>
              <w:rPr>
                <w:rFonts w:ascii="Arial" w:cs="Arial" w:eastAsia="Arial" w:hAnsi="Arial"/>
                <w:sz w:val="18"/>
                <w:szCs w:val="18"/>
                <w:color w:val="auto"/>
                <w:w w:val="93"/>
              </w:rPr>
              <w:t>Oil and natural gas properties, full cost method of accounting ($8,214 million and $7,493 million excluded</w:t>
            </w:r>
          </w:p>
        </w:tc>
        <w:tc>
          <w:tcPr>
            <w:tcW w:w="1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27,377</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from amortization at September 30, 2021 and December 31, 2020, respectively)</w:t>
            </w:r>
          </w:p>
        </w:tc>
        <w:tc>
          <w:tcPr>
            <w:tcW w:w="1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Midstream assets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Other property, equipment and land</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 depreciation, amortization and impairment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escrow</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real estate,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8220" w:type="dxa"/>
            <w:vAlign w:val="bottom"/>
            <w:vMerge w:val="restart"/>
          </w:tcPr>
          <w:p>
            <w:pPr>
              <w:ind w:left="286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capital expenditures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Revenues and royalties payable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Common stock, $0.01 par value; 400,000,000 shares authorized; 180,791,028 and 158,088,182 shares issued</w:t>
            </w:r>
          </w:p>
        </w:tc>
        <w:tc>
          <w:tcPr>
            <w:tcW w:w="1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September 30, 2021 and December 31, 2020, respectively</w:t>
            </w: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12,656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Diamondback Energy, Inc. stockholders’ equity</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6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4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10"/>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millions, except per share amounts, shares in thousands)</w:t>
            </w:r>
          </w:p>
        </w:tc>
        <w:tc>
          <w:tcPr>
            <w:tcW w:w="980" w:type="dxa"/>
            <w:vAlign w:val="bottom"/>
          </w:tcPr>
          <w:p>
            <w:pPr>
              <w:spacing w:after="0"/>
              <w:rPr>
                <w:sz w:val="18"/>
                <w:szCs w:val="18"/>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Oil sales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sales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Natural gas liquid sales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Midstream services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8"/>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4"/>
        </w:trPr>
        <w:tc>
          <w:tcPr>
            <w:tcW w:w="4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19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operating expenses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Gathering and transportation</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Midstream services expense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amortization and accretion</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Impairment of oil and natural gas properties</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4,999</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Merger and integration expense</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4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w:t>
            </w: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Gain (loss) on sale of equity method investments</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extinguishment of debt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equity investments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4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2"/>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(4,818)</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(3,916)</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(23.91)</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157,984</w:t>
            </w: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176,553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157,984</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Common units issued for acquisitions</w:t>
            </w:r>
          </w:p>
        </w:tc>
        <w:tc>
          <w:tcPr>
            <w:tcW w:w="840" w:type="dxa"/>
            <w:vAlign w:val="bottom"/>
          </w:tcPr>
          <w:p>
            <w:pPr>
              <w:jc w:val="right"/>
              <w:spacing w:after="0"/>
              <w:rPr>
                <w:sz w:val="20"/>
                <w:szCs w:val="20"/>
                <w:color w:val="auto"/>
              </w:rPr>
            </w:pPr>
            <w:r>
              <w:rPr>
                <w:rFonts w:ascii="Arial" w:cs="Arial" w:eastAsia="Arial" w:hAnsi="Arial"/>
                <w:sz w:val="18"/>
                <w:szCs w:val="18"/>
                <w:color w:val="auto"/>
              </w:rPr>
              <w:t>22,795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6"/>
        </w:trPr>
        <w:tc>
          <w:tcPr>
            <w:tcW w:w="4400" w:type="dxa"/>
            <w:vAlign w:val="bottom"/>
          </w:tcPr>
          <w:p>
            <w:pPr>
              <w:ind w:left="140"/>
              <w:spacing w:after="0" w:line="176" w:lineRule="exact"/>
              <w:rPr>
                <w:sz w:val="20"/>
                <w:szCs w:val="20"/>
                <w:color w:val="auto"/>
              </w:rPr>
            </w:pPr>
            <w:r>
              <w:rPr>
                <w:rFonts w:ascii="Arial" w:cs="Arial" w:eastAsia="Arial" w:hAnsi="Arial"/>
                <w:sz w:val="18"/>
                <w:szCs w:val="18"/>
                <w:color w:val="auto"/>
                <w:w w:val="92"/>
              </w:rPr>
              <w:t>Exercise of stock options and issuance of restricted stock</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181,049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shares under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5"/>
        </w:trPr>
        <w:tc>
          <w:tcPr>
            <w:tcW w:w="4400" w:type="dxa"/>
            <w:vAlign w:val="bottom"/>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740"/>
        <w:spacing w:after="0" w:line="254" w:lineRule="auto"/>
        <w:rPr>
          <w:sz w:val="20"/>
          <w:szCs w:val="20"/>
          <w:color w:val="auto"/>
        </w:rPr>
      </w:pPr>
      <w:r>
        <w:rPr>
          <w:rFonts w:ascii="Arial" w:cs="Arial" w:eastAsia="Arial" w:hAnsi="Arial"/>
          <w:sz w:val="18"/>
          <w:szCs w:val="18"/>
          <w:b w:val="1"/>
          <w:bCs w:val="1"/>
          <w:color w:val="auto"/>
        </w:rPr>
        <w:t>Diamondback Energy, Inc. and Subsidiaries Condensed Consolidated Statements of Stockholders’ Equity - (Continued) (Unaudited)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shares for share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w:t>
            </w: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157,815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shares for share buyback program</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w:t>
            </w: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Balance June 30, 2020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157,824</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5"/>
        </w:trPr>
        <w:tc>
          <w:tcPr>
            <w:tcW w:w="4400" w:type="dxa"/>
            <w:vAlign w:val="bottom"/>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157,850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6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gridSpan w:val="3"/>
          </w:tcPr>
          <w:p>
            <w:pPr>
              <w:jc w:val="right"/>
              <w:ind w:right="755"/>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Pr>
          <w:p>
            <w:pPr>
              <w:spacing w:after="0"/>
              <w:rPr>
                <w:sz w:val="18"/>
                <w:szCs w:val="18"/>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Net income (loss)</w:t>
            </w:r>
          </w:p>
        </w:tc>
        <w:tc>
          <w:tcPr>
            <w:tcW w:w="1140" w:type="dxa"/>
            <w:vAlign w:val="bottom"/>
          </w:tcPr>
          <w:p>
            <w:pPr>
              <w:jc w:val="right"/>
              <w:ind w:right="93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1,225</w:t>
            </w:r>
          </w:p>
        </w:tc>
        <w:tc>
          <w:tcPr>
            <w:tcW w:w="120" w:type="dxa"/>
            <w:vAlign w:val="bottom"/>
          </w:tcPr>
          <w:p>
            <w:pPr>
              <w:spacing w:after="0"/>
              <w:rPr>
                <w:sz w:val="18"/>
                <w:szCs w:val="18"/>
                <w:color w:val="auto"/>
              </w:rPr>
            </w:pPr>
          </w:p>
        </w:tc>
        <w:tc>
          <w:tcPr>
            <w:tcW w:w="1200" w:type="dxa"/>
            <w:vAlign w:val="bottom"/>
          </w:tcPr>
          <w:p>
            <w:pPr>
              <w:jc w:val="right"/>
              <w:ind w:right="1015"/>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(3,916)</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Provision for (benefit from) deferred income taxes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(840)</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Impairment of oil and natural gas properties</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4,999</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Depreciation, depletion, amortization and accretion</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955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1,041</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(Gain) loss on extinguishment of debt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(Gain) loss on derivative instruments, net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Cash received (paid) on settlement of derivative instruments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Equity-based compensation expense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(Gain) loss on sale of equity method investments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Other</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Accounts receivable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tax receivable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Prepaid expenses and other</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 and accrued 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Revenues and royalties payable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0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2,777</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Drilling, completions and infrastructure additions to oil and natural gas properties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(1,030)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(1,500)</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Additions to midstream 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Property acquisitions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sale of 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Contributions to equity method investments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Distributions from equity method investments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(1,855)</w:t>
            </w:r>
          </w:p>
        </w:tc>
      </w:tr>
      <w:tr>
        <w:trPr>
          <w:trHeight w:val="196"/>
        </w:trPr>
        <w:tc>
          <w:tcPr>
            <w:tcW w:w="760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borrowings under credit facilities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Repayments under credit facilities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(853)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(1,238)</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senior notes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Repayment of senior notes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(2,540)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Premium on extinguishment of debt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Proceeds from (repayments to) joint venture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Repurchased shares under buyback program</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Repurchased units under buyback program</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to stockholders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Distributions to non-controlling interest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Financing portion of net cash received (paid) for derivative instruments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0"/>
        </w:trPr>
        <w:tc>
          <w:tcPr>
            <w:tcW w:w="760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color w:val="auto"/>
              </w:rPr>
              <w:t>Cash, cash equivalents and restricted cash at end of period</w:t>
            </w:r>
            <w:r>
              <w:rPr>
                <w:rFonts w:ascii="Arial" w:cs="Arial" w:eastAsia="Arial" w:hAnsi="Arial"/>
                <w:sz w:val="21"/>
                <w:szCs w:val="21"/>
                <w:color w:val="auto"/>
                <w:vertAlign w:val="superscript"/>
              </w:rPr>
              <w:t>(1)</w:t>
            </w:r>
          </w:p>
        </w:tc>
        <w:tc>
          <w:tcPr>
            <w:tcW w:w="1140" w:type="dxa"/>
            <w:vAlign w:val="bottom"/>
            <w:tcBorders>
              <w:bottom w:val="single" w:sz="8" w:color="auto"/>
            </w:tcBorders>
          </w:tcPr>
          <w:p>
            <w:pPr>
              <w:jc w:val="right"/>
              <w:ind w:right="936"/>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541</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1015"/>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Accrued capital expenditures included in accounts payable and accrued expenses</w:t>
            </w:r>
          </w:p>
        </w:tc>
        <w:tc>
          <w:tcPr>
            <w:tcW w:w="1140" w:type="dxa"/>
            <w:vAlign w:val="bottom"/>
          </w:tcPr>
          <w:p>
            <w:pPr>
              <w:jc w:val="right"/>
              <w:ind w:right="93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18"/>
                <w:szCs w:val="18"/>
                <w:color w:val="auto"/>
              </w:rPr>
            </w:pPr>
          </w:p>
        </w:tc>
        <w:tc>
          <w:tcPr>
            <w:tcW w:w="1200" w:type="dxa"/>
            <w:vAlign w:val="bottom"/>
          </w:tcPr>
          <w:p>
            <w:pPr>
              <w:jc w:val="right"/>
              <w:ind w:right="1015"/>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352</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Common stock issued for business combinations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5"/>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ind w:left="220" w:hanging="194"/>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See </w:t>
      </w:r>
      <w:hyperlink w:anchor="page14">
        <w:r>
          <w:rPr>
            <w:rFonts w:ascii="Arial" w:cs="Arial" w:eastAsia="Arial" w:hAnsi="Arial"/>
            <w:sz w:val="14"/>
            <w:szCs w:val="14"/>
            <w:u w:val="single" w:color="auto"/>
            <w:color w:val="0000FF"/>
          </w:rPr>
          <w:t>Note 2—Summary of Significant Accounting Policies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spacing w:after="0" w:line="19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As of September 30, 2021, the wholly owned subsidiaries of Diamondback include Diamondback E&amp;P LLC (Diamondback E&amp;P), a Delaware limited liability company, Viper Energy Partners GP LLC, a Delaware limited liability company, Rattler Midstream GP LLC, a Delaware limited liability company, and QEP Resources, Inc. (“QEP”), a Delaware corporation. Diamondback O&amp;G LLC (“O&amp;G”), Energen Corporation (“Energen”), Energen Resources Corporation and EGN Services, Inc., former wholly owned subsidiaries of Diamondback, were merged with and into Diamondback E&amp;P LLC effective June 30, 2021 as part of the internal restructuring of the Company’s subsidiaries (the “E&amp;P Merger”).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Diamondback’s publicly traded subsidiaries Viper Energy Partners LP (“Viper”) and Rattler Midstream LP (“Rattler”) are consolidated in the Company’s financial statements. As of September 30, 2021, the Company owned approximately 59% of Viper’s total units outstanding. The Company’s wholly owned subsidiary, Viper Energy Partners GP LLC, is the general partner of Viper. As of September 30, 2021, the Company owned approximately 73% of Rattler’s total units outstanding. The Company’s wholly owned subsidiary, Rattler Midstream GP LLC, is the general partner of Rattler. The results of operations attributable to the non-controlling interest in Viper and Rattler are presented within equity and net income and are shown separately from the Company’s equity and net income attributable to the Company.</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2020, which contains a summary of the Company’s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Making accurate estimates and assumptions is particularly difficult in the oil and natural gas industry, given the challenges resulting from volatility in oil and natural gas prices. For instance, in 2020, the effects of COVID-19 and actions by OPEC members and other exporting nations on the supply and demand in global oil and natural gas markets resulted in significant negative pricing pressures in the first half of 2020, followed by a recovery in pricing and an increase in demand in the second half of 2020 and into 2021. However, the COVID-19 Delta variant emerged in March 2021 and became highly transmissible in July 2021, which contributed to additional pricing volatility during the third quarter of 2021. The financial results of companies in the oil and natural gas industry have been impacted materially as a result of changing market conditions. Such circumstances generally increase the uncertainty in the Company’s accounting estimates, particularly those involving financial forecasts.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derivative instruments and estimates of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at the end of the period in the condensed consolidated statements of cash flows for the nine months ended September 30, 2021 and 2020 to the line items within the condensed 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30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r>
      <w:tr>
        <w:trPr>
          <w:trHeight w:val="209"/>
        </w:trPr>
        <w:tc>
          <w:tcPr>
            <w:tcW w:w="8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Restricted cash included in funds held in escrow</w:t>
            </w:r>
            <w:r>
              <w:rPr>
                <w:rFonts w:ascii="Arial" w:cs="Arial" w:eastAsia="Arial" w:hAnsi="Arial"/>
                <w:sz w:val="23"/>
                <w:szCs w:val="23"/>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00"/>
              <w:spacing w:after="0"/>
              <w:rPr>
                <w:sz w:val="20"/>
                <w:szCs w:val="20"/>
                <w:color w:val="auto"/>
              </w:rPr>
            </w:pPr>
            <w:r>
              <w:rPr>
                <w:rFonts w:ascii="Arial" w:cs="Arial" w:eastAsia="Arial" w:hAnsi="Arial"/>
                <w:sz w:val="18"/>
                <w:szCs w:val="18"/>
                <w:color w:val="auto"/>
              </w:rPr>
              <w:t>Total cash, cash equivalents and restricted cash</w:t>
            </w: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99</w:t>
            </w:r>
          </w:p>
        </w:tc>
      </w:tr>
      <w:tr>
        <w:trPr>
          <w:trHeight w:val="20"/>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line="263"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September 30, 2021, the restricted cash included in funds held in escrow on the condensed consolidated balance sheet is related to cash deposited into escrow accounts for a title dispute between outside parties in the Williston Basin and an escrow deposit related to Viper’s Swallowtail Acquisition, as defined in Note 14—</w:t>
      </w:r>
      <w:hyperlink w:anchor="page35">
        <w:r>
          <w:rPr>
            <w:rFonts w:ascii="Arial" w:cs="Arial" w:eastAsia="Arial" w:hAnsi="Arial"/>
            <w:sz w:val="18"/>
            <w:szCs w:val="18"/>
            <w:u w:val="single" w:color="auto"/>
            <w:color w:val="0000FF"/>
          </w:rPr>
          <w:t>Subsequent Events</w:t>
        </w:r>
      </w:hyperlink>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and is effective for public business entities beginning after December 15, 2020 with early adoption permitted. The Company adopted this update effective January 1, 2021. The adoption of this update did not have a material impact on its financial position, results of operations or liquidity.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October 2021, the FASB issued ASU 2021-08, "Business Combinations (Topic 805) – 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not discussed above were assessed and determined to be either not applicable, the effects of adoption are not expected to be material or are clarifications of ASUs previously disclosed.</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 The following tables present the Company’s revenue from contracts with customers disaggregated by product type and basin: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7"/>
          </w:tcPr>
          <w:p>
            <w:pPr>
              <w:jc w:val="right"/>
              <w:ind w:right="593"/>
              <w:spacing w:after="0"/>
              <w:rPr>
                <w:sz w:val="20"/>
                <w:szCs w:val="20"/>
                <w:color w:val="auto"/>
              </w:rPr>
            </w:pPr>
            <w:r>
              <w:rPr>
                <w:rFonts w:ascii="Arial" w:cs="Arial" w:eastAsia="Arial" w:hAnsi="Arial"/>
                <w:sz w:val="16"/>
                <w:szCs w:val="16"/>
                <w:b w:val="1"/>
                <w:bCs w:val="1"/>
                <w:color w:val="auto"/>
              </w:rPr>
              <w:t>Three Months Ended September 30, 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7"/>
          </w:tcPr>
          <w:p>
            <w:pPr>
              <w:jc w:val="right"/>
              <w:ind w:right="592"/>
              <w:spacing w:after="0"/>
              <w:rPr>
                <w:sz w:val="20"/>
                <w:szCs w:val="20"/>
                <w:color w:val="auto"/>
              </w:rPr>
            </w:pPr>
            <w:r>
              <w:rPr>
                <w:rFonts w:ascii="Arial" w:cs="Arial" w:eastAsia="Arial" w:hAnsi="Arial"/>
                <w:sz w:val="16"/>
                <w:szCs w:val="16"/>
                <w:b w:val="1"/>
                <w:bCs w:val="1"/>
                <w:color w:val="auto"/>
              </w:rPr>
              <w:t>Three Months Ended September 30, 2020</w:t>
            </w: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99"/>
              </w:rPr>
              <w:t>Midland</w:t>
            </w:r>
          </w:p>
        </w:tc>
        <w:tc>
          <w:tcPr>
            <w:tcW w:w="180" w:type="dxa"/>
            <w:vAlign w:val="bottom"/>
          </w:tcPr>
          <w:p>
            <w:pPr>
              <w:spacing w:after="0"/>
              <w:rPr>
                <w:sz w:val="13"/>
                <w:szCs w:val="13"/>
                <w:color w:val="auto"/>
              </w:rPr>
            </w:pPr>
          </w:p>
        </w:tc>
        <w:tc>
          <w:tcPr>
            <w:tcW w:w="86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86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99"/>
              </w:rPr>
              <w:t>Midland</w:t>
            </w:r>
          </w:p>
        </w:tc>
        <w:tc>
          <w:tcPr>
            <w:tcW w:w="180" w:type="dxa"/>
            <w:vAlign w:val="bottom"/>
          </w:tcPr>
          <w:p>
            <w:pPr>
              <w:spacing w:after="0"/>
              <w:rPr>
                <w:sz w:val="13"/>
                <w:szCs w:val="13"/>
                <w:color w:val="auto"/>
              </w:rPr>
            </w:pPr>
          </w:p>
        </w:tc>
        <w:tc>
          <w:tcPr>
            <w:tcW w:w="86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3"/>
                <w:szCs w:val="13"/>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7"/>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7"/>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7"/>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7"/>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7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gridSpan w:val="6"/>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gridSpan w:val="6"/>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2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Nine Months Ended September 30, 2021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Nine Months Ended September 30, 2020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99"/>
              </w:rPr>
              <w:t>Midland</w:t>
            </w:r>
          </w:p>
        </w:tc>
        <w:tc>
          <w:tcPr>
            <w:tcW w:w="180" w:type="dxa"/>
            <w:vAlign w:val="bottom"/>
          </w:tcPr>
          <w:p>
            <w:pPr>
              <w:spacing w:after="0"/>
              <w:rPr>
                <w:sz w:val="13"/>
                <w:szCs w:val="13"/>
                <w:color w:val="auto"/>
              </w:rPr>
            </w:pPr>
          </w:p>
        </w:tc>
        <w:tc>
          <w:tcPr>
            <w:tcW w:w="86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86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99"/>
              </w:rPr>
              <w:t>Midland</w:t>
            </w:r>
          </w:p>
        </w:tc>
        <w:tc>
          <w:tcPr>
            <w:tcW w:w="180" w:type="dxa"/>
            <w:vAlign w:val="bottom"/>
          </w:tcPr>
          <w:p>
            <w:pPr>
              <w:spacing w:after="0"/>
              <w:rPr>
                <w:sz w:val="13"/>
                <w:szCs w:val="13"/>
                <w:color w:val="auto"/>
              </w:rPr>
            </w:pPr>
          </w:p>
        </w:tc>
        <w:tc>
          <w:tcPr>
            <w:tcW w:w="86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3"/>
                <w:szCs w:val="13"/>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7"/>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7"/>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7"/>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7"/>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7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Guidon Operating LLC</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21, 2020, the Company entered into a definitive purchase agreement to acquire all leasehold interests and related assets of Guidon Operating LLC (the “Guidon Acquisition”) which include approximately 32,500 net acres in the Northern Midland Basin in exchange for 10.68 million shares of the Company’s common stock and $375 million of cash. The Guidon Acquisition closed on February 26, 2021. The cash portion of this transaction was funded through a combination of cash on hand and borrowings under the Company’s credit facility. As a result of the Guidon Acquisition, the Company added approximately 210 gross producing wells.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acquisition consideration paid in the Guidon Acquisition (in millions, except per share data, shares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8"/>
        </w:trPr>
        <w:tc>
          <w:tcPr>
            <w:tcW w:w="9000" w:type="dxa"/>
            <w:vAlign w:val="bottom"/>
          </w:tcPr>
          <w:p>
            <w:pPr>
              <w:spacing w:after="0"/>
              <w:rPr>
                <w:sz w:val="20"/>
                <w:szCs w:val="20"/>
                <w:color w:val="auto"/>
              </w:rPr>
            </w:pPr>
            <w:r>
              <w:rPr>
                <w:rFonts w:ascii="Arial" w:cs="Arial" w:eastAsia="Arial" w:hAnsi="Arial"/>
                <w:sz w:val="18"/>
                <w:szCs w:val="18"/>
                <w:color w:val="auto"/>
              </w:rPr>
              <w:t>Shares of Diamondback common stock issued at closing</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31"/>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Closing price per share of Diamondback common stock on the closing date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Fair value of Diamondback common stock issued</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Total consideration (including fair value of Diamondback common stock issued)</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9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Guidon Acquisition has been accounted for as a business combination using the acquisition method. The following table represents the allocation of the total purchase price paid in the Guidon Acquisition to the identifiable assets acquired based on the fair values at the acquisition date, with any excess of the purchase price over the estimated fair value of the identifiable net assets acquired. Although the purchase price allocation is substantially complete as of the date of this filing, there may be further adjustments to the fair value of certain assets acquired and liabilities assumed, including but not limited to the Company’s oil and natural gas properties. The Company expects to complete the purchase price allocation during the 12-month period following the acquisition date and may revise the value of the assets and liabilities as appropriate within that time frame. Through September 30, 2021, there have been no material changes to the allocation presented in the March 31, 2021 10-Q filed with the SEC on May 7, 2021.</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preliminary purchase price allocation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9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8"/>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Midstream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1"/>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The majority of the measurements of assets acquired and liabilities assumed are based on inputs that are not observable in the market and are therefore considered Level 3 inputs.</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the completion of the Guidon Acquisition, the Company acquired proved properties of $537 million and unproved properties of $573 million. The results of operations attributable to the Guidon Acquisition since the acquisition date have been included in the condensed consolidated statements of operations and include $107 million and $240 million of total revenue for the three and nine months ended September 30, 2021, respectively, and $52 million and $117 million of net income for the three and nine months ended September 30, 2021,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Resources, Inc.</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 effective time converted into the right to receive 0.050 of a share of Diamondback common stock, with cash being paid in lieu of any fractional shares (the “merger consideration”). At the closing date of the QEP Merger, the carrying value of QEP’s outstanding debt was approximately $1.6 billion. See Note 7—</w:t>
      </w:r>
      <w:hyperlink w:anchor="page21">
        <w:r>
          <w:rPr>
            <w:rFonts w:ascii="Arial" w:cs="Arial" w:eastAsia="Arial" w:hAnsi="Arial"/>
            <w:sz w:val="17"/>
            <w:szCs w:val="17"/>
            <w:u w:val="single" w:color="auto"/>
            <w:color w:val="0000FF"/>
          </w:rPr>
          <w:t>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acquisition consideration paid to QEP stockholders in the QEP Merger (in millions, except per share data, shares in thousands):</w:t>
      </w:r>
    </w:p>
    <w:p>
      <w:pPr>
        <w:sectPr>
          <w:pgSz w:w="11900" w:h="16838" w:orient="portrait"/>
          <w:cols w:equalWidth="0" w:num="1">
            <w:col w:w="11240"/>
          </w:cols>
          <w:pgMar w:left="320" w:top="122"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right="2160"/>
        <w:spacing w:after="0" w:line="308" w:lineRule="auto"/>
        <w:rPr>
          <w:sz w:val="20"/>
          <w:szCs w:val="20"/>
          <w:color w:val="auto"/>
        </w:rPr>
      </w:pPr>
      <w:r>
        <w:rPr>
          <w:rFonts w:ascii="Arial" w:cs="Arial" w:eastAsia="Arial" w:hAnsi="Arial"/>
          <w:sz w:val="16"/>
          <w:szCs w:val="16"/>
          <w:color w:val="auto"/>
        </w:rPr>
        <w:t>Eligible shares of QEP common stock converted into shares of Diamondback common stock Shares of QEP equity awards included in precombination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820"/>
        <w:spacing w:after="0" w:line="266" w:lineRule="auto"/>
        <w:rPr>
          <w:sz w:val="20"/>
          <w:szCs w:val="20"/>
          <w:color w:val="auto"/>
        </w:rPr>
      </w:pPr>
      <w:r>
        <w:rPr>
          <w:rFonts w:ascii="Arial" w:cs="Arial" w:eastAsia="Arial" w:hAnsi="Arial"/>
          <w:sz w:val="18"/>
          <w:szCs w:val="18"/>
          <w:color w:val="auto"/>
        </w:rPr>
        <w:t>Total shares of QEP common stock eligible for merger consideration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700"/>
        <w:spacing w:after="0" w:line="331" w:lineRule="auto"/>
        <w:rPr>
          <w:sz w:val="20"/>
          <w:szCs w:val="20"/>
          <w:color w:val="auto"/>
        </w:rPr>
      </w:pPr>
      <w:r>
        <w:rPr>
          <w:rFonts w:ascii="Arial" w:cs="Arial" w:eastAsia="Arial" w:hAnsi="Arial"/>
          <w:sz w:val="16"/>
          <w:szCs w:val="16"/>
          <w:color w:val="auto"/>
        </w:rPr>
        <w:t>Shares of Diamondback common stock issued as merger consideration Closing price per share of Diamondback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Total consideration (fair value of the Company's common stock issued)</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238,153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1183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242,374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12,119</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1183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51"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58420</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09" w:lineRule="exact"/>
        <w:rPr>
          <w:sz w:val="20"/>
          <w:szCs w:val="20"/>
          <w:color w:val="auto"/>
        </w:rPr>
      </w:pPr>
    </w:p>
    <w:p>
      <w:pPr>
        <w:sectPr>
          <w:pgSz w:w="11900" w:h="16838" w:orient="portrait"/>
          <w:cols w:equalWidth="0" w:num="2">
            <w:col w:w="8680" w:space="720"/>
            <w:col w:w="1840"/>
          </w:cols>
          <w:pgMar w:left="320" w:top="122" w:right="339" w:bottom="1440" w:gutter="0" w:footer="0" w:header="0"/>
          <w:type w:val="continuous"/>
        </w:sectPr>
      </w:pPr>
    </w:p>
    <w:p>
      <w:pPr>
        <w:spacing w:after="0" w:line="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QEP Merger has been accounted for as a business combination using the acquisition method. The following table represents the preliminary allocation of the total purchase price for the acquisition of QEP to the identifiable assets acquired and the liabilities assumed based on the fair values at the acquisition date, with any excess of the purchase price over the estimated fair value of the identifiable net assets acquired. Although the purchase price allocation is substantially complete as of the date of this filing, certain data necessary to complete the purchase price allocation is not yet available, and includes, but is not limited to, final tax returns that provide the underlying tax basis of QEP’s assets and liabilities. As such, there may be further adjustments to the fair value of certain assets acquired and liabilities assumed, including the Company’s oil and natural gas properties. The Company expects to complete the purchase price allocation during the 12-month period following the acquisition date. Through September 30, 2021, there have been no material changes to the allocation presented in the March 31, 2021 10-Q filed with the SEC on May 7, 2021.</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preliminary purchase price allocation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Accounts payable - trade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1"/>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capital expenditures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Other accrued liabilities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Revenues and royalties payable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90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Amount attributable to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r>
      <w:tr>
        <w:trPr>
          <w:trHeight w:val="197"/>
        </w:trPr>
        <w:tc>
          <w:tcPr>
            <w:tcW w:w="9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cash equivalents and restricted cash</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Accounts receivable - joint interest and other, net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 oil and natural gas sales, net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1"/>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Other property, equipment and land</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8"/>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9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0"/>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purchase price allocation above was based on preliminary estimates of the fair values of the assets and liabilities of QEP as of the closing date of the QEP Merger. The majority of the measurements of assets acquired and liabilities assumed are based on inputs that are not observable in the market and are therefore considered Level 3 inputs. The fair value of acquired property and equipment, including midstream assets classified in oil and natural gas properties,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commodity-price curves which are considered Level 2 inputs. Deferred income taxes represent the tax effects of differences in the tax basis and merger-date fair values of assets acquired and liabilities assumed.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completion of the QEP Merger, the Company acquired proved properties of $2.3 billion and unproved properties of $442 million, primarily in the Midland Basin and the Williston Basin. The results of operations attributable to the QEP Merger since the acquisition date have been included in the condensed consolidated statements of operations and include $422 million and $835 million of total revenue, and $162 million and $301 million of net income for the three and nine months ended September 30, 2021,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unaudited summary pro forma financial information for the three and nine months ended September 30, 2021 and 2020 has been prepared to give effect to the QEP Merger and the Guidon Acquisition as if they had occurred on January 1, 2020.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below information reflects pro forma adjustments for the issuance of the Company’s common stock in exchange for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pro forma earnings were adjusted to exclude acquisition-related costs incurred by the Company for the QEP Merger and the Guidon Acquisition of approximately $77 million for the nine months ended September 30, 2021 and acquisition-related costs incurred by QEP of $31 million through the closing date of the QEP Merger.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and the Guidon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328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20" w:type="dxa"/>
            <w:vAlign w:val="bottom"/>
            <w:gridSpan w:val="3"/>
          </w:tcPr>
          <w:p>
            <w:pPr>
              <w:jc w:val="right"/>
              <w:ind w:right="29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7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09"/>
        </w:trPr>
        <w:tc>
          <w:tcPr>
            <w:tcW w:w="4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w w:val="91"/>
              </w:rPr>
              <w:t>(In millions, except per share amounts)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1,910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5,047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88"/>
              </w:rPr>
              <w:t>2,705</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2,870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512"/>
              <w:spacing w:after="0"/>
              <w:rPr>
                <w:sz w:val="20"/>
                <w:szCs w:val="20"/>
                <w:color w:val="auto"/>
              </w:rPr>
            </w:pPr>
            <w:r>
              <w:rPr>
                <w:rFonts w:ascii="Arial" w:cs="Arial" w:eastAsia="Arial" w:hAnsi="Arial"/>
                <w:sz w:val="18"/>
                <w:szCs w:val="18"/>
                <w:color w:val="auto"/>
                <w:w w:val="94"/>
              </w:rPr>
              <w:t>(4,780)</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4"/>
              </w:rPr>
              <w:t>(3,593)</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6.54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512"/>
              <w:spacing w:after="0"/>
              <w:rPr>
                <w:sz w:val="20"/>
                <w:szCs w:val="20"/>
                <w:color w:val="auto"/>
              </w:rPr>
            </w:pPr>
            <w:r>
              <w:rPr>
                <w:rFonts w:ascii="Arial" w:cs="Arial" w:eastAsia="Arial" w:hAnsi="Arial"/>
                <w:sz w:val="18"/>
                <w:szCs w:val="18"/>
                <w:color w:val="auto"/>
                <w:w w:val="94"/>
              </w:rPr>
              <w:t>(19.88)</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4"/>
              </w:rPr>
              <w:t>(19.88)</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 2021 and June 7, 2021, respectively, the Company closed transactions to divest certain non-core Permian assets including over 7,000 net acres of non-core Southern Midland Basin acreage in Upton county, Texas and approximately 1,300 net acres of non-core, non-operated Delaware Basin assets in Lea county, New Mexico for a combined sales price of $82 million, net of customary purchase price adjustments. These assets have estimated full year 2021 net production of approximately 900 BO/d (2,650 BOE/d) from 140 producing wells. The Company used its net proceeds from these transactions toward debt reduction.</w:t>
      </w:r>
    </w:p>
    <w:p>
      <w:pPr>
        <w:spacing w:after="0" w:line="215"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14—</w:t>
      </w:r>
      <w:hyperlink w:anchor="page35">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acquisitions and divestitures in the fourth quarter of 2021.</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includes the following as of the dates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8"/>
                <w:szCs w:val="18"/>
                <w:color w:val="auto"/>
              </w:rPr>
            </w:pP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7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r>
      <w:tr>
        <w:trPr>
          <w:trHeight w:val="210"/>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spacing w:after="0"/>
              <w:rPr>
                <w:sz w:val="18"/>
                <w:szCs w:val="18"/>
                <w:color w:val="auto"/>
              </w:rPr>
            </w:pP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70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24,340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19,884</w:t>
            </w: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27,377</w:t>
            </w:r>
          </w:p>
        </w:tc>
      </w:tr>
      <w:tr>
        <w:trPr>
          <w:trHeight w:val="230"/>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29"/>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impairment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23"/>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 net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Midstream assets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equipment and land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depreciation and impairment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8"/>
        </w:trPr>
        <w:tc>
          <w:tcPr>
            <w:tcW w:w="7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full cost method of accounting, the Company is required to perform a ceiling test each quarter which determines a limit, or ceiling, on the book value of proved oil and natural gas properties. No impairment expense was recorded for the three and nine months ended September 30, 2021. The Company recorded $1.5 billion and $5.0 billion in impairment expense for the three and nine months ended September 30, 2020, respectively, based on the results of the respective quarterly ceiling tests.</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In connection with the QEP Merger and the Guidon Acquisition, the Company recorded the oil and natural gas properties acquired at fair value, based on forward strip oil and natural gas pricing existing at the closing date of the respective transactions, in accordance with ASC 820 Fair Value Measurement. Pursuant to SEC guidance, the Company determined that the fair value of the properties acquired in the QEP Merger and the Guidon Acquisition clearly exceeded the related full cost ceiling limitation beyond a reasonable doubt. As such, the Company requested and received a waiver from the SEC to exclude the properties acquired from the ceiling test calculation for the quarter ended March 31, 2021. As a result, no impairment expense related to the QEP Merger and the Guidon Acquisition was recorded for the three months ended March 31, 2021. Had the Company not received a waiver from the SEC, an impairment charge of approximately $1.1 billion would have been recorded for such period. Management affirmed there has not been a decline in the fair value of these acquired assets. The properties acquired in the QEP Merger and the Guidon Acquisition had total unamortized costs at March 31, 2021 of $3.0 billion and $1.1 billion, respectively.</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r>
      <w:tr>
        <w:trPr>
          <w:trHeight w:val="209"/>
        </w:trPr>
        <w:tc>
          <w:tcPr>
            <w:tcW w:w="8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60" w:type="dxa"/>
            <w:vAlign w:val="bottom"/>
            <w:gridSpan w:val="3"/>
          </w:tcPr>
          <w:p>
            <w:pPr>
              <w:jc w:val="right"/>
              <w:ind w:right="713"/>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in estimated liabilities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113</w:t>
            </w:r>
          </w:p>
        </w:tc>
      </w:tr>
      <w:tr>
        <w:trPr>
          <w:trHeight w:val="230"/>
        </w:trPr>
        <w:tc>
          <w:tcPr>
            <w:tcW w:w="8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 - long-term</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current portion of the asset retirement obligation is included in other accrued liabilities in the Company’s condensed consolidated balance sheets.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431"/>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50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2020</w:t>
            </w:r>
          </w:p>
        </w:tc>
      </w:tr>
      <w:tr>
        <w:trPr>
          <w:trHeight w:val="210"/>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520" w:type="dxa"/>
            <w:vAlign w:val="bottom"/>
          </w:tcPr>
          <w:p>
            <w:pPr>
              <w:spacing w:after="0"/>
              <w:rPr>
                <w:sz w:val="18"/>
                <w:szCs w:val="18"/>
                <w:color w:val="auto"/>
              </w:rPr>
            </w:pPr>
          </w:p>
        </w:tc>
      </w:tr>
      <w:tr>
        <w:trPr>
          <w:trHeight w:val="232"/>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4.625% Notes due 2021</w:t>
            </w:r>
          </w:p>
        </w:tc>
        <w:tc>
          <w:tcPr>
            <w:tcW w:w="1500" w:type="dxa"/>
            <w:vAlign w:val="bottom"/>
            <w:shd w:val="clear" w:color="auto" w:fill="CCEEFF"/>
          </w:tcPr>
          <w:p>
            <w:pPr>
              <w:jc w:val="right"/>
              <w:ind w:right="1295"/>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2022</w:t>
            </w:r>
            <w:r>
              <w:rPr>
                <w:rFonts w:ascii="Arial" w:cs="Arial" w:eastAsia="Arial" w:hAnsi="Arial"/>
                <w:sz w:val="23"/>
                <w:szCs w:val="23"/>
                <w:color w:val="auto"/>
                <w:vertAlign w:val="superscript"/>
              </w:rPr>
              <w:t>(1)</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7.320%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2022</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2023</w:t>
            </w:r>
            <w:r>
              <w:rPr>
                <w:rFonts w:ascii="Arial" w:cs="Arial" w:eastAsia="Arial" w:hAnsi="Arial"/>
                <w:sz w:val="23"/>
                <w:szCs w:val="23"/>
                <w:color w:val="auto"/>
                <w:vertAlign w:val="superscript"/>
              </w:rPr>
              <w:t>(2)</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5.250%</w:t>
            </w:r>
          </w:p>
        </w:tc>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2023</w:t>
            </w:r>
            <w:r>
              <w:rPr>
                <w:rFonts w:ascii="Arial" w:cs="Arial" w:eastAsia="Arial" w:hAnsi="Arial"/>
                <w:sz w:val="23"/>
                <w:szCs w:val="23"/>
                <w:color w:val="auto"/>
                <w:vertAlign w:val="superscript"/>
              </w:rPr>
              <w:t>(1)</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2.875%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4.750%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5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3.250%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5.625%</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2026</w:t>
            </w:r>
            <w:r>
              <w:rPr>
                <w:rFonts w:ascii="Arial" w:cs="Arial" w:eastAsia="Arial" w:hAnsi="Arial"/>
                <w:sz w:val="23"/>
                <w:szCs w:val="23"/>
                <w:color w:val="auto"/>
                <w:vertAlign w:val="superscript"/>
              </w:rPr>
              <w:t>(1)</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7.125%</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B, due 2028</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3.500%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2031</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4.400%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2051</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DrillCo Agreement</w:t>
            </w:r>
            <w:r>
              <w:rPr>
                <w:rFonts w:ascii="Arial" w:cs="Arial" w:eastAsia="Arial" w:hAnsi="Arial"/>
                <w:sz w:val="23"/>
                <w:szCs w:val="23"/>
                <w:color w:val="auto"/>
                <w:vertAlign w:val="superscript"/>
              </w:rPr>
              <w:t>(3)</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Unamortized debt issuance costs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costs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Unamortized premium costs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Fair value of interest rate swap agreements</w:t>
            </w:r>
            <w:r>
              <w:rPr>
                <w:rFonts w:ascii="Arial" w:cs="Arial" w:eastAsia="Arial" w:hAnsi="Arial"/>
                <w:sz w:val="23"/>
                <w:szCs w:val="23"/>
                <w:color w:val="auto"/>
                <w:vertAlign w:val="superscript"/>
              </w:rPr>
              <w:t>(4)</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15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Viper revolving credit facility</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Viper 5.375% Senior Notes due 2027</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revolving credit facility</w:t>
            </w:r>
          </w:p>
        </w:tc>
        <w:tc>
          <w:tcPr>
            <w:tcW w:w="15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Rattler 5.625% Senior Notes due 2025</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debt, net</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48"/>
        </w:trPr>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500" w:type="dxa"/>
            <w:vAlign w:val="bottom"/>
            <w:tcBorders>
              <w:bottom w:val="single" w:sz="8" w:color="auto"/>
            </w:tcBorders>
            <w:shd w:val="clear" w:color="auto" w:fill="CCEEFF"/>
          </w:tcPr>
          <w:p>
            <w:pPr>
              <w:jc w:val="right"/>
              <w:ind w:right="12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6,925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effective time of the QEP Merger, QEP became a wholly owned subsidiary of the Company and remained the issuer of the notes.</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Note 14—</w:t>
      </w:r>
      <w:hyperlink w:anchor="page35">
        <w:r>
          <w:rPr>
            <w:rFonts w:ascii="Arial" w:cs="Arial" w:eastAsia="Arial" w:hAnsi="Arial"/>
            <w:sz w:val="17"/>
            <w:szCs w:val="17"/>
            <w:u w:val="single" w:color="auto"/>
            <w:color w:val="0000FF"/>
          </w:rPr>
          <w:t>Subsequent Events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 of the redemption of the 0.900% Senior Notes due 2023 in the fourth quarter of 2021.</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53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entered into a participation and development agreement (the “DrillCo Agreement”), dated September 10, 2018, with Obsidian Resources, L.L.C. (“CEMOF”) to fund oil and natural gas development. As of September 30, 2021, the amount due to CEMOF related to this alliance was $65 million.</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459" w:val="left"/>
        </w:tabs>
        <w:numPr>
          <w:ilvl w:val="0"/>
          <w:numId w:val="8"/>
        </w:numPr>
        <w:rPr>
          <w:rFonts w:ascii="Arial" w:cs="Arial" w:eastAsia="Arial" w:hAnsi="Arial"/>
          <w:sz w:val="18"/>
          <w:szCs w:val="18"/>
          <w:color w:val="0000FF"/>
        </w:rPr>
      </w:pPr>
      <w:r>
        <w:rPr>
          <w:rFonts w:ascii="Arial" w:cs="Arial" w:eastAsia="Arial" w:hAnsi="Arial"/>
          <w:sz w:val="18"/>
          <w:szCs w:val="18"/>
          <w:color w:val="auto"/>
        </w:rPr>
        <w:t xml:space="preserve">The Company has two interest rate swap agreements in place on the Company’s $1.2 billion 3.500% fixed rate senior notes due 2029. See Note 11— </w:t>
      </w:r>
      <w:hyperlink w:anchor="page29">
        <w:r>
          <w:rPr>
            <w:rFonts w:ascii="Arial" w:cs="Arial" w:eastAsia="Arial" w:hAnsi="Arial"/>
            <w:sz w:val="18"/>
            <w:szCs w:val="18"/>
            <w:u w:val="single" w:color="auto"/>
            <w:color w:val="0000FF"/>
          </w:rPr>
          <w:t>Derivatives</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additional information on the Company’s interest rate swaps designated as fair value hedges.</w:t>
      </w:r>
    </w:p>
    <w:p>
      <w:pPr>
        <w:spacing w:after="0" w:line="212" w:lineRule="exact"/>
        <w:rPr>
          <w:rFonts w:ascii="Arial" w:cs="Arial" w:eastAsia="Arial" w:hAnsi="Arial"/>
          <w:sz w:val="17"/>
          <w:szCs w:val="17"/>
          <w:color w:val="auto"/>
        </w:rPr>
      </w:pPr>
    </w:p>
    <w:p>
      <w:pPr>
        <w:ind w:left="660"/>
        <w:spacing w:after="0"/>
        <w:rPr>
          <w:sz w:val="20"/>
          <w:szCs w:val="20"/>
          <w:color w:val="auto"/>
        </w:rPr>
      </w:pPr>
      <w:r>
        <w:rPr>
          <w:rFonts w:ascii="Arial" w:cs="Arial" w:eastAsia="Arial" w:hAnsi="Arial"/>
          <w:sz w:val="16"/>
          <w:szCs w:val="16"/>
          <w:color w:val="auto"/>
        </w:rPr>
        <w:t>References in this section to the Company shall mean Diamondback Energy, Inc. and Diamondback E&amp;P, collectively, unless otherwise specified.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On June 2, 2021, Diamondback Energy, Inc., as parent guarantor, and O&amp;G, as borrower (the “Borrower”), entered into a twelfth amendment (the “Amendment”) to the Second Amended and Restated Credit Agreement, dated as of November 1, 2013, with Wells Fargo Bank, National Association, as administrative agent (the “Administrative Agent”), and the lenders party thereto (as amended, supplemented or otherwise modified to the date thereof and as further amended by the Amendment). The Amendment, among other things, (i) extended the maturity date to June 2, 2026, which may be further extended by two one-year extensions pursuant to the terms set forth in the credit agreement, (ii) decreased the total revolving loan commitments from $2.0 billion to $1.6 billion, which may be increased in an amount up to $1.0 billion (for a total maximum commitment amount of $2.6 billion) upon election of the Borrower (subject to obtaining additional lender commitments and satisfaction of customary conditions) pursuant to the terms set forth in the credit agreement, (iii) added the ability of the Borrower to incur up to $100 million of the loans under the credit agreement as swingline loans and (iv) changed the interest rate applicable to the loans and certain fees payable under the credit agreement. Outstanding borrowings under the credit agreement bear interest at a per annum rate elected by the Borrower that is equal to an alternate base rate (which is equal to the greatest of the prime rate, the Federal Funds effective rate plus 0.50%, and 3-month LIBOR plus 1.0%) or LIBOR, in each case plus the applicable margin. After giving effect to the Amendment, (i) the applicable margin ranges from 0.250% to 1.125% per annum in the case of the alternate base rate, and from 1.250% to 2.125% per annum in the case of LIBOR, in each case based on the pricing level, and (ii) the commitment fee ranges from 0.150% to 0.350% per annum on the average daily unused portion of the commitments, based on the pricing level. The pricing level depends on certain ratings agencies’ ratings of the Company’s long-term senior unsecured debt.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30, 2021, Diamondback E&amp;P, as successor borrower, Diamondback Energy, Inc., as parent guarantor, and the Administrative Agent entered into a Successor Borrower Joinder Agreement (the “Joinder Agreement”) in connection with the E&amp;P Merger. Pursuant to the Joinder Agreement, Diamondback E&amp;P assumed all obligations (including, without limitation, all of the indebtedness) of O&amp;G as the borrower under the credit agreement, the Second Amended and Restated Guaranty Agreement, dated as of November 20, 2019, made by O&amp;G and Diamondback Energy, Inc., and the other documents entered into connection therewith.</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September 30, 2021, the maximum credit amount available under the credit agreement was $1.6 billion which was fully available for future borrowings, except for an aggregate of $3 million in outstanding letters of credit, which reduce available borrowings under the credit agreement on a dollar for dollar basis. There were no borrowings outstanding under the credit agreement during the three months ended September 30, 2021. During the three months ended September 30, 2020, the weighted average interest rate on borrowings under the credit agreement was 1.83%. During the nine months ended September 30, 2021 and 2020, the weighted average interest rate on borrowings under the credit agreement was 1.67% and 2.27%,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the Company was in compliance with all financial maintenance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2021 Notes Offering</w:t>
      </w:r>
    </w:p>
    <w:p>
      <w:pPr>
        <w:spacing w:after="0" w:line="23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On March 24, 2021, Diamondback Energy, Inc. issued $650 million aggregate principal amount of 0.900% Senior Notes due March 24, 2023 (the “2023 Notes”), $900 million aggregate principal amount of 3.125% Senior Notes due March 24, 2031 (the “2031 Notes”) and $650 million aggregate principal amount of 4.400% Senior Notes due March 24, 2051 (the “2051 Notes” and together with the 2023 Notes and the 2031 Notes, the “March 2021 Notes”) and received proceeds, net of $24 million in debt issuance costs and discounts, of $2.18 billion. The net proceeds were primarily used to fund the repurchase of other senior notes outstanding as discussed further below. Interest on the March 2021 Notes is payable semi-annually in March and September, beginning in September 2021.</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March 2021 Notes are the Company’s senior unsecured obligations and are fully and unconditionally guaranteed by Diamondback E&amp;P. The March 2021 Notes are senior in right of payment to any of the Company’s future subordinated indebtedness and rank equal in right of payment with all of the Company’s existing and future senior indebtedness. The March 2021 Notes are effectively subordinated to the Company’s existing and future secured indebtedness, if any, to the extent of the value of the collateral securing such indebtedness, and structurally subordinated to all of the existing and future indebtedness and other liabilities of the Company’s subsidiaries other than Diamondback E&amp;P.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not redeem the 2023 Notes in whole or in part at any time prior to September 24, 2021. The Company may redeem (i) the 2031 Notes in whole or in part at any time prior to December 24, 2030 and (ii) the 2051 Notes in whole or in part at any time prior to September 24, 2050, in each case at the redemption price set forth in the 2019 Indenture. If the March 2021 Notes are redeemed on or after the dates noted above, in each case, the March 2021 Notes may be redeemed at a redemption price equal to 100% of the principal amount of the March 2021 Notes to be redeemed plus interest accrued thereon to but not including the redemption date.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occurrence of a change of control triggering event as defined in the 2019 Indenture, holders may require the Company to purchase some or all of their March 2021 Notes for cash at a price equal to 101% of the principal amount of the March 2021 Notes being purchased, plus accrued and unpaid interest, if any, to the date of purchase.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On March 17, 2021, at the time of the QEP Merger discussed in Note 4—</w:t>
      </w:r>
      <w:hyperlink w:anchor="page16">
        <w:r>
          <w:rPr>
            <w:rFonts w:ascii="Arial" w:cs="Arial" w:eastAsia="Arial" w:hAnsi="Arial"/>
            <w:sz w:val="18"/>
            <w:szCs w:val="18"/>
            <w:u w:val="single" w:color="auto"/>
            <w:color w:val="0000FF"/>
          </w:rPr>
          <w:t>Acquisitions and Divestitures</w:t>
        </w:r>
      </w:hyperlink>
      <w:r>
        <w:rPr>
          <w:rFonts w:ascii="Arial" w:cs="Arial" w:eastAsia="Arial" w:hAnsi="Arial"/>
          <w:sz w:val="18"/>
          <w:szCs w:val="18"/>
          <w:color w:val="auto"/>
        </w:rPr>
        <w:t>, QEP had outstanding debt at fair values consisting of $478 million of 5.375% Senior Notes due 2022 (the “QEP 2022 Notes”), $673 million of 5.250% Senior Notes due 2023 (the “QEP 2023 Notes”) and $558 million of 5.625% Senior Notes due 2026 (the “QEP 2026 Notes” and together with the QEP 2022 Notes and QEP 2023 Notes, the “QEP Notes”).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Subsequent to the QEP Merger, in March 2021, the Company repurchased pursuant to tender offers commenced by the Company, approximately $1.65 billion in fair value carrying amount of the QEP Notes for total cash consideration of $1.7 billion, including redemption and early premium fees of $152 million, which resulted in a loss on extinguishment of debt during the nine months ended September 30, 2021 of approximately $47 million. The aggregate fair value of the QEP Notes repurchased consisted of (i) $453 million, or 94.65%, of the outstanding fair value carrying amount of the QEP 2022 Notes, (ii) $663 million, or 98.43%, of the outstanding fair value carrying amount of the QEP 2023 Notes and (iii) $538 million, or 96.35%, of the outstanding fair value carrying amount of the QEP 2026 Notes.</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2021, the Company also repurchased an aggregate of $368 million principal amount of its 5.375% 2025 Senior Notes representing approximately 45.97% of the outstanding 2025 Senior Notes, for total cash consideration of $381 million, including redemption and early premium fees of $13 million. This resulted in a loss on extinguishment of debt during the nine months ended September 30, 2021 of $14 million. The Company funded the repurchases of the QEP Notes and 2025 Senior Notes with the proceeds from the March 2021 Notes offering discussed above.</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tender offers to repurchase the QEP Notes discussed above, the Company also solicited consents from holders of the QEP Notes to amend the indenture for the QEP Notes to, among other things, eliminate substantially all of the restrictive covenants and related provisions and certain events of default contained in the indenture under which the QEP Notes were issued. The Company received the requisite number of consents and, on March 23, 2021, entered into a supplemental indenture relating to the QEP Notes adopting these amendments.</w:t>
      </w:r>
    </w:p>
    <w:p>
      <w:pPr>
        <w:spacing w:after="0" w:line="198"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In June 2021, the Company redeemed the remaining $191 million principal amount of the outstanding Energen 4.625% senior notes due on September 1, 2021. The Company recorded an immaterial pre-tax loss on extinguishment of debt related to the redemption, which included the write-off of unamortized debt discounts associated with the redeemed notes. The Company funded the redemption with internally generated cash flow from operations as well as proceeds from the divestitures of certain non-core assets as discussed in Note 4—</w:t>
      </w:r>
      <w:hyperlink w:anchor="page16">
        <w:r>
          <w:rPr>
            <w:rFonts w:ascii="Arial" w:cs="Arial" w:eastAsia="Arial" w:hAnsi="Arial"/>
            <w:sz w:val="17"/>
            <w:szCs w:val="17"/>
            <w:u w:val="single" w:color="auto"/>
            <w:color w:val="0000FF"/>
          </w:rPr>
          <w:t>Acquisitions and Divestitures</w:t>
        </w:r>
      </w:hyperlink>
      <w:r>
        <w:rPr>
          <w:rFonts w:ascii="Arial" w:cs="Arial" w:eastAsia="Arial" w:hAnsi="Arial"/>
          <w:sz w:val="17"/>
          <w:szCs w:val="17"/>
          <w:color w:val="auto"/>
        </w:rPr>
        <w: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2021, the Company redeemed the remaining $432 million principal amount of its outstanding 5.375% 2025 Senior Notes for total cash consideration of $449 million, including redemption and early premium fees of $12 million, which resulted in a loss on extinguishment of debt during the nine months ended September 30, 2021 of $12 million. The Company funded the redemption with cash on hand and borrowings under its revolving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Notes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E&amp;P Merger, Diamondback E&amp;P became the successor issuer under the indenture, dated as of September 1, 1996, pursuant to which Energen issued $100 million aggregate principal amount of 7.125% Medium-Term Notes, Series B due 2028 and $20 million aggregate principal amount of 7.32% Medium-Term Notes, Series A due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Viper LLC’s existing credit agreement, as amended by the seventh amendment on June 2, 2021 (the “Viper Amendment”), provides for a revolving credit facility in the maximum credit amount of $2.0 billion with a borrowing base of $580 million based on Viper LLC’s oil and natural gas reserves and other factors. Among other changes, the Viper Amendment added new provisions that allow Viper LLC to elect a commitment amount that is less than its borrowing base as determined by the lenders. As of September 30, 2021, the elected commitment amount was $500 million with $92 million of outstanding borrowings and $408 million available for future borrowings. The borrowing base is scheduled to be redetermined semi-annually in May and November, and is expected to be reaffirmed at $580 million by the lenders during the redetermination in November 2021. During the three and nine months ended September 30, 2021 and 2020, the weighted average interest rate on borrowings under the Viper credit agreement was 1.98%, 2.14%, 2.14% and 2.66%, respectively. The Viper credit agreement will mature on June 2, 2025. As of September 30, 2021, Viper LLC was in compliance with all financial maintenance covenants under the Viper credit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Rattler LLC’s credit agreement, as amended, provides for a revolving credit facility in the maximum credit amount of $600 million, which is expandable to $1.0 billion upon Rattler’s election, subject to obtaining additional lender commitments and satisfaction of customary conditions. As of September 30, 2021, Rattler LLC had no outstanding borrowings and $600 million available for future borrowings under the Rattler credit agreement. During the three and nine months ended September 30, 2021 and 2020, the weighted average interest rate on borrowings under the Rattler credit agreement was 1.34%, 1.38%, 1.46% and 2.18%, respectively. The revolving credit facility will mature on May 28, 2024. As of September 30, 2021, Rattler LLC was in compliance with all financial maintenance covenants under the Rattler credit agreement.</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CAPITAL STOCK AND EARNINGS PER SHARE</w:t>
      </w:r>
    </w:p>
    <w:p>
      <w:pPr>
        <w:spacing w:after="0" w:line="256" w:lineRule="exact"/>
        <w:rPr>
          <w:sz w:val="20"/>
          <w:szCs w:val="20"/>
          <w:color w:val="auto"/>
        </w:rPr>
      </w:pPr>
    </w:p>
    <w:p>
      <w:pPr>
        <w:jc w:val="both"/>
        <w:ind w:firstLine="648"/>
        <w:spacing w:after="0" w:line="311" w:lineRule="auto"/>
        <w:rPr>
          <w:rFonts w:ascii="Arial" w:cs="Arial" w:eastAsia="Arial" w:hAnsi="Arial"/>
          <w:sz w:val="16"/>
          <w:szCs w:val="16"/>
          <w:color w:val="auto"/>
        </w:rPr>
      </w:pPr>
      <w:r>
        <w:rPr>
          <w:rFonts w:ascii="Arial" w:cs="Arial" w:eastAsia="Arial" w:hAnsi="Arial"/>
          <w:sz w:val="16"/>
          <w:szCs w:val="16"/>
          <w:color w:val="auto"/>
        </w:rPr>
        <w:t>Diamondback did not complete any equity offerings during the nine months ended September 30, 2021 and September 30, 2020. As discussed in Note 4—</w:t>
      </w:r>
      <w:hyperlink w:anchor="page16">
        <w:r>
          <w:rPr>
            <w:rFonts w:ascii="Arial" w:cs="Arial" w:eastAsia="Arial" w:hAnsi="Arial"/>
            <w:sz w:val="16"/>
            <w:szCs w:val="16"/>
            <w:u w:val="single" w:color="auto"/>
            <w:color w:val="0000FF"/>
          </w:rPr>
          <w:t>Acquisitions and Divestitures</w:t>
        </w:r>
      </w:hyperlink>
      <w:r>
        <w:rPr>
          <w:rFonts w:ascii="Arial" w:cs="Arial" w:eastAsia="Arial" w:hAnsi="Arial"/>
          <w:sz w:val="16"/>
          <w:szCs w:val="16"/>
          <w:color w:val="auto"/>
        </w:rPr>
        <w:t>, Diamondback issued 12.12 million shares of the Company’s stock as consideration for the QEP Merger and 10.68 million shares of the Company’s stock as consideration for the Guidon Acquisition during the nine months ended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September 2021, the Company’s board of directors approved a stock repurchase program to acquire up to $2 billion of the Company’s outstanding common stock.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and nine months ended September 30, 2021, the Company repurchased approximately $22 million of common stock under this repurchase program, respectively. As of September 30, 2021, $1.98 billion remained available for use to repurchase shares under the Company’s common stock repurchase program.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are included in the consolidated earnings per share computation based on the consolidated group’s holdings of the subsidiaries.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September</w:t>
            </w:r>
          </w:p>
        </w:tc>
        <w:tc>
          <w:tcPr>
            <w:tcW w:w="25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w w:val="89"/>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11"/>
          </w:tcPr>
          <w:p>
            <w:pPr>
              <w:jc w:val="right"/>
              <w:ind w:right="351"/>
              <w:spacing w:after="0"/>
              <w:rPr>
                <w:sz w:val="20"/>
                <w:szCs w:val="20"/>
                <w:color w:val="auto"/>
              </w:rPr>
            </w:pPr>
            <w:r>
              <w:rPr>
                <w:rFonts w:ascii="Arial" w:cs="Arial" w:eastAsia="Arial" w:hAnsi="Arial"/>
                <w:sz w:val="16"/>
                <w:szCs w:val="16"/>
                <w:b w:val="1"/>
                <w:bCs w:val="1"/>
                <w:color w:val="auto"/>
                <w:w w:val="95"/>
              </w:rPr>
              <w:t>($ in millions, except per share amounts, shares in thousands)</w:t>
            </w:r>
          </w:p>
        </w:tc>
        <w:tc>
          <w:tcPr>
            <w:tcW w:w="0" w:type="dxa"/>
            <w:vAlign w:val="bottom"/>
          </w:tcPr>
          <w:p>
            <w:pPr>
              <w:spacing w:after="0"/>
              <w:rPr>
                <w:sz w:val="1"/>
                <w:szCs w:val="1"/>
                <w:color w:val="auto"/>
              </w:rPr>
            </w:pPr>
          </w:p>
        </w:tc>
      </w:tr>
      <w:tr>
        <w:trPr>
          <w:trHeight w:val="232"/>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157,984</w:t>
            </w:r>
          </w:p>
        </w:tc>
        <w:tc>
          <w:tcPr>
            <w:tcW w:w="0" w:type="dxa"/>
            <w:vAlign w:val="bottom"/>
          </w:tcPr>
          <w:p>
            <w:pPr>
              <w:spacing w:after="0"/>
              <w:rPr>
                <w:sz w:val="1"/>
                <w:szCs w:val="1"/>
                <w:color w:val="auto"/>
              </w:rPr>
            </w:pPr>
          </w:p>
        </w:tc>
      </w:tr>
      <w:tr>
        <w:trPr>
          <w:trHeight w:val="229"/>
        </w:trPr>
        <w:tc>
          <w:tcPr>
            <w:tcW w:w="612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Potential common shares issuable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182,149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157,833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176,553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157,984</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340" w:hanging="332"/>
        <w:spacing w:after="0" w:line="259" w:lineRule="auto"/>
        <w:tabs>
          <w:tab w:leader="none" w:pos="471"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2021, there were 58,522 and 69,199 potential common units, respectively, excluded from the computation of diluted earnings per share because their inclusion would have been anti-dilutive under the treasury stock method. For the three and nine months ended September 30, 2020, no potential common units were included in the computation of diluted earnings per share because their inclusion would have been anti-dilutive.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interests in the accompanying condensed consolidated financial statements represent minority interest ownership in Viper and Rattler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September</w:t>
            </w:r>
          </w:p>
        </w:tc>
        <w:tc>
          <w:tcPr>
            <w:tcW w:w="250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56"/>
        </w:trPr>
        <w:tc>
          <w:tcPr>
            <w:tcW w:w="6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Change from net income (loss) attributable to the Company's stockholders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22"/>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transfers to non-controlling interest</w:t>
            </w:r>
          </w:p>
        </w:tc>
        <w:tc>
          <w:tcPr>
            <w:tcW w:w="1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EQUITY-BASED COMPENSATION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 2021, the Company’s stockholders approved and adopted the Company’s 2021 amended and restated equity incentive plan (the “Equity Plan”), which, among other things, increased total shares authorized for issuance from 8.3 million to 11.8 million. At September 30, 2021, the Company had 8.3 million shares of common stock available for future grants.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Equity Plan, approved by the Board of Directors, the Company is authorized to issue incentive and non-statutory stock options, restricted stock awards and restricted stock units, performance awards and stock appreciation rights to eligible employees. At September 30, 2021, the Company had outstanding restricted stock units, performance-based restricted stock units, immaterial amounts of restricted share awards and restricted stock units which were assumed in connection with the QEP Merger and immaterial amounts of stock options and stock appreciation rights. The Company classifies these as equity-based awards and estimates the fair values of restricted stock awards and units as the closing price of the Company’s common stock on the grant date of the award, which is expensed over the applicable vesting period. The Company values its stock options using a Black-Scholes option valuation model.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the Equity Plan, Viper and Rattler maintain their own long-term incentive plans which are not significant to the Company.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financial statement impacts of the equity compensation plans and related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September</w:t>
            </w:r>
          </w:p>
        </w:tc>
        <w:tc>
          <w:tcPr>
            <w:tcW w:w="25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80"/>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95"/>
              </w:rPr>
              <w:t>2021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6"/>
        </w:trPr>
        <w:tc>
          <w:tcPr>
            <w:tcW w:w="6100" w:type="dxa"/>
            <w:vAlign w:val="bottom"/>
          </w:tcPr>
          <w:p>
            <w:pPr>
              <w:ind w:left="20"/>
              <w:spacing w:after="0" w:line="176" w:lineRule="exact"/>
              <w:rPr>
                <w:sz w:val="20"/>
                <w:szCs w:val="20"/>
                <w:color w:val="auto"/>
              </w:rPr>
            </w:pPr>
            <w:r>
              <w:rPr>
                <w:rFonts w:ascii="Arial" w:cs="Arial" w:eastAsia="Arial" w:hAnsi="Arial"/>
                <w:sz w:val="18"/>
                <w:szCs w:val="18"/>
                <w:color w:val="auto"/>
                <w:w w:val="93"/>
              </w:rPr>
              <w:t>Equity-based compensation capitalized pursuant to full cost method of accounting</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440" w:type="dxa"/>
            <w:vAlign w:val="bottom"/>
            <w:vMerge w:val="restart"/>
          </w:tcPr>
          <w:p>
            <w:pPr>
              <w:jc w:val="right"/>
              <w:ind w:right="93"/>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420" w:type="dxa"/>
            <w:vAlign w:val="bottom"/>
            <w:vMerge w:val="restart"/>
          </w:tcPr>
          <w:p>
            <w:pPr>
              <w:jc w:val="right"/>
              <w:ind w:right="213"/>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3"/>
              <w:spacing w:after="0"/>
              <w:rPr>
                <w:sz w:val="20"/>
                <w:szCs w:val="20"/>
                <w:color w:val="auto"/>
              </w:rPr>
            </w:pPr>
            <w:r>
              <w:rPr>
                <w:rFonts w:ascii="Arial" w:cs="Arial" w:eastAsia="Arial" w:hAnsi="Arial"/>
                <w:sz w:val="18"/>
                <w:szCs w:val="18"/>
                <w:color w:val="auto"/>
              </w:rPr>
              <w:t>14</w:t>
            </w: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for oil and natural gas properties</w:t>
            </w:r>
          </w:p>
        </w:tc>
        <w:tc>
          <w:tcPr>
            <w:tcW w:w="1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Company’s restricted stock unit activity during the nine months ended September 30, 2021 under the Equity Plan and the QEP equity incentive plan assumed by the Company in the QEP Merger: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4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Restricted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29"/>
        </w:trPr>
        <w:tc>
          <w:tcPr>
            <w:tcW w:w="7040" w:type="dxa"/>
            <w:vAlign w:val="bottom"/>
          </w:tcPr>
          <w:p>
            <w:pPr>
              <w:ind w:left="36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2040" w:type="dxa"/>
            <w:vAlign w:val="bottom"/>
          </w:tcPr>
          <w:p>
            <w:pPr>
              <w:jc w:val="right"/>
              <w:spacing w:after="0"/>
              <w:rPr>
                <w:sz w:val="20"/>
                <w:szCs w:val="20"/>
                <w:color w:val="auto"/>
              </w:rPr>
            </w:pPr>
            <w:r>
              <w:rPr>
                <w:rFonts w:ascii="Arial" w:cs="Arial" w:eastAsia="Arial" w:hAnsi="Arial"/>
                <w:sz w:val="18"/>
                <w:szCs w:val="18"/>
                <w:color w:val="auto"/>
              </w:rPr>
              <w:t>655,634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77" w:lineRule="auto"/>
        <w:tabs>
          <w:tab w:leader="none" w:pos="4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164,088 replacement restricted stock unit awards granted in connection with the QEP Merger, the majority of which vested upon closing of the QEP Merger. For additional information regarding the QEP Merger, see Note 4—</w:t>
      </w:r>
      <w:hyperlink w:anchor="page16">
        <w:r>
          <w:rPr>
            <w:rFonts w:ascii="Arial" w:cs="Arial" w:eastAsia="Arial" w:hAnsi="Arial"/>
            <w:sz w:val="18"/>
            <w:szCs w:val="18"/>
            <w:u w:val="single" w:color="auto"/>
            <w:color w:val="0000FF"/>
          </w:rPr>
          <w:t>Acquisitions and Divestitures</w:t>
        </w:r>
      </w:hyperlink>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nine months ended September 30, 2021 was $25 million. As of September 30, 2021, the Company’s unrecognized compensation cost related to unvested restricted stock units was $53 million, which is expected to be recognized over a weighted-average period of 2.0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performance restricted stock units activity under the Equity Plan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w w:val="91"/>
              </w:rPr>
              <w:t>Performance Restricted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Weighted Average</w:t>
            </w:r>
          </w:p>
        </w:tc>
      </w:tr>
      <w:tr>
        <w:trPr>
          <w:trHeight w:val="213"/>
        </w:trPr>
        <w:tc>
          <w:tcPr>
            <w:tcW w:w="76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rPr>
              <w:t>Grant-Date Fair Value</w:t>
            </w:r>
          </w:p>
        </w:tc>
      </w:tr>
      <w:tr>
        <w:trPr>
          <w:trHeight w:val="22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198,454</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131.06</w:t>
            </w:r>
          </w:p>
        </w:tc>
      </w:tr>
      <w:tr>
        <w:trPr>
          <w:trHeight w:val="248"/>
        </w:trPr>
        <w:tc>
          <w:tcPr>
            <w:tcW w:w="76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September 30, 2021</w:t>
            </w:r>
            <w:r>
              <w:rPr>
                <w:rFonts w:ascii="Arial" w:cs="Arial" w:eastAsia="Arial" w:hAnsi="Arial"/>
                <w:sz w:val="23"/>
                <w:szCs w:val="23"/>
                <w:color w:val="auto"/>
                <w:vertAlign w:val="superscript"/>
              </w:rPr>
              <w:t>(1)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610,041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1,431,833 units could be awarded based upon the Company’s final TSR ranking.</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2021, the Company’s unrecognized compensation cost related to unvested performance based restricted stock awards and units was $32 million, which is expected to be recognized over a weighted-average period of 1.7 years.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2021, eligible employees received performance restricted stock unit awards totaling 198,454 units from which a minimum of 0% and a maximum of 200% of the units could be awarded based upon the measurement of total stockholder return of the Company’s common stock as compared to a designated peer group during the three-year performance period of January 1, 2021 to December 31, 2023 and cliff vest at December 31, 2023 subject to continued employment. The initial payout of the March 2021 awards will be further adjusted by a TSR modifier that may reduce the payout or increase the payout up to a maximum of 250%.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issuance is estimated at the date of grant using a Monte Carlo simulation, which results in an expected percentage of units to be earned during the performance period.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awards granted during the period presented: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2021</w:t>
            </w:r>
          </w:p>
        </w:tc>
      </w:tr>
      <w:tr>
        <w:trPr>
          <w:trHeight w:val="22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131.06</w:t>
            </w:r>
          </w:p>
        </w:tc>
      </w:tr>
      <w:tr>
        <w:trPr>
          <w:trHeight w:val="229"/>
        </w:trPr>
        <w:tc>
          <w:tcPr>
            <w:tcW w:w="93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0.15 %</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69.60 %</w:t>
            </w:r>
          </w:p>
        </w:tc>
      </w:tr>
    </w:tbl>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INCOME TAXES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Company’s effective income tax rates were 22.3% and 21.6% for the three months ended September 30, 2021 and 2020, respectively, and 22.3% and 18.7% for the nine months ended September 30, 2021 and 2020, respectively. Total income tax expense from continuing operations for the three and nine months ended September 30, 2021 differed from amounts computed by applying the United States federal statutory tax rate to pre-tax income primarily due to (i) state income taxes, net of federal benefit, and (ii) the impact of permanent differences between book and taxable income, partially offset by (iii) tax benefit resulting from a reduction in the valuation allowance on Viper’s deferred tax assets due to pre-tax income for the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nine months ended September 30, 2021, the Company’s items of discrete income tax expense or benefit were not material.</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17, 2021, the Company completed its acquisition of QEP. For federal income tax purposes, the transaction qualified as a nontaxable merger whereby the Company acquired carryover tax basis in QEP’s assets and liabilities. As of September 30, 2021, the Company’s opening balance sheet net deferred tax asset was $17 million, primarily consisting of deferred tax assets related to tax attributes acquired from QEP, partially offset by a valuation allowance, and deferred tax liabilities resulting from the excess of financial reporting carrying value over tax basis of oil and natural gas properties and other assets acquired from QEP. The acquired income tax attributes, including federal net operating loss and credit carryforwards, are subject to an annual limitation under Internal Revenue Code Section 382. The Company has considered the positive and negative evidence regarding realizability of these federal tax attributes including taxable income in prior carryback years, the annual limitation imposed by Section 382, and the anticipated timing of reversal of its deferred tax liabilities, resulting in a valuation allowance on the portion of QEP’s federal tax attributes estimated not more likely than not to be realized prior to expiration. In addition, acquired tax attributes include state net operating loss carryforwards for which a valuation allowance has been provided, since the Company does not believe the state net operating losses are more likely than not to be realized based on its assessment of anticipated future operations in those states.</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income tax expense from continuing operations for the three and nine months ended September 30, 2020 differed from amounts computed by applying the United States federal statutory tax rate to pre-tax loss primarily due to (i) the impact of recording a valuation allowance on Viper’s deferred tax assets, (ii) state income taxes and (iii) the impact of permanent differences between book and taxable income, partially offset by tax benefit resulting from the carryback of federal net operating losses.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nine months ended September 30, 2020, the Company recorded a discrete income tax expense of $143 million related to application in the first quarter of a valuation allowance on Viper’s beginning-of-year deferred tax assets, which consisted primarily of its investment in Viper LLC and federal net operating loss carryforwards. As of September 30, 2021 and 2020, Viper maintained a valuation allowance against its deferred tax assets, based on its assessment of all available evidence, both positive and negative, supporting realizability of Viper’s deferred tax assets. In addition, for the nine months ended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September 30, 2020, the Company recorded a discrete income tax benefit of $25 million related to the available carryback of certain federal net operating losses to tax year(s) in which the corporate income tax rate was 35%.</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considered the impact of the American Rescue Plan, enacted on March 11, 2021, and concluded its provisions related to U.S. income taxes for corporations did not materially affect the Company’s current or deferred tax balances. The Company also considered the impact of the CARES Act, enacted March 27, 2020, in the period of enactment, resulting in a net discrete income tax benefit of $25 million for the three months ended March 31, 2020 related to the carryback of approximately $179 million of the Company’s federal net operating losses as noted above. As a result of the refund associated with such carryback as well as the accelerated refund available for minimum tax credits, the Company received a refund of federal taxes in the first quarter of 2021 of approximately $100 million. In addition, the Company received in the third quarter of 2021 a refund of federal taxes of approximately $50 million related to refundable minimum tax credits resulting from carryback of certain federal net operating losses acquired from QEP.</w:t>
      </w:r>
    </w:p>
    <w:p>
      <w:pPr>
        <w:spacing w:after="0" w:line="189"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2021, the Company has commodity derivative contracts and receive-fixed, pay-variable interest rate hedges outstanding. All derivative financial instruments are recorded at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multiple crude oil, natural gas and natural gas liquids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commodity derivative instruments only with counterparties that are also lenders under its credit facility and have been deemed an acceptable credit risk.</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multiple commodity derivative contracts that contain an other-than-insignificant financing element at inception and, therefore, the cash receipts were classified as cash flows from financing activities in the condensed consolidated statements of cash flow 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As of September 30, 2021, the Company had the following outstanding commodity derivative contracts. When aggregating multiple contracts, the weighted average contract price is disclosed.</w:t>
      </w:r>
    </w:p>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20" w:type="dxa"/>
            <w:vAlign w:val="bottom"/>
            <w:tcBorders>
              <w:bottom w:val="single" w:sz="8" w:color="auto"/>
            </w:tcBorders>
            <w:gridSpan w:val="2"/>
          </w:tcPr>
          <w:p>
            <w:pPr>
              <w:ind w:left="960"/>
              <w:spacing w:after="0"/>
              <w:rPr>
                <w:sz w:val="20"/>
                <w:szCs w:val="20"/>
                <w:color w:val="auto"/>
              </w:rPr>
            </w:pPr>
            <w:r>
              <w:rPr>
                <w:rFonts w:ascii="Arial" w:cs="Arial" w:eastAsia="Arial" w:hAnsi="Arial"/>
                <w:sz w:val="15"/>
                <w:szCs w:val="15"/>
                <w:b w:val="1"/>
                <w:bCs w:val="1"/>
                <w:color w:val="auto"/>
              </w:rPr>
              <w:t>Swaps</w:t>
            </w:r>
          </w:p>
        </w:tc>
        <w:tc>
          <w:tcPr>
            <w:tcW w:w="210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b w:val="1"/>
                <w:bCs w:val="1"/>
                <w:color w:val="auto"/>
              </w:rPr>
              <w:t>Collars</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Bbls/MMBtu</w:t>
            </w:r>
          </w:p>
        </w:tc>
        <w:tc>
          <w:tcPr>
            <w:tcW w:w="172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1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0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0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48"/>
        </w:trPr>
        <w:tc>
          <w:tcPr>
            <w:tcW w:w="126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95"/>
              </w:rPr>
              <w:t>Settlement Month</w:t>
            </w:r>
          </w:p>
        </w:tc>
        <w:tc>
          <w:tcPr>
            <w:tcW w:w="1220" w:type="dxa"/>
            <w:vAlign w:val="bottom"/>
            <w:vMerge w:val="restart"/>
          </w:tcPr>
          <w:p>
            <w:pPr>
              <w:jc w:val="center"/>
              <w:ind w:right="19"/>
              <w:spacing w:after="0"/>
              <w:rPr>
                <w:sz w:val="20"/>
                <w:szCs w:val="20"/>
                <w:color w:val="auto"/>
              </w:rPr>
            </w:pPr>
            <w:r>
              <w:rPr>
                <w:rFonts w:ascii="Arial" w:cs="Arial" w:eastAsia="Arial" w:hAnsi="Arial"/>
                <w:sz w:val="15"/>
                <w:szCs w:val="15"/>
                <w:b w:val="1"/>
                <w:bCs w:val="1"/>
                <w:color w:val="auto"/>
                <w:w w:val="91"/>
              </w:rPr>
              <w:t>Settlement Year</w:t>
            </w:r>
          </w:p>
        </w:tc>
        <w:tc>
          <w:tcPr>
            <w:tcW w:w="14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Type of Contract</w:t>
            </w:r>
          </w:p>
        </w:tc>
        <w:tc>
          <w:tcPr>
            <w:tcW w:w="1160" w:type="dxa"/>
            <w:vAlign w:val="bottom"/>
            <w:vMerge w:val="continue"/>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Index</w:t>
            </w:r>
          </w:p>
        </w:tc>
        <w:tc>
          <w:tcPr>
            <w:tcW w:w="11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Average</w:t>
            </w:r>
          </w:p>
        </w:tc>
        <w:tc>
          <w:tcPr>
            <w:tcW w:w="11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Average Fixed</w:t>
            </w:r>
          </w:p>
        </w:tc>
        <w:tc>
          <w:tcPr>
            <w:tcW w:w="10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Average Floor</w:t>
            </w:r>
          </w:p>
        </w:tc>
        <w:tc>
          <w:tcPr>
            <w:tcW w:w="10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200"/>
        </w:trPr>
        <w:tc>
          <w:tcPr>
            <w:tcW w:w="12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Per Day</w:t>
            </w:r>
          </w:p>
        </w:tc>
        <w:tc>
          <w:tcPr>
            <w:tcW w:w="17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Differential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Ceiling Price</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OIL</w:t>
            </w:r>
          </w:p>
        </w:tc>
        <w:tc>
          <w:tcPr>
            <w:tcW w:w="1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30,674</w:t>
            </w:r>
          </w:p>
        </w:tc>
        <w:tc>
          <w:tcPr>
            <w:tcW w:w="172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$42.36</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$37.78</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3"/>
              </w:rPr>
              <w:t>Swap</w:t>
            </w:r>
            <w:r>
              <w:rPr>
                <w:rFonts w:ascii="Arial" w:cs="Arial" w:eastAsia="Arial" w:hAnsi="Arial"/>
                <w:sz w:val="21"/>
                <w:szCs w:val="21"/>
                <w:color w:val="auto"/>
                <w:w w:val="83"/>
                <w:vertAlign w:val="superscript"/>
              </w:rPr>
              <w:t>(1)</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$41.62</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Argus WTI Midland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$0.91</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6"/>
              </w:rPr>
              <w:t>Roll Swap</w:t>
            </w:r>
            <w:r>
              <w:rPr>
                <w:rFonts w:ascii="Arial" w:cs="Arial" w:eastAsia="Arial" w:hAnsi="Arial"/>
                <w:sz w:val="21"/>
                <w:szCs w:val="21"/>
                <w:color w:val="auto"/>
                <w:w w:val="86"/>
                <w:vertAlign w:val="superscript"/>
              </w:rPr>
              <w:t>(3)(4)</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64,000</w:t>
            </w:r>
          </w:p>
        </w:tc>
        <w:tc>
          <w:tcPr>
            <w:tcW w:w="172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$0.56</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29,663</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$39.83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$56.45</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$45.00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$78.75</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88"/>
              </w:rPr>
              <w:t>Costless Collar</w:t>
            </w:r>
            <w:r>
              <w:rPr>
                <w:rFonts w:ascii="Arial" w:cs="Arial" w:eastAsia="Arial" w:hAnsi="Arial"/>
                <w:sz w:val="21"/>
                <w:szCs w:val="21"/>
                <w:color w:val="auto"/>
                <w:w w:val="88"/>
                <w:vertAlign w:val="superscript"/>
              </w:rPr>
              <w:t>(5)</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$41.04</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$52.86</w:t>
            </w:r>
          </w:p>
        </w:tc>
        <w:tc>
          <w:tcPr>
            <w:tcW w:w="0" w:type="dxa"/>
            <w:vAlign w:val="bottom"/>
          </w:tcPr>
          <w:p>
            <w:pPr>
              <w:spacing w:after="0"/>
              <w:rPr>
                <w:sz w:val="1"/>
                <w:szCs w:val="1"/>
                <w:color w:val="auto"/>
              </w:rPr>
            </w:pPr>
          </w:p>
        </w:tc>
      </w:tr>
      <w:tr>
        <w:trPr>
          <w:trHeight w:val="213"/>
        </w:trPr>
        <w:tc>
          <w:tcPr>
            <w:tcW w:w="1260" w:type="dxa"/>
            <w:vAlign w:val="bottom"/>
          </w:tcPr>
          <w:p>
            <w:pPr>
              <w:ind w:left="280"/>
              <w:spacing w:after="0"/>
              <w:rPr>
                <w:sz w:val="20"/>
                <w:szCs w:val="20"/>
                <w:color w:val="auto"/>
              </w:rPr>
            </w:pPr>
            <w:r>
              <w:rPr>
                <w:rFonts w:ascii="Arial" w:cs="Arial" w:eastAsia="Arial" w:hAnsi="Arial"/>
                <w:sz w:val="16"/>
                <w:szCs w:val="16"/>
                <w:color w:val="auto"/>
              </w:rPr>
              <w:t>Jan.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1,000</w:t>
            </w:r>
          </w:p>
        </w:tc>
        <w:tc>
          <w:tcPr>
            <w:tcW w:w="172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$45.00</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Argus WTI Midland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$0.84</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ind w:left="280"/>
              <w:spacing w:after="0"/>
              <w:rPr>
                <w:sz w:val="20"/>
                <w:szCs w:val="20"/>
                <w:color w:val="auto"/>
              </w:rPr>
            </w:pPr>
            <w:r>
              <w:rPr>
                <w:rFonts w:ascii="Arial" w:cs="Arial" w:eastAsia="Arial" w:hAnsi="Arial"/>
                <w:sz w:val="16"/>
                <w:szCs w:val="16"/>
                <w:color w:val="auto"/>
              </w:rPr>
              <w:t>Jan.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9"/>
              </w:rPr>
              <w:t>Roll Swap</w:t>
            </w:r>
            <w:r>
              <w:rPr>
                <w:rFonts w:ascii="Arial" w:cs="Arial" w:eastAsia="Arial" w:hAnsi="Arial"/>
                <w:sz w:val="21"/>
                <w:szCs w:val="21"/>
                <w:color w:val="auto"/>
                <w:w w:val="89"/>
                <w:vertAlign w:val="superscript"/>
              </w:rPr>
              <w:t>(3)</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25,000</w:t>
            </w:r>
          </w:p>
        </w:tc>
        <w:tc>
          <w:tcPr>
            <w:tcW w:w="172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$0.56</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Mar.</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19,500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$46.28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$72.67</w:t>
            </w:r>
          </w:p>
        </w:tc>
        <w:tc>
          <w:tcPr>
            <w:tcW w:w="0" w:type="dxa"/>
            <w:vAlign w:val="bottom"/>
          </w:tcPr>
          <w:p>
            <w:pPr>
              <w:spacing w:after="0"/>
              <w:rPr>
                <w:sz w:val="1"/>
                <w:szCs w:val="1"/>
                <w:color w:val="auto"/>
              </w:rPr>
            </w:pPr>
          </w:p>
        </w:tc>
      </w:tr>
      <w:tr>
        <w:trPr>
          <w:trHeight w:val="213"/>
        </w:trPr>
        <w:tc>
          <w:tcPr>
            <w:tcW w:w="1260" w:type="dxa"/>
            <w:vAlign w:val="bottom"/>
          </w:tcPr>
          <w:p>
            <w:pPr>
              <w:ind w:left="280"/>
              <w:spacing w:after="0"/>
              <w:rPr>
                <w:sz w:val="20"/>
                <w:szCs w:val="20"/>
                <w:color w:val="auto"/>
              </w:rPr>
            </w:pPr>
            <w:r>
              <w:rPr>
                <w:rFonts w:ascii="Arial" w:cs="Arial" w:eastAsia="Arial" w:hAnsi="Arial"/>
                <w:sz w:val="16"/>
                <w:szCs w:val="16"/>
                <w:color w:val="auto"/>
              </w:rPr>
              <w:t>Jan. - Mar.</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55,000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$45.55</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$71.08</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Mar.</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$45.91</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$70.95</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Apr.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13,000</w:t>
            </w:r>
          </w:p>
        </w:tc>
        <w:tc>
          <w:tcPr>
            <w:tcW w:w="172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$46.92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$75.00</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Apr.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$46.47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$77.00</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Apr.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26,000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$46.92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$72.78</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July - Sep.</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$47.73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$78.65</w:t>
            </w:r>
          </w:p>
        </w:tc>
        <w:tc>
          <w:tcPr>
            <w:tcW w:w="0" w:type="dxa"/>
            <w:vAlign w:val="bottom"/>
          </w:tcPr>
          <w:p>
            <w:pPr>
              <w:spacing w:after="0"/>
              <w:rPr>
                <w:sz w:val="1"/>
                <w:szCs w:val="1"/>
                <w:color w:val="auto"/>
              </w:rPr>
            </w:pPr>
          </w:p>
        </w:tc>
      </w:tr>
      <w:tr>
        <w:trPr>
          <w:trHeight w:val="213"/>
        </w:trPr>
        <w:tc>
          <w:tcPr>
            <w:tcW w:w="1260" w:type="dxa"/>
            <w:vAlign w:val="bottom"/>
          </w:tcPr>
          <w:p>
            <w:pPr>
              <w:ind w:left="280"/>
              <w:spacing w:after="0"/>
              <w:rPr>
                <w:sz w:val="20"/>
                <w:szCs w:val="20"/>
                <w:color w:val="auto"/>
              </w:rPr>
            </w:pPr>
            <w:r>
              <w:rPr>
                <w:rFonts w:ascii="Arial" w:cs="Arial" w:eastAsia="Arial" w:hAnsi="Arial"/>
                <w:sz w:val="16"/>
                <w:szCs w:val="16"/>
                <w:color w:val="auto"/>
              </w:rPr>
              <w:t>July - Sep.</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10,000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$76.66</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$75.56</w:t>
            </w:r>
          </w:p>
        </w:tc>
        <w:tc>
          <w:tcPr>
            <w:tcW w:w="0" w:type="dxa"/>
            <w:vAlign w:val="bottom"/>
          </w:tcPr>
          <w:p>
            <w:pPr>
              <w:spacing w:after="0"/>
              <w:rPr>
                <w:sz w:val="1"/>
                <w:szCs w:val="1"/>
                <w:color w:val="auto"/>
              </w:rPr>
            </w:pPr>
          </w:p>
        </w:tc>
      </w:tr>
      <w:tr>
        <w:trPr>
          <w:trHeight w:val="200"/>
        </w:trPr>
        <w:tc>
          <w:tcPr>
            <w:tcW w:w="1260" w:type="dxa"/>
            <w:vAlign w:val="bottom"/>
          </w:tcPr>
          <w:p>
            <w:pPr>
              <w:ind w:left="20"/>
              <w:spacing w:after="0"/>
              <w:rPr>
                <w:sz w:val="20"/>
                <w:szCs w:val="20"/>
                <w:color w:val="auto"/>
              </w:rPr>
            </w:pPr>
            <w:r>
              <w:rPr>
                <w:rFonts w:ascii="Arial" w:cs="Arial" w:eastAsia="Arial" w:hAnsi="Arial"/>
                <w:sz w:val="15"/>
                <w:szCs w:val="15"/>
                <w:b w:val="1"/>
                <w:bCs w:val="1"/>
                <w:color w:val="auto"/>
              </w:rPr>
              <w:t>NATURAL GAS</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245,000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50,000</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$1.92</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$(0.66)</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ind w:left="280"/>
              <w:spacing w:after="0"/>
              <w:rPr>
                <w:sz w:val="20"/>
                <w:szCs w:val="20"/>
                <w:color w:val="auto"/>
              </w:rPr>
            </w:pPr>
            <w:r>
              <w:rPr>
                <w:rFonts w:ascii="Arial" w:cs="Arial" w:eastAsia="Arial" w:hAnsi="Arial"/>
                <w:sz w:val="16"/>
                <w:szCs w:val="16"/>
                <w:color w:val="auto"/>
              </w:rPr>
              <w:t>Jan.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(2)</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210,000</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$(0.34)</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350,000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$4.68</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240,000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$2.67</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2023</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$5.72</w:t>
            </w:r>
          </w:p>
        </w:tc>
        <w:tc>
          <w:tcPr>
            <w:tcW w:w="0" w:type="dxa"/>
            <w:vAlign w:val="bottom"/>
          </w:tcPr>
          <w:p>
            <w:pPr>
              <w:spacing w:after="0"/>
              <w:rPr>
                <w:sz w:val="1"/>
                <w:szCs w:val="1"/>
                <w:color w:val="auto"/>
              </w:rPr>
            </w:pPr>
          </w:p>
        </w:tc>
      </w:tr>
      <w:tr>
        <w:trPr>
          <w:trHeight w:val="200"/>
        </w:trPr>
        <w:tc>
          <w:tcPr>
            <w:tcW w:w="2480" w:type="dxa"/>
            <w:vAlign w:val="bottom"/>
            <w:gridSpan w:val="2"/>
          </w:tcPr>
          <w:p>
            <w:pPr>
              <w:ind w:left="20"/>
              <w:spacing w:after="0"/>
              <w:rPr>
                <w:sz w:val="20"/>
                <w:szCs w:val="20"/>
                <w:color w:val="auto"/>
              </w:rPr>
            </w:pPr>
            <w:r>
              <w:rPr>
                <w:rFonts w:ascii="Arial" w:cs="Arial" w:eastAsia="Arial" w:hAnsi="Arial"/>
                <w:sz w:val="15"/>
                <w:szCs w:val="15"/>
                <w:b w:val="1"/>
                <w:bCs w:val="1"/>
                <w:color w:val="auto"/>
              </w:rPr>
              <w:t>NATURAL GAS LIQUIDS</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Mont Belvieu Propane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$29.40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2"/>
        <w:spacing w:after="0" w:line="258" w:lineRule="auto"/>
        <w:tabs>
          <w:tab w:leader="none" w:pos="4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swaptions for 13,900 BO/d for first half of 2022, and 8,250 BO/d for second half 2022, whereby the counterparty has the right to exercise the hedge at a weighted-average price of $67.54/Bbl in the first half of 2022 and $68.62/Bbl in the second half of 2022.</w:t>
      </w:r>
    </w:p>
    <w:p>
      <w:pPr>
        <w:spacing w:after="0" w:line="1" w:lineRule="exact"/>
        <w:rPr>
          <w:rFonts w:ascii="Arial" w:cs="Arial" w:eastAsia="Arial" w:hAnsi="Arial"/>
          <w:sz w:val="18"/>
          <w:szCs w:val="18"/>
          <w:color w:val="auto"/>
        </w:rPr>
      </w:pPr>
    </w:p>
    <w:p>
      <w:pPr>
        <w:jc w:val="both"/>
        <w:ind w:left="340" w:hanging="332"/>
        <w:spacing w:after="0" w:line="302" w:lineRule="auto"/>
        <w:tabs>
          <w:tab w:leader="none" w:pos="4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left="340" w:hanging="332"/>
        <w:spacing w:after="0" w:line="255" w:lineRule="auto"/>
        <w:tabs>
          <w:tab w:leader="none" w:pos="4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rolling hedge basis swaps for the differential in NYMEX prices between the calendar month average and the physical crude oil delivery month. The weighted average differential represents the amount of reduction to Cushing, Oklahoma oil price for the notional volumes covered by the rolling hedge basis swap contracts.</w:t>
      </w:r>
    </w:p>
    <w:p>
      <w:pPr>
        <w:spacing w:after="0" w:line="2" w:lineRule="exact"/>
        <w:rPr>
          <w:rFonts w:ascii="Arial" w:cs="Arial" w:eastAsia="Arial" w:hAnsi="Arial"/>
          <w:sz w:val="18"/>
          <w:szCs w:val="18"/>
          <w:color w:val="auto"/>
        </w:rPr>
      </w:pPr>
    </w:p>
    <w:p>
      <w:pPr>
        <w:ind w:left="340" w:hanging="332"/>
        <w:spacing w:after="0" w:line="250" w:lineRule="auto"/>
        <w:tabs>
          <w:tab w:leader="none" w:pos="4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 rolling hedge basis swap contract for the differential between the NYMEX prices for WTI Cushing and WTI CMA calendar month average of each basis for a notional quantity of 4,000 barrels per day with a weighted average differential of $0.00.</w:t>
      </w: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approximately $4.8 million of deferred premiums from restructuring 5,000 BO/d of Q4 2021 hedges.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20" w:type="dxa"/>
            <w:vAlign w:val="bottom"/>
            <w:tcBorders>
              <w:bottom w:val="single" w:sz="8" w:color="auto"/>
            </w:tcBorders>
          </w:tcPr>
          <w:p>
            <w:pPr>
              <w:jc w:val="center"/>
              <w:ind w:left="51"/>
              <w:spacing w:after="0"/>
              <w:rPr>
                <w:sz w:val="20"/>
                <w:szCs w:val="20"/>
                <w:color w:val="auto"/>
              </w:rPr>
            </w:pPr>
            <w:r>
              <w:rPr>
                <w:rFonts w:ascii="Arial" w:cs="Arial" w:eastAsia="Arial" w:hAnsi="Arial"/>
                <w:sz w:val="16"/>
                <w:szCs w:val="16"/>
                <w:b w:val="1"/>
                <w:bCs w:val="1"/>
                <w:color w:val="auto"/>
                <w:w w:val="93"/>
              </w:rPr>
              <w:t>Settlement Month</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Settlement Year</w:t>
            </w:r>
          </w:p>
        </w:tc>
        <w:tc>
          <w:tcPr>
            <w:tcW w:w="178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92"/>
              </w:rPr>
              <w:t>Type of Contract</w:t>
            </w:r>
          </w:p>
        </w:tc>
        <w:tc>
          <w:tcPr>
            <w:tcW w:w="17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Bbls Per Day</w:t>
            </w:r>
          </w:p>
        </w:tc>
        <w:tc>
          <w:tcPr>
            <w:tcW w:w="1540" w:type="dxa"/>
            <w:vAlign w:val="bottom"/>
            <w:tcBorders>
              <w:bottom w:val="single" w:sz="8" w:color="auto"/>
            </w:tcBorders>
          </w:tcPr>
          <w:p>
            <w:pPr>
              <w:jc w:val="center"/>
              <w:ind w:left="11"/>
              <w:spacing w:after="0"/>
              <w:rPr>
                <w:sz w:val="20"/>
                <w:szCs w:val="20"/>
                <w:color w:val="auto"/>
              </w:rPr>
            </w:pPr>
            <w:r>
              <w:rPr>
                <w:rFonts w:ascii="Arial" w:cs="Arial" w:eastAsia="Arial" w:hAnsi="Arial"/>
                <w:sz w:val="16"/>
                <w:szCs w:val="16"/>
                <w:b w:val="1"/>
                <w:bCs w:val="1"/>
                <w:color w:val="auto"/>
                <w:w w:val="95"/>
              </w:rPr>
              <w:t>Index</w:t>
            </w:r>
          </w:p>
        </w:tc>
        <w:tc>
          <w:tcPr>
            <w:tcW w:w="1360" w:type="dxa"/>
            <w:vAlign w:val="bottom"/>
            <w:tcBorders>
              <w:bottom w:val="single" w:sz="8" w:color="auto"/>
            </w:tcBorders>
          </w:tcPr>
          <w:p>
            <w:pPr>
              <w:jc w:val="center"/>
              <w:ind w:left="51"/>
              <w:spacing w:after="0"/>
              <w:rPr>
                <w:sz w:val="20"/>
                <w:szCs w:val="20"/>
                <w:color w:val="auto"/>
              </w:rPr>
            </w:pPr>
            <w:r>
              <w:rPr>
                <w:rFonts w:ascii="Arial" w:cs="Arial" w:eastAsia="Arial" w:hAnsi="Arial"/>
                <w:sz w:val="16"/>
                <w:szCs w:val="16"/>
                <w:b w:val="1"/>
                <w:bCs w:val="1"/>
                <w:color w:val="auto"/>
                <w:w w:val="93"/>
              </w:rPr>
              <w:t>Strike Price</w:t>
            </w:r>
          </w:p>
        </w:tc>
        <w:tc>
          <w:tcPr>
            <w:tcW w:w="1600" w:type="dxa"/>
            <w:vAlign w:val="bottom"/>
            <w:tcBorders>
              <w:bottom w:val="single" w:sz="8" w:color="auto"/>
            </w:tcBorders>
          </w:tcPr>
          <w:p>
            <w:pPr>
              <w:jc w:val="center"/>
              <w:ind w:left="11"/>
              <w:spacing w:after="0"/>
              <w:rPr>
                <w:sz w:val="20"/>
                <w:szCs w:val="20"/>
                <w:color w:val="auto"/>
              </w:rPr>
            </w:pPr>
            <w:r>
              <w:rPr>
                <w:rFonts w:ascii="Arial" w:cs="Arial" w:eastAsia="Arial" w:hAnsi="Arial"/>
                <w:sz w:val="16"/>
                <w:szCs w:val="16"/>
                <w:b w:val="1"/>
                <w:bCs w:val="1"/>
                <w:color w:val="auto"/>
                <w:w w:val="93"/>
              </w:rPr>
              <w:t>Deferred Premium</w:t>
            </w:r>
          </w:p>
        </w:tc>
        <w:tc>
          <w:tcPr>
            <w:tcW w:w="0" w:type="dxa"/>
            <w:vAlign w:val="bottom"/>
          </w:tcPr>
          <w:p>
            <w:pPr>
              <w:spacing w:after="0"/>
              <w:rPr>
                <w:sz w:val="1"/>
                <w:szCs w:val="1"/>
                <w:color w:val="auto"/>
              </w:rPr>
            </w:pPr>
          </w:p>
        </w:tc>
      </w:tr>
      <w:tr>
        <w:trPr>
          <w:trHeight w:val="226"/>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OIL</w:t>
            </w:r>
          </w:p>
        </w:tc>
        <w:tc>
          <w:tcPr>
            <w:tcW w:w="14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jc w:val="center"/>
              <w:ind w:left="51"/>
              <w:spacing w:after="0"/>
              <w:rPr>
                <w:sz w:val="20"/>
                <w:szCs w:val="20"/>
                <w:color w:val="auto"/>
              </w:rPr>
            </w:pPr>
            <w:r>
              <w:rPr>
                <w:rFonts w:ascii="Arial" w:cs="Arial" w:eastAsia="Arial" w:hAnsi="Arial"/>
                <w:sz w:val="18"/>
                <w:szCs w:val="18"/>
                <w:color w:val="auto"/>
                <w:w w:val="90"/>
              </w:rPr>
              <w:t>Jan. - Mar.</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780" w:type="dxa"/>
            <w:vAlign w:val="bottom"/>
          </w:tcPr>
          <w:p>
            <w:pPr>
              <w:jc w:val="center"/>
              <w:ind w:right="131"/>
              <w:spacing w:after="0"/>
              <w:rPr>
                <w:sz w:val="20"/>
                <w:szCs w:val="20"/>
                <w:color w:val="auto"/>
              </w:rPr>
            </w:pPr>
            <w:r>
              <w:rPr>
                <w:rFonts w:ascii="Arial" w:cs="Arial" w:eastAsia="Arial" w:hAnsi="Arial"/>
                <w:sz w:val="18"/>
                <w:szCs w:val="18"/>
                <w:color w:val="auto"/>
                <w:w w:val="88"/>
              </w:rPr>
              <w:t>Put</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9,500</w:t>
            </w:r>
          </w:p>
        </w:tc>
        <w:tc>
          <w:tcPr>
            <w:tcW w:w="1540" w:type="dxa"/>
            <w:vAlign w:val="bottom"/>
          </w:tcPr>
          <w:p>
            <w:pPr>
              <w:jc w:val="center"/>
              <w:spacing w:after="0"/>
              <w:rPr>
                <w:sz w:val="20"/>
                <w:szCs w:val="20"/>
                <w:color w:val="auto"/>
              </w:rPr>
            </w:pPr>
            <w:r>
              <w:rPr>
                <w:rFonts w:ascii="Arial" w:cs="Arial" w:eastAsia="Arial" w:hAnsi="Arial"/>
                <w:sz w:val="18"/>
                <w:szCs w:val="18"/>
                <w:color w:val="auto"/>
              </w:rPr>
              <w:t>WTI</w:t>
            </w:r>
          </w:p>
        </w:tc>
        <w:tc>
          <w:tcPr>
            <w:tcW w:w="1360" w:type="dxa"/>
            <w:vAlign w:val="bottom"/>
          </w:tcPr>
          <w:p>
            <w:pPr>
              <w:jc w:val="center"/>
              <w:ind w:left="51"/>
              <w:spacing w:after="0"/>
              <w:rPr>
                <w:sz w:val="20"/>
                <w:szCs w:val="20"/>
                <w:color w:val="auto"/>
              </w:rPr>
            </w:pPr>
            <w:r>
              <w:rPr>
                <w:rFonts w:ascii="Arial" w:cs="Arial" w:eastAsia="Arial" w:hAnsi="Arial"/>
                <w:sz w:val="18"/>
                <w:szCs w:val="18"/>
                <w:color w:val="auto"/>
                <w:w w:val="90"/>
              </w:rPr>
              <w:t>$47.51</w:t>
            </w:r>
          </w:p>
        </w:tc>
        <w:tc>
          <w:tcPr>
            <w:tcW w:w="1600" w:type="dxa"/>
            <w:vAlign w:val="bottom"/>
          </w:tcPr>
          <w:p>
            <w:pPr>
              <w:jc w:val="center"/>
              <w:ind w:left="31"/>
              <w:spacing w:after="0"/>
              <w:rPr>
                <w:sz w:val="20"/>
                <w:szCs w:val="20"/>
                <w:color w:val="auto"/>
              </w:rPr>
            </w:pPr>
            <w:r>
              <w:rPr>
                <w:rFonts w:ascii="Arial" w:cs="Arial" w:eastAsia="Arial" w:hAnsi="Arial"/>
                <w:sz w:val="18"/>
                <w:szCs w:val="18"/>
                <w:color w:val="auto"/>
                <w:w w:val="88"/>
              </w:rPr>
              <w:t>$1.57</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0"/>
              </w:rPr>
              <w:t>Jan. - Mar.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780" w:type="dxa"/>
            <w:vAlign w:val="bottom"/>
            <w:shd w:val="clear" w:color="auto" w:fill="CCEEFF"/>
          </w:tcPr>
          <w:p>
            <w:pPr>
              <w:jc w:val="center"/>
              <w:ind w:right="131"/>
              <w:spacing w:after="0"/>
              <w:rPr>
                <w:sz w:val="20"/>
                <w:szCs w:val="20"/>
                <w:color w:val="auto"/>
              </w:rPr>
            </w:pPr>
            <w:r>
              <w:rPr>
                <w:rFonts w:ascii="Arial" w:cs="Arial" w:eastAsia="Arial" w:hAnsi="Arial"/>
                <w:sz w:val="18"/>
                <w:szCs w:val="18"/>
                <w:color w:val="auto"/>
                <w:w w:val="88"/>
              </w:rPr>
              <w:t>Put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15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2"/>
              </w:rPr>
              <w:t>Brent</w:t>
            </w:r>
          </w:p>
        </w:tc>
        <w:tc>
          <w:tcPr>
            <w:tcW w:w="13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0"/>
              </w:rPr>
              <w:t>$50.00</w:t>
            </w:r>
          </w:p>
        </w:tc>
        <w:tc>
          <w:tcPr>
            <w:tcW w:w="16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8"/>
              </w:rPr>
              <w:t>$1.70</w:t>
            </w:r>
          </w:p>
        </w:tc>
        <w:tc>
          <w:tcPr>
            <w:tcW w:w="0" w:type="dxa"/>
            <w:vAlign w:val="bottom"/>
          </w:tcPr>
          <w:p>
            <w:pPr>
              <w:spacing w:after="0"/>
              <w:rPr>
                <w:sz w:val="1"/>
                <w:szCs w:val="1"/>
                <w:color w:val="auto"/>
              </w:rPr>
            </w:pPr>
          </w:p>
        </w:tc>
      </w:tr>
      <w:tr>
        <w:trPr>
          <w:trHeight w:val="175"/>
        </w:trPr>
        <w:tc>
          <w:tcPr>
            <w:tcW w:w="1720" w:type="dxa"/>
            <w:vAlign w:val="bottom"/>
            <w:vMerge w:val="restart"/>
          </w:tcPr>
          <w:p>
            <w:pPr>
              <w:jc w:val="center"/>
              <w:ind w:left="51"/>
              <w:spacing w:after="0"/>
              <w:rPr>
                <w:sz w:val="20"/>
                <w:szCs w:val="20"/>
                <w:color w:val="auto"/>
              </w:rPr>
            </w:pPr>
            <w:r>
              <w:rPr>
                <w:rFonts w:ascii="Arial" w:cs="Arial" w:eastAsia="Arial" w:hAnsi="Arial"/>
                <w:sz w:val="18"/>
                <w:szCs w:val="18"/>
                <w:color w:val="auto"/>
                <w:w w:val="84"/>
              </w:rPr>
              <w:t>Jan. - Sep.</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9"/>
              </w:rPr>
              <w:t>2022</w:t>
            </w:r>
          </w:p>
        </w:tc>
        <w:tc>
          <w:tcPr>
            <w:tcW w:w="1780" w:type="dxa"/>
            <w:vAlign w:val="bottom"/>
            <w:vMerge w:val="restart"/>
          </w:tcPr>
          <w:p>
            <w:pPr>
              <w:jc w:val="center"/>
              <w:ind w:right="131"/>
              <w:spacing w:after="0"/>
              <w:rPr>
                <w:sz w:val="20"/>
                <w:szCs w:val="20"/>
                <w:color w:val="auto"/>
              </w:rPr>
            </w:pPr>
            <w:r>
              <w:rPr>
                <w:rFonts w:ascii="Arial" w:cs="Arial" w:eastAsia="Arial" w:hAnsi="Arial"/>
                <w:sz w:val="18"/>
                <w:szCs w:val="18"/>
                <w:color w:val="auto"/>
                <w:w w:val="88"/>
              </w:rPr>
              <w:t>Put</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8"/>
              </w:rPr>
              <w:t>2,000</w:t>
            </w: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6"/>
              </w:rPr>
              <w:t>Argus WTI</w:t>
            </w:r>
          </w:p>
        </w:tc>
        <w:tc>
          <w:tcPr>
            <w:tcW w:w="1360" w:type="dxa"/>
            <w:vAlign w:val="bottom"/>
            <w:vMerge w:val="restart"/>
          </w:tcPr>
          <w:p>
            <w:pPr>
              <w:jc w:val="center"/>
              <w:ind w:left="51"/>
              <w:spacing w:after="0"/>
              <w:rPr>
                <w:sz w:val="20"/>
                <w:szCs w:val="20"/>
                <w:color w:val="auto"/>
              </w:rPr>
            </w:pPr>
            <w:r>
              <w:rPr>
                <w:rFonts w:ascii="Arial" w:cs="Arial" w:eastAsia="Arial" w:hAnsi="Arial"/>
                <w:sz w:val="18"/>
                <w:szCs w:val="18"/>
                <w:color w:val="auto"/>
                <w:w w:val="90"/>
              </w:rPr>
              <w:t>$50.00</w:t>
            </w:r>
          </w:p>
        </w:tc>
        <w:tc>
          <w:tcPr>
            <w:tcW w:w="1600" w:type="dxa"/>
            <w:vAlign w:val="bottom"/>
            <w:vMerge w:val="restart"/>
          </w:tcPr>
          <w:p>
            <w:pPr>
              <w:jc w:val="center"/>
              <w:ind w:left="31"/>
              <w:spacing w:after="0"/>
              <w:rPr>
                <w:sz w:val="20"/>
                <w:szCs w:val="20"/>
                <w:color w:val="auto"/>
              </w:rPr>
            </w:pPr>
            <w:r>
              <w:rPr>
                <w:rFonts w:ascii="Arial" w:cs="Arial" w:eastAsia="Arial" w:hAnsi="Arial"/>
                <w:sz w:val="18"/>
                <w:szCs w:val="18"/>
                <w:color w:val="auto"/>
                <w:w w:val="88"/>
              </w:rPr>
              <w:t>$2.06</w:t>
            </w:r>
          </w:p>
        </w:tc>
        <w:tc>
          <w:tcPr>
            <w:tcW w:w="0" w:type="dxa"/>
            <w:vAlign w:val="bottom"/>
          </w:tcPr>
          <w:p>
            <w:pPr>
              <w:spacing w:after="0"/>
              <w:rPr>
                <w:sz w:val="1"/>
                <w:szCs w:val="1"/>
                <w:color w:val="auto"/>
              </w:rPr>
            </w:pPr>
          </w:p>
        </w:tc>
      </w:tr>
      <w:tr>
        <w:trPr>
          <w:trHeight w:val="229"/>
        </w:trPr>
        <w:tc>
          <w:tcPr>
            <w:tcW w:w="17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Houston</w:t>
            </w:r>
          </w:p>
        </w:tc>
        <w:tc>
          <w:tcPr>
            <w:tcW w:w="136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90"/>
              </w:rPr>
              <w:t>Apr. - June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780" w:type="dxa"/>
            <w:vAlign w:val="bottom"/>
            <w:shd w:val="clear" w:color="auto" w:fill="CCEEFF"/>
          </w:tcPr>
          <w:p>
            <w:pPr>
              <w:jc w:val="center"/>
              <w:ind w:right="131"/>
              <w:spacing w:after="0"/>
              <w:rPr>
                <w:sz w:val="20"/>
                <w:szCs w:val="20"/>
                <w:color w:val="auto"/>
              </w:rPr>
            </w:pPr>
            <w:r>
              <w:rPr>
                <w:rFonts w:ascii="Arial" w:cs="Arial" w:eastAsia="Arial" w:hAnsi="Arial"/>
                <w:sz w:val="18"/>
                <w:szCs w:val="18"/>
                <w:color w:val="auto"/>
                <w:w w:val="88"/>
              </w:rPr>
              <w:t>Put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3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0"/>
              </w:rPr>
              <w:t>$47.50</w:t>
            </w:r>
          </w:p>
        </w:tc>
        <w:tc>
          <w:tcPr>
            <w:tcW w:w="16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8"/>
              </w:rPr>
              <w:t>$1.55</w:t>
            </w:r>
          </w:p>
        </w:tc>
        <w:tc>
          <w:tcPr>
            <w:tcW w:w="0" w:type="dxa"/>
            <w:vAlign w:val="bottom"/>
          </w:tcPr>
          <w:p>
            <w:pPr>
              <w:spacing w:after="0"/>
              <w:rPr>
                <w:sz w:val="1"/>
                <w:szCs w:val="1"/>
                <w:color w:val="auto"/>
              </w:rPr>
            </w:pPr>
          </w:p>
        </w:tc>
      </w:tr>
      <w:tr>
        <w:trPr>
          <w:trHeight w:val="229"/>
        </w:trPr>
        <w:tc>
          <w:tcPr>
            <w:tcW w:w="1720" w:type="dxa"/>
            <w:vAlign w:val="bottom"/>
          </w:tcPr>
          <w:p>
            <w:pPr>
              <w:jc w:val="center"/>
              <w:ind w:left="71"/>
              <w:spacing w:after="0"/>
              <w:rPr>
                <w:sz w:val="20"/>
                <w:szCs w:val="20"/>
                <w:color w:val="auto"/>
              </w:rPr>
            </w:pPr>
            <w:r>
              <w:rPr>
                <w:rFonts w:ascii="Arial" w:cs="Arial" w:eastAsia="Arial" w:hAnsi="Arial"/>
                <w:sz w:val="18"/>
                <w:szCs w:val="18"/>
                <w:color w:val="auto"/>
                <w:w w:val="90"/>
              </w:rPr>
              <w:t>Apr. - June</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780" w:type="dxa"/>
            <w:vAlign w:val="bottom"/>
          </w:tcPr>
          <w:p>
            <w:pPr>
              <w:jc w:val="center"/>
              <w:ind w:right="131"/>
              <w:spacing w:after="0"/>
              <w:rPr>
                <w:sz w:val="20"/>
                <w:szCs w:val="20"/>
                <w:color w:val="auto"/>
              </w:rPr>
            </w:pPr>
            <w:r>
              <w:rPr>
                <w:rFonts w:ascii="Arial" w:cs="Arial" w:eastAsia="Arial" w:hAnsi="Arial"/>
                <w:sz w:val="18"/>
                <w:szCs w:val="18"/>
                <w:color w:val="auto"/>
                <w:w w:val="88"/>
              </w:rPr>
              <w:t>Put</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540" w:type="dxa"/>
            <w:vAlign w:val="bottom"/>
          </w:tcPr>
          <w:p>
            <w:pPr>
              <w:jc w:val="center"/>
              <w:ind w:left="11"/>
              <w:spacing w:after="0"/>
              <w:rPr>
                <w:sz w:val="20"/>
                <w:szCs w:val="20"/>
                <w:color w:val="auto"/>
              </w:rPr>
            </w:pPr>
            <w:r>
              <w:rPr>
                <w:rFonts w:ascii="Arial" w:cs="Arial" w:eastAsia="Arial" w:hAnsi="Arial"/>
                <w:sz w:val="18"/>
                <w:szCs w:val="18"/>
                <w:color w:val="auto"/>
                <w:w w:val="92"/>
              </w:rPr>
              <w:t>Brent</w:t>
            </w:r>
          </w:p>
        </w:tc>
        <w:tc>
          <w:tcPr>
            <w:tcW w:w="1360" w:type="dxa"/>
            <w:vAlign w:val="bottom"/>
          </w:tcPr>
          <w:p>
            <w:pPr>
              <w:jc w:val="center"/>
              <w:ind w:left="51"/>
              <w:spacing w:after="0"/>
              <w:rPr>
                <w:sz w:val="20"/>
                <w:szCs w:val="20"/>
                <w:color w:val="auto"/>
              </w:rPr>
            </w:pPr>
            <w:r>
              <w:rPr>
                <w:rFonts w:ascii="Arial" w:cs="Arial" w:eastAsia="Arial" w:hAnsi="Arial"/>
                <w:sz w:val="18"/>
                <w:szCs w:val="18"/>
                <w:color w:val="auto"/>
                <w:w w:val="90"/>
              </w:rPr>
              <w:t>$50.00</w:t>
            </w:r>
          </w:p>
        </w:tc>
        <w:tc>
          <w:tcPr>
            <w:tcW w:w="1600" w:type="dxa"/>
            <w:vAlign w:val="bottom"/>
          </w:tcPr>
          <w:p>
            <w:pPr>
              <w:jc w:val="center"/>
              <w:ind w:left="31"/>
              <w:spacing w:after="0"/>
              <w:rPr>
                <w:sz w:val="20"/>
                <w:szCs w:val="20"/>
                <w:color w:val="auto"/>
              </w:rPr>
            </w:pPr>
            <w:r>
              <w:rPr>
                <w:rFonts w:ascii="Arial" w:cs="Arial" w:eastAsia="Arial" w:hAnsi="Arial"/>
                <w:sz w:val="18"/>
                <w:szCs w:val="18"/>
                <w:color w:val="auto"/>
                <w:w w:val="88"/>
              </w:rPr>
              <w:t>$1.76</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9"/>
              </w:rPr>
              <w:t>July - Sep.</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780" w:type="dxa"/>
            <w:vAlign w:val="bottom"/>
            <w:shd w:val="clear" w:color="auto" w:fill="CCEEFF"/>
          </w:tcPr>
          <w:p>
            <w:pPr>
              <w:jc w:val="center"/>
              <w:ind w:right="131"/>
              <w:spacing w:after="0"/>
              <w:rPr>
                <w:sz w:val="20"/>
                <w:szCs w:val="20"/>
                <w:color w:val="auto"/>
              </w:rPr>
            </w:pPr>
            <w:r>
              <w:rPr>
                <w:rFonts w:ascii="Arial" w:cs="Arial" w:eastAsia="Arial" w:hAnsi="Arial"/>
                <w:sz w:val="18"/>
                <w:szCs w:val="18"/>
                <w:color w:val="auto"/>
                <w:w w:val="88"/>
              </w:rPr>
              <w:t>Put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5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2"/>
              </w:rPr>
              <w:t>Brent</w:t>
            </w:r>
          </w:p>
        </w:tc>
        <w:tc>
          <w:tcPr>
            <w:tcW w:w="13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0"/>
              </w:rPr>
              <w:t>$50.00</w:t>
            </w:r>
          </w:p>
        </w:tc>
        <w:tc>
          <w:tcPr>
            <w:tcW w:w="16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8"/>
              </w:rPr>
              <w:t>$1.87</w:t>
            </w:r>
          </w:p>
        </w:tc>
        <w:tc>
          <w:tcPr>
            <w:tcW w:w="0" w:type="dxa"/>
            <w:vAlign w:val="bottom"/>
          </w:tcPr>
          <w:p>
            <w:pPr>
              <w:spacing w:after="0"/>
              <w:rPr>
                <w:sz w:val="1"/>
                <w:szCs w:val="1"/>
                <w:color w:val="auto"/>
              </w:rPr>
            </w:pPr>
          </w:p>
        </w:tc>
      </w:tr>
      <w:tr>
        <w:trPr>
          <w:trHeight w:val="230"/>
        </w:trPr>
        <w:tc>
          <w:tcPr>
            <w:tcW w:w="1720" w:type="dxa"/>
            <w:vAlign w:val="bottom"/>
          </w:tcPr>
          <w:p>
            <w:pPr>
              <w:jc w:val="center"/>
              <w:ind w:left="51"/>
              <w:spacing w:after="0"/>
              <w:rPr>
                <w:sz w:val="20"/>
                <w:szCs w:val="20"/>
                <w:color w:val="auto"/>
              </w:rPr>
            </w:pPr>
            <w:r>
              <w:rPr>
                <w:rFonts w:ascii="Arial" w:cs="Arial" w:eastAsia="Arial" w:hAnsi="Arial"/>
                <w:sz w:val="18"/>
                <w:szCs w:val="18"/>
                <w:color w:val="auto"/>
                <w:w w:val="90"/>
              </w:rPr>
              <w:t>Oct. - Dec.</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780" w:type="dxa"/>
            <w:vAlign w:val="bottom"/>
          </w:tcPr>
          <w:p>
            <w:pPr>
              <w:jc w:val="center"/>
              <w:ind w:right="131"/>
              <w:spacing w:after="0"/>
              <w:rPr>
                <w:sz w:val="20"/>
                <w:szCs w:val="20"/>
                <w:color w:val="auto"/>
              </w:rPr>
            </w:pPr>
            <w:r>
              <w:rPr>
                <w:rFonts w:ascii="Arial" w:cs="Arial" w:eastAsia="Arial" w:hAnsi="Arial"/>
                <w:sz w:val="18"/>
                <w:szCs w:val="18"/>
                <w:color w:val="auto"/>
                <w:w w:val="88"/>
              </w:rPr>
              <w:t>Put</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540" w:type="dxa"/>
            <w:vAlign w:val="bottom"/>
          </w:tcPr>
          <w:p>
            <w:pPr>
              <w:jc w:val="center"/>
              <w:ind w:left="11"/>
              <w:spacing w:after="0"/>
              <w:rPr>
                <w:sz w:val="20"/>
                <w:szCs w:val="20"/>
                <w:color w:val="auto"/>
              </w:rPr>
            </w:pPr>
            <w:r>
              <w:rPr>
                <w:rFonts w:ascii="Arial" w:cs="Arial" w:eastAsia="Arial" w:hAnsi="Arial"/>
                <w:sz w:val="18"/>
                <w:szCs w:val="18"/>
                <w:color w:val="auto"/>
                <w:w w:val="92"/>
              </w:rPr>
              <w:t>Brent</w:t>
            </w:r>
          </w:p>
        </w:tc>
        <w:tc>
          <w:tcPr>
            <w:tcW w:w="1360" w:type="dxa"/>
            <w:vAlign w:val="bottom"/>
          </w:tcPr>
          <w:p>
            <w:pPr>
              <w:jc w:val="center"/>
              <w:ind w:left="51"/>
              <w:spacing w:after="0"/>
              <w:rPr>
                <w:sz w:val="20"/>
                <w:szCs w:val="20"/>
                <w:color w:val="auto"/>
              </w:rPr>
            </w:pPr>
            <w:r>
              <w:rPr>
                <w:rFonts w:ascii="Arial" w:cs="Arial" w:eastAsia="Arial" w:hAnsi="Arial"/>
                <w:sz w:val="18"/>
                <w:szCs w:val="18"/>
                <w:color w:val="auto"/>
                <w:w w:val="90"/>
              </w:rPr>
              <w:t>$50.00</w:t>
            </w:r>
          </w:p>
        </w:tc>
        <w:tc>
          <w:tcPr>
            <w:tcW w:w="1600" w:type="dxa"/>
            <w:vAlign w:val="bottom"/>
          </w:tcPr>
          <w:p>
            <w:pPr>
              <w:jc w:val="center"/>
              <w:ind w:left="31"/>
              <w:spacing w:after="0"/>
              <w:rPr>
                <w:sz w:val="20"/>
                <w:szCs w:val="20"/>
                <w:color w:val="auto"/>
              </w:rPr>
            </w:pPr>
            <w:r>
              <w:rPr>
                <w:rFonts w:ascii="Arial" w:cs="Arial" w:eastAsia="Arial" w:hAnsi="Arial"/>
                <w:sz w:val="18"/>
                <w:szCs w:val="18"/>
                <w:color w:val="auto"/>
                <w:w w:val="88"/>
              </w:rPr>
              <w:t>$1.89</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second quarter of 2021, the Company entered into two interest rate swap agreements for notional amounts of $600 million each to limit the Company’s exposure to changes in the fair value of debt due to movements in LIBOR interest rates. These interest rate swaps have been designated as fair value hedges of the Company’s $1.2 billion 3.50% fixed rate senior notes due 2029 (the “2029 Notes”) whereby the Company will receive the fixed rate of interest and will pay an average variable rate of interest based on three month LIBOR plus 2.1865%. Gains and losses due to changes in the fair value of the interest rate swaps completely offset changes in the fair value of the hedged portion of the underlying debt, and were not material for the three and nine months ended September 30, 2021. These interest rate swaps are assumed to be perfectly effective and were determined to qualify for the “shortcut” method of accounting. The swaps expire on December 1, 2029, with an alternative early termination date of September 1, 2029, which mirrors the call option in the 2029 Notes.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2020 and the first quarter of 2021, the Company used interest rate swaps to reduce its exposure to variable rate interest payments associated with the Company’s revolving credit facility. These interest rate swaps were not designated as hedging instruments and as a result, the Company recognized all changes in fair value immediately in earnings. During the first quarter of 2021, the Company terminated all of its previously outstanding interest rate swaps which resulted in cash received upon settlement of $80 million, net of fees, during the nine months ended September 30, 2021. The interest swaps contained an other-than-insignificant financing element at inception, and therefore, the cash receipts were classified as cash flows from financing activities in the condensed consolidated statements of cash flow for the nine months ended September 30,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12—</w:t>
      </w:r>
      <w:hyperlink w:anchor="page32">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not designated as hedging instruments included in the condensed consolidated statements of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82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09"/>
        </w:trPr>
        <w:tc>
          <w:tcPr>
            <w:tcW w:w="5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(1)(2)</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5660" w:type="dxa"/>
            <w:vAlign w:val="bottom"/>
          </w:tcPr>
          <w:p>
            <w:pPr>
              <w:ind w:left="2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(3)</w:t>
            </w:r>
          </w:p>
        </w:tc>
        <w:tc>
          <w:tcPr>
            <w:tcW w:w="8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58"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three and nine months ended September 30, 2021 include cash paid on commodity contracts terminated prior to their contractual maturity of $16 million.</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three and nine months ended September 30, 2020 include cash received on commodity contracts terminated prior to their contractual maturity of $6 million and $17 million, respectively.</w:t>
      </w:r>
    </w:p>
    <w:p>
      <w:pPr>
        <w:ind w:left="340" w:right="20" w:hanging="332"/>
        <w:spacing w:after="0" w:line="260"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nine months ended September 30, 2021 include cash received on interest rate swap contracts terminated prior to their contractual maturity of $80 million.</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engineering and geological studies, historical well performance, and applicable mineral lease terms. Given the unobservable nature of the inputs, the estimated fair values of oil and natural gas properties assumed is deemed to use Level 3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commodity derivative instruments and interest rate swaps. The fair values of the Company’s commodity derivative contracts are measured internally using established commodity futures price strips for the underlying commodity provided by a reputable third party, the contracted notional volumes, and time to maturity. Interest rate swaps designated as fair value hedges and those that are not designated as hedges are determined based on inputs that are readily available in public markets, can be derived from information available in publicly quoted markets, or are provided by financial institutions that trade these contracts. These valuations are Level 2 inputs. The net fair value of the Company’s interest rate swaps designated as hedges are included in long-term debt in the consolidated balance sheet.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right="20" w:firstLine="8"/>
        <w:spacing w:after="0" w:line="277"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gross amounts of recognized derivative assets and liabilities, (iii) the amounts offset under master netting arrangements with counterparties, and (iv) the resulting net amounts presented in the Company’s condensed consolidated balance sheets as of September 30, 2021 and December 31, 2020. The net amounts of derivative instruments are classified as current or noncurrent based on their anticipated settlement dates.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As of September 30, 2021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53"/>
              <w:spacing w:after="0"/>
              <w:rPr>
                <w:sz w:val="20"/>
                <w:szCs w:val="20"/>
                <w:color w:val="auto"/>
              </w:rPr>
            </w:pPr>
            <w:r>
              <w:rPr>
                <w:rFonts w:ascii="Arial" w:cs="Arial" w:eastAsia="Arial" w:hAnsi="Arial"/>
                <w:sz w:val="16"/>
                <w:szCs w:val="16"/>
                <w:b w:val="1"/>
                <w:bCs w:val="1"/>
                <w:color w:val="auto"/>
                <w:w w:val="92"/>
              </w:rPr>
              <w:t>Total Gross Fair</w:t>
            </w:r>
          </w:p>
        </w:tc>
        <w:tc>
          <w:tcPr>
            <w:tcW w:w="140" w:type="dxa"/>
            <w:vAlign w:val="bottom"/>
          </w:tcPr>
          <w:p>
            <w:pPr>
              <w:spacing w:after="0"/>
              <w:rPr>
                <w:sz w:val="13"/>
                <w:szCs w:val="13"/>
                <w:color w:val="auto"/>
              </w:rPr>
            </w:pPr>
          </w:p>
        </w:tc>
        <w:tc>
          <w:tcPr>
            <w:tcW w:w="140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right"/>
              <w:ind w:right="172"/>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(In millions)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3"/>
              </w:rPr>
              <w:t>(94)</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973"/>
              <w:spacing w:after="0"/>
              <w:rPr>
                <w:sz w:val="20"/>
                <w:szCs w:val="20"/>
                <w:color w:val="auto"/>
              </w:rPr>
            </w:pPr>
            <w:r>
              <w:rPr>
                <w:rFonts w:ascii="Arial" w:cs="Arial" w:eastAsia="Arial" w:hAnsi="Arial"/>
                <w:sz w:val="18"/>
                <w:szCs w:val="18"/>
                <w:color w:val="auto"/>
                <w:w w:val="99"/>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933"/>
              <w:spacing w:after="0"/>
              <w:rPr>
                <w:sz w:val="20"/>
                <w:szCs w:val="20"/>
                <w:color w:val="auto"/>
              </w:rPr>
            </w:pPr>
            <w:r>
              <w:rPr>
                <w:rFonts w:ascii="Arial" w:cs="Arial" w:eastAsia="Arial" w:hAnsi="Arial"/>
                <w:sz w:val="18"/>
                <w:szCs w:val="18"/>
                <w:color w:val="auto"/>
                <w:w w:val="93"/>
              </w:rPr>
              <w:t>(12)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3"/>
              </w:rPr>
              <w:t>(13)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933"/>
              <w:spacing w:after="0"/>
              <w:rPr>
                <w:sz w:val="20"/>
                <w:szCs w:val="20"/>
                <w:color w:val="auto"/>
              </w:rPr>
            </w:pPr>
            <w:r>
              <w:rPr>
                <w:rFonts w:ascii="Arial" w:cs="Arial" w:eastAsia="Arial" w:hAnsi="Arial"/>
                <w:sz w:val="18"/>
                <w:szCs w:val="18"/>
                <w:color w:val="auto"/>
                <w:w w:val="93"/>
              </w:rPr>
              <w:t>(94)</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933"/>
              <w:spacing w:after="0"/>
              <w:rPr>
                <w:sz w:val="20"/>
                <w:szCs w:val="20"/>
                <w:color w:val="auto"/>
              </w:rPr>
            </w:pPr>
            <w:r>
              <w:rPr>
                <w:rFonts w:ascii="Arial" w:cs="Arial" w:eastAsia="Arial" w:hAnsi="Arial"/>
                <w:sz w:val="18"/>
                <w:szCs w:val="18"/>
                <w:color w:val="auto"/>
                <w:w w:val="93"/>
              </w:rPr>
              <w:t>(12)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3"/>
              </w:rPr>
              <w:t>(13)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743"/>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As of December 31, 2020</w:t>
      </w:r>
    </w:p>
    <w:p>
      <w:pPr>
        <w:spacing w:after="0" w:line="26" w:lineRule="exact"/>
        <w:rPr>
          <w:sz w:val="20"/>
          <w:szCs w:val="20"/>
          <w:color w:val="auto"/>
        </w:rPr>
      </w:pPr>
    </w:p>
    <w:tbl>
      <w:tblPr>
        <w:tblLayout w:type="fixed"/>
        <w:tblInd w:w="3960" w:type="dxa"/>
        <w:tblCellMar>
          <w:top w:w="0" w:type="dxa"/>
          <w:left w:w="0" w:type="dxa"/>
          <w:bottom w:w="0" w:type="dxa"/>
          <w:right w:w="0" w:type="dxa"/>
        </w:tblCellMar>
      </w:tblPr>
      <w:tr>
        <w:trPr>
          <w:trHeight w:val="161"/>
        </w:trPr>
        <w:tc>
          <w:tcPr>
            <w:tcW w:w="10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Total Gross Fair</w:t>
            </w:r>
          </w:p>
        </w:tc>
        <w:tc>
          <w:tcPr>
            <w:tcW w:w="13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89"/>
              </w:rPr>
              <w:t>Gross Amounts</w:t>
            </w:r>
          </w:p>
        </w:tc>
        <w:tc>
          <w:tcPr>
            <w:tcW w:w="15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10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10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2</w:t>
            </w:r>
          </w:p>
        </w:tc>
        <w:tc>
          <w:tcPr>
            <w:tcW w:w="9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3</w:t>
            </w:r>
          </w:p>
        </w:tc>
        <w:tc>
          <w:tcPr>
            <w:tcW w:w="1400" w:type="dxa"/>
            <w:vAlign w:val="bottom"/>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Presented in Balance</w:t>
            </w:r>
          </w:p>
        </w:tc>
        <w:tc>
          <w:tcPr>
            <w:tcW w:w="0" w:type="dxa"/>
            <w:vAlign w:val="bottom"/>
          </w:tcPr>
          <w:p>
            <w:pPr>
              <w:spacing w:after="0"/>
              <w:rPr>
                <w:sz w:val="1"/>
                <w:szCs w:val="1"/>
                <w:color w:val="auto"/>
              </w:rPr>
            </w:pPr>
          </w:p>
        </w:tc>
      </w:tr>
      <w:tr>
        <w:trPr>
          <w:trHeight w:val="213"/>
        </w:trPr>
        <w:tc>
          <w:tcPr>
            <w:tcW w:w="10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Sheet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3960" w:val="left"/>
          <w:tab w:leader="none" w:pos="4700" w:val="left"/>
          <w:tab w:leader="none" w:pos="5720" w:val="left"/>
          <w:tab w:leader="none" w:pos="6720" w:val="left"/>
          <w:tab w:leader="none" w:pos="7940" w:val="left"/>
          <w:tab w:leader="none" w:pos="9380" w:val="left"/>
          <w:tab w:leader="none" w:pos="110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43 $</w:t>
      </w:r>
      <w:r>
        <w:rPr>
          <w:sz w:val="20"/>
          <w:szCs w:val="20"/>
          <w:color w:val="auto"/>
        </w:rPr>
        <w:tab/>
      </w:r>
      <w:r>
        <w:rPr>
          <w:rFonts w:ascii="Arial" w:cs="Arial" w:eastAsia="Arial" w:hAnsi="Arial"/>
          <w:sz w:val="18"/>
          <w:szCs w:val="18"/>
          <w:color w:val="auto"/>
        </w:rPr>
        <w:t>(42) $</w:t>
      </w:r>
      <w:r>
        <w:rPr>
          <w:sz w:val="20"/>
          <w:szCs w:val="20"/>
          <w:color w:val="auto"/>
        </w:rPr>
        <w:tab/>
      </w:r>
      <w:r>
        <w:rPr>
          <w:rFonts w:ascii="Arial" w:cs="Arial" w:eastAsia="Arial" w:hAnsi="Arial"/>
          <w:sz w:val="13"/>
          <w:szCs w:val="13"/>
          <w:color w:val="auto"/>
        </w:rPr>
        <w:t>1</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3960" w:val="left"/>
          <w:tab w:leader="none" w:pos="4700" w:val="left"/>
          <w:tab w:leader="none" w:pos="5620" w:val="left"/>
          <w:tab w:leader="none" w:pos="6720" w:val="left"/>
          <w:tab w:leader="none" w:pos="7840" w:val="left"/>
          <w:tab w:leader="none" w:pos="9300" w:val="left"/>
          <w:tab w:leader="none" w:pos="109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440"/>
        <w:spacing w:after="0"/>
        <w:tabs>
          <w:tab w:leader="none" w:pos="3960" w:val="left"/>
          <w:tab w:leader="none" w:pos="4700" w:val="left"/>
          <w:tab w:leader="none" w:pos="5620" w:val="left"/>
          <w:tab w:leader="none" w:pos="6720" w:val="left"/>
          <w:tab w:leader="none" w:pos="7840" w:val="left"/>
          <w:tab w:leader="none" w:pos="9380" w:val="left"/>
          <w:tab w:leader="none" w:pos="1088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291 $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291 $</w:t>
      </w:r>
      <w:r>
        <w:rPr>
          <w:sz w:val="20"/>
          <w:szCs w:val="20"/>
          <w:color w:val="auto"/>
        </w:rPr>
        <w:tab/>
      </w:r>
      <w:r>
        <w:rPr>
          <w:rFonts w:ascii="Arial" w:cs="Arial" w:eastAsia="Arial" w:hAnsi="Arial"/>
          <w:sz w:val="18"/>
          <w:szCs w:val="18"/>
          <w:color w:val="auto"/>
        </w:rPr>
        <w:t>(42) $</w:t>
      </w:r>
      <w:r>
        <w:rPr>
          <w:sz w:val="20"/>
          <w:szCs w:val="20"/>
          <w:color w:val="auto"/>
        </w:rPr>
        <w:tab/>
      </w:r>
      <w:r>
        <w:rPr>
          <w:rFonts w:ascii="Arial" w:cs="Arial" w:eastAsia="Arial" w:hAnsi="Arial"/>
          <w:sz w:val="15"/>
          <w:szCs w:val="15"/>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440"/>
        <w:spacing w:after="0"/>
        <w:tabs>
          <w:tab w:leader="none" w:pos="3960" w:val="left"/>
          <w:tab w:leader="none" w:pos="4700" w:val="left"/>
          <w:tab w:leader="none" w:pos="5620" w:val="left"/>
          <w:tab w:leader="none" w:pos="6720" w:val="left"/>
          <w:tab w:leader="none" w:pos="7840" w:val="left"/>
          <w:tab w:leader="none" w:pos="9300" w:val="left"/>
          <w:tab w:leader="none" w:pos="109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244 $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244 $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6"/>
          <w:szCs w:val="16"/>
          <w:color w:val="auto"/>
        </w:rPr>
        <w:t>57</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8"/>
                <w:szCs w:val="18"/>
                <w:color w:val="auto"/>
              </w:rPr>
            </w:pPr>
          </w:p>
        </w:tc>
        <w:tc>
          <w:tcPr>
            <w:tcW w:w="2520" w:type="dxa"/>
            <w:vAlign w:val="bottom"/>
            <w:gridSpan w:val="3"/>
          </w:tcPr>
          <w:p>
            <w:pPr>
              <w:jc w:val="right"/>
              <w:ind w:right="635"/>
              <w:spacing w:after="0"/>
              <w:rPr>
                <w:sz w:val="20"/>
                <w:szCs w:val="20"/>
                <w:color w:val="auto"/>
              </w:rPr>
            </w:pPr>
            <w:r>
              <w:rPr>
                <w:rFonts w:ascii="Arial" w:cs="Arial" w:eastAsia="Arial" w:hAnsi="Arial"/>
                <w:sz w:val="16"/>
                <w:szCs w:val="16"/>
                <w:b w:val="1"/>
                <w:bCs w:val="1"/>
                <w:color w:val="auto"/>
              </w:rPr>
              <w:t>December 31, 2020</w:t>
            </w:r>
          </w:p>
        </w:tc>
      </w:tr>
      <w:tr>
        <w:trPr>
          <w:trHeight w:val="207"/>
        </w:trPr>
        <w:tc>
          <w:tcPr>
            <w:tcW w:w="5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97"/>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9"/>
        </w:trPr>
        <w:tc>
          <w:tcPr>
            <w:tcW w:w="5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jc w:val="right"/>
              <w:ind w:right="897"/>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6,945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5,815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the Company’s credit agreement,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September 30, 2021 quoted market price, a Level 1 classification in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 Refer to Note 4—</w:t>
      </w:r>
      <w:hyperlink w:anchor="page16">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Note 5—</w:t>
      </w:r>
      <w:hyperlink w:anchor="page20">
        <w:r>
          <w:rPr>
            <w:rFonts w:ascii="Arial" w:cs="Arial" w:eastAsia="Arial" w:hAnsi="Arial"/>
            <w:sz w:val="18"/>
            <w:szCs w:val="18"/>
            <w:u w:val="single" w:color="auto"/>
            <w:color w:val="0000FF"/>
          </w:rPr>
          <w:t>Property and Equipment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nonrecurring fair value adjustments.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funds held in escrow, prepaid expenses and other current assets, payables and other accrued liabilities approximate their fair value because of the short-term nature of the instruments.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COMMITMENTS AND CONTINGENCIES</w:t>
      </w:r>
    </w:p>
    <w:p>
      <w:pPr>
        <w:spacing w:after="0" w:line="24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acquired certain contractual obligations in conjunction with the QEP Merger including an aggregate of approximately $68 million in various transportation, gathering and purchase commitments.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Dividend Declaration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28, 2021, the Board of Directors of the Company declared a cash dividend for the third quarter of 2021 of $0.50 per share of common stock, payable on November 18, 2021 to its stockholders of record at the close of business on November 11,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 Down Transaction</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October 19, 2021, Diamondback entered into a purchase and sale agreement with Rattler to sell certain water midstream assets to Rattler in exchange for cash proceeds of approximately $160 million, in a drop down transaction. The midstream assets consist primarily of produced water gathering and disposal systems, produced water recycling facilities, and sourced water gathering and storage assets acquired by the Company through the Guidon Acquisition and the QEP Merger with a carrying value of approximately $160 million. The drop down transaction will be accounted for as a transaction between entities under common control and is expected to close in the fourth quarter of 2021, subject to customary closing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Williston Basin Divestiture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21, 2021, the Company completed the divestiture of its Williston Basin oil and natural gas assets, consisting of approximately 95,000 net acres, to Oasis Petroleum Inc., for net cash proceeds of approximately $586 million, after customary closing adjustments. This transaction did not result in a significant alteration of the relationship between the Company’s capitalized costs and proved reserves and, accordingly, the Company recorded the proceeds as a reduction of its full cost pool with no gain or loss recognized on the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Gathering Assets Divestiture</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November 1, 2021, the Company completed the sale of certain gas gathering assets to Brazos Delaware Gas, LLC for proceeds of approximately $54 million, after customary closing adjustments.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the 2023 Notes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1, 2021, the Company redeemed all of its outstanding 2023 Notes in the aggregate principal amount of $650 million at a redemption price equal to 100% of the principal amount, plus accrued and unpaid interest on the 2023 Notes up to, but not including, the redemption date. The Company funded the redemption with proceeds received from the divestiture of its Williston Basin assets and cash on hand.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Swallowtail Acquisition</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 2021, Viper acquired certain mineral and royalty interests from Swallowtail Royalties LLC and Swallowtail Royalties II LLC (the “Swallowtail entities”) pursuant to a definitive purchase and sale agreement for 15.25 million of Viper’s common units and approximately $225 million in cash (the “Swallowtail Acquisition”). The mineral and royalty interests acquired in the Swallowtail Acquisition represent approximately 2,313 net royalty acres primarily in the Northern Midland Basin, of which approximately 62% are operated by Diamondback. The Swallowtail Acquisition has an effective date of August 1, 2021. In accordance with the terms of the purchase agreement, the Company deposited $30 million into an escrow account in August 2021, which was released to Swallowtail upon the closing of the transaction. The cash portion of this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transaction was funded through a combination of cash on hand and approximately $190 million of borrowings under Viper LLC’s revolving credit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Remuda Joint Venture Acquisition</w:t>
      </w:r>
    </w:p>
    <w:p>
      <w:pPr>
        <w:spacing w:after="0" w:line="23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On October 5, 2021, Rattler and a private affiliate of an investment fund formed a joint venture entity, Remuda Midstream Holdings LLC (the “Remuda joint venture”). Rattler contributed approximately $104 million in cash for a 25% membership interest in the Remuda joint venture, which then completed the acquisition of a majority interest in WTG Midstream LLC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Gas Gathering Divestiture</w:t>
      </w:r>
    </w:p>
    <w:p>
      <w:pPr>
        <w:spacing w:after="0" w:line="23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On November 1, 2021, Rattler completed the sale of its gas gathering assets to Brazos Delaware Gas, LLC for aggregate total gross potential consideration of $93 million, consisting of (i) $83 million due at closing, after customary closing adjustments, (ii) a $5 million contingent payment due in 2023 if the aggregate actual deliveries of gas volumes into the gas gathering system by and/or on behalf of the Company and its affiliates exceed certain specified thresholds during 2022, and (iii) a $5 million contingent payment due in 2024 if the aggregate actual deliveries of gas volumes into the gas gathering system by and/or on behalf of the Company and its affiliates exceed certain specified thresholds during 2022 and 2023. The contingent payments will be recorded if and when they become realizable.</w:t>
      </w: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SEGMENT INFORMATION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owning, operating, developing and acquiring midstream infrastructure assets in the Midland and Delaware Basins of the Permian Basin. All of the Company’s equity method investments are included in the midstream operations segment.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526"/>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24"/>
                <w:szCs w:val="24"/>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Impairment of midstream assets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2020:</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742"/>
        </w:trPr>
        <w:tc>
          <w:tcPr>
            <w:tcW w:w="492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consolidated financial statements and notes thereto presented in this report as well as our audited consolidated financial statements and notes thereto included in our </w:t>
      </w:r>
      <w:hyperlink r:id="rId17">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2020.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57">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5">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operate in two operating segments: (i) the upstream segment, which is engaged in the acquisition, development, exploration and exploitation of unconventional, onshore oil and natural gas reserves primarily in the Permian Basin in West Texas and (ii) through our subsidiary, Rattler, the midstream operations segment, which is focused on ownership, operation, development and acquisition of midstream infrastructure assets in the Midland and Delaware Basins of the Permian Basin.</w:t>
      </w:r>
    </w:p>
    <w:p>
      <w:pPr>
        <w:spacing w:after="0" w:line="214"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Guidon Acquisition and QEP Merger</w:t>
      </w:r>
    </w:p>
    <w:p>
      <w:pPr>
        <w:spacing w:after="0" w:line="252"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26, 2021, we completed the Guidon Acquisition, which included approximately 32,500 net acres in the Northern Midland Basin, in exchange for 10.68 million shares of the Company’s common stock and $375 million of cash.</w:t>
      </w:r>
    </w:p>
    <w:p>
      <w:pPr>
        <w:spacing w:after="0" w:line="197" w:lineRule="exact"/>
        <w:rPr>
          <w:rFonts w:ascii="Arial" w:cs="Arial" w:eastAsia="Arial" w:hAnsi="Arial"/>
          <w:sz w:val="17"/>
          <w:szCs w:val="17"/>
          <w:i w:val="1"/>
          <w:iCs w:val="1"/>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March 17, 2021, we completed the acquisition of QEP pursuant to the Agreement and Plan of Merger, dated as of December 20, 2020, by and among Diamondback, certain of our subsidiaries and QEP. The addition of QEP’s assets increased our net acreage in the Midland Basin by approximately 49,000 net acres. Under the terms of the merger agreement, we issued approximately 12.12 million shares of our common stock (valued at a price of $81.41 per share on the closing date) to the former QEP stockholders, with a total value of approximately $987 million.</w:t>
      </w:r>
    </w:p>
    <w:p>
      <w:pPr>
        <w:spacing w:after="0" w:line="198" w:lineRule="exact"/>
        <w:rPr>
          <w:rFonts w:ascii="Arial" w:cs="Arial" w:eastAsia="Arial" w:hAnsi="Arial"/>
          <w:sz w:val="17"/>
          <w:szCs w:val="17"/>
          <w:i w:val="1"/>
          <w:iCs w:val="1"/>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4—</w:t>
      </w:r>
      <w:hyperlink w:anchor="page16">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the Guidon Acquisition and the QEP Merger.</w:t>
      </w:r>
    </w:p>
    <w:p>
      <w:pPr>
        <w:spacing w:after="0" w:line="248"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Recent and Pending Acquisitions and Divestitures</w:t>
      </w:r>
    </w:p>
    <w:p>
      <w:pPr>
        <w:spacing w:after="0" w:line="252" w:lineRule="exact"/>
        <w:rPr>
          <w:rFonts w:ascii="Arial" w:cs="Arial" w:eastAsia="Arial" w:hAnsi="Arial"/>
          <w:sz w:val="17"/>
          <w:szCs w:val="17"/>
          <w:i w:val="1"/>
          <w:iCs w:val="1"/>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October 19, 2021, we entered into a purchase and sale agreement with Rattler to sell certain water midstream assets with a carrying value of approximately $160 million to Rattler in exchange for cash proceeds of approximately $160 million. The drop down transaction is expected to close in the fourth quarter of 2021, subject to customary closing conditions.</w:t>
      </w:r>
    </w:p>
    <w:p>
      <w:pPr>
        <w:spacing w:after="0" w:line="211"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21, 2021 we completed the divestiture of our Williston Basin oil and natural gas assets, consisting of approximately 95,000 net acres acquired in the QEP Merger, for net cash proceeds of approximately $586 million after customary closing adjustments.</w:t>
      </w:r>
    </w:p>
    <w:p>
      <w:pPr>
        <w:spacing w:after="0" w:line="197"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 2021, we completed the sale of certain gas gathering assets to Brazos Delaware Gas, LLC for proceeds of approximately $54 million, after customary closing adjustments.</w:t>
      </w:r>
    </w:p>
    <w:p>
      <w:pPr>
        <w:spacing w:after="0" w:line="197"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 2021, Viper completed the Swallowtail Acquisition, which included certain mineral and royalty interests for 15.25 million of Viper’s common units and approximately $225 million in cash. The cash portion of the purchase price was funded through a combination of cash on hand and approximately $190 million of borrowings under Viper LLC’s revolving credit facility.</w:t>
      </w:r>
    </w:p>
    <w:p>
      <w:pPr>
        <w:spacing w:after="0" w:line="197" w:lineRule="exact"/>
        <w:rPr>
          <w:rFonts w:ascii="Arial" w:cs="Arial" w:eastAsia="Arial" w:hAnsi="Arial"/>
          <w:sz w:val="17"/>
          <w:szCs w:val="17"/>
          <w:i w:val="1"/>
          <w:iCs w:val="1"/>
          <w:color w:val="auto"/>
        </w:rPr>
      </w:pPr>
    </w:p>
    <w:p>
      <w:pPr>
        <w:jc w:val="both"/>
        <w:ind w:firstLine="648"/>
        <w:spacing w:after="0" w:line="246" w:lineRule="auto"/>
        <w:rPr>
          <w:sz w:val="20"/>
          <w:szCs w:val="20"/>
          <w:color w:val="auto"/>
        </w:rPr>
      </w:pPr>
      <w:r>
        <w:rPr>
          <w:rFonts w:ascii="Arial" w:cs="Arial" w:eastAsia="Arial" w:hAnsi="Arial"/>
          <w:sz w:val="18"/>
          <w:szCs w:val="18"/>
          <w:color w:val="auto"/>
        </w:rPr>
        <w:t>On October 5, 2021, Rattler contributed approximately $104 million in cash for a 25% membership interest in the Remuda joint venture, which then completed the acquisition of a majority interest in WTG Midstream.</w:t>
      </w:r>
    </w:p>
    <w:p>
      <w:pPr>
        <w:spacing w:after="0" w:line="210"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 2021, Rattler completed the sale of its gas gathering assets to Brazos Delaware Gas, LLC for proceeds of approximately $83 million at closing, subject to customary closing adjustments, and an aggregate of $10 million in contingent payments.</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29" w:lineRule="exact"/>
        <w:rPr>
          <w:rFonts w:ascii="Arial" w:cs="Arial" w:eastAsia="Arial" w:hAnsi="Arial"/>
          <w:sz w:val="17"/>
          <w:szCs w:val="17"/>
          <w:i w:val="1"/>
          <w:iCs w:val="1"/>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Notes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2021, we redeemed the remaining $432 million in aggregate principal amount of our outstanding 5.375% 2025 Senior Notes with cash on hand and borrowings under our revolving credit facility.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November 1, 2021, we redeemed the aggregate $650 million principal amount of our outstanding 2023 Senior Notes with the proceeds received from the divestiture of our Williston Basin assets and cash on hand.</w:t>
      </w:r>
    </w:p>
    <w:p>
      <w:pPr>
        <w:spacing w:after="0" w:line="197"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14—</w:t>
      </w:r>
      <w:hyperlink w:anchor="page35">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transactions completed in the fourth quarter of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September 2021, our board of directors approved a stock repurchase program to acquire up to $2 billion of our outstanding common stock. This repurchase program is another component of our capital return program, which also includes our quarterly dividend. We anticipate the repurchase program will be funded primarily by free cash flow generated from operations and liquidity events such as the sale of assets. Purchases under the repurchase program may be made from time to time in open market or privately negotiated transactions, and are subject to market conditions, applicable legal requirements, contractual obligations and other factors. The repurchase program does not require us to acquire any specific number of shares and may be suspended from time to time, modified, extended or discontinued by the board of directors at any time. During the three and nine months ended September 30, 2021, we repurchased approximately $22 million shares of our common stock, and as of September 30, 2021, $1.98 billion remained available for future purchases under our common stock repurchase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Commodity Prices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ongoing COVID-19 pandemic. Additionally, the Delta variant emerged in March 2021 and became highly transmissible in July 2021, which contributed to additional pricing and demand volatility during the third quarter of 2021. However, certain restrictions on conducting business that were implemented in response to the COVID-19 pandemic have been lifted as improved treatments and vaccinations for COVID-19 have been rolled-out globally since late 2020. As a result, oil and natural gas market prices have improved in 2021 in response to the overall increase in demand.</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and 2021, the posted NYMEX WTI price for crude oil ranged from $(37.63) to $80.64 per Bbl, and the NYMEX Henry Hub price of natural gas ranged from $1.48 to $6.31 per MMBtu. On October 13, 2021, the NYMEX WTI price for crude oil was $80.44 per Bbl and the NYMEX Henry Hub price of natural gas was $5.59 per MMBtu. Commodity prices have historically been volatile and we cannot predict events which may lead to future fluctuations in these prices.</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addition to the volatility in commodity prices and the impact of the COVID-19 pandemic on our business and industry, our results of operations may be adversely impacted by any government rule, regulation or order that may impose production limits, as well as pipeline capacity and storage constraints, in the Permian Basin where we operate.</w:t>
      </w:r>
    </w:p>
    <w:p>
      <w:pPr>
        <w:spacing w:after="0" w:line="20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As a result of the reduction in crude oil demand caused by factors discussed above, in 2020, we lowered our 2020 capital budgets and production guidance. We have since restored curtailed production in the second half of 2020 to stem production declines and respond to improved demand and increasing commodity prices, but have elected to keep production relatively flat during the remainder of 2021, focusing on cost control and using excess cash flow for debt payment and return of capital to our stockholders.</w:t>
      </w: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During the third quarter of 2021, we continued building on our execution track record, generating free cash flow while keeping capital costs under control, and our efficiency gains, particularly in the Midland Basin drilling and completion programs, were able to mitigate certain inflationary pressures on well costs and have led to our second decrease in capital guidance in 2021, now down 10% from our guidance presented in April of 2021. We expect to continue to exercise capital discipline and maintain flat oil production in 2022 and believe that this can be accomplished by spending similar capital to our fourth quarter 2021 guidance. This capital range accounts for the inflationary pressures seen this year and anticipated in 2022. We expect to be in a position to continue to deliver on the recently announced enhanced capital return program, where we expect to distribute 50% of our quarterly free cash flow to our stockholders, beginning with the fourth quarter 2021. Our capital return program is currently focused on our sustainable and growing dividend and a combination of stock repurchases and variable dividends, which are expected to be used interchangeably, depending on which option we believe presents the best return of capital to our stockholders at the relevant time.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Operating Highlights</w:t>
      </w:r>
    </w:p>
    <w:p>
      <w:pPr>
        <w:spacing w:after="0" w:line="25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We recorded net income of $649 million for the third quarter of 2021.</w:t>
      </w:r>
    </w:p>
    <w:p>
      <w:pPr>
        <w:spacing w:after="0" w:line="25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Our average production was 404.3 MBOE/d during the third quarter of 2021.</w:t>
      </w:r>
    </w:p>
    <w:p>
      <w:pPr>
        <w:spacing w:after="0" w:line="25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color w:val="auto"/>
        </w:rPr>
        <w:t>During the third quarter of 2021, we drilled 47 gross horizontal wells in the Midland Basin and 11 gross horizontal wells in the Delaware Basin.</w:t>
      </w:r>
    </w:p>
    <w:p>
      <w:pPr>
        <w:spacing w:after="0" w:line="275" w:lineRule="exact"/>
        <w:rPr>
          <w:rFonts w:ascii="Arial" w:cs="Arial" w:eastAsia="Arial" w:hAnsi="Arial"/>
          <w:sz w:val="16"/>
          <w:szCs w:val="16"/>
          <w:b w:val="1"/>
          <w:bCs w:val="1"/>
          <w:i w:val="1"/>
          <w:iCs w:val="1"/>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turned 73 gross operated horizontal wells (63 in the Midland Basin and 10 in the Delaware Basin) to production and had capital expenditures, excluding acquisitions, of $391 million during the third quarter of 2021.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The average lateral length for the wells completed during the third quarter of 2021 was 11,225 feet.</w:t>
      </w:r>
    </w:p>
    <w:p>
      <w:pPr>
        <w:spacing w:after="0" w:line="252" w:lineRule="exact"/>
        <w:rPr>
          <w:rFonts w:ascii="Arial" w:cs="Arial" w:eastAsia="Arial" w:hAnsi="Arial"/>
          <w:sz w:val="18"/>
          <w:szCs w:val="18"/>
          <w:b w:val="1"/>
          <w:bCs w:val="1"/>
          <w:i w:val="1"/>
          <w:iCs w:val="1"/>
          <w:color w:val="auto"/>
        </w:rPr>
      </w:pPr>
    </w:p>
    <w:p>
      <w:pPr>
        <w:ind w:left="660" w:right="20" w:hanging="328"/>
        <w:spacing w:after="0" w:line="342" w:lineRule="auto"/>
        <w:tabs>
          <w:tab w:leader="none" w:pos="655"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color w:val="auto"/>
        </w:rPr>
        <w:t>Our cash operating costs for the third quarter of 2021 were $9.97 per BOE, including lease operating expenses of $4.19 per BOE, cash general and administrative expenses of $0.65 per BOE and production and ad valorem taxes and gathering and transportation expenses of $5.13 per BOE.</w:t>
      </w:r>
    </w:p>
    <w:p>
      <w:pPr>
        <w:spacing w:after="0" w:line="150" w:lineRule="exact"/>
        <w:rPr>
          <w:rFonts w:ascii="Arial" w:cs="Arial" w:eastAsia="Arial" w:hAnsi="Arial"/>
          <w:sz w:val="16"/>
          <w:szCs w:val="16"/>
          <w:b w:val="1"/>
          <w:bCs w:val="1"/>
          <w:i w:val="1"/>
          <w:iCs w:val="1"/>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28, 2021, our board of directors declared a cash dividend for the third quarter of 2021 of $0.50 per share of common stock, payable on November 18, 2021 to our stockholders of record at the close of business on November 11,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Segment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our upstream segment, our activities are primarily directed at the horizontal development of the Wolfcamp and Spraberry formations in the Midland Basin and the Wolfcamp and Bone Spring formations in the Delaware Basin within the Permian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Additionally, our publicly-traded subsidiary, Viper, is focused on owning and acquiring mineral interests and royalty interests in oil and natural gas properties primarily in the Permian Basin and derives royalty income and lease bonus income from such interests.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2021, we had approximately 540,915 net acres, which primarily consisted of approximately 263,208 net acres in the Midland Basin and 149,405 net acres in the Delaware Basin. Additionally, completed the divestiture of all of our Williston Basin assets totaling approximately 95,000 net acres in October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total number of operated horizontal wells drilled and completed during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3620" w:type="dxa"/>
            <w:vAlign w:val="bottom"/>
            <w:tcBorders>
              <w:bottom w:val="single" w:sz="8" w:color="auto"/>
            </w:tcBorders>
            <w:gridSpan w:val="8"/>
          </w:tcPr>
          <w:p>
            <w:pPr>
              <w:ind w:left="720"/>
              <w:spacing w:after="0"/>
              <w:rPr>
                <w:sz w:val="20"/>
                <w:szCs w:val="20"/>
                <w:color w:val="auto"/>
              </w:rPr>
            </w:pPr>
            <w:r>
              <w:rPr>
                <w:rFonts w:ascii="Arial" w:cs="Arial" w:eastAsia="Arial" w:hAnsi="Arial"/>
                <w:sz w:val="16"/>
                <w:szCs w:val="16"/>
                <w:b w:val="1"/>
                <w:bCs w:val="1"/>
                <w:color w:val="auto"/>
                <w:w w:val="92"/>
              </w:rPr>
              <w:t>Three Months Ended September 30, 2021</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Borders>
              <w:bottom w:val="single" w:sz="8" w:color="auto"/>
            </w:tcBorders>
            <w:gridSpan w:val="8"/>
          </w:tcPr>
          <w:p>
            <w:pPr>
              <w:ind w:left="760"/>
              <w:spacing w:after="0"/>
              <w:rPr>
                <w:sz w:val="20"/>
                <w:szCs w:val="20"/>
                <w:color w:val="auto"/>
              </w:rPr>
            </w:pPr>
            <w:r>
              <w:rPr>
                <w:rFonts w:ascii="Arial" w:cs="Arial" w:eastAsia="Arial" w:hAnsi="Arial"/>
                <w:sz w:val="16"/>
                <w:szCs w:val="16"/>
                <w:b w:val="1"/>
                <w:bCs w:val="1"/>
                <w:color w:val="auto"/>
                <w:w w:val="93"/>
              </w:rPr>
              <w:t>Nine Months Ended September 30, 2021</w:t>
            </w:r>
          </w:p>
        </w:tc>
        <w:tc>
          <w:tcPr>
            <w:tcW w:w="700" w:type="dxa"/>
            <w:vAlign w:val="bottom"/>
            <w:tcBorders>
              <w:bottom w:val="single" w:sz="8" w:color="auto"/>
            </w:tcBorders>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138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Drilled</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gridSpan w:val="4"/>
          </w:tcPr>
          <w:p>
            <w:pPr>
              <w:ind w:left="620"/>
              <w:spacing w:after="0" w:line="213" w:lineRule="exact"/>
              <w:rPr>
                <w:sz w:val="20"/>
                <w:szCs w:val="20"/>
                <w:color w:val="auto"/>
              </w:rPr>
            </w:pPr>
            <w:r>
              <w:rPr>
                <w:rFonts w:ascii="Arial" w:cs="Arial" w:eastAsia="Arial" w:hAnsi="Arial"/>
                <w:sz w:val="16"/>
                <w:szCs w:val="16"/>
                <w:b w:val="1"/>
                <w:bCs w:val="1"/>
                <w:color w:val="auto"/>
              </w:rPr>
              <w:t>Completed</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Drilled</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532"/>
              <w:spacing w:after="0" w:line="213" w:lineRule="exact"/>
              <w:rPr>
                <w:sz w:val="20"/>
                <w:szCs w:val="20"/>
                <w:color w:val="auto"/>
              </w:rPr>
            </w:pPr>
            <w:r>
              <w:rPr>
                <w:rFonts w:ascii="Arial" w:cs="Arial" w:eastAsia="Arial" w:hAnsi="Arial"/>
                <w:sz w:val="16"/>
                <w:szCs w:val="16"/>
                <w:b w:val="1"/>
                <w:bCs w:val="1"/>
                <w:color w:val="auto"/>
              </w:rPr>
              <w:t>Completed</w:t>
            </w:r>
            <w:r>
              <w:rPr>
                <w:rFonts w:ascii="Arial" w:cs="Arial" w:eastAsia="Arial" w:hAnsi="Arial"/>
                <w:sz w:val="21"/>
                <w:szCs w:val="21"/>
                <w:b w:val="1"/>
                <w:bCs w:val="1"/>
                <w:color w:val="auto"/>
                <w:vertAlign w:val="superscript"/>
              </w:rPr>
              <w:t>(2)</w:t>
            </w:r>
          </w:p>
        </w:tc>
      </w:tr>
      <w:tr>
        <w:trPr>
          <w:trHeight w:val="207"/>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38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700" w:type="dxa"/>
            <w:vAlign w:val="bottom"/>
          </w:tcPr>
          <w:p>
            <w:pPr>
              <w:jc w:val="right"/>
              <w:ind w:right="29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144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360" w:type="dxa"/>
            <w:vAlign w:val="bottom"/>
          </w:tcPr>
          <w:p>
            <w:pPr>
              <w:ind w:left="60"/>
              <w:spacing w:after="0"/>
              <w:rPr>
                <w:sz w:val="20"/>
                <w:szCs w:val="20"/>
                <w:color w:val="auto"/>
              </w:rPr>
            </w:pPr>
            <w:r>
              <w:rPr>
                <w:rFonts w:ascii="Arial" w:cs="Arial" w:eastAsia="Arial" w:hAnsi="Arial"/>
                <w:sz w:val="16"/>
                <w:szCs w:val="16"/>
                <w:b w:val="1"/>
                <w:bCs w:val="1"/>
                <w:color w:val="auto"/>
              </w:rPr>
              <w:t>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700" w:type="dxa"/>
            <w:vAlign w:val="bottom"/>
          </w:tcPr>
          <w:p>
            <w:pPr>
              <w:jc w:val="right"/>
              <w:ind w:right="292"/>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7"/>
                <w:szCs w:val="17"/>
                <w:color w:val="auto"/>
              </w:rPr>
            </w:pPr>
          </w:p>
        </w:tc>
        <w:tc>
          <w:tcPr>
            <w:tcW w:w="140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700" w:type="dxa"/>
            <w:vAlign w:val="bottom"/>
          </w:tcPr>
          <w:p>
            <w:pPr>
              <w:jc w:val="right"/>
              <w:ind w:right="292"/>
              <w:spacing w:after="0"/>
              <w:rPr>
                <w:sz w:val="20"/>
                <w:szCs w:val="20"/>
                <w:color w:val="auto"/>
              </w:rPr>
            </w:pPr>
            <w:r>
              <w:rPr>
                <w:rFonts w:ascii="Arial" w:cs="Arial" w:eastAsia="Arial" w:hAnsi="Arial"/>
                <w:sz w:val="16"/>
                <w:szCs w:val="16"/>
                <w:b w:val="1"/>
                <w:bCs w:val="1"/>
                <w:color w:val="auto"/>
              </w:rPr>
              <w:t>Net</w:t>
            </w:r>
          </w:p>
        </w:tc>
      </w:tr>
      <w:tr>
        <w:trPr>
          <w:trHeight w:val="226"/>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520" w:type="dxa"/>
            <w:vAlign w:val="bottom"/>
          </w:tcPr>
          <w:p>
            <w:pPr>
              <w:ind w:left="2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2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5"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third quarter of 2021 was 11,225 feet. Operated completions during the third quarter of 2021 consisted of 23 Wolfcamp A wells, 21 Lower Spraberry wells, 10 Middle Spraberry wells, eight Jo Mill wells, four Wolfcamp B wells, four Dean wells, two Second Bone Springs wells and one Third Bone Springs wells.</w:t>
      </w:r>
    </w:p>
    <w:p>
      <w:pPr>
        <w:spacing w:after="0" w:line="2" w:lineRule="exact"/>
        <w:rPr>
          <w:rFonts w:ascii="Arial" w:cs="Arial" w:eastAsia="Arial" w:hAnsi="Arial"/>
          <w:sz w:val="18"/>
          <w:szCs w:val="18"/>
          <w:color w:val="auto"/>
        </w:rPr>
      </w:pPr>
    </w:p>
    <w:p>
      <w:pPr>
        <w:jc w:val="both"/>
        <w:ind w:left="340" w:hanging="332"/>
        <w:spacing w:after="0" w:line="302" w:lineRule="auto"/>
        <w:tabs>
          <w:tab w:leader="none" w:pos="33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average lateral length for the wells completed during the first nine months of 2021 was 10,906 feet. Operated completions during the first nine months of 2021 consisted of 61 Wolfcamp A wells, 50 Lower Spraberry wells, 25 Middle Spraberry wells, 21 Jo Mill wells, 17 Wolfcamp B wells, 10 Second Bone Springs wells, nine Third Bone Springs wells, seven Dean wells, two Bakken wells, two Three Forks wells and one Barnett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we operated the following wells: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89"/>
              </w:rPr>
              <w:t>As of September 30, 2021</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3940" w:type="dxa"/>
            <w:vAlign w:val="bottom"/>
          </w:tcPr>
          <w:p>
            <w:pPr>
              <w:spacing w:after="0"/>
              <w:rPr>
                <w:sz w:val="17"/>
                <w:szCs w:val="17"/>
                <w:color w:val="auto"/>
              </w:rPr>
            </w:pPr>
          </w:p>
        </w:tc>
        <w:tc>
          <w:tcPr>
            <w:tcW w:w="1660" w:type="dxa"/>
            <w:vAlign w:val="bottom"/>
            <w:gridSpan w:val="3"/>
          </w:tcPr>
          <w:p>
            <w:pPr>
              <w:ind w:left="700"/>
              <w:spacing w:after="0"/>
              <w:rPr>
                <w:sz w:val="20"/>
                <w:szCs w:val="20"/>
                <w:color w:val="auto"/>
              </w:rPr>
            </w:pPr>
            <w:r>
              <w:rPr>
                <w:rFonts w:ascii="Arial" w:cs="Arial" w:eastAsia="Arial" w:hAnsi="Arial"/>
                <w:sz w:val="16"/>
                <w:szCs w:val="16"/>
                <w:b w:val="1"/>
                <w:bCs w:val="1"/>
                <w:color w:val="auto"/>
                <w:w w:val="90"/>
              </w:rPr>
              <w:t>Vertical Wells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Horizontal Wells</w:t>
            </w:r>
          </w:p>
        </w:tc>
        <w:tc>
          <w:tcPr>
            <w:tcW w:w="1540" w:type="dxa"/>
            <w:vAlign w:val="bottom"/>
            <w:gridSpan w:val="3"/>
          </w:tcPr>
          <w:p>
            <w:pPr>
              <w:ind w:left="1020"/>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17"/>
                <w:szCs w:val="17"/>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66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68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5"/>
              </w:rPr>
              <w:t>Net</w:t>
            </w:r>
          </w:p>
        </w:tc>
        <w:tc>
          <w:tcPr>
            <w:tcW w:w="120" w:type="dxa"/>
            <w:vAlign w:val="bottom"/>
          </w:tcPr>
          <w:p>
            <w:pPr>
              <w:spacing w:after="0"/>
              <w:rPr>
                <w:sz w:val="18"/>
                <w:szCs w:val="18"/>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r>
      <w:tr>
        <w:trPr>
          <w:trHeight w:val="22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r>
      <w:tr>
        <w:trPr>
          <w:trHeight w:val="21"/>
        </w:trPr>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we held interests in 11,214 gross (4,844 net) wells, including wells that we do not operate. During the first quarter of 2021, we acquired interests in 1,671 gross (1,240 net) wells as part of the QEP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Glasscock areas within the Permian Basin. Rattler’s water sourcing and distribution assets consist of water wells, hydraulic fracturing pits, pipelines and water treatment facilities, which collectively gather and distribute water from Permian Basin aquifers to the drilling and completion sites through buried pipelines and temporary surface pipelines. Rattler’s gathering and disposal system spans approximately 521 miles and consists of gathering pipelines along with produced water disposal wells and facilities which collectively gather and dispose of produced water from operations throughout our Permian Basin acreage.</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211" w:lineRule="exact"/>
        <w:rPr>
          <w:sz w:val="20"/>
          <w:szCs w:val="20"/>
          <w:color w:val="auto"/>
        </w:rPr>
      </w:pPr>
    </w:p>
    <w:p>
      <w:pPr>
        <w:jc w:val="both"/>
        <w:ind w:firstLine="648"/>
        <w:spacing w:after="0" w:line="342" w:lineRule="auto"/>
        <w:rPr>
          <w:rFonts w:ascii="Arial" w:cs="Arial" w:eastAsia="Arial" w:hAnsi="Arial"/>
          <w:sz w:val="16"/>
          <w:szCs w:val="16"/>
          <w:color w:val="auto"/>
        </w:rPr>
      </w:pPr>
      <w:r>
        <w:rPr>
          <w:rFonts w:ascii="Arial" w:cs="Arial" w:eastAsia="Arial" w:hAnsi="Arial"/>
          <w:sz w:val="16"/>
          <w:szCs w:val="16"/>
          <w:color w:val="auto"/>
        </w:rPr>
        <w:t>The midstream operations segment’s revenues and operating expenses were not significant to our condensed consolidated statements of operations for the three and nine months ended September 30, 2021 and 2020. See Note 15—</w:t>
      </w:r>
      <w:hyperlink w:anchor="page36">
        <w:r>
          <w:rPr>
            <w:rFonts w:ascii="Arial" w:cs="Arial" w:eastAsia="Arial" w:hAnsi="Arial"/>
            <w:sz w:val="16"/>
            <w:szCs w:val="16"/>
            <w:u w:val="single" w:color="auto"/>
            <w:color w:val="0000FF"/>
          </w:rPr>
          <w:t>Segment Information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 regarding acquisitions.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operating data for the three and nine months ended September 30, 2021 and 2020: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270"/>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6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2020</w:t>
            </w:r>
          </w:p>
        </w:tc>
      </w:tr>
      <w:tr>
        <w:trPr>
          <w:trHeight w:val="19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48"/>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oil, natural gas and natural gas liquid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66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50,009</w:t>
            </w:r>
          </w:p>
        </w:tc>
      </w:tr>
      <w:tr>
        <w:trPr>
          <w:trHeight w:val="229"/>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96,482</w:t>
            </w:r>
          </w:p>
        </w:tc>
      </w:tr>
      <w:tr>
        <w:trPr>
          <w:trHeight w:val="229"/>
        </w:trPr>
        <w:tc>
          <w:tcPr>
            <w:tcW w:w="466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16,326</w:t>
            </w:r>
          </w:p>
        </w:tc>
      </w:tr>
      <w:tr>
        <w:trPr>
          <w:trHeight w:val="230"/>
        </w:trPr>
        <w:tc>
          <w:tcPr>
            <w:tcW w:w="4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82,415</w:t>
            </w:r>
          </w:p>
        </w:tc>
      </w:tr>
      <w:tr>
        <w:trPr>
          <w:trHeight w:val="270"/>
        </w:trPr>
        <w:tc>
          <w:tcPr>
            <w:tcW w:w="4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 oil volumes (BO/d)</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Daily combined volumes (BOE/d)</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404,272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300,785</w:t>
            </w:r>
          </w:p>
        </w:tc>
      </w:tr>
      <w:tr>
        <w:trPr>
          <w:trHeight w:val="270"/>
        </w:trPr>
        <w:tc>
          <w:tcPr>
            <w:tcW w:w="4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r>
      <w:tr>
        <w:trPr>
          <w:trHeight w:val="229"/>
        </w:trPr>
        <w:tc>
          <w:tcPr>
            <w:tcW w:w="466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30"/>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466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24.29</w:t>
            </w:r>
          </w:p>
        </w:tc>
      </w:tr>
      <w:tr>
        <w:trPr>
          <w:trHeight w:val="270"/>
        </w:trPr>
        <w:tc>
          <w:tcPr>
            <w:tcW w:w="4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466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41.31</w:t>
            </w:r>
          </w:p>
        </w:tc>
      </w:tr>
      <w:tr>
        <w:trPr>
          <w:trHeight w:val="230"/>
        </w:trPr>
        <w:tc>
          <w:tcPr>
            <w:tcW w:w="4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30"/>
        </w:trPr>
        <w:tc>
          <w:tcPr>
            <w:tcW w:w="466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4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bl>
    <w:p>
      <w:pPr>
        <w:spacing w:after="0" w:line="6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and natural gas liquids production. The following tables set forth the mix of our production data by product and basin for the three and nine months ended September 30, 2021 and 2020: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800" w:type="dxa"/>
            <w:vAlign w:val="bottom"/>
            <w:gridSpan w:val="4"/>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270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0"/>
        </w:trPr>
        <w:tc>
          <w:tcPr>
            <w:tcW w:w="574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22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57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5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Three Months Ended September 30, 2021</w:t>
      </w:r>
    </w:p>
    <w:p>
      <w:pPr>
        <w:spacing w:after="0" w:line="26"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5"/>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Three Months Ended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1"/>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14,265</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6,247</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1,546</w:t>
            </w:r>
          </w:p>
        </w:tc>
        <w:tc>
          <w:tcPr>
            <w:tcW w:w="760" w:type="dxa"/>
            <w:vAlign w:val="bottom"/>
          </w:tcPr>
          <w:p>
            <w:pPr>
              <w:jc w:val="right"/>
              <w:spacing w:after="0"/>
              <w:rPr>
                <w:sz w:val="20"/>
                <w:szCs w:val="20"/>
                <w:color w:val="auto"/>
              </w:rPr>
            </w:pPr>
            <w:r>
              <w:rPr>
                <w:rFonts w:ascii="Arial" w:cs="Arial" w:eastAsia="Arial" w:hAnsi="Arial"/>
                <w:sz w:val="18"/>
                <w:szCs w:val="18"/>
                <w:color w:val="auto"/>
              </w:rPr>
              <w:t>22,058</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8,971</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6,627</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740" w:type="dxa"/>
            <w:vAlign w:val="bottom"/>
          </w:tcPr>
          <w:p>
            <w:pPr>
              <w:jc w:val="right"/>
              <w:spacing w:after="0"/>
              <w:rPr>
                <w:sz w:val="20"/>
                <w:szCs w:val="20"/>
                <w:color w:val="auto"/>
              </w:rPr>
            </w:pPr>
            <w:r>
              <w:rPr>
                <w:rFonts w:ascii="Arial" w:cs="Arial" w:eastAsia="Arial" w:hAnsi="Arial"/>
                <w:sz w:val="18"/>
                <w:szCs w:val="18"/>
                <w:color w:val="auto"/>
              </w:rPr>
              <w:t>15,639</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26,246</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16,210</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17,403</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15,003</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4,547</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2,301</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692</w:t>
            </w:r>
          </w:p>
        </w:tc>
        <w:tc>
          <w:tcPr>
            <w:tcW w:w="760" w:type="dxa"/>
            <w:vAlign w:val="bottom"/>
          </w:tcPr>
          <w:p>
            <w:pPr>
              <w:jc w:val="right"/>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3,087</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2,268</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740" w:type="dxa"/>
            <w:vAlign w:val="bottom"/>
          </w:tcPr>
          <w:p>
            <w:pPr>
              <w:jc w:val="right"/>
              <w:spacing w:after="0"/>
              <w:rPr>
                <w:sz w:val="20"/>
                <w:szCs w:val="20"/>
                <w:color w:val="auto"/>
              </w:rPr>
            </w:pPr>
            <w:r>
              <w:rPr>
                <w:rFonts w:ascii="Arial" w:cs="Arial" w:eastAsia="Arial" w:hAnsi="Arial"/>
                <w:sz w:val="18"/>
                <w:szCs w:val="18"/>
                <w:color w:val="auto"/>
              </w:rPr>
              <w:t>5,377</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23,186</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11,250</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14,958</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11,395</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26,433</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164"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Nine Months Ended September 30, 2021</w:t>
      </w:r>
    </w:p>
    <w:p>
      <w:pPr>
        <w:spacing w:after="0" w:line="26"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5"/>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Nine Months Ended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1"/>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38,065</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19,074</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3,564</w:t>
            </w:r>
          </w:p>
        </w:tc>
        <w:tc>
          <w:tcPr>
            <w:tcW w:w="800" w:type="dxa"/>
            <w:vAlign w:val="bottom"/>
          </w:tcPr>
          <w:p>
            <w:pPr>
              <w:jc w:val="right"/>
              <w:spacing w:after="0"/>
              <w:rPr>
                <w:sz w:val="20"/>
                <w:szCs w:val="20"/>
                <w:color w:val="auto"/>
              </w:rPr>
            </w:pPr>
            <w:r>
              <w:rPr>
                <w:rFonts w:ascii="Arial" w:cs="Arial" w:eastAsia="Arial" w:hAnsi="Arial"/>
                <w:sz w:val="18"/>
                <w:szCs w:val="18"/>
                <w:color w:val="auto"/>
              </w:rPr>
              <w:t>60,703</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28,864</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21,013</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740" w:type="dxa"/>
            <w:vAlign w:val="bottom"/>
          </w:tcPr>
          <w:p>
            <w:pPr>
              <w:jc w:val="right"/>
              <w:spacing w:after="0"/>
              <w:rPr>
                <w:sz w:val="20"/>
                <w:szCs w:val="20"/>
                <w:color w:val="auto"/>
              </w:rPr>
            </w:pPr>
            <w:r>
              <w:rPr>
                <w:rFonts w:ascii="Arial" w:cs="Arial" w:eastAsia="Arial" w:hAnsi="Arial"/>
                <w:sz w:val="18"/>
                <w:szCs w:val="18"/>
                <w:color w:val="auto"/>
              </w:rPr>
              <w:t>50,009</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69,822</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47,503</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50,285</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45,871</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96,482</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12,146</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6,438</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1,408</w:t>
            </w:r>
          </w:p>
        </w:tc>
        <w:tc>
          <w:tcPr>
            <w:tcW w:w="800" w:type="dxa"/>
            <w:vAlign w:val="bottom"/>
          </w:tcPr>
          <w:p>
            <w:pPr>
              <w:jc w:val="right"/>
              <w:spacing w:after="0"/>
              <w:rPr>
                <w:sz w:val="20"/>
                <w:szCs w:val="20"/>
                <w:color w:val="auto"/>
              </w:rPr>
            </w:pPr>
            <w:r>
              <w:rPr>
                <w:rFonts w:ascii="Arial" w:cs="Arial" w:eastAsia="Arial" w:hAnsi="Arial"/>
                <w:sz w:val="18"/>
                <w:szCs w:val="18"/>
                <w:color w:val="auto"/>
              </w:rPr>
              <w:t>19,992</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9,281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6,975</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740" w:type="dxa"/>
            <w:vAlign w:val="bottom"/>
          </w:tcPr>
          <w:p>
            <w:pPr>
              <w:jc w:val="right"/>
              <w:spacing w:after="0"/>
              <w:rPr>
                <w:sz w:val="20"/>
                <w:szCs w:val="20"/>
                <w:color w:val="auto"/>
              </w:rPr>
            </w:pPr>
            <w:r>
              <w:rPr>
                <w:rFonts w:ascii="Arial" w:cs="Arial" w:eastAsia="Arial" w:hAnsi="Arial"/>
                <w:sz w:val="18"/>
                <w:szCs w:val="18"/>
                <w:color w:val="auto"/>
              </w:rPr>
              <w:t>16,326</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61,848</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33,429</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46,525</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35,633</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82,415</w:t>
            </w:r>
          </w:p>
        </w:tc>
      </w:tr>
    </w:tbl>
    <w:p>
      <w:pPr>
        <w:spacing w:after="0" w:line="134"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Eagle Ford Shale, Rockies and High Plains.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Central Basin Platform, Eagle Ford Shale and Rockies.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 and Nine Months Ended September 30, 2021 and 2020</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oil, natural gas and natural gas liquids revenues for the three months ended September 30, 2021 increased by $1.2 billion, or 168%, to $1.9 billion from $707 million during the three months ended September 30, 2020. Higher average oil prices, and to a lesser extent natural gas and natural gas liquids prices, contributed $0.9 billion of the total increase. The remainder of the overall change is due to a 41% increase in combined volumes sold.</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oil, natural gas and natural gas liquids revenues for the nine months ended September 30, 2021 increased by $2.7 billion, or 137%, to $4.7 billion from $2.0 billion during the nine months ended September 30, 2020. Higher average oil prices, and to a lesser extent natural gas and natural gas liquids prices, contributed to $2.3 billion of the total increase. The remainder of the overall change is due to a 23% increase in combined volumes sold.</w:t>
      </w:r>
    </w:p>
    <w:p>
      <w:pPr>
        <w:spacing w:after="0" w:line="176"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In both cases, higher commodity prices in the 2021 periods compared to the 2020 periods primarily reflect a recovery from historically low prices experienced in 2020 due to the COVID-19 pandemic as discussed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hyperlink w:anchor="page39">
        <w:r>
          <w:rPr>
            <w:rFonts w:ascii="Arial" w:cs="Arial" w:eastAsia="Arial" w:hAnsi="Arial"/>
            <w:sz w:val="18"/>
            <w:szCs w:val="18"/>
            <w:i w:val="1"/>
            <w:iCs w:val="1"/>
            <w:u w:val="single" w:color="auto"/>
            <w:color w:val="0000FF"/>
          </w:rPr>
          <w:t>Recent Developments</w:t>
        </w:r>
      </w:hyperlink>
      <w:r>
        <w:rPr>
          <w:rFonts w:ascii="Arial" w:cs="Arial" w:eastAsia="Arial" w:hAnsi="Arial"/>
          <w:sz w:val="18"/>
          <w:szCs w:val="18"/>
          <w:color w:val="auto"/>
        </w:rPr>
        <w:t>” above. The increase in production for the 2021 periods compared to the 2020 periods resulted primarily from the Guidon Acquisition and QEP Merger during the first quarter of 2021 and an overall recovery in our drilling and production activities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curtailments in the second quarter of 2020 in response to the COVID-19 pandemic. We expect to hold our oil production levels flat for the foreseeable future.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Lease Operating Expenses. </w:t>
      </w:r>
      <w:r>
        <w:rPr>
          <w:rFonts w:ascii="Arial" w:cs="Arial" w:eastAsia="Arial" w:hAnsi="Arial"/>
          <w:sz w:val="16"/>
          <w:szCs w:val="16"/>
          <w:color w:val="auto"/>
        </w:rPr>
        <w:t>The following table shows lease operating expenses for the three and nine months ended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9"/>
          </w:tcPr>
          <w:p>
            <w:pPr>
              <w:ind w:left="6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3060" w:type="dxa"/>
            <w:vAlign w:val="bottom"/>
            <w:gridSpan w:val="7"/>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top w:val="single" w:sz="8" w:color="auto"/>
              <w:bottom w:val="single" w:sz="8" w:color="auto"/>
            </w:tcBorders>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2"/>
              </w:rPr>
              <w:t>Per BOE</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2"/>
              </w:rPr>
              <w:t>Per BOE</w:t>
            </w:r>
          </w:p>
        </w:tc>
      </w:tr>
      <w:tr>
        <w:trPr>
          <w:trHeight w:val="209"/>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gridSpan w:val="9"/>
          </w:tcPr>
          <w:p>
            <w:pPr>
              <w:ind w:left="52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2"/>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bl>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Lease operating expenses increased by $54 million, or $0.33 per BOE for the third quarter of 2021 compared to the third quarter of 2020 and increased by $83 million, or $0.06 per BOE for the nine months ended September 30, 2021 compared to the nine months ended September 30, 2020. In both cases, this increase is primarily due to an increase in production between periods driven by the Guidon Acquisition and the QEP Merger in the first quarter of 2021. The increase on a per BOE basis is primarily related to the Williston Basin assets acquired in the QEP Merger which have higher lease operating costs per BOE on average than our historical properties.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The following table shows production and ad valorem tax expense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6"/>
                <w:szCs w:val="16"/>
                <w:b w:val="1"/>
                <w:bCs w:val="1"/>
                <w:color w:val="auto"/>
                <w:w w:val="91"/>
              </w:rPr>
              <w:t>Three Months Ended 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6"/>
                <w:szCs w:val="16"/>
                <w:b w:val="1"/>
                <w:bCs w:val="1"/>
                <w:color w:val="auto"/>
                <w:w w:val="91"/>
              </w:rPr>
              <w:t>Nine Months Ended 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95"/>
              </w:rPr>
              <w:t>2021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89"/>
              </w:rPr>
              <w:t>2020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9"/>
              </w:rPr>
              <w:t>2021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9"/>
              </w:rPr>
              <w:t>2020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2"/>
              </w:rPr>
              <w:t>Per BOE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2"/>
              </w:rPr>
              <w:t>Per BOE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5"/>
              </w:rPr>
              <w:t>Per BOE</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13"/>
          </w:tcPr>
          <w:p>
            <w:pPr>
              <w:ind w:left="56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production and ad valorem</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expense</w:t>
            </w:r>
          </w:p>
        </w:tc>
        <w:tc>
          <w:tcPr>
            <w:tcW w:w="16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Production taxes as a % of oil, natural</w:t>
            </w: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and natural gas liquids revenue</w:t>
            </w: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production revenues increased slightly for the three and nine months ended September 30, 2021 compared to the same periods in 2020 due to the addition of production revenues from the acquired Williston Basin properties which have a higher production tax rate than our other properties. We completed the divestiture of the Williston Basin properties in October 2021.</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three and nine months ended September 30, 2021 as compared to the same periods in 2020 increased by $7 million and $8 million, respectively, primarily due to additional properties acquired in the Guidon acquisition and the QEP Merger.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Gathering and Transportation Expense. </w:t>
      </w:r>
      <w:r>
        <w:rPr>
          <w:rFonts w:ascii="Arial" w:cs="Arial" w:eastAsia="Arial" w:hAnsi="Arial"/>
          <w:sz w:val="16"/>
          <w:szCs w:val="16"/>
          <w:color w:val="auto"/>
        </w:rPr>
        <w:t>The following table shows gathering and transportation expense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9"/>
          </w:tcPr>
          <w:p>
            <w:pPr>
              <w:ind w:left="5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3740" w:type="dxa"/>
            <w:vAlign w:val="bottom"/>
            <w:gridSpan w:val="8"/>
          </w:tcPr>
          <w:p>
            <w:pPr>
              <w:jc w:val="right"/>
              <w:ind w:right="655"/>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top w:val="single" w:sz="8" w:color="auto"/>
              <w:bottom w:val="single" w:sz="8" w:color="auto"/>
            </w:tcBorders>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2"/>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09"/>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40" w:type="dxa"/>
            <w:vAlign w:val="bottom"/>
            <w:gridSpan w:val="9"/>
          </w:tcPr>
          <w:p>
            <w:pPr>
              <w:ind w:left="48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200" w:lineRule="exact"/>
        <w:rPr>
          <w:sz w:val="20"/>
          <w:szCs w:val="20"/>
          <w:color w:val="auto"/>
        </w:rPr>
      </w:pP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increases for gathering and transportation expenses for the three and nine months ended September 30, 2021, compared to the same periods in 2020 are primarily attributable to the increase in production between periods. Additionally, the production added from the QEP Merger has higher average gathering and transportation costs per BOE than our historical properties.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accretion expense for the three and nine months ended September 30, 2021 and 2020: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ind w:left="40"/>
              <w:spacing w:after="0"/>
              <w:rPr>
                <w:sz w:val="20"/>
                <w:szCs w:val="20"/>
                <w:color w:val="auto"/>
              </w:rPr>
            </w:pPr>
            <w:r>
              <w:rPr>
                <w:rFonts w:ascii="Arial" w:cs="Arial" w:eastAsia="Arial" w:hAnsi="Arial"/>
                <w:sz w:val="16"/>
                <w:szCs w:val="16"/>
                <w:b w:val="1"/>
                <w:bCs w:val="1"/>
                <w:color w:val="auto"/>
              </w:rPr>
              <w:t>(In millions, except BOE amounts)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 expense</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860" w:type="dxa"/>
            <w:vAlign w:val="bottom"/>
          </w:tcPr>
          <w:p>
            <w:pPr>
              <w:jc w:val="right"/>
              <w:ind w:right="674"/>
              <w:spacing w:after="0" w:line="204"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4" w:lineRule="exact"/>
              <w:rPr>
                <w:sz w:val="20"/>
                <w:szCs w:val="20"/>
                <w:color w:val="auto"/>
              </w:rPr>
            </w:pPr>
            <w:r>
              <w:rPr>
                <w:rFonts w:ascii="Arial" w:cs="Arial" w:eastAsia="Arial" w:hAnsi="Arial"/>
                <w:sz w:val="18"/>
                <w:szCs w:val="18"/>
                <w:color w:val="auto"/>
                <w:w w:val="96"/>
              </w:rPr>
              <w:t>8.71</w:t>
            </w:r>
          </w:p>
        </w:tc>
        <w:tc>
          <w:tcPr>
            <w:tcW w:w="120" w:type="dxa"/>
            <w:vAlign w:val="bottom"/>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4" w:lineRule="exact"/>
              <w:rPr>
                <w:sz w:val="20"/>
                <w:szCs w:val="20"/>
                <w:color w:val="auto"/>
              </w:rPr>
            </w:pPr>
            <w:r>
              <w:rPr>
                <w:rFonts w:ascii="Arial" w:cs="Arial" w:eastAsia="Arial" w:hAnsi="Arial"/>
                <w:sz w:val="18"/>
                <w:szCs w:val="18"/>
                <w:color w:val="auto"/>
              </w:rPr>
              <w:t>10.33</w:t>
            </w:r>
          </w:p>
        </w:tc>
        <w:tc>
          <w:tcPr>
            <w:tcW w:w="100" w:type="dxa"/>
            <w:vAlign w:val="bottom"/>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4" w:lineRule="exact"/>
              <w:rPr>
                <w:sz w:val="20"/>
                <w:szCs w:val="20"/>
                <w:color w:val="auto"/>
              </w:rPr>
            </w:pPr>
            <w:r>
              <w:rPr>
                <w:rFonts w:ascii="Arial" w:cs="Arial" w:eastAsia="Arial" w:hAnsi="Arial"/>
                <w:sz w:val="18"/>
                <w:szCs w:val="18"/>
                <w:color w:val="auto"/>
              </w:rPr>
              <w:t>8.87</w:t>
            </w:r>
          </w:p>
        </w:tc>
        <w:tc>
          <w:tcPr>
            <w:tcW w:w="100" w:type="dxa"/>
            <w:vAlign w:val="bottom"/>
          </w:tcPr>
          <w:p>
            <w:pPr>
              <w:spacing w:after="0"/>
              <w:rPr>
                <w:sz w:val="17"/>
                <w:szCs w:val="17"/>
                <w:color w:val="auto"/>
              </w:rPr>
            </w:pPr>
          </w:p>
        </w:tc>
        <w:tc>
          <w:tcPr>
            <w:tcW w:w="300" w:type="dxa"/>
            <w:vAlign w:val="bottom"/>
          </w:tcPr>
          <w:p>
            <w:pPr>
              <w:jc w:val="right"/>
              <w:ind w:right="90"/>
              <w:spacing w:after="0" w:line="204"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depletion of proved oil and natural gas properties of $51 million for the three months ended September 30, 2021 as compared to the three months ended September 30, 2020 resulted largely from increased production partially offset by a lower average depletion rate. The decline in rate resulted primarily from higher SEC prices utilized in the reserve calculations in the 2021 period, lengthening the economic life of the reserve base and resulting in higher projected remaining reserve volumes on our wells.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depletion of proved oil and natural gas properties of $96 million for the nine months ended September 30, 2021 as compared to the nine months ended September 30, 2020 resulted largely from a reduction in the average depletion rate partially offset by increased production in 2021. The decline in rate resulted primarily from higher SEC oil prices utilized in the reserve calculations in the 2021 period, lengthening the economic life of the reserve base and resulting in higher projected remaining reserve volumes on our wells.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b w:val="1"/>
          <w:bCs w:val="1"/>
          <w:i w:val="1"/>
          <w:iCs w:val="1"/>
          <w:color w:val="auto"/>
        </w:rPr>
        <w:t xml:space="preserve">Impairment of Oil and Natural Gas Properties. </w:t>
      </w:r>
      <w:r>
        <w:rPr>
          <w:rFonts w:ascii="Arial" w:cs="Arial" w:eastAsia="Arial" w:hAnsi="Arial"/>
          <w:sz w:val="17"/>
          <w:szCs w:val="17"/>
          <w:color w:val="auto"/>
        </w:rPr>
        <w:t>No impairment expense was recorded for the three and nine months ended September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QEP Merger and the Guidon Acquisition, we recorded the oil and natural gas properties acquired at fair value. Pursuant to SEC guidance, we determined the fair value of the properties acquired in the QEP Merger and the Guidon Acquisition clearly exceeded the related full cost ceiling limitation beyond a reasonable doubt. As such, we requested and received a waiver from the SEC to exclude the acquired properties from the first quarter 2021 ceiling test calculation. As a result, no impairment expense related to the QEP Merger and the Guidon Acquisition was recorded for the three months ended March 31, 2021. Had we not received the waiver from the SEC, an impairment charge of approximately $1.1 billion would have been recorded in the first quarter of 2021. The properties acquired in the QEP Merger and the Guidon Acquisition had total unamortized costs at March 31, 2021 of $3.0 billion and $1.1 billion, respectively.</w:t>
      </w: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sharp decline in commodity prices during 2020, we recorded non-cash ceiling test impairments for the three and nine months ended September 30, 2020 of $1.5 billion and $5.0 billion, respectively, which are included in accumulated depletion, depreciation, amortization and impairment on our condensed consolidated balance sheet.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Impairment charges affect our results of operations but do not reduce our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fall as compared to the commodity prices used in prior quarters, we may have material write-downs in subsequent quarters. See Note 5—</w:t>
      </w:r>
      <w:hyperlink w:anchor="page20">
        <w:r>
          <w:rPr>
            <w:rFonts w:ascii="Arial" w:cs="Arial" w:eastAsia="Arial" w:hAnsi="Arial"/>
            <w:sz w:val="18"/>
            <w:szCs w:val="18"/>
            <w:u w:val="single" w:color="auto"/>
            <w:color w:val="0000FF"/>
          </w:rPr>
          <w:t>Property and Equipment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factors that impact the impairment of oil and natural gas properties.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The following table shows general and administrative expenses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13"/>
          </w:tcPr>
          <w:p>
            <w:pPr>
              <w:ind w:left="62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20" w:type="dxa"/>
            <w:vAlign w:val="bottom"/>
            <w:gridSpan w:val="11"/>
          </w:tcPr>
          <w:p>
            <w:pPr>
              <w:jc w:val="right"/>
              <w:ind w:right="712"/>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4"/>
          </w:tcPr>
          <w:p>
            <w:pPr>
              <w:jc w:val="right"/>
              <w:ind w:right="71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2020</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2021</w:t>
            </w: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2020</w:t>
            </w: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8"/>
              </w:rPr>
              <w:t>Per BOE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2"/>
              </w:rPr>
              <w:t>Per BOE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Per BOE</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2"/>
              </w:rPr>
              <w:t>Per BOE</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13"/>
          </w:tcPr>
          <w:p>
            <w:pPr>
              <w:ind w:left="56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56"/>
        </w:trPr>
        <w:tc>
          <w:tcPr>
            <w:tcW w:w="31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general and administrative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expenses</w:t>
            </w: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increases in general and administrative expenses for the three and nine months ended September 30, 2021 compared to the three and nine months ended September 30, 2020 were due largely to additional payroll and other employee driven costs of $11 million and $21 million, respectively, related to the QEP Merger and the Guidon Acquisition. Additionally, equity compensation increased by $5 million and $10 million for the three and nine months ended September 30, 2021, respectively, compared to the same periods in 2020.</w:t>
      </w: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Merger and Integration Expense. </w:t>
      </w:r>
      <w:r>
        <w:rPr>
          <w:rFonts w:ascii="Arial" w:cs="Arial" w:eastAsia="Arial" w:hAnsi="Arial"/>
          <w:sz w:val="18"/>
          <w:szCs w:val="18"/>
          <w:color w:val="auto"/>
        </w:rPr>
        <w:t>The following tables shows merger and integration expense for the three and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center"/>
              <w:ind w:right="539"/>
              <w:spacing w:after="0"/>
              <w:rPr>
                <w:sz w:val="20"/>
                <w:szCs w:val="20"/>
                <w:color w:val="auto"/>
              </w:rPr>
            </w:pPr>
            <w:r>
              <w:rPr>
                <w:rFonts w:ascii="Arial" w:cs="Arial" w:eastAsia="Arial" w:hAnsi="Arial"/>
                <w:sz w:val="16"/>
                <w:szCs w:val="16"/>
                <w:b w:val="1"/>
                <w:bCs w:val="1"/>
                <w:color w:val="auto"/>
                <w:w w:val="92"/>
              </w:rPr>
              <w:t>Three Months Ended September</w:t>
            </w: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3"/>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9"/>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37"/>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w w:val="95"/>
              </w:rPr>
              <w:t>2021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r>
      <w:tr>
        <w:trPr>
          <w:trHeight w:val="210"/>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gridSpan w:val="3"/>
          </w:tcPr>
          <w:p>
            <w:pPr>
              <w:ind w:left="540"/>
              <w:spacing w:after="0"/>
              <w:rPr>
                <w:sz w:val="20"/>
                <w:szCs w:val="20"/>
                <w:color w:val="auto"/>
              </w:rPr>
            </w:pPr>
            <w:r>
              <w:rPr>
                <w:rFonts w:ascii="Arial" w:cs="Arial" w:eastAsia="Arial" w:hAnsi="Arial"/>
                <w:sz w:val="16"/>
                <w:szCs w:val="16"/>
                <w:b w:val="1"/>
                <w:bCs w:val="1"/>
                <w:color w:val="auto"/>
                <w:w w:val="97"/>
              </w:rPr>
              <w:t>(In millions)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2"/>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and integration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firstLine="648"/>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Total merger and integration expense for the nine months ended September 30, 2021 includes $68 million in costs incurred for the QEP Merger and $9 million in costs incurred for the Guidon Acquisition. The QEP Merger related expenses primarily consist of $38 million in severance costs and $30 million in banking, legal and advisory fees, and the Guidon Acquisition related expenses consist primarily of advisory and legal fees. See Note 4— </w:t>
      </w:r>
      <w:hyperlink w:anchor="page16">
        <w:r>
          <w:rPr>
            <w:rFonts w:ascii="Arial" w:cs="Arial" w:eastAsia="Arial" w:hAnsi="Arial"/>
            <w:sz w:val="18"/>
            <w:szCs w:val="18"/>
            <w:u w:val="single" w:color="auto"/>
            <w:color w:val="0000FF"/>
          </w:rPr>
          <w:t>Acquisitions and Divestitures</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further details regarding the QEP Merger and the Guidon 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The following table shows the components of net interest expense for the three and nine months ended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w:t>
            </w:r>
          </w:p>
        </w:tc>
        <w:tc>
          <w:tcPr>
            <w:tcW w:w="25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w w:val="80"/>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income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Net interest expense increased by $4 million and $23 million for the three and nine months ended September 30, 2021 compared to the same periods in 2020. In both cases, the increase was primarily due to interest expense related to our May 2020 Notes, Rattler’s 5.625% Senior Notes due 2025, the newly issued March 2021 Notes, and to a lesser extent, interest expense incurred on the QEP Notes that remained outstanding following the QEP Merger completed in March 2021. These increases were partially offset by interest cost savings on the repurchases of our 2025 Senior Notes in March 2021 and August 2021, and the reduction in borrowings under our revolving credit agreements during 2021. See Note 7—</w:t>
      </w:r>
      <w:hyperlink w:anchor="page21">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outstanding borrowings and interest expense.</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(payments)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of derivative instruments for the three and nine months ended September 30,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September</w:t>
            </w:r>
          </w:p>
        </w:tc>
        <w:tc>
          <w:tcPr>
            <w:tcW w:w="25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95"/>
              </w:rPr>
              <w:t>2021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610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r>
              <w:rPr>
                <w:rFonts w:ascii="Arial" w:cs="Arial" w:eastAsia="Arial" w:hAnsi="Arial"/>
                <w:sz w:val="23"/>
                <w:szCs w:val="23"/>
                <w:color w:val="auto"/>
                <w:vertAlign w:val="superscript"/>
              </w:rPr>
              <w:t>(1)(2)(3)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line="258"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three and nine months ended September 30, 2021 include cash paid on commodity contracts terminated prior to their contractual maturity of $16 million.</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three and nine months ended September 30, 2020 include cash received on commodity contracts terminated prior to their contractual maturity of $6 million and $17 million, respectively.</w:t>
      </w:r>
    </w:p>
    <w:p>
      <w:pPr>
        <w:ind w:left="340" w:hanging="332"/>
        <w:spacing w:after="0" w:line="260"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nine months ended September 30, 2021 include cash received on interest rate swap contracts terminated prior to their contractual maturity of $80 million.</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commodity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 As part of the QEP Merger, we received by novation from QEP certain derivative instruments which were included on our balance sheet as of September 30, 2021.</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designated certain of our interest rate swaps as fair value hedges for accounting purposes. As a result, gains and losses due to changes in the fair value of the interest rate swaps completely offset changes in the fair value of the hedged portion of the underlying debt and no gain or loss is recognized due to hedge ineffectiveness. Changes in fair value are recorded as an adjustment to the carrying value of the 2029 Notes in the condensed consolidated balance sheet. Beginning on December 1, 2021, semi-annual cash settlements of these interest rate swaps will be recorded in interest expense in the condensed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The following table shows the provision for (benefit from) income taxes for the three and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and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Three Months Ended September</w:t>
            </w:r>
          </w:p>
        </w:tc>
        <w:tc>
          <w:tcPr>
            <w:tcW w:w="25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0"/>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w w:val="95"/>
              </w:rPr>
              <w:t>2021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changes in our income tax provision for the three and nine months ended September 30, 2021 compared to the same periods in 2020 were primarily due to the increase in pre-tax income for the three and nine months ended September 30, 2021, partially offset by income tax expense resulting from recording a valuation allowance on Viper’s deferred tax assets for the nine months ended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As of September 30, 2021, we had $1.6 billion of availability for future borrowings under the credit agreement and approximately $457 million of cash on hand. Historically, our primary sources of liquidity have been cash flows from operations, proceeds from our public equity offerings, borrowings under the credit agreement and proceeds from the issuance of our senior notes. Our primary uses of capital have been for the acquisition, development and exploration of oil and natural gas properties and return of capital to our stockholders.</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COVID-19 pandemic, the commodity pricing environment and uncertain macroeconomic conditions may limit our access to, or increase our cost of, capital or make capital unavailable on terms acceptable to us or at all.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nine months ended September 30, 2021 and 2020 are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10"/>
        </w:trPr>
        <w:tc>
          <w:tcPr>
            <w:tcW w:w="8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(1,855)</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94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operating cash flows for the nine months ended September 30, 2021 compared to the same period in 2020 primarily resulted from</w:t>
      </w:r>
    </w:p>
    <w:p>
      <w:pPr>
        <w:spacing w:after="0" w:line="46" w:lineRule="exact"/>
        <w:rPr>
          <w:sz w:val="20"/>
          <w:szCs w:val="20"/>
          <w:color w:val="auto"/>
        </w:rPr>
      </w:pPr>
    </w:p>
    <w:p>
      <w:pPr>
        <w:jc w:val="both"/>
        <w:ind w:firstLine="8"/>
        <w:spacing w:after="0" w:line="268" w:lineRule="auto"/>
        <w:tabs>
          <w:tab w:leader="none" w:pos="21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of $2.7 billion in our total revenues, and (ii) receipt of $152 million in refunds of income taxes receivable related to the carryback of federal net operating losses and the accelerated refund of minimum tax credits allowed under the CARES Act in 2020. These net cash inflows were partially offset by (i) a reduction of $1.1 billion due to making net cash payments of $847 million on our derivative contracts in the nine months ended September 30, 2021 compared to receiving net cash of $288 million on our derivative contracts in the nine months ended September 30, 2020, (ii) an increase in our cash operating expenses of approximately $396 million primarily due to the QEP Merger and the Guidon Acquisition, (iii) an increase of $77 million in our cash paid for interest primarily due to interest payments on senior notes which were issued in 2020 and 2021 and (iv) other working capital changes, primarily due to recording activity for working capital assets and liabilities acquired in the QEP Merger during March 2021. See “</w:t>
      </w:r>
      <w:r>
        <w:rPr>
          <w:rFonts w:ascii="Arial" w:cs="Arial" w:eastAsia="Arial" w:hAnsi="Arial"/>
          <w:sz w:val="17"/>
          <w:szCs w:val="17"/>
          <w:i w:val="1"/>
          <w:iCs w:val="1"/>
          <w:color w:val="auto"/>
        </w:rPr>
        <w:t>— Results of Operations</w:t>
      </w:r>
      <w:r>
        <w:rPr>
          <w:rFonts w:ascii="Arial" w:cs="Arial" w:eastAsia="Arial" w:hAnsi="Arial"/>
          <w:sz w:val="17"/>
          <w:szCs w:val="17"/>
          <w:color w:val="auto"/>
        </w:rPr>
        <w:t>” for discussion of significant changes in our revenues and expenses.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301" w:lineRule="auto"/>
        <w:rPr>
          <w:rFonts w:ascii="Arial" w:cs="Arial" w:eastAsia="Arial" w:hAnsi="Arial"/>
          <w:sz w:val="16"/>
          <w:szCs w:val="16"/>
          <w:color w:val="auto"/>
        </w:rPr>
      </w:pPr>
      <w:r>
        <w:rPr>
          <w:rFonts w:ascii="Arial" w:cs="Arial" w:eastAsia="Arial" w:hAnsi="Arial"/>
          <w:sz w:val="16"/>
          <w:szCs w:val="16"/>
          <w:color w:val="auto"/>
        </w:rPr>
        <w:t>Net cash used in investing activities was $1.3 billion compared to $1.9 billion during the nine months ended September 30, 2021 and 2020, respectively. The majority of our net cash used for investing activities during the nine months ended September 30, 2021 was for the purchase and development of oil and natural gas properties and related assets, including the acquisition of certain leasehold interests as part of the Guidon Acquisition. These expenditures were partially offset by proceeds from the sale of leasehold acreage discussed in Note 4—</w:t>
      </w:r>
      <w:hyperlink w:anchor="page16">
        <w:r>
          <w:rPr>
            <w:rFonts w:ascii="Arial" w:cs="Arial" w:eastAsia="Arial" w:hAnsi="Arial"/>
            <w:sz w:val="16"/>
            <w:szCs w:val="16"/>
            <w:u w:val="single" w:color="auto"/>
            <w:color w:val="0000FF"/>
          </w:rPr>
          <w:t>Acquisitions and Divestitures</w:t>
        </w:r>
      </w:hyperlink>
      <w:r>
        <w:rPr>
          <w:rFonts w:ascii="Arial" w:cs="Arial" w:eastAsia="Arial" w:hAnsi="Arial"/>
          <w:sz w:val="16"/>
          <w:szCs w:val="16"/>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majority of our net cash used in investing activities during the nine months ended September 30, 2020 was incurred for drilling and completion costs in conjunction with our development program. Our capital expenditures for each period are discussed further below.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09"/>
        </w:trPr>
        <w:tc>
          <w:tcPr>
            <w:tcW w:w="7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8"/>
                <w:szCs w:val="18"/>
                <w:color w:val="auto"/>
              </w:rPr>
            </w:pPr>
          </w:p>
        </w:tc>
      </w:tr>
      <w:tr>
        <w:trPr>
          <w:trHeight w:val="232"/>
        </w:trPr>
        <w:tc>
          <w:tcPr>
            <w:tcW w:w="79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Drilling, completions and non-operated additions to oil and natural gas properties</w:t>
            </w:r>
            <w:r>
              <w:rPr>
                <w:rFonts w:ascii="Arial" w:cs="Arial" w:eastAsia="Arial" w:hAnsi="Arial"/>
                <w:sz w:val="23"/>
                <w:szCs w:val="23"/>
                <w:color w:val="auto"/>
                <w:vertAlign w:val="superscript"/>
              </w:rPr>
              <w:t>(1)(2)</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r>
      <w:tr>
        <w:trPr>
          <w:trHeight w:val="21"/>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340" w:hanging="332"/>
        <w:spacing w:after="0" w:line="254"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nine months ended September 30, 2021, in conjunction with our development program, we drilled 163 gross (153 net) operated horizontal wells, of which 135 gross (127 net) wells were in the Midland Basin and 28 gross (26 net) wells were in the Delaware Basin, and turned 205 gross (189 net) operated horizontal wells to production, of which 152 gross (140 net) wells were in the Midland Basin and 49 gross (46 net) wells were in the Delaware Basin.</w:t>
      </w:r>
    </w:p>
    <w:p>
      <w:pPr>
        <w:spacing w:after="0" w:line="2"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nine months ended September 30, 2020, in conjunction with our development program, we drilled 183 gross (173 net) operated horizontal wells, of which 114 gross (108 net) wells were in the Midland Basin and 69 gross (65 net) wells were in the Delaware Basin, and turned 136 gross (124 net) operated horizontal wells to production, of which 69 gross (61 net) wells were in the Midland Basin and 67 gross (63 net) wells were in the Delaware Basin .</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Net cash used in financing activities for the nine months ended September 30, 2021 was $1.0 billion compared to net cash provided by financing activities for the nine months ended September 30, 2020 of $111 million. During the nine months ended September 30, 2021, the amount used in financing activities was primarily attributable to (i) $2.5 billion paid for the repurchase of principal outstanding on certain senior notes as discussed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Repurchases of Notes” </w:t>
      </w:r>
      <w:r>
        <w:rPr>
          <w:rFonts w:ascii="Arial" w:cs="Arial" w:eastAsia="Arial" w:hAnsi="Arial"/>
          <w:sz w:val="18"/>
          <w:szCs w:val="18"/>
          <w:color w:val="auto"/>
        </w:rPr>
        <w:t>below, as well as $178 million of additional premiums paid in connection with the repurchases, (ii) $221 million of dividends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stockholders, (iii) $94 million of repayments under our credit facilities, net of borrowings, (iv) $72 million in distributions to non-controlling interest, and (v) $85 million of repurchases as part of the share and unit repurchase programs. These cash outflows were partially offset by $2.2 billion in proceeds from the March 2021 Notes and $25 million in net cash receipts from the early settlement of interest rate swaps and commodity derivative contracts that contained an other-than-insignificant financing element.</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2020 was primarily attributable to $758 million in proceeds, net of repayments, from senior notes and $47 million in proceeds from joint ventures. These cash inflows were partially offset by (i) $321 million of repayments, net of borrowings, under our credit facilities (i) $177 million of dividends to stockholders, (ii) $98 million of share repurchases as part of our previous stock repurchase program, and (iii) $77 million of distributions to non-controlling interest.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September 30, 2021, our debt, including the debt of Viper and Rattler, consists of approximately $6.9 billion in aggregate outstanding principal amount of senior notes, $92 million in aggregate outstanding borrowings under revolving credit facilities and $65 million in outstanding amounts due under our DrillCo Agreement. Our revolving credit facilities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significant changes in our outstanding indebtedness during the nine months ended September 30, 2021 are discussed further below. See Note 7—</w:t>
      </w:r>
      <w:hyperlink w:anchor="page21">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our outstanding debt at September 30,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39" w:lineRule="exact"/>
        <w:rPr>
          <w:sz w:val="20"/>
          <w:szCs w:val="20"/>
          <w:color w:val="auto"/>
        </w:rPr>
      </w:pPr>
    </w:p>
    <w:p>
      <w:pPr>
        <w:jc w:val="both"/>
        <w:ind w:firstLine="648"/>
        <w:spacing w:after="0" w:line="228" w:lineRule="auto"/>
        <w:rPr>
          <w:rFonts w:ascii="Arial" w:cs="Arial" w:eastAsia="Arial" w:hAnsi="Arial"/>
          <w:sz w:val="18"/>
          <w:szCs w:val="18"/>
          <w:color w:val="auto"/>
        </w:rPr>
      </w:pPr>
      <w:r>
        <w:rPr>
          <w:rFonts w:ascii="Arial" w:cs="Arial" w:eastAsia="Arial" w:hAnsi="Arial"/>
          <w:sz w:val="18"/>
          <w:szCs w:val="18"/>
          <w:color w:val="auto"/>
        </w:rPr>
        <w:t>As discussed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hyperlink w:anchor="page39">
        <w:r>
          <w:rPr>
            <w:rFonts w:ascii="Arial" w:cs="Arial" w:eastAsia="Arial" w:hAnsi="Arial"/>
            <w:sz w:val="18"/>
            <w:szCs w:val="18"/>
            <w:i w:val="1"/>
            <w:iCs w:val="1"/>
            <w:u w:val="single" w:color="auto"/>
            <w:color w:val="0000FF"/>
          </w:rPr>
          <w:t>Recent Developments</w:t>
        </w:r>
      </w:hyperlink>
      <w:r>
        <w:rPr>
          <w:rFonts w:ascii="Arial" w:cs="Arial" w:eastAsia="Arial" w:hAnsi="Arial"/>
          <w:sz w:val="18"/>
          <w:szCs w:val="18"/>
          <w:color w:val="auto"/>
        </w:rPr>
        <w:t>” on June 2, 2021, we entered into an amendment to the credit agreement. As of September 30, 2021, the maximum credit amount available under the credit agreement was $1.6 billion, with no outstanding borrowings and $1.6 billion available for future borrowings. As of September 30, 2021, there was an aggregate of $3 million in outstanding letters of credit, which reduce available borrowings under the credit agreement on a dollar for dollar basis. During the nine months ended September 30, 2021, the weighted average interest rate on the credit facility was 1.67%.</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we were in compliance with all financial maintenance covenants under the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March 2021 Notes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24, 2021, we issued $650 million of our 2023 Notes, $900 million of our 2031 Notes and $650 million of our 2051 Notes and received proceeds of $2.18 billion, net of $24 million in debt issuance costs and discounts. The net proceeds were primarily used to fund the repurchase of other senior notes outstanding as discussed further below. Interest on the March 2021 Notes is payable semi-annually in March and September, beginning in September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Subsequent to the QEP Merger, in March 2021, we repurchased pursuant to tender offers commenced by us approximately $1.65 billion in fair value carrying amount of the QEP Notes for total cash consideration of $1.7 billion, including redemption and early premium fees, which resulted in a loss on extinguishment of debt during the three months ended March 31, 2021 of approximately $47 million. The aggregate fair value of the QEP Notes repurchased consisted of (i) $453 million, or 94.65%, of the outstanding fair value carrying amount of the QEP 2022 Notes, (ii) $663 million, or 98.43%, of the outstanding fair value carrying amount of the QEP 2023 Notes, and (iii) $538 million, or 96.35%, of the outstanding fair value carrying amount of the QEP 2026 Notes.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2021, we also repurchased an aggregate of $368 million principal amount of our 5.375% 2025 Senior Notes, representing approximately 45.97% of the outstanding 2025 Senior Notes, for total cash consideration of $381 million, including redemption and early premium fees. This resulted in a loss on extinguishment of debt during the nine months ended September 30, 2021 of $14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funded the repurchases of the QEP Notes and 2025 Senior Notes with the proceeds from the March 2021 Notes offering discussed above.</w:t>
      </w:r>
    </w:p>
    <w:p>
      <w:pPr>
        <w:spacing w:after="0" w:line="2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tender offers to repurchase the QEP Notes discussed above, we also solicited consents from holders of the QEP Notes to amend the indenture for the QEP Notes to, among other things, eliminate substantially all of the restrictive covenants and related provisions and certain events of default contained in the indenture under which the QEP Notes were issued. We received the requisite number of consents and, on March 23, 2021, entered into a supplemental indenture relating to the QEP Notes adopting these amendments.</w:t>
      </w:r>
    </w:p>
    <w:p>
      <w:pPr>
        <w:spacing w:after="0" w:line="198"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In June 2021, we redeemed the remaining $191 million principal amount of the outstanding Energen 4.625% senior notes due on September 1, 2021. We recorded an immaterial pre-tax loss on extinguishment of debt related to the redemption, which included the write-off of unamortized debt discounts associated with the redeemed notes. We funded the redemption with internally generated cash flow from operations as well as proceeds from the divestitures of certain non-core assets as discussed in Note 4—</w:t>
      </w:r>
      <w:hyperlink w:anchor="page16">
        <w:r>
          <w:rPr>
            <w:rFonts w:ascii="Arial" w:cs="Arial" w:eastAsia="Arial" w:hAnsi="Arial"/>
            <w:sz w:val="18"/>
            <w:szCs w:val="18"/>
            <w:u w:val="single" w:color="auto"/>
            <w:color w:val="0000FF"/>
          </w:rPr>
          <w:t>Acquisitions and Divestitures</w:t>
        </w:r>
      </w:hyperlink>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2021, we redeemed the remaining $432 million principal amount of our outstanding 5.375% Senior Notes due 2025 for total cash consideration of $449 million, including redemption and early premium fees of $12 million, which resulted in a loss on extinguishment of debt during the three and nine months ended September 30, 2021 of $12 million. We funded the redemption with cash on hand and borrowings under its revolving credit facility.</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1, 2021, we redeemed the aggregate $650 million principal amount of our outstanding 2023 Senior Notes at a redemption price equal to 100% of the principal amount, plus accrued and unpaid interest up to, but not including, the redemption date. We funded the redemption with proceeds received from the divestiture of our Williston Basin assets and cash on hand.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Viper credit agreement, as amended to date, provides for a revolving credit facility in the maximum credit amount of $2.0 billion, with a borrowing base of $580 million as of September 30, 2021, although Viper LLC had elected a commitment amount of $500 million, based on Viper LLC’s oil and natural gas reserves and other factors. The borrowing base is scheduled to be redetermined semi-annually in May and November, and is expected to be reaffirmed at $580 million by the lenders during the redetermination in November 2021. As of September 30, 2021, there were $92 million of outstanding borrowings and $408 million available for future borrowings under the Viper credit agreement. In the fourth quarter of 2021, approximately $190.0 million of the cash portion of the Swallowtail Acquisition was funded through borrowings under Viper’s credit agreement, reducing the amount that remained available for future borrowings under this facility to $218.0 million as of October 1, 2021. During the three and nine months ended September 30, 2021, the weighted average interest rate on borrowings under the Viper credit agreement was 1.98% and 2.14%, respectively. The Viper credit agreement will mature on June 2, 2025.</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Viper LLC was in compliance with all financial maintenance covenants under the Viper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as amended to date, provides for a revolving credit facility in the maximum credit amount of $600 million, which is expandable to $1.0 billion upon Rattler’s election, subject to obtaining additional lender commitments and satisfaction of customary conditions. As of September 30, 2021, there were no outstanding borrowings and $600 million available for future borrowings under the Rattler credit agreement. During the three and nine months ended September 30, 2021, the weighted average interest rate on borrowings under the Rattler credit agreement was 1.34% and 1.38%, respectively. The Rattler credit agreement matures on May 28, 2024.</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2021, Rattler LLC was in compliance with all financial maintenance covenants under the Rattler credit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short and long-term liquidity requirements consist primarily of (i) capital expenditures, (ii) payments of contractual obligations, including debt maturities, (iii) dividends and share repurchases, and (iv) working capital obligations.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fourth quarter of 2021, we updated our 2021 capital budget to approximately $1.49 billion to $1.53 billion, which represented a decrease at the midpoint of 4% over our previously announced capital budget. This decrease is due to cost control and volume outperformance of our 2021 development plan. We intend to maintain current production levels with less capital and fewer completed wells than were originally expected in our 2021 development plan. We estimate that, of these expenditures, approximately:</w:t>
      </w:r>
    </w:p>
    <w:p>
      <w:pPr>
        <w:spacing w:after="0" w:line="214" w:lineRule="exact"/>
        <w:rPr>
          <w:sz w:val="20"/>
          <w:szCs w:val="20"/>
          <w:color w:val="auto"/>
        </w:rPr>
      </w:pPr>
    </w:p>
    <w:p>
      <w:pPr>
        <w:ind w:left="660" w:right="2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$1.39 billion to $1.42 billion will be spent primarily on drilling and completing and 265 to 275 gross (246 to 256 net) horizontal wells across our operated leasehold acreage in the Northern Midland and Southern Delaware Basins, with an average lateral length of approximately 10,500 feet;</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$40 million will be spent on midstream infrastructure, excluding joint venture investments;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$60 million to $70 million will be spent on infrastructure and environmental expenditures, excluding the cost of any leasehold and mineral interest acquisitions.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nine months ended September 30, 2021, we spent $948 million on drilling and completion, $23 million on midstream, $39 million on non-operated properties and $43 million on infrastructure, for total capital expenditures, excluding acquisitions, of $1,053 million.</w:t>
      </w:r>
    </w:p>
    <w:p>
      <w:pPr>
        <w:spacing w:after="0" w:line="18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nine drilling rigs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and three completion crews. We currently continue to execute on our strategy to hold oil production flat while using cash flow from operations to reduce debt, strengthen our balance sheet and return capital to our stockholders. We will continue monitoring commodity prices and overall market conditions and can adjust our rig cadence and our capital expenditure budget in response to changes in commodity prices and overall market conditions.</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September 2021, our board of directors approved a stock repurchase program to acquire up to $2 billion of our outstanding common stock. We repurchased approximately $22 million of our common stock during the nine months ended September 30, 2021, with approximately $1.98 billion remaining available for future repurchases under this program. We intend to continue to purchase shares under this repurchase program opportunistically with available funds primarily from cash flow from operations and liquidity events such as the sale of assets while maintaining sufficient liquidity to fund our capital expenditure programs.</w:t>
      </w: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upon current oil and natural gas prices and production expectations for 2021, we believe that our cash flow from operations, cash on hand and borrowings under our revolving credit facility will be sufficient to fund our operations through the 12-month period following the filing of this report and thereafter. However, future cash flows are subject to a number of variables, including the level of oil and natural gas production and prices, and significant additional capital expenditures will be required to more fully develop our properties. We cannot assure you that the needed capital will be available on acceptable terms or at all. Further, our 2021 capital expenditure budget does not allocate any funds for leasehold interest and property acquisitions.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connection with the merger of certain of the Company’s wholly owned subsidiaries in an internal subsidiary restructuring on June 30, 2021, Diamondback E&amp;P became the successor borrower to O&amp;G under the credit agreement, the successor issuer of the Energen Medium-Term Notes and the sole guarantor under the indentures governing the December 2019 Notes, the May 2020 Notes, the 2025 Senior Notes and the March 2021 Notes.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Guarantees are “full and unconditional,” as that term is used in Regulation S-X, Rule 3-10(b)(3), except that such guarantees will be released or terminated in certain circumstances set forth in the 2019 Indenture and the 2025 Indenture, such as, with certain exceptions, (1) in the event Diamondback E&amp;P (or all or substantially all of its assets) is sold or disposed of, (2) in the event Diamondback E&amp;P ceases to be a guarantor of or otherwise be an obligor under certain other indebtedness, and (3) in connection with any covenant defeasance, legal defeasance or satisfaction and discharge of the relevant indenture. The 2025 Indenture was terminated in connection with the early redemption of the remaining $432 million principal amount of our 2025 Senior Notes in the third quarter of 2021.</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E&amp;P’s guarantees of the December 2019 Notes, the May 2020 Notes, and the March 2021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6"/>
              </w:rPr>
              <w:t>September 30, 2021</w:t>
            </w: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9"/>
              </w:rPr>
              <w:t>December 31, 2020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Summarized Balance Sheets:</w:t>
            </w:r>
          </w:p>
        </w:tc>
        <w:tc>
          <w:tcPr>
            <w:tcW w:w="220" w:type="dxa"/>
            <w:vAlign w:val="bottom"/>
          </w:tcPr>
          <w:p>
            <w:pPr>
              <w:spacing w:after="0"/>
              <w:rPr>
                <w:sz w:val="18"/>
                <w:szCs w:val="18"/>
                <w:color w:val="auto"/>
              </w:rPr>
            </w:pPr>
          </w:p>
        </w:tc>
        <w:tc>
          <w:tcPr>
            <w:tcW w:w="3840" w:type="dxa"/>
            <w:vAlign w:val="bottom"/>
            <w:gridSpan w:val="3"/>
          </w:tcPr>
          <w:p>
            <w:pPr>
              <w:jc w:val="right"/>
              <w:ind w:right="1513"/>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979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accounts payable, non-guarantor subsidiary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5,748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4,293</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526"/>
        </w:trPr>
        <w:tc>
          <w:tcPr>
            <w:tcW w:w="7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center"/>
              <w:ind w:right="213"/>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0"/>
              </w:rPr>
              <w:t>September 30, 2021</w:t>
            </w:r>
          </w:p>
        </w:tc>
      </w:tr>
      <w:tr>
        <w:trPr>
          <w:trHeight w:val="212"/>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Summarized Statement of Operations: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jc w:val="center"/>
              <w:ind w:right="213"/>
              <w:spacing w:after="0"/>
              <w:rPr>
                <w:sz w:val="20"/>
                <w:szCs w:val="20"/>
                <w:color w:val="auto"/>
              </w:rPr>
            </w:pPr>
            <w:r>
              <w:rPr>
                <w:rFonts w:ascii="Arial" w:cs="Arial" w:eastAsia="Arial" w:hAnsi="Arial"/>
                <w:sz w:val="16"/>
                <w:szCs w:val="16"/>
                <w:b w:val="1"/>
                <w:bCs w:val="1"/>
                <w:color w:val="auto"/>
                <w:w w:val="95"/>
              </w:rPr>
              <w:t>(In millions)</w:t>
            </w:r>
          </w:p>
        </w:tc>
      </w:tr>
      <w:tr>
        <w:trPr>
          <w:trHeight w:val="232"/>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addition to the changes in debt discussed in </w:t>
      </w:r>
      <w:r>
        <w:rPr>
          <w:rFonts w:ascii="Arial" w:cs="Arial" w:eastAsia="Arial" w:hAnsi="Arial"/>
          <w:sz w:val="18"/>
          <w:szCs w:val="18"/>
          <w:i w:val="1"/>
          <w:iCs w:val="1"/>
          <w:color w:val="auto"/>
        </w:rPr>
        <w:t>“</w:t>
      </w:r>
      <w:hyperlink w:anchor="page50">
        <w:r>
          <w:rPr>
            <w:rFonts w:ascii="Arial" w:cs="Arial" w:eastAsia="Arial" w:hAnsi="Arial"/>
            <w:sz w:val="18"/>
            <w:szCs w:val="18"/>
            <w:i w:val="1"/>
            <w:iCs w:val="1"/>
            <w:u w:val="single" w:color="auto"/>
            <w:color w:val="0000FF"/>
          </w:rPr>
          <w:t>—Indebtedness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above and in Note 7—</w:t>
      </w:r>
      <w:hyperlink w:anchor="page21">
        <w:r>
          <w:rPr>
            <w:rFonts w:ascii="Arial" w:cs="Arial" w:eastAsia="Arial" w:hAnsi="Arial"/>
            <w:sz w:val="18"/>
            <w:szCs w:val="18"/>
            <w:u w:val="single" w:color="auto"/>
            <w:color w:val="0000FF"/>
          </w:rPr>
          <w:t>Deb</w:t>
        </w:r>
      </w:hyperlink>
      <w:r>
        <w:rPr>
          <w:rFonts w:ascii="Arial" w:cs="Arial" w:eastAsia="Arial" w:hAnsi="Arial"/>
          <w:sz w:val="18"/>
          <w:szCs w:val="18"/>
          <w:color w:val="auto"/>
        </w:rPr>
        <w:t xml:space="preserve">t included in the notes to the condensed consolidated financial statements included elsewhere in this report, we acquired certain contractual obligations during the nine months ended September 30, 2021 in conjunction with the QEP Merger including an aggregate of approximately $68 million in various transportation, gathering and purchase commitments. There were no other significant changes in our contractual obligations from those disclosed in our </w:t>
      </w:r>
      <w:hyperlink r:id="rId17">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21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rFonts w:ascii="Arial" w:cs="Arial" w:eastAsia="Arial" w:hAnsi="Arial"/>
          <w:sz w:val="18"/>
          <w:szCs w:val="18"/>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our critical accounting policies from those disclosed in our </w:t>
      </w:r>
      <w:hyperlink r:id="rId81">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9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rFonts w:ascii="Arial" w:cs="Arial" w:eastAsia="Arial" w:hAnsi="Arial"/>
          <w:sz w:val="18"/>
          <w:szCs w:val="18"/>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We had no material off-balance sheet arrangements as of September 30, 2021. Please read Note 13—</w:t>
      </w:r>
      <w:hyperlink w:anchor="page34">
        <w:r>
          <w:rPr>
            <w:rFonts w:ascii="Arial" w:cs="Arial" w:eastAsia="Arial" w:hAnsi="Arial"/>
            <w:sz w:val="18"/>
            <w:szCs w:val="18"/>
            <w:u w:val="single" w:color="auto"/>
            <w:color w:val="0000FF"/>
          </w:rPr>
          <w:t>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notes to the condensed consolidated financial statements included elsewhere in this report, for a discussion of our commitments and contingencies, which are not recognized in the balance sheets under GAAP.</w:t>
      </w:r>
    </w:p>
    <w:p>
      <w:pPr>
        <w:spacing w:after="0" w:line="40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due to the rising energy use, easing of the COVID-19 pandemic and the improvements in the U.S. economic activity, we cannot predict events that may lead to future price volatility and the near term energy outlook remains subject to heightened levels of uncertainty. Further, the prices we receive for production depend on many other factors outside of our control.</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derivatives, including swaps, basis swaps, puts, swaptions, roll swaps, and costless collars, to reduce price volatility associated with certain of our oil and natural gas sales.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September 30, 2021, we had a net liability derivative position related to our commodity price derivatives of $618 million, related to our commodity price risk derivatives. Utilizing actual derivative contractual volumes under our commodity price derivatives as of September 30, 2021, a 10% increase in forward curves associated with the underlying commodity would have increased the net liability position by $256 million to $874 million, while a 10% decrease in forward curves associated with the underlying commodity would have decreased the net liability position by $218 million to $400 million. However, any cash derivative gain or loss would be substantially offset by a decrease or increase, respectively, in the actual sales value of production covered by the derivative instrument.</w:t>
      </w:r>
    </w:p>
    <w:p>
      <w:pPr>
        <w:spacing w:after="0" w:line="219"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15"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additional information on our open commodity derivative instruments at September 30, 2021, see Note 11—</w:t>
      </w:r>
      <w:hyperlink w:anchor="page29">
        <w:r>
          <w:rPr>
            <w:rFonts w:ascii="Arial" w:cs="Arial" w:eastAsia="Arial" w:hAnsi="Arial"/>
            <w:sz w:val="18"/>
            <w:szCs w:val="18"/>
            <w:u w:val="single" w:color="auto"/>
            <w:color w:val="0000FF"/>
          </w:rPr>
          <w:t>Derivatives</w:t>
        </w:r>
      </w:hyperlink>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exposures to credit risk are due to the concentration of receivables from the sale of our oil and natural gas production (approximately $712 million at September 30, 2021), and to a lesser extent, receivables resulting from joint interest receivables (approximately $99 million at September 30, 2021).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jc w:val="both"/>
        <w:ind w:firstLine="648"/>
        <w:spacing w:after="0" w:line="239" w:lineRule="auto"/>
        <w:rPr>
          <w:rFonts w:ascii="Arial" w:cs="Arial" w:eastAsia="Arial" w:hAnsi="Arial"/>
          <w:sz w:val="17"/>
          <w:szCs w:val="17"/>
          <w:color w:val="auto"/>
        </w:rPr>
      </w:pPr>
      <w:r>
        <w:rPr>
          <w:rFonts w:ascii="Arial" w:cs="Arial" w:eastAsia="Arial" w:hAnsi="Arial"/>
          <w:sz w:val="17"/>
          <w:szCs w:val="17"/>
          <w:color w:val="auto"/>
        </w:rPr>
        <w:t>We are subject to market risk exposure related to changes in interest rates on our indebtedness under our revolving credit facilities and changes in the fair value of our fixed-rate debt. The terms of the credit agreement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1.125% per annum in the case of the alternative base rate and from 1.25% to 2.125% per annum in the case of LIBOR,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September 30, 2021, see Note 7—</w:t>
      </w:r>
      <w:hyperlink w:anchor="page21">
        <w:r>
          <w:rPr>
            <w:rFonts w:ascii="Arial" w:cs="Arial" w:eastAsia="Arial" w:hAnsi="Arial"/>
            <w:sz w:val="17"/>
            <w:szCs w:val="17"/>
            <w:u w:val="single" w:color="auto"/>
            <w:color w:val="0000FF"/>
          </w:rPr>
          <w:t>Debt</w:t>
        </w:r>
      </w:hyperlink>
      <w:r>
        <w:rPr>
          <w:rFonts w:ascii="Arial" w:cs="Arial" w:eastAsia="Arial" w:hAnsi="Arial"/>
          <w:sz w:val="17"/>
          <w:szCs w:val="17"/>
          <w:color w:val="auto"/>
        </w:rPr>
        <w:t>.</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at times used interest rates swaps to manage our exposure to (i) interest rate changes on our floating-rate date and (ii) fair value changes on our fixed-rate debt. At September 30, 2021, we have interest rate swap agreements for a notional amount of $1.2 billion to manage the impact of market interest rates on interest expense. These interest rate swaps have been designated as fair value hedges of the Company’s $1.2 billion 3.50% fixed rate senior notes due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2029 whereby we will receive the fixed rate of interest and will pay an average variable rate of interest based on three month LIBOR plus 2.1865%. For additional information on our interest rate swaps, see Note 11—</w:t>
      </w:r>
      <w:hyperlink w:anchor="page29">
        <w:r>
          <w:rPr>
            <w:rFonts w:ascii="Arial" w:cs="Arial" w:eastAsia="Arial" w:hAnsi="Arial"/>
            <w:sz w:val="18"/>
            <w:szCs w:val="18"/>
            <w:u w:val="single" w:color="auto"/>
            <w:color w:val="0000FF"/>
          </w:rPr>
          <w:t>Derivatives</w:t>
        </w:r>
      </w:hyperlink>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our Chief Executive Officer and Chief Financial Officer,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2021,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2021, our disclosure controls and procedures are effective.</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In July 2021, we implemented an enterprise resource planning system covering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accounting processes. As a result of this implementation, certain internal controls over financial reporting have been automated, modified or implemented to address the new environment associated with the implementation of this system. We believe we have maintained appropriate internal control over financial reporting during the implementation and believe this new system will strengthen our internal control system. However, there are inherent risks in implementing any new system, and we will continue to evaluate these control changes as part of our assessment of internal control over financial reporting throughout 2021. There have not been any changes in our internal control over financial reporting that occurred during the quarter ended September 30, 2021, that have materially affected, or are reasonably likely to materially affect, internal controls over financial reporting.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48"/>
        <w:spacing w:after="0" w:line="293" w:lineRule="auto"/>
        <w:rPr>
          <w:rFonts w:ascii="Arial" w:cs="Arial" w:eastAsia="Arial" w:hAnsi="Arial"/>
          <w:sz w:val="16"/>
          <w:szCs w:val="16"/>
          <w:color w:val="auto"/>
        </w:rPr>
      </w:pPr>
      <w:r>
        <w:rPr>
          <w:rFonts w:ascii="Arial" w:cs="Arial" w:eastAsia="Arial" w:hAnsi="Arial"/>
          <w:sz w:val="16"/>
          <w:szCs w:val="16"/>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13—</w:t>
      </w:r>
      <w:hyperlink w:anchor="page34">
        <w:r>
          <w:rPr>
            <w:rFonts w:ascii="Arial" w:cs="Arial" w:eastAsia="Arial" w:hAnsi="Arial"/>
            <w:sz w:val="16"/>
            <w:szCs w:val="16"/>
            <w:u w:val="single" w:color="auto"/>
            <w:color w:val="0000FF"/>
          </w:rPr>
          <w:t>Commitments and Contingencies</w:t>
        </w:r>
      </w:hyperlink>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311" w:lineRule="auto"/>
        <w:rPr>
          <w:rFonts w:ascii="Arial" w:cs="Arial" w:eastAsia="Arial" w:hAnsi="Arial"/>
          <w:sz w:val="16"/>
          <w:szCs w:val="16"/>
          <w:color w:val="000000"/>
        </w:rPr>
      </w:pPr>
      <w:hyperlink r:id="rId85">
        <w:r>
          <w:rPr>
            <w:rFonts w:ascii="Arial" w:cs="Arial" w:eastAsia="Arial" w:hAnsi="Arial"/>
            <w:sz w:val="16"/>
            <w:szCs w:val="16"/>
            <w:color w:val="auto"/>
          </w:rPr>
          <w:t xml:space="preserve">As of the date of this filing, we continue to be subject to the risk factors previously disclosed in </w:t>
        </w:r>
        <w:r>
          <w:rPr>
            <w:rFonts w:ascii="Arial" w:cs="Arial" w:eastAsia="Arial" w:hAnsi="Arial"/>
            <w:sz w:val="16"/>
            <w:szCs w:val="16"/>
            <w:u w:val="single" w:color="auto"/>
            <w:color w:val="0000FF"/>
          </w:rPr>
          <w:t>Part I, Item 1A. Risk Factors in our Annual Report</w:t>
        </w:r>
      </w:hyperlink>
      <w:r>
        <w:rPr>
          <w:rFonts w:ascii="Arial" w:cs="Arial" w:eastAsia="Arial" w:hAnsi="Arial"/>
          <w:sz w:val="16"/>
          <w:szCs w:val="16"/>
          <w:color w:val="auto"/>
        </w:rPr>
        <w:t xml:space="preserve"> </w:t>
      </w:r>
      <w:hyperlink r:id="rId85">
        <w:r>
          <w:rPr>
            <w:rFonts w:ascii="Arial" w:cs="Arial" w:eastAsia="Arial" w:hAnsi="Arial"/>
            <w:sz w:val="16"/>
            <w:szCs w:val="16"/>
            <w:u w:val="single" w:color="auto"/>
            <w:color w:val="0000FF"/>
          </w:rPr>
          <w:t>on Form 10-K</w:t>
        </w:r>
        <w:r>
          <w:rPr>
            <w:rFonts w:ascii="Arial" w:cs="Arial" w:eastAsia="Arial" w:hAnsi="Arial"/>
            <w:sz w:val="16"/>
            <w:szCs w:val="16"/>
            <w:color w:val="0000FF"/>
          </w:rPr>
          <w:t xml:space="preserve"> </w:t>
        </w:r>
        <w:r>
          <w:rPr>
            <w:rFonts w:ascii="Arial" w:cs="Arial" w:eastAsia="Arial" w:hAnsi="Arial"/>
            <w:sz w:val="16"/>
            <w:szCs w:val="16"/>
            <w:color w:val="000000"/>
          </w:rPr>
          <w:t>for the year ended December 31, 2020, filed with the SEC on February 25, 2021, and in subsequent filings we make with the SEC. There</w:t>
        </w:r>
      </w:hyperlink>
      <w:r>
        <w:rPr>
          <w:rFonts w:ascii="Arial" w:cs="Arial" w:eastAsia="Arial" w:hAnsi="Arial"/>
          <w:sz w:val="16"/>
          <w:szCs w:val="16"/>
          <w:color w:val="0000FF"/>
        </w:rPr>
        <w:t xml:space="preserve"> </w:t>
      </w:r>
      <w:r>
        <w:rPr>
          <w:rFonts w:ascii="Arial" w:cs="Arial" w:eastAsia="Arial" w:hAnsi="Arial"/>
          <w:sz w:val="16"/>
          <w:szCs w:val="16"/>
          <w:color w:val="000000"/>
        </w:rPr>
        <w:t xml:space="preserve">have been no material changes in our risk factors from those described in our </w:t>
      </w:r>
      <w:hyperlink r:id="rId85">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for the year ended December 31, 2020.</w:t>
      </w:r>
    </w:p>
    <w:p>
      <w:pPr>
        <w:spacing w:after="0" w:line="17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nine months ended September 30, 2021 was as follows:</w:t>
      </w:r>
    </w:p>
    <w:p>
      <w:pPr>
        <w:spacing w:after="0" w:line="356"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80" w:type="dxa"/>
            <w:vAlign w:val="bottom"/>
          </w:tcPr>
          <w:p>
            <w:pPr>
              <w:spacing w:after="0"/>
              <w:rPr>
                <w:sz w:val="18"/>
                <w:szCs w:val="18"/>
                <w:color w:val="auto"/>
              </w:rPr>
            </w:pPr>
          </w:p>
        </w:tc>
        <w:tc>
          <w:tcPr>
            <w:tcW w:w="18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212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w w:val="91"/>
              </w:rPr>
              <w:t>Value of Shares that May</w:t>
            </w:r>
          </w:p>
        </w:tc>
        <w:tc>
          <w:tcPr>
            <w:tcW w:w="0" w:type="dxa"/>
            <w:vAlign w:val="bottom"/>
          </w:tcPr>
          <w:p>
            <w:pPr>
              <w:spacing w:after="0"/>
              <w:rPr>
                <w:sz w:val="1"/>
                <w:szCs w:val="1"/>
                <w:color w:val="auto"/>
              </w:rPr>
            </w:pPr>
          </w:p>
        </w:tc>
      </w:tr>
      <w:tr>
        <w:trPr>
          <w:trHeight w:val="175"/>
        </w:trPr>
        <w:tc>
          <w:tcPr>
            <w:tcW w:w="390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Period</w:t>
            </w: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Price Paid</w:t>
            </w:r>
          </w:p>
        </w:tc>
        <w:tc>
          <w:tcPr>
            <w:tcW w:w="2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Publicly</w:t>
            </w:r>
          </w:p>
        </w:tc>
        <w:tc>
          <w:tcPr>
            <w:tcW w:w="2120" w:type="dxa"/>
            <w:vAlign w:val="bottom"/>
            <w:gridSpan w:val="2"/>
          </w:tcPr>
          <w:p>
            <w:pPr>
              <w:jc w:val="center"/>
              <w:ind w:left="30"/>
              <w:spacing w:after="0" w:line="176" w:lineRule="exact"/>
              <w:rPr>
                <w:sz w:val="20"/>
                <w:szCs w:val="20"/>
                <w:color w:val="auto"/>
              </w:rPr>
            </w:pPr>
            <w:r>
              <w:rPr>
                <w:rFonts w:ascii="Arial" w:cs="Arial" w:eastAsia="Arial" w:hAnsi="Arial"/>
                <w:sz w:val="18"/>
                <w:szCs w:val="18"/>
                <w:b w:val="1"/>
                <w:bCs w:val="1"/>
                <w:color w:val="auto"/>
                <w:w w:val="89"/>
              </w:rPr>
              <w:t>Yet Be Purchased Under</w:t>
            </w:r>
          </w:p>
        </w:tc>
        <w:tc>
          <w:tcPr>
            <w:tcW w:w="0" w:type="dxa"/>
            <w:vAlign w:val="bottom"/>
          </w:tcPr>
          <w:p>
            <w:pPr>
              <w:spacing w:after="0"/>
              <w:rPr>
                <w:sz w:val="1"/>
                <w:szCs w:val="1"/>
                <w:color w:val="auto"/>
              </w:rPr>
            </w:pPr>
          </w:p>
        </w:tc>
      </w:tr>
      <w:tr>
        <w:trPr>
          <w:trHeight w:val="230"/>
        </w:trPr>
        <w:tc>
          <w:tcPr>
            <w:tcW w:w="3900" w:type="dxa"/>
            <w:vAlign w:val="bottom"/>
            <w:gridSpan w:val="2"/>
            <w:vMerge w:val="continue"/>
          </w:tcPr>
          <w:p>
            <w:pPr>
              <w:spacing w:after="0"/>
              <w:rPr>
                <w:sz w:val="19"/>
                <w:szCs w:val="19"/>
                <w:color w:val="auto"/>
              </w:rPr>
            </w:pPr>
          </w:p>
        </w:tc>
        <w:tc>
          <w:tcPr>
            <w:tcW w:w="142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00" w:type="dxa"/>
            <w:vAlign w:val="bottom"/>
          </w:tcPr>
          <w:p>
            <w:pPr>
              <w:spacing w:after="0"/>
              <w:rPr>
                <w:sz w:val="19"/>
                <w:szCs w:val="19"/>
                <w:color w:val="auto"/>
              </w:rPr>
            </w:pPr>
          </w:p>
        </w:tc>
        <w:tc>
          <w:tcPr>
            <w:tcW w:w="1160" w:type="dxa"/>
            <w:vAlign w:val="bottom"/>
            <w:gridSpan w:val="3"/>
          </w:tcPr>
          <w:p>
            <w:pPr>
              <w:jc w:val="center"/>
              <w:ind w:right="100"/>
              <w:spacing w:after="0" w:line="230"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3"/>
                <w:szCs w:val="23"/>
                <w:b w:val="1"/>
                <w:bCs w:val="1"/>
                <w:color w:val="auto"/>
                <w:w w:val="87"/>
                <w:vertAlign w:val="superscript"/>
              </w:rPr>
              <w:t>(2)</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280" w:type="dxa"/>
            <w:vAlign w:val="bottom"/>
          </w:tcPr>
          <w:p>
            <w:pPr>
              <w:spacing w:after="0"/>
              <w:rPr>
                <w:sz w:val="19"/>
                <w:szCs w:val="19"/>
                <w:color w:val="auto"/>
              </w:rPr>
            </w:pPr>
          </w:p>
        </w:tc>
        <w:tc>
          <w:tcPr>
            <w:tcW w:w="1840" w:type="dxa"/>
            <w:vAlign w:val="bottom"/>
          </w:tcPr>
          <w:p>
            <w:pPr>
              <w:jc w:val="center"/>
              <w:ind w:right="90"/>
              <w:spacing w:after="0" w:line="230" w:lineRule="exact"/>
              <w:rPr>
                <w:sz w:val="20"/>
                <w:szCs w:val="20"/>
                <w:color w:val="auto"/>
              </w:rPr>
            </w:pPr>
            <w:r>
              <w:rPr>
                <w:rFonts w:ascii="Arial" w:cs="Arial" w:eastAsia="Arial" w:hAnsi="Arial"/>
                <w:sz w:val="18"/>
                <w:szCs w:val="18"/>
                <w:b w:val="1"/>
                <w:bCs w:val="1"/>
                <w:color w:val="auto"/>
                <w:w w:val="87"/>
              </w:rPr>
              <w:t>the Plan</w:t>
            </w:r>
            <w:r>
              <w:rPr>
                <w:rFonts w:ascii="Arial" w:cs="Arial" w:eastAsia="Arial" w:hAnsi="Arial"/>
                <w:sz w:val="23"/>
                <w:szCs w:val="23"/>
                <w:b w:val="1"/>
                <w:bCs w:val="1"/>
                <w:color w:val="auto"/>
                <w:w w:val="87"/>
                <w:vertAlign w:val="superscript"/>
              </w:rPr>
              <w:t>(3)</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Borders>
              <w:top w:val="single" w:sz="8" w:color="auto"/>
            </w:tcBorders>
            <w:gridSpan w:val="8"/>
          </w:tcPr>
          <w:p>
            <w:pPr>
              <w:jc w:val="right"/>
              <w:ind w:right="1210"/>
              <w:spacing w:after="0"/>
              <w:rPr>
                <w:sz w:val="20"/>
                <w:szCs w:val="20"/>
                <w:color w:val="auto"/>
              </w:rPr>
            </w:pPr>
            <w:r>
              <w:rPr>
                <w:rFonts w:ascii="Arial" w:cs="Arial" w:eastAsia="Arial" w:hAnsi="Arial"/>
                <w:sz w:val="18"/>
                <w:szCs w:val="18"/>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2021 - July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August 1, 2021 - August 31,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2021 -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00" w:type="dxa"/>
            <w:vAlign w:val="bottom"/>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rFonts w:ascii="Arial" w:cs="Arial" w:eastAsia="Arial" w:hAnsi="Arial"/>
          <w:sz w:val="16"/>
          <w:szCs w:val="16"/>
          <w:color w:val="auto"/>
        </w:rPr>
      </w:pPr>
    </w:p>
    <w:p>
      <w:pPr>
        <w:ind w:left="340" w:hanging="332"/>
        <w:spacing w:after="0" w:line="258"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of common stock repurchased from employees in order to satisfy tax withholding requirements. Such shares are cancelled and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average price paid per share includes any commissions paid to repurchase stock.</w:t>
      </w:r>
    </w:p>
    <w:p>
      <w:pPr>
        <w:spacing w:after="0" w:line="9"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September 2021, the Company’s board of directors authorized a $2 billion common stock repurchase program. The stock repurchase program has no time limit and may be suspended, modified, or discontinued by the board of directors at any time.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tab/>
        <w:t>EXHIBITS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EXHIBIT INDEX</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Exhibit</w:t>
      </w:r>
    </w:p>
    <w:p>
      <w:pPr>
        <w:ind w:left="160"/>
        <w:spacing w:after="0"/>
        <w:tabs>
          <w:tab w:leader="none" w:pos="126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ectPr>
          <w:pgSz w:w="11900" w:h="16838" w:orient="portrait"/>
          <w:cols w:equalWidth="0" w:num="1">
            <w:col w:w="11180"/>
          </w:cols>
          <w:pgMar w:left="320" w:top="122" w:right="399" w:bottom="1440" w:gutter="0" w:footer="0" w:header="0"/>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3.1</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3.2</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00"/>
        <w:spacing w:after="0" w:line="274" w:lineRule="auto"/>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Amended and Restated Certificate of Incorporation of the Company (incorporated by reference to Exhibit 3.1 to the Form 10-Q, File No. 001-</w:t>
        </w:r>
      </w:hyperlink>
      <w:hyperlink r:id="rId87">
        <w:r>
          <w:rPr>
            <w:rFonts w:ascii="Arial" w:cs="Arial" w:eastAsia="Arial" w:hAnsi="Arial"/>
            <w:sz w:val="17"/>
            <w:szCs w:val="17"/>
            <w:u w:val="single" w:color="auto"/>
            <w:color w:val="0000FF"/>
          </w:rPr>
          <w:t>35700, filed by the Company with the SEC on November 16,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-288925</wp:posOffset>
            </wp:positionV>
            <wp:extent cx="7003415" cy="291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ind w:right="120"/>
        <w:spacing w:after="0" w:line="273" w:lineRule="auto"/>
        <w:rPr>
          <w:rFonts w:ascii="Arial" w:cs="Arial" w:eastAsia="Arial" w:hAnsi="Arial"/>
          <w:sz w:val="17"/>
          <w:szCs w:val="17"/>
          <w:u w:val="single" w:color="auto"/>
          <w:color w:val="0000FF"/>
        </w:rPr>
      </w:pPr>
      <w:hyperlink r:id="rId89">
        <w:r>
          <w:rPr>
            <w:rFonts w:ascii="Arial" w:cs="Arial" w:eastAsia="Arial" w:hAnsi="Arial"/>
            <w:sz w:val="17"/>
            <w:szCs w:val="17"/>
            <w:u w:val="single" w:color="auto"/>
            <w:color w:val="0000FF"/>
          </w:rPr>
          <w:t>Certificate of Amendment No. 1 of the Amended and Restated Certificate of Incorporation of the Company (incorporated by reference to</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Exhibit 3.1 to the Form 8-K, File No. 001-35700, filed by the Company with the SEC on December 12, 2016).</w:t>
        </w:r>
      </w:hyperlink>
    </w:p>
    <w:p>
      <w:pPr>
        <w:spacing w:after="0" w:line="1" w:lineRule="exact"/>
        <w:rPr>
          <w:sz w:val="20"/>
          <w:szCs w:val="20"/>
          <w:color w:val="auto"/>
        </w:rPr>
      </w:pPr>
    </w:p>
    <w:p>
      <w:pPr>
        <w:ind w:right="60"/>
        <w:spacing w:after="0" w:line="232" w:lineRule="auto"/>
        <w:rPr>
          <w:rFonts w:ascii="Arial" w:cs="Arial" w:eastAsia="Arial" w:hAnsi="Arial"/>
          <w:sz w:val="17"/>
          <w:szCs w:val="17"/>
          <w:u w:val="single" w:color="auto"/>
          <w:color w:val="0000FF"/>
        </w:rPr>
      </w:pPr>
      <w:hyperlink r:id="rId90">
        <w:r>
          <w:rPr>
            <w:rFonts w:ascii="Arial" w:cs="Arial" w:eastAsia="Arial" w:hAnsi="Arial"/>
            <w:sz w:val="17"/>
            <w:szCs w:val="17"/>
            <w:u w:val="single" w:color="auto"/>
            <w:color w:val="0000FF"/>
          </w:rPr>
          <w:t>Certificate of Amendment No. 2 to the Amended and Restated Certificate of Incorporation of the Company (incorporated by reference to</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Exhibit 3.1 to the Form 8-K, File No. 001-35700, filed by the Company with the SEC on June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-236855</wp:posOffset>
            </wp:positionV>
            <wp:extent cx="7003415"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003415" cy="2400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0" w:space="720"/>
            <w:col w:w="9900"/>
          </w:cols>
          <w:pgMar w:left="320" w:top="122" w:right="39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3.4</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4.1</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4.2</w:t>
      </w:r>
    </w:p>
    <w:p>
      <w:pPr>
        <w:spacing w:after="0" w:line="34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4.3</w:t>
      </w:r>
    </w:p>
    <w:p>
      <w:pPr>
        <w:spacing w:after="0" w:line="34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22.1</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31.1*</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31.2*</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32.1**</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32.2**</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ind w:left="40" w:right="100"/>
        <w:spacing w:after="0" w:line="274" w:lineRule="auto"/>
        <w:rPr>
          <w:rFonts w:ascii="Arial" w:cs="Arial" w:eastAsia="Arial" w:hAnsi="Arial"/>
          <w:sz w:val="17"/>
          <w:szCs w:val="17"/>
          <w:u w:val="single" w:color="auto"/>
          <w:color w:val="0000FF"/>
        </w:rPr>
      </w:pPr>
      <w:hyperlink r:id="rId92">
        <w:r>
          <w:rPr>
            <w:rFonts w:ascii="Arial" w:cs="Arial" w:eastAsia="Arial" w:hAnsi="Arial"/>
            <w:sz w:val="17"/>
            <w:szCs w:val="17"/>
            <w:u w:val="single" w:color="auto"/>
            <w:color w:val="0000FF"/>
          </w:rPr>
          <w:t>Second Amended and Restated Bylaws of the Company (incorporated by reference to Exhibit 3.1 to the Form 8-K, File No. 001-35700, filed</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by the Company with the SEC on November 19,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1905</wp:posOffset>
            </wp:positionV>
            <wp:extent cx="7003415"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jc w:val="both"/>
        <w:ind w:left="40" w:right="100"/>
        <w:spacing w:after="0" w:line="309" w:lineRule="auto"/>
        <w:rPr>
          <w:rFonts w:ascii="Arial" w:cs="Arial" w:eastAsia="Arial" w:hAnsi="Arial"/>
          <w:sz w:val="15"/>
          <w:szCs w:val="15"/>
          <w:u w:val="single" w:color="auto"/>
          <w:color w:val="0000FF"/>
        </w:rPr>
      </w:pPr>
      <w:hyperlink r:id="rId94">
        <w:r>
          <w:rPr>
            <w:rFonts w:ascii="Arial" w:cs="Arial" w:eastAsia="Arial" w:hAnsi="Arial"/>
            <w:sz w:val="15"/>
            <w:szCs w:val="15"/>
            <w:u w:val="single" w:color="auto"/>
            <w:color w:val="0000FF"/>
          </w:rPr>
          <w:t>Specimen certificate for shares of common stock, par value $0.01 per share, of the Company (incorporated by reference to Exhibit 4.1 to</w:t>
        </w:r>
      </w:hyperlink>
      <w:r>
        <w:rPr>
          <w:rFonts w:ascii="Arial" w:cs="Arial" w:eastAsia="Arial" w:hAnsi="Arial"/>
          <w:sz w:val="15"/>
          <w:szCs w:val="15"/>
          <w:u w:val="single" w:color="auto"/>
          <w:color w:val="0000FF"/>
        </w:rPr>
        <w:t xml:space="preserve"> </w:t>
      </w:r>
      <w:hyperlink r:id="rId94">
        <w:r>
          <w:rPr>
            <w:rFonts w:ascii="Arial" w:cs="Arial" w:eastAsia="Arial" w:hAnsi="Arial"/>
            <w:sz w:val="15"/>
            <w:szCs w:val="15"/>
            <w:u w:val="single" w:color="auto"/>
            <w:color w:val="0000FF"/>
          </w:rPr>
          <w:t>Amendment No. 4 to the Registration Statement on Form S-1, File No. 333-179502, filed by the Company with the SEC on August 20, 2012).</w:t>
        </w:r>
      </w:hyperlink>
    </w:p>
    <w:p>
      <w:pPr>
        <w:spacing w:after="0" w:line="1" w:lineRule="exact"/>
        <w:rPr>
          <w:sz w:val="20"/>
          <w:szCs w:val="20"/>
          <w:color w:val="auto"/>
        </w:rPr>
      </w:pPr>
    </w:p>
    <w:p>
      <w:pPr>
        <w:jc w:val="both"/>
        <w:ind w:left="40" w:right="60"/>
        <w:spacing w:after="0" w:line="221" w:lineRule="auto"/>
        <w:rPr>
          <w:rFonts w:ascii="Arial" w:cs="Arial" w:eastAsia="Arial" w:hAnsi="Arial"/>
          <w:sz w:val="17"/>
          <w:szCs w:val="17"/>
          <w:u w:val="single" w:color="auto"/>
          <w:color w:val="0000FF"/>
        </w:rPr>
      </w:pPr>
      <w:hyperlink r:id="rId95">
        <w:r>
          <w:rPr>
            <w:rFonts w:ascii="Arial" w:cs="Arial" w:eastAsia="Arial" w:hAnsi="Arial"/>
            <w:sz w:val="17"/>
            <w:szCs w:val="17"/>
            <w:u w:val="single" w:color="auto"/>
            <w:color w:val="0000FF"/>
          </w:rPr>
          <w:t>Registration Rights Agreement, dated as of February 26, 2021, by and among the Company, Guidon Operating LLC and Guidon Energy</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Holdings LP (incorporated by reference to Exhibit 4.3 to the Company’s Registration Statement on Form S-3, File No. 333-255731, filed by</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the Company with the SEC on May 3, 2021.</w:t>
        </w:r>
      </w:hyperlink>
    </w:p>
    <w:p>
      <w:pPr>
        <w:jc w:val="both"/>
        <w:ind w:left="40" w:right="60"/>
        <w:spacing w:after="0" w:line="221" w:lineRule="auto"/>
        <w:rPr>
          <w:rFonts w:ascii="Arial" w:cs="Arial" w:eastAsia="Arial" w:hAnsi="Arial"/>
          <w:sz w:val="17"/>
          <w:szCs w:val="17"/>
          <w:u w:val="single" w:color="auto"/>
          <w:color w:val="0000FF"/>
        </w:rPr>
      </w:pPr>
      <w:hyperlink r:id="rId96">
        <w:r>
          <w:rPr>
            <w:rFonts w:ascii="Arial" w:cs="Arial" w:eastAsia="Arial" w:hAnsi="Arial"/>
            <w:sz w:val="17"/>
            <w:szCs w:val="17"/>
            <w:u w:val="single" w:color="auto"/>
            <w:color w:val="0000FF"/>
          </w:rPr>
          <w:t>Letter Agreement, dated as of April 27, 2021, by and among the Company, Guidon Operating LLC and Guidon Energy Holdings LP relating to</w:t>
        </w:r>
      </w:hyperlink>
      <w:r>
        <w:rPr>
          <w:rFonts w:ascii="Arial" w:cs="Arial" w:eastAsia="Arial" w:hAnsi="Arial"/>
          <w:sz w:val="17"/>
          <w:szCs w:val="17"/>
          <w:u w:val="single" w:color="auto"/>
          <w:color w:val="0000FF"/>
        </w:rPr>
        <w:t xml:space="preserve"> </w:t>
      </w:r>
      <w:hyperlink r:id="rId96">
        <w:r>
          <w:rPr>
            <w:rFonts w:ascii="Arial" w:cs="Arial" w:eastAsia="Arial" w:hAnsi="Arial"/>
            <w:sz w:val="17"/>
            <w:szCs w:val="17"/>
            <w:u w:val="single" w:color="auto"/>
            <w:color w:val="0000FF"/>
          </w:rPr>
          <w:t>the Registration Rights Agreement referenced as Exhibit 4.2 hereto (incorporated by reference to Exhibit 4.4 to the Company’s Registration</w:t>
        </w:r>
      </w:hyperlink>
      <w:r>
        <w:rPr>
          <w:rFonts w:ascii="Arial" w:cs="Arial" w:eastAsia="Arial" w:hAnsi="Arial"/>
          <w:sz w:val="17"/>
          <w:szCs w:val="17"/>
          <w:u w:val="single" w:color="auto"/>
          <w:color w:val="0000FF"/>
        </w:rPr>
        <w:t xml:space="preserve"> </w:t>
      </w:r>
      <w:hyperlink r:id="rId96">
        <w:r>
          <w:rPr>
            <w:rFonts w:ascii="Arial" w:cs="Arial" w:eastAsia="Arial" w:hAnsi="Arial"/>
            <w:sz w:val="17"/>
            <w:szCs w:val="17"/>
            <w:u w:val="single" w:color="auto"/>
            <w:color w:val="0000FF"/>
          </w:rPr>
          <w:t>Statement on Form S-3, File No. 333-255731, filed by the Company with the SEC on May 3, 2021).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-713105</wp:posOffset>
            </wp:positionH>
            <wp:positionV relativeFrom="paragraph">
              <wp:posOffset>-339725</wp:posOffset>
            </wp:positionV>
            <wp:extent cx="7003415" cy="342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003415" cy="342900"/>
                    </a:xfrm>
                    <a:prstGeom prst="rect">
                      <a:avLst/>
                    </a:prstGeom>
                    <a:noFill/>
                  </pic:spPr>
                </pic:pic>
              </a:graphicData>
            </a:graphic>
          </wp:anchor>
        </w:drawing>
      </w:r>
    </w:p>
    <w:p>
      <w:pPr>
        <w:ind w:left="40" w:right="100"/>
        <w:spacing w:after="0" w:line="274" w:lineRule="auto"/>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List of Issuers and Guarantor Subsidiaries (incorporated by reference to Exhibit 22.1 to the Form 10-Q, File No. 001-35700, filed by the</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Company with the SEC on August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1905</wp:posOffset>
            </wp:positionV>
            <wp:extent cx="700341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ind w:left="40" w:right="120"/>
        <w:spacing w:after="0" w:line="274" w:lineRule="auto"/>
        <w:rPr>
          <w:rFonts w:ascii="Arial" w:cs="Arial" w:eastAsia="Arial" w:hAnsi="Arial"/>
          <w:sz w:val="17"/>
          <w:szCs w:val="17"/>
          <w:u w:val="single" w:color="auto"/>
          <w:color w:val="0000FF"/>
        </w:rPr>
      </w:pPr>
      <w:hyperlink w:anchor="page60">
        <w:r>
          <w:rPr>
            <w:rFonts w:ascii="Arial" w:cs="Arial" w:eastAsia="Arial" w:hAnsi="Arial"/>
            <w:sz w:val="17"/>
            <w:szCs w:val="17"/>
            <w:u w:val="single" w:color="auto"/>
            <w:color w:val="0000FF"/>
          </w:rPr>
          <w:t>Certification of Chief Executive Officer of the Registrant pursuant to Rule 13a-14(a) promulgated under the Securities Exchange Act of 1934,</w:t>
        </w:r>
      </w:hyperlink>
      <w:r>
        <w:rPr>
          <w:rFonts w:ascii="Arial" w:cs="Arial" w:eastAsia="Arial" w:hAnsi="Arial"/>
          <w:sz w:val="17"/>
          <w:szCs w:val="17"/>
          <w:u w:val="single" w:color="auto"/>
          <w:color w:val="0000FF"/>
        </w:rPr>
        <w:t xml:space="preserve"> </w:t>
      </w:r>
      <w:hyperlink w:anchor="page60">
        <w:r>
          <w:rPr>
            <w:rFonts w:ascii="Arial" w:cs="Arial" w:eastAsia="Arial" w:hAnsi="Arial"/>
            <w:sz w:val="17"/>
            <w:szCs w:val="17"/>
            <w:u w:val="single" w:color="auto"/>
            <w:color w:val="0000FF"/>
          </w:rPr>
          <w:t>as amended.</w:t>
        </w:r>
      </w:hyperlink>
    </w:p>
    <w:p>
      <w:pPr>
        <w:spacing w:after="0" w:line="13" w:lineRule="exact"/>
        <w:rPr>
          <w:sz w:val="20"/>
          <w:szCs w:val="20"/>
          <w:color w:val="auto"/>
        </w:rPr>
      </w:pPr>
    </w:p>
    <w:p>
      <w:pPr>
        <w:ind w:left="40" w:right="100"/>
        <w:spacing w:after="0" w:line="274" w:lineRule="auto"/>
        <w:rPr>
          <w:rFonts w:ascii="Arial" w:cs="Arial" w:eastAsia="Arial" w:hAnsi="Arial"/>
          <w:sz w:val="17"/>
          <w:szCs w:val="17"/>
          <w:u w:val="single" w:color="auto"/>
          <w:color w:val="0000FF"/>
        </w:rPr>
      </w:pPr>
      <w:hyperlink w:anchor="page61">
        <w:r>
          <w:rPr>
            <w:rFonts w:ascii="Arial" w:cs="Arial" w:eastAsia="Arial" w:hAnsi="Arial"/>
            <w:sz w:val="17"/>
            <w:szCs w:val="17"/>
            <w:u w:val="single" w:color="auto"/>
            <w:color w:val="0000FF"/>
          </w:rPr>
          <w:t>Certification of Chief Financial Officer of the Registrant pursuant to Rule 13a-14(a) promulgated under the Securities Exchange Act of 1934,</w:t>
        </w:r>
      </w:hyperlink>
      <w:r>
        <w:rPr>
          <w:rFonts w:ascii="Arial" w:cs="Arial" w:eastAsia="Arial" w:hAnsi="Arial"/>
          <w:sz w:val="17"/>
          <w:szCs w:val="17"/>
          <w:u w:val="single" w:color="auto"/>
          <w:color w:val="0000FF"/>
        </w:rPr>
        <w:t xml:space="preserve"> </w:t>
      </w:r>
      <w:hyperlink w:anchor="page61">
        <w:r>
          <w:rPr>
            <w:rFonts w:ascii="Arial" w:cs="Arial" w:eastAsia="Arial" w:hAnsi="Arial"/>
            <w:sz w:val="17"/>
            <w:szCs w:val="17"/>
            <w:u w:val="single" w:color="auto"/>
            <w:color w:val="0000FF"/>
          </w:rPr>
          <w:t>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1905</wp:posOffset>
            </wp:positionV>
            <wp:extent cx="7003415"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ind w:left="40" w:right="100"/>
        <w:spacing w:after="0" w:line="274" w:lineRule="auto"/>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Certification of Chief Executive Officer of the Registrant pursuant to Rule 13a-14(b) promulgated under the Securities Exchange Act of 1934,</w:t>
        </w:r>
      </w:hyperlink>
      <w:r>
        <w:rPr>
          <w:rFonts w:ascii="Arial" w:cs="Arial" w:eastAsia="Arial" w:hAnsi="Arial"/>
          <w:sz w:val="17"/>
          <w:szCs w:val="17"/>
          <w:u w:val="single" w:color="auto"/>
          <w:color w:val="0000FF"/>
        </w:rPr>
        <w:t xml:space="preserve"> </w:t>
      </w:r>
      <w:hyperlink w:anchor="page62">
        <w:r>
          <w:rPr>
            <w:rFonts w:ascii="Arial" w:cs="Arial" w:eastAsia="Arial" w:hAnsi="Arial"/>
            <w:sz w:val="17"/>
            <w:szCs w:val="17"/>
            <w:u w:val="single" w:color="auto"/>
            <w:color w:val="0000FF"/>
          </w:rPr>
          <w:t>as amended, and Section 1350 of Chapter 63 of Title 18 of the United States Code.</w:t>
        </w:r>
      </w:hyperlink>
    </w:p>
    <w:p>
      <w:pPr>
        <w:spacing w:after="0" w:line="13" w:lineRule="exact"/>
        <w:rPr>
          <w:sz w:val="20"/>
          <w:szCs w:val="20"/>
          <w:color w:val="auto"/>
        </w:rPr>
      </w:pPr>
    </w:p>
    <w:p>
      <w:pPr>
        <w:ind w:left="40" w:right="100"/>
        <w:spacing w:after="0" w:line="273" w:lineRule="auto"/>
        <w:rPr>
          <w:rFonts w:ascii="Arial" w:cs="Arial" w:eastAsia="Arial" w:hAnsi="Arial"/>
          <w:sz w:val="17"/>
          <w:szCs w:val="17"/>
          <w:u w:val="single" w:color="auto"/>
          <w:color w:val="0000FF"/>
        </w:rPr>
      </w:pPr>
      <w:hyperlink w:anchor="page63">
        <w:r>
          <w:rPr>
            <w:rFonts w:ascii="Arial" w:cs="Arial" w:eastAsia="Arial" w:hAnsi="Arial"/>
            <w:sz w:val="17"/>
            <w:szCs w:val="17"/>
            <w:u w:val="single" w:color="auto"/>
            <w:color w:val="0000FF"/>
          </w:rPr>
          <w:t>Certification of Chief Financial Officer of the Registrant pursuant to Rule 13a-14(b) promulgated under the Securities Exchange Act of 1934,</w:t>
        </w:r>
      </w:hyperlink>
      <w:r>
        <w:rPr>
          <w:rFonts w:ascii="Arial" w:cs="Arial" w:eastAsia="Arial" w:hAnsi="Arial"/>
          <w:sz w:val="17"/>
          <w:szCs w:val="17"/>
          <w:u w:val="single" w:color="auto"/>
          <w:color w:val="0000FF"/>
        </w:rPr>
        <w:t xml:space="preserve"> </w:t>
      </w:r>
      <w:hyperlink w:anchor="page63">
        <w:r>
          <w:rPr>
            <w:rFonts w:ascii="Arial" w:cs="Arial" w:eastAsia="Arial" w:hAnsi="Arial"/>
            <w:sz w:val="17"/>
            <w:szCs w:val="17"/>
            <w:u w:val="single" w:color="auto"/>
            <w:color w:val="0000FF"/>
          </w:rPr>
          <w:t>as amended, and Section 1350 of Chapter 63 of Title 18 of the United States Code.</w:t>
        </w:r>
      </w:hyperlink>
    </w:p>
    <w:p>
      <w:pPr>
        <w:spacing w:after="0" w:line="1" w:lineRule="exact"/>
        <w:rPr>
          <w:sz w:val="20"/>
          <w:szCs w:val="20"/>
          <w:color w:val="auto"/>
        </w:rPr>
      </w:pPr>
    </w:p>
    <w:p>
      <w:pPr>
        <w:jc w:val="both"/>
        <w:ind w:right="60"/>
        <w:spacing w:after="0" w:line="215" w:lineRule="auto"/>
        <w:rPr>
          <w:sz w:val="20"/>
          <w:szCs w:val="20"/>
          <w:color w:val="auto"/>
        </w:rPr>
      </w:pPr>
      <w:r>
        <w:rPr>
          <w:rFonts w:ascii="Arial" w:cs="Arial" w:eastAsia="Arial" w:hAnsi="Arial"/>
          <w:sz w:val="17"/>
          <w:szCs w:val="17"/>
          <w:color w:val="auto"/>
        </w:rPr>
        <w:t>The following financial information from the Company’s Quarterly Report on Form 10-Q for the quarter ended September 30, 2021,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-441325</wp:posOffset>
            </wp:positionV>
            <wp:extent cx="7003415" cy="445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003415" cy="44577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640" w:space="600"/>
            <w:col w:w="9940"/>
          </w:cols>
          <w:pgMar w:left="320" w:top="122" w:right="399" w:bottom="1440" w:gutter="0" w:footer="0" w:header="0"/>
          <w:type w:val="continuous"/>
        </w:sectPr>
      </w:pPr>
    </w:p>
    <w:p>
      <w:pPr>
        <w:ind w:left="160"/>
        <w:spacing w:after="0"/>
        <w:tabs>
          <w:tab w:leader="none" w:pos="12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as Inline XBRL and contained in Exhibit 101).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27" w:lineRule="exact"/>
        <w:rPr>
          <w:sz w:val="20"/>
          <w:szCs w:val="20"/>
          <w:color w:val="auto"/>
        </w:rPr>
      </w:pPr>
    </w:p>
    <w:p>
      <w:pPr>
        <w:ind w:left="540" w:hanging="47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29" w:lineRule="exact"/>
        <w:rPr>
          <w:sz w:val="20"/>
          <w:szCs w:val="20"/>
          <w:color w:val="auto"/>
        </w:rPr>
      </w:pPr>
    </w:p>
    <w:p>
      <w:pPr>
        <w:jc w:val="both"/>
        <w:ind w:left="540" w:hanging="474"/>
        <w:spacing w:after="0" w:line="221"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DIAMONDBACK ENERGY, INC.</w:t>
            </w: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360"/>
              <w:spacing w:after="0"/>
              <w:rPr>
                <w:sz w:val="20"/>
                <w:szCs w:val="20"/>
                <w:color w:val="auto"/>
              </w:rPr>
            </w:pPr>
            <w:r>
              <w:rPr>
                <w:rFonts w:ascii="Arial" w:cs="Arial" w:eastAsia="Arial" w:hAnsi="Arial"/>
                <w:sz w:val="18"/>
                <w:szCs w:val="18"/>
                <w:color w:val="auto"/>
              </w:rPr>
              <w:t>November 4, 2021</w:t>
            </w:r>
          </w:p>
        </w:tc>
        <w:tc>
          <w:tcPr>
            <w:tcW w:w="43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Travis D. Stice</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Travis D. Stice</w:t>
            </w:r>
          </w:p>
        </w:tc>
      </w:tr>
      <w:tr>
        <w:trPr>
          <w:trHeight w:val="230"/>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Chief Executive Officer</w:t>
            </w:r>
          </w:p>
        </w:tc>
      </w:tr>
      <w:tr>
        <w:trPr>
          <w:trHeight w:val="230"/>
        </w:trPr>
        <w:tc>
          <w:tcPr>
            <w:tcW w:w="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360"/>
              <w:spacing w:after="0"/>
              <w:rPr>
                <w:sz w:val="20"/>
                <w:szCs w:val="20"/>
                <w:color w:val="auto"/>
              </w:rPr>
            </w:pPr>
            <w:r>
              <w:rPr>
                <w:rFonts w:ascii="Arial" w:cs="Arial" w:eastAsia="Arial" w:hAnsi="Arial"/>
                <w:sz w:val="18"/>
                <w:szCs w:val="18"/>
                <w:color w:val="auto"/>
              </w:rPr>
              <w:t>November 4, 2021</w:t>
            </w:r>
          </w:p>
        </w:tc>
        <w:tc>
          <w:tcPr>
            <w:tcW w:w="43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Kaes Van’t Hof</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Kaes Van’t Hof</w:t>
            </w:r>
          </w:p>
        </w:tc>
      </w:tr>
      <w:tr>
        <w:trPr>
          <w:trHeight w:val="229"/>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r>
      <w:tr>
        <w:trPr>
          <w:trHeight w:val="230"/>
        </w:trPr>
        <w:tc>
          <w:tcPr>
            <w:tcW w:w="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60" w:type="dxa"/>
            <w:vAlign w:val="bottom"/>
          </w:tcPr>
          <w:p>
            <w:pPr>
              <w:ind w:left="200"/>
              <w:spacing w:after="0"/>
              <w:rPr>
                <w:sz w:val="20"/>
                <w:szCs w:val="20"/>
                <w:color w:val="auto"/>
              </w:rPr>
            </w:pPr>
            <w:r>
              <w:rPr>
                <w:rFonts w:ascii="Arial" w:cs="Arial" w:eastAsia="Arial" w:hAnsi="Arial"/>
                <w:sz w:val="18"/>
                <w:szCs w:val="18"/>
                <w:color w:val="auto"/>
              </w:rPr>
              <w:t>November 4,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4,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4,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4,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3"/>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Roman"/>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Roman"/>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6" Type="http://schemas.openxmlformats.org/officeDocument/2006/relationships/image" Target="media/image76.png"/><Relationship Id="rId88" Type="http://schemas.openxmlformats.org/officeDocument/2006/relationships/image" Target="media/image77.png"/><Relationship Id="rId91" Type="http://schemas.openxmlformats.org/officeDocument/2006/relationships/image" Target="media/image78.png"/><Relationship Id="rId93" Type="http://schemas.openxmlformats.org/officeDocument/2006/relationships/image" Target="media/image79.png"/><Relationship Id="rId97"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7" Type="http://schemas.openxmlformats.org/officeDocument/2006/relationships/hyperlink" Target="https://www.sec.gov/ix?doc=/Archives/edgar/data/1539838/000153983821000015/fang-20201231.htm" TargetMode="External"/><Relationship Id="rId81" Type="http://schemas.openxmlformats.org/officeDocument/2006/relationships/hyperlink" Target="http://www.sec.gov/ix?doc=/Archives/edgar/data/1539838/000153983821000015/fang-20201231.htm" TargetMode="External"/><Relationship Id="rId85" Type="http://schemas.openxmlformats.org/officeDocument/2006/relationships/hyperlink" Target="https://www.sec.gov/ix?doc=/Archives/edgar/data/1539838/000153983821000015/fang-20201231.htm#i4b770a66acfe418cb1b377f3d113fa9f_25" TargetMode="External"/><Relationship Id="rId87" Type="http://schemas.openxmlformats.org/officeDocument/2006/relationships/hyperlink" Target="http://www.sec.gov/Archives/edgar/data/1539838/000153983812000004/exhibit31amendcertofincorp.htm" TargetMode="External"/><Relationship Id="rId89" Type="http://schemas.openxmlformats.org/officeDocument/2006/relationships/hyperlink" Target="http://www.sec.gov/Archives/edgar/data/1539838/000153983816000266/diamondbackex31-12x12x16.htm" TargetMode="External"/><Relationship Id="rId90" Type="http://schemas.openxmlformats.org/officeDocument/2006/relationships/hyperlink" Target="https://www.sec.gov/Archives/edgar/data/1539838/000153983821000095/diamondbackex31-6x2x21.htm" TargetMode="External"/><Relationship Id="rId92" Type="http://schemas.openxmlformats.org/officeDocument/2006/relationships/hyperlink" Target="https://www.sec.gov/Archives/edgar/data/1539838/000153983819000122/diamondbackex31-11x19x.htm" TargetMode="External"/><Relationship Id="rId94" Type="http://schemas.openxmlformats.org/officeDocument/2006/relationships/hyperlink" Target="http://www.sec.gov/Archives/edgar/data/1539838/000119312512360997/d295327dex41.htm" TargetMode="External"/><Relationship Id="rId95" Type="http://schemas.openxmlformats.org/officeDocument/2006/relationships/hyperlink" Target="https://www.sec.gov/Archives/edgar/data/1539838/000119312521148164/d301323dex43.htm" TargetMode="External"/><Relationship Id="rId96" Type="http://schemas.openxmlformats.org/officeDocument/2006/relationships/hyperlink" Target="https://www.sec.gov/Archives/edgar/data/1539838/000119312521148164/d301323dex44.htm" TargetMode="External"/><Relationship Id="rId98" Type="http://schemas.openxmlformats.org/officeDocument/2006/relationships/hyperlink" Target="https://www.sec.gov/Archives/edgar/data/1539838/000153983821000117/diamondback-ex211x8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2021-11-04T15:51:51Z</dcterms:created>
  <dcterms:modified xsi:type="dcterms:W3CDTF">2021-11-04T15:51:51Z</dcterms:modified>
</cp:coreProperties>
</file>