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46990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41275</wp:posOffset>
            </wp:positionV>
            <wp:extent cx="2614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93" w:lineRule="exact"/>
        <w:rPr>
          <w:sz w:val="24"/>
          <w:szCs w:val="24"/>
          <w:color w:val="auto"/>
        </w:rPr>
      </w:pPr>
    </w:p>
    <w:p>
      <w:pPr>
        <w:ind w:left="980" w:right="360" w:hanging="617"/>
        <w:spacing w:after="0" w:line="235"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980" w:right="360" w:hanging="617"/>
        <w:spacing w:after="0" w:line="235"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Diamondback Energy,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71"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Arial" w:cs="Arial" w:eastAsia="Arial" w:hAnsi="Arial"/>
                <w:sz w:val="16"/>
                <w:szCs w:val="16"/>
                <w:b w:val="1"/>
                <w:bCs w:val="1"/>
                <w:color w:val="auto"/>
              </w:rPr>
              <w:t>45-4502447</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4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r>
      <w:tr>
        <w:trPr>
          <w:trHeight w:val="21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Suite 1200</w:t>
            </w:r>
          </w:p>
        </w:tc>
        <w:tc>
          <w:tcPr>
            <w:tcW w:w="3640" w:type="dxa"/>
            <w:vAlign w:val="bottom"/>
          </w:tcPr>
          <w:p>
            <w:pPr>
              <w:spacing w:after="0"/>
              <w:rPr>
                <w:sz w:val="18"/>
                <w:szCs w:val="18"/>
                <w:color w:val="auto"/>
              </w:rPr>
            </w:pPr>
          </w:p>
        </w:tc>
      </w:tr>
      <w:tr>
        <w:trPr>
          <w:trHeight w:val="216"/>
        </w:trPr>
        <w:tc>
          <w:tcPr>
            <w:tcW w:w="4980" w:type="dxa"/>
            <w:vAlign w:val="bottom"/>
          </w:tcPr>
          <w:p>
            <w:pPr>
              <w:ind w:left="140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2"/>
              </w:rPr>
              <w:t>(Zip code)</w:t>
            </w:r>
          </w:p>
        </w:tc>
      </w:tr>
    </w:tbl>
    <w:p>
      <w:pPr>
        <w:spacing w:after="0" w:line="3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472" w:right="339" w:bottom="1440" w:gutter="0" w:footer="0" w:header="0"/>
        </w:sectPr>
      </w:pPr>
    </w:p>
    <w:p>
      <w:pPr>
        <w:spacing w:after="0" w:line="154"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1920" w:space="720"/>
            <w:col w:w="3620"/>
          </w:cols>
          <w:pgMar w:left="320" w:top="472" w:right="339"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55" w:lineRule="exact"/>
        <w:rPr>
          <w:sz w:val="24"/>
          <w:szCs w:val="24"/>
          <w:color w:val="auto"/>
        </w:rPr>
      </w:pPr>
    </w:p>
    <w:p>
      <w:pPr>
        <w:sectPr>
          <w:pgSz w:w="11900" w:h="16838" w:orient="portrait"/>
          <w:cols w:equalWidth="0" w:num="3">
            <w:col w:w="4680" w:space="720"/>
            <w:col w:w="1980" w:space="720"/>
            <w:col w:w="3140"/>
          </w:cols>
          <w:pgMar w:left="320" w:top="472" w:right="339" w:bottom="1440" w:gutter="0" w:footer="0" w:header="0"/>
          <w:type w:val="continuous"/>
        </w:sectPr>
      </w:pPr>
    </w:p>
    <w:p>
      <w:pPr>
        <w:ind w:left="802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472" w:right="339" w:bottom="1440" w:gutter="0" w:footer="0" w:header="0"/>
          <w:type w:val="continuous"/>
        </w:sectPr>
      </w:pPr>
    </w:p>
    <w:p>
      <w:pPr>
        <w:spacing w:after="0" w:line="354" w:lineRule="exact"/>
        <w:rPr>
          <w:sz w:val="24"/>
          <w:szCs w:val="24"/>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30" w:lineRule="exact"/>
        <w:rPr>
          <w:sz w:val="24"/>
          <w:szCs w:val="24"/>
          <w:color w:val="auto"/>
        </w:rPr>
      </w:pPr>
    </w:p>
    <w:p>
      <w:pPr>
        <w:ind w:right="4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2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8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8"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4" w:lineRule="exact"/>
        <w:rPr>
          <w:sz w:val="24"/>
          <w:szCs w:val="24"/>
          <w:color w:val="auto"/>
        </w:rPr>
      </w:pPr>
    </w:p>
    <w:p>
      <w:pPr>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As of July 30, 2021, the registrant had 181,053,648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0"/>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8"/>
            <w:shd w:val="clear" w:color="auto" w:fill="CCEEFF"/>
          </w:tcPr>
          <w:p>
            <w:pPr>
              <w:spacing w:after="0" w:line="149" w:lineRule="exact"/>
              <w:rPr>
                <w:rFonts w:ascii="Arial" w:cs="Arial" w:eastAsia="Arial" w:hAnsi="Arial"/>
                <w:sz w:val="17"/>
                <w:szCs w:val="17"/>
                <w:color w:val="0000FF"/>
                <w:w w:val="95"/>
              </w:rPr>
            </w:pPr>
            <w:hyperlink w:anchor="page2">
              <w:r>
                <w:rPr>
                  <w:rFonts w:ascii="Arial" w:cs="Arial" w:eastAsia="Arial" w:hAnsi="Arial"/>
                  <w:sz w:val="17"/>
                  <w:szCs w:val="17"/>
                  <w:color w:val="0000FF"/>
                  <w:w w:val="95"/>
                </w:rPr>
                <w:t>Glossary of Oil and Natural Gas Terms</w:t>
              </w:r>
            </w:hyperlink>
          </w:p>
        </w:tc>
        <w:tc>
          <w:tcPr>
            <w:tcW w:w="7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right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shd w:val="clear" w:color="auto" w:fill="CCEEFF"/>
          </w:tcPr>
          <w:p>
            <w:pPr>
              <w:jc w:val="center"/>
              <w:ind w:right="280"/>
              <w:spacing w:after="0" w:line="169"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560" w:type="dxa"/>
            <w:vAlign w:val="bottom"/>
            <w:gridSpan w:val="23"/>
          </w:tcPr>
          <w:p>
            <w:pPr>
              <w:spacing w:after="0" w:line="183" w:lineRule="exact"/>
              <w:rPr>
                <w:rFonts w:ascii="Arial" w:cs="Arial" w:eastAsia="Arial" w:hAnsi="Arial"/>
                <w:sz w:val="18"/>
                <w:szCs w:val="18"/>
                <w:color w:val="0000FF"/>
              </w:rPr>
            </w:pPr>
            <w:hyperlink w:anchor="page4">
              <w:r>
                <w:rPr>
                  <w:rFonts w:ascii="Arial" w:cs="Arial" w:eastAsia="Arial" w:hAnsi="Arial"/>
                  <w:sz w:val="18"/>
                  <w:szCs w:val="18"/>
                  <w:color w:val="0000FF"/>
                </w:rPr>
                <w:t>Glossary of Certain Other Terms</w:t>
              </w:r>
            </w:hyperlink>
          </w:p>
        </w:tc>
        <w:tc>
          <w:tcPr>
            <w:tcW w:w="280" w:type="dxa"/>
            <w:vAlign w:val="bottom"/>
          </w:tcPr>
          <w:p>
            <w:pPr>
              <w:spacing w:after="0"/>
              <w:rPr>
                <w:sz w:val="15"/>
                <w:szCs w:val="15"/>
                <w:color w:val="auto"/>
              </w:rPr>
            </w:pPr>
          </w:p>
        </w:tc>
        <w:tc>
          <w:tcPr>
            <w:tcW w:w="380" w:type="dxa"/>
            <w:vAlign w:val="bottom"/>
            <w:gridSpan w:val="3"/>
          </w:tcPr>
          <w:p>
            <w:pPr>
              <w:jc w:val="center"/>
              <w:ind w:right="260"/>
              <w:spacing w:after="0" w:line="183"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3"/>
            <w:shd w:val="clear" w:color="auto" w:fill="CCEEFF"/>
          </w:tcPr>
          <w:p>
            <w:pPr>
              <w:jc w:val="center"/>
              <w:ind w:right="280"/>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v</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gridSpan w:val="12"/>
            <w:shd w:val="clear" w:color="auto" w:fill="CCEEFF"/>
          </w:tcPr>
          <w:p>
            <w:pPr>
              <w:jc w:val="center"/>
              <w:spacing w:after="0" w:line="189" w:lineRule="exact"/>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PART I. FINANCIAL INFORMATION</w:t>
              </w:r>
            </w:hyperlink>
          </w:p>
        </w:tc>
        <w:tc>
          <w:tcPr>
            <w:tcW w:w="34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Item 1. Condensed Consolidated Financial Statements (Unaudited)</w:t>
              </w:r>
            </w:hyperlink>
          </w:p>
        </w:tc>
        <w:tc>
          <w:tcPr>
            <w:tcW w:w="380" w:type="dxa"/>
            <w:vAlign w:val="bottom"/>
            <w:gridSpan w:val="2"/>
          </w:tcPr>
          <w:p>
            <w:pPr>
              <w:jc w:val="center"/>
              <w:ind w:left="190"/>
              <w:spacing w:after="0" w:line="189"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1</w:t>
              </w:r>
            </w:hyperlink>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0000FF"/>
            </w:tcBorders>
            <w:gridSpan w:val="8"/>
            <w:shd w:val="clear" w:color="auto" w:fill="CCEEFF"/>
          </w:tcPr>
          <w:p>
            <w:pPr>
              <w:spacing w:after="0" w:line="182" w:lineRule="exact"/>
              <w:rPr>
                <w:rFonts w:ascii="Arial" w:cs="Arial" w:eastAsia="Arial" w:hAnsi="Arial"/>
                <w:sz w:val="18"/>
                <w:szCs w:val="18"/>
                <w:color w:val="0000FF"/>
                <w:w w:val="87"/>
              </w:rPr>
            </w:pPr>
            <w:hyperlink w:anchor="page8">
              <w:r>
                <w:rPr>
                  <w:rFonts w:ascii="Arial" w:cs="Arial" w:eastAsia="Arial" w:hAnsi="Arial"/>
                  <w:sz w:val="18"/>
                  <w:szCs w:val="18"/>
                  <w:color w:val="0000FF"/>
                  <w:w w:val="87"/>
                </w:rPr>
                <w:t>Condensed Consolidated Balance Sheets</w:t>
              </w:r>
            </w:hyperlink>
          </w:p>
        </w:tc>
        <w:tc>
          <w:tcPr>
            <w:tcW w:w="64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center"/>
              <w:ind w:left="190"/>
              <w:spacing w:after="0" w:line="196" w:lineRule="exact"/>
              <w:rPr>
                <w:rFonts w:ascii="Arial" w:cs="Arial" w:eastAsia="Arial" w:hAnsi="Arial"/>
                <w:sz w:val="18"/>
                <w:szCs w:val="18"/>
                <w:color w:val="0000FF"/>
                <w:w w:val="99"/>
              </w:rPr>
            </w:pPr>
            <w:hyperlink w:anchor="page8">
              <w:r>
                <w:rPr>
                  <w:rFonts w:ascii="Arial" w:cs="Arial" w:eastAsia="Arial" w:hAnsi="Arial"/>
                  <w:sz w:val="18"/>
                  <w:szCs w:val="18"/>
                  <w:color w:val="0000FF"/>
                  <w:w w:val="99"/>
                </w:rPr>
                <w:t>1</w:t>
              </w:r>
            </w:hyperlink>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9900" w:type="dxa"/>
            <w:vAlign w:val="bottom"/>
            <w:tcBorders>
              <w:top w:val="single" w:sz="8" w:color="CCEEFF"/>
            </w:tcBorders>
            <w:gridSpan w:val="22"/>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Operations</w:t>
              </w:r>
            </w:hyperlink>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3</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Stockholders’ Equity</w:t>
              </w:r>
            </w:hyperlink>
          </w:p>
        </w:tc>
        <w:tc>
          <w:tcPr>
            <w:tcW w:w="380" w:type="dxa"/>
            <w:vAlign w:val="bottom"/>
            <w:gridSpan w:val="2"/>
            <w:shd w:val="clear" w:color="auto" w:fill="CCEEFF"/>
          </w:tcPr>
          <w:p>
            <w:pPr>
              <w:jc w:val="center"/>
              <w:ind w:left="190"/>
              <w:spacing w:after="0" w:line="189" w:lineRule="exact"/>
              <w:rPr>
                <w:rFonts w:ascii="Arial" w:cs="Arial" w:eastAsia="Arial" w:hAnsi="Arial"/>
                <w:sz w:val="18"/>
                <w:szCs w:val="18"/>
                <w:color w:val="0000FF"/>
                <w:w w:val="99"/>
              </w:rPr>
            </w:pPr>
            <w:hyperlink w:anchor="page10">
              <w:r>
                <w:rPr>
                  <w:rFonts w:ascii="Arial" w:cs="Arial" w:eastAsia="Arial" w:hAnsi="Arial"/>
                  <w:sz w:val="18"/>
                  <w:szCs w:val="18"/>
                  <w:color w:val="0000FF"/>
                  <w:w w:val="99"/>
                </w:rPr>
                <w:t>4</w:t>
              </w:r>
            </w:hyperlink>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380" w:type="dxa"/>
            <w:vAlign w:val="bottom"/>
            <w:tcBorders>
              <w:top w:val="single" w:sz="8" w:color="0000FF"/>
            </w:tcBorders>
            <w:gridSpan w:val="18"/>
          </w:tcPr>
          <w:p>
            <w:pPr>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Condensed Consolidated Statements of Cash Flows</w:t>
              </w:r>
            </w:hyperlink>
          </w:p>
        </w:tc>
        <w:tc>
          <w:tcPr>
            <w:tcW w:w="5520" w:type="dxa"/>
            <w:vAlign w:val="bottom"/>
            <w:tcBorders>
              <w:top w:val="single" w:sz="8" w:color="CCEEFF"/>
            </w:tcBorders>
            <w:gridSpan w:val="4"/>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00" w:type="dxa"/>
            <w:vAlign w:val="bottom"/>
            <w:tcBorders>
              <w:top w:val="single" w:sz="8" w:color="0000FF"/>
            </w:tcBorders>
          </w:tcPr>
          <w:p>
            <w:pPr>
              <w:jc w:val="center"/>
              <w:spacing w:after="0" w:line="189"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6</w:t>
              </w:r>
            </w:hyperlink>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900" w:type="dxa"/>
            <w:vAlign w:val="bottom"/>
            <w:gridSpan w:val="22"/>
            <w:shd w:val="clear" w:color="auto" w:fill="CCEEFF"/>
          </w:tcPr>
          <w:p>
            <w:pPr>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Condensed Notes to Consolidated Financial Statements</w:t>
              </w:r>
            </w:hyperlink>
          </w:p>
        </w:tc>
        <w:tc>
          <w:tcPr>
            <w:tcW w:w="380" w:type="dxa"/>
            <w:vAlign w:val="bottom"/>
            <w:gridSpan w:val="2"/>
            <w:shd w:val="clear" w:color="auto" w:fill="CCEEFF"/>
          </w:tcPr>
          <w:p>
            <w:pPr>
              <w:jc w:val="center"/>
              <w:ind w:left="190"/>
              <w:spacing w:after="0" w:line="189" w:lineRule="exact"/>
              <w:rPr>
                <w:rFonts w:ascii="Arial" w:cs="Arial" w:eastAsia="Arial" w:hAnsi="Arial"/>
                <w:sz w:val="18"/>
                <w:szCs w:val="18"/>
                <w:color w:val="0000FF"/>
                <w:w w:val="99"/>
              </w:rPr>
            </w:pPr>
            <w:hyperlink w:anchor="page14">
              <w:r>
                <w:rPr>
                  <w:rFonts w:ascii="Arial" w:cs="Arial" w:eastAsia="Arial" w:hAnsi="Arial"/>
                  <w:sz w:val="18"/>
                  <w:szCs w:val="18"/>
                  <w:color w:val="0000FF"/>
                  <w:w w:val="99"/>
                </w:rPr>
                <w:t>8</w:t>
              </w:r>
            </w:hyperlink>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32</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9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Item 3. Quantitative and Qualitative Disclosures About Market Risk</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47</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60" w:type="dxa"/>
            <w:vAlign w:val="bottom"/>
            <w:gridSpan w:val="23"/>
            <w:shd w:val="clear" w:color="auto" w:fill="CCEEFF"/>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Item 4. Controls and Procedures</w:t>
              </w:r>
            </w:hyperlink>
          </w:p>
        </w:tc>
        <w:tc>
          <w:tcPr>
            <w:tcW w:w="660" w:type="dxa"/>
            <w:vAlign w:val="bottom"/>
            <w:gridSpan w:val="4"/>
            <w:shd w:val="clear" w:color="auto" w:fill="CCEEFF"/>
          </w:tcPr>
          <w:p>
            <w:pPr>
              <w:jc w:val="center"/>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48</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9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340" w:type="dxa"/>
            <w:vAlign w:val="bottom"/>
            <w:gridSpan w:val="12"/>
            <w:shd w:val="clear" w:color="auto" w:fill="CCEEFF"/>
          </w:tcPr>
          <w:p>
            <w:pPr>
              <w:jc w:val="center"/>
              <w:ind w:right="3580"/>
              <w:spacing w:after="0" w:line="189" w:lineRule="exact"/>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PART II. OTHER INFORMATION</w:t>
              </w:r>
            </w:hyperlink>
          </w:p>
        </w:tc>
        <w:tc>
          <w:tcPr>
            <w:tcW w:w="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220" w:type="dxa"/>
            <w:vAlign w:val="bottom"/>
            <w:tcBorders>
              <w:top w:val="single" w:sz="8" w:color="CCEEFF"/>
            </w:tcBorders>
            <w:gridSpan w:val="11"/>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1. Legal Proceedings</w:t>
              </w:r>
            </w:hyperlink>
          </w:p>
        </w:tc>
        <w:tc>
          <w:tcPr>
            <w:tcW w:w="2760" w:type="dxa"/>
            <w:vAlign w:val="bottom"/>
            <w:tcBorders>
              <w:top w:val="single" w:sz="8" w:color="0000FF"/>
            </w:tcBorders>
            <w:gridSpan w:val="9"/>
          </w:tcPr>
          <w:p>
            <w:pPr>
              <w:spacing w:after="0"/>
              <w:rPr>
                <w:sz w:val="16"/>
                <w:szCs w:val="16"/>
                <w:color w:val="auto"/>
              </w:rPr>
            </w:pPr>
          </w:p>
        </w:tc>
        <w:tc>
          <w:tcPr>
            <w:tcW w:w="3580" w:type="dxa"/>
            <w:vAlign w:val="bottom"/>
            <w:tcBorders>
              <w:top w:val="single" w:sz="8" w:color="CCEEFF"/>
            </w:tcBorders>
            <w:gridSpan w:val="3"/>
          </w:tcPr>
          <w:p>
            <w:pPr>
              <w:spacing w:after="0"/>
              <w:rPr>
                <w:sz w:val="16"/>
                <w:szCs w:val="16"/>
                <w:color w:val="auto"/>
              </w:rPr>
            </w:pPr>
          </w:p>
        </w:tc>
        <w:tc>
          <w:tcPr>
            <w:tcW w:w="660" w:type="dxa"/>
            <w:vAlign w:val="bottom"/>
            <w:tcBorders>
              <w:top w:val="single" w:sz="8" w:color="CCEEFF"/>
            </w:tcBorders>
            <w:gridSpan w:val="4"/>
          </w:tcPr>
          <w:p>
            <w:pPr>
              <w:jc w:val="center"/>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49</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1A. Risk Factors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49</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2. Unregistered Sales of Equity Securities and Use of Proceeds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49</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6. Exhibits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50</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60" w:type="dxa"/>
            <w:vAlign w:val="bottom"/>
            <w:gridSpan w:val="23"/>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Signatures</w:t>
              </w:r>
            </w:hyperlink>
          </w:p>
        </w:tc>
        <w:tc>
          <w:tcPr>
            <w:tcW w:w="660" w:type="dxa"/>
            <w:vAlign w:val="bottom"/>
            <w:gridSpan w:val="4"/>
          </w:tcPr>
          <w:p>
            <w:pPr>
              <w:jc w:val="center"/>
              <w:spacing w:after="0" w:line="189"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52</w:t>
              </w:r>
            </w:hyperlink>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is a glossary of certain oil and natural gas industry terms that are used in this Quarterly Report on Form 10-Q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5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Bbl or barrel</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89"/>
              </w:rPr>
              <w:t>One stock tank barrel, or 42 U.S. gallons liquid volume, used in this report in reference to crude oil or other liquid</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hydrocarbons.</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barrel of crude oil.</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BOE</w:t>
            </w:r>
          </w:p>
        </w:tc>
        <w:tc>
          <w:tcPr>
            <w:tcW w:w="8520" w:type="dxa"/>
            <w:vAlign w:val="bottom"/>
          </w:tcPr>
          <w:p>
            <w:pPr>
              <w:ind w:left="500"/>
              <w:spacing w:after="0"/>
              <w:rPr>
                <w:sz w:val="20"/>
                <w:szCs w:val="20"/>
                <w:color w:val="auto"/>
              </w:rPr>
            </w:pPr>
            <w:r>
              <w:rPr>
                <w:rFonts w:ascii="Arial" w:cs="Arial" w:eastAsia="Arial" w:hAnsi="Arial"/>
                <w:sz w:val="18"/>
                <w:szCs w:val="18"/>
                <w:color w:val="auto"/>
                <w:w w:val="94"/>
              </w:rPr>
              <w:t>One barrel of oil equivalent, with six thousand cubic feet of natural gas being equivalent to one barrel of oil.</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BOE/d</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BOE per day.</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British Thermal Unit or Btu</w:t>
            </w:r>
          </w:p>
        </w:tc>
        <w:tc>
          <w:tcPr>
            <w:tcW w:w="8520" w:type="dxa"/>
            <w:vAlign w:val="bottom"/>
          </w:tcPr>
          <w:p>
            <w:pPr>
              <w:ind w:left="500"/>
              <w:spacing w:after="0"/>
              <w:rPr>
                <w:sz w:val="20"/>
                <w:szCs w:val="20"/>
                <w:color w:val="auto"/>
              </w:rPr>
            </w:pPr>
            <w:r>
              <w:rPr>
                <w:rFonts w:ascii="Arial" w:cs="Arial" w:eastAsia="Arial" w:hAnsi="Arial"/>
                <w:sz w:val="18"/>
                <w:szCs w:val="18"/>
                <w:color w:val="auto"/>
                <w:w w:val="97"/>
              </w:rPr>
              <w:t>The quantity of heat required to raise the temperature of one pound of water by one degree Fahrenheit.</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Completion</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92"/>
              </w:rPr>
              <w:t>The process of treating a drilled well followed by the installation of permanent equipment for the production of</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natural gas or oil, or in the case of a dry hole, the reporting of abandonment to the appropriate agency.</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Finding and development costs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4"/>
              </w:rPr>
              <w:t>Capital costs incurred in the acquisition, exploitation and exploration of proved oil and natural gas reserves</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acres or gross wells</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Horizontal wells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94"/>
              </w:rPr>
              <w:t>Wells drilled directionally horizontal to allow for development of structures not reachable through traditional</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vertical drilling mechanisms.</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MBbl</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thousand barrels of crude oil and other liquid hydrocarbons.</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MBO/d</w:t>
            </w:r>
          </w:p>
        </w:tc>
        <w:tc>
          <w:tcPr>
            <w:tcW w:w="8520" w:type="dxa"/>
            <w:vAlign w:val="bottom"/>
          </w:tcPr>
          <w:p>
            <w:pPr>
              <w:ind w:left="500"/>
              <w:spacing w:after="0"/>
              <w:rPr>
                <w:sz w:val="20"/>
                <w:szCs w:val="20"/>
                <w:color w:val="auto"/>
              </w:rPr>
            </w:pPr>
            <w:r>
              <w:rPr>
                <w:rFonts w:ascii="Arial" w:cs="Arial" w:eastAsia="Arial" w:hAnsi="Arial"/>
                <w:sz w:val="18"/>
                <w:szCs w:val="18"/>
                <w:color w:val="auto"/>
              </w:rPr>
              <w:t>One thousand BO per day.</w:t>
            </w:r>
          </w:p>
        </w:tc>
      </w:tr>
      <w:tr>
        <w:trPr>
          <w:trHeight w:val="231"/>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MBOE/d</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One thousand BOE per day.</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Mcf</w:t>
            </w:r>
          </w:p>
        </w:tc>
        <w:tc>
          <w:tcPr>
            <w:tcW w:w="8520" w:type="dxa"/>
            <w:vAlign w:val="bottom"/>
          </w:tcPr>
          <w:p>
            <w:pPr>
              <w:ind w:left="500"/>
              <w:spacing w:after="0"/>
              <w:rPr>
                <w:sz w:val="20"/>
                <w:szCs w:val="20"/>
                <w:color w:val="auto"/>
              </w:rPr>
            </w:pPr>
            <w:r>
              <w:rPr>
                <w:rFonts w:ascii="Arial" w:cs="Arial" w:eastAsia="Arial" w:hAnsi="Arial"/>
                <w:sz w:val="18"/>
                <w:szCs w:val="18"/>
                <w:color w:val="auto"/>
              </w:rPr>
              <w:t>One thousand cubic feet of natural gas.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Mineral interests</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96"/>
              </w:rPr>
              <w:t>The interests in ownership of the resource and mineral rights, giving an owner the right to profit from the</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extracted resources.</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MMBtu</w:t>
            </w:r>
          </w:p>
        </w:tc>
        <w:tc>
          <w:tcPr>
            <w:tcW w:w="8520" w:type="dxa"/>
            <w:vAlign w:val="bottom"/>
          </w:tcPr>
          <w:p>
            <w:pPr>
              <w:ind w:left="500"/>
              <w:spacing w:after="0"/>
              <w:rPr>
                <w:sz w:val="20"/>
                <w:szCs w:val="20"/>
                <w:color w:val="auto"/>
              </w:rPr>
            </w:pPr>
            <w:r>
              <w:rPr>
                <w:rFonts w:ascii="Arial" w:cs="Arial" w:eastAsia="Arial" w:hAnsi="Arial"/>
                <w:sz w:val="18"/>
                <w:szCs w:val="18"/>
                <w:color w:val="auto"/>
              </w:rPr>
              <w:t>One million British Thermal Units.</w:t>
            </w: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acres or net wells</w:t>
            </w: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Net revenue interest</w:t>
            </w:r>
          </w:p>
        </w:tc>
        <w:tc>
          <w:tcPr>
            <w:tcW w:w="8520" w:type="dxa"/>
            <w:vAlign w:val="bottom"/>
          </w:tcPr>
          <w:p>
            <w:pPr>
              <w:ind w:left="560"/>
              <w:spacing w:after="0" w:line="181" w:lineRule="exact"/>
              <w:rPr>
                <w:sz w:val="20"/>
                <w:szCs w:val="20"/>
                <w:color w:val="auto"/>
              </w:rPr>
            </w:pPr>
            <w:r>
              <w:rPr>
                <w:rFonts w:ascii="Arial" w:cs="Arial" w:eastAsia="Arial" w:hAnsi="Arial"/>
                <w:sz w:val="18"/>
                <w:szCs w:val="18"/>
                <w:color w:val="auto"/>
                <w:w w:val="95"/>
              </w:rPr>
              <w:t>An owner’s interest in the revenues of a well after deducting proceeds allocated to royalty and overriding</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interests.</w:t>
            </w:r>
          </w:p>
        </w:tc>
      </w:tr>
      <w:tr>
        <w:trPr>
          <w:trHeight w:val="182"/>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90"/>
              </w:rPr>
              <w:t>NGLs. The combination of ethane, propane, butane and natural gasolines that when removed from natural gas</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become liquid under various levels of higher pressure and lower temperature.</w:t>
            </w:r>
          </w:p>
        </w:tc>
      </w:tr>
      <w:tr>
        <w:trPr>
          <w:trHeight w:val="228"/>
        </w:trPr>
        <w:tc>
          <w:tcPr>
            <w:tcW w:w="2720" w:type="dxa"/>
            <w:vAlign w:val="bottom"/>
          </w:tcPr>
          <w:p>
            <w:pPr>
              <w:ind w:left="20"/>
              <w:spacing w:after="0"/>
              <w:rPr>
                <w:sz w:val="20"/>
                <w:szCs w:val="20"/>
                <w:color w:val="auto"/>
              </w:rPr>
            </w:pPr>
            <w:r>
              <w:rPr>
                <w:rFonts w:ascii="Arial" w:cs="Arial" w:eastAsia="Arial" w:hAnsi="Arial"/>
                <w:sz w:val="18"/>
                <w:szCs w:val="18"/>
                <w:color w:val="auto"/>
              </w:rPr>
              <w:t>Oil and natural gas properties</w:t>
            </w:r>
          </w:p>
        </w:tc>
        <w:tc>
          <w:tcPr>
            <w:tcW w:w="8520" w:type="dxa"/>
            <w:vAlign w:val="bottom"/>
          </w:tcPr>
          <w:p>
            <w:pPr>
              <w:ind w:left="50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Plugging and abandonment</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Prospect</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88"/>
              </w:rPr>
              <w:t>A specific geographic area which, based on supporting geological, geophysical or other data and also preliminary</w:t>
            </w:r>
          </w:p>
        </w:tc>
      </w:tr>
      <w:tr>
        <w:trPr>
          <w:trHeight w:val="176"/>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88"/>
              </w:rPr>
              <w:t>economic analysis using reasonably anticipated prices and costs, is deemed to have potential for the discovery of</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rPr>
              <w:t>commercial hydrocarbons.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Proved reserves</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95"/>
              </w:rPr>
              <w:t>The estimated quantities of oil, natural gas and natural gas liquids which geological and engineering data</w:t>
            </w:r>
          </w:p>
        </w:tc>
      </w:tr>
      <w:tr>
        <w:trPr>
          <w:trHeight w:val="176"/>
        </w:trPr>
        <w:tc>
          <w:tcPr>
            <w:tcW w:w="2720" w:type="dxa"/>
            <w:vAlign w:val="bottom"/>
            <w:shd w:val="clear" w:color="auto" w:fill="CCEEFF"/>
          </w:tcPr>
          <w:p>
            <w:pPr>
              <w:spacing w:after="0"/>
              <w:rPr>
                <w:sz w:val="15"/>
                <w:szCs w:val="15"/>
                <w:color w:val="auto"/>
              </w:rPr>
            </w:pPr>
          </w:p>
        </w:tc>
        <w:tc>
          <w:tcPr>
            <w:tcW w:w="852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under existing economic and operating conditions.</w:t>
            </w:r>
          </w:p>
        </w:tc>
      </w:tr>
      <w:tr>
        <w:trPr>
          <w:trHeight w:val="181"/>
        </w:trPr>
        <w:tc>
          <w:tcPr>
            <w:tcW w:w="2720" w:type="dxa"/>
            <w:vAlign w:val="bottom"/>
          </w:tcPr>
          <w:p>
            <w:pPr>
              <w:ind w:left="20"/>
              <w:spacing w:after="0" w:line="181" w:lineRule="exact"/>
              <w:rPr>
                <w:sz w:val="20"/>
                <w:szCs w:val="20"/>
                <w:color w:val="auto"/>
              </w:rPr>
            </w:pPr>
            <w:r>
              <w:rPr>
                <w:rFonts w:ascii="Arial" w:cs="Arial" w:eastAsia="Arial" w:hAnsi="Arial"/>
                <w:sz w:val="18"/>
                <w:szCs w:val="18"/>
                <w:color w:val="auto"/>
              </w:rPr>
              <w:t>Reserves</w:t>
            </w:r>
          </w:p>
        </w:tc>
        <w:tc>
          <w:tcPr>
            <w:tcW w:w="8520" w:type="dxa"/>
            <w:vAlign w:val="bottom"/>
          </w:tcPr>
          <w:p>
            <w:pPr>
              <w:ind w:left="500"/>
              <w:spacing w:after="0" w:line="181" w:lineRule="exact"/>
              <w:rPr>
                <w:sz w:val="20"/>
                <w:szCs w:val="20"/>
                <w:color w:val="auto"/>
              </w:rPr>
            </w:pPr>
            <w:r>
              <w:rPr>
                <w:rFonts w:ascii="Arial" w:cs="Arial" w:eastAsia="Arial" w:hAnsi="Arial"/>
                <w:sz w:val="18"/>
                <w:szCs w:val="18"/>
                <w:color w:val="auto"/>
                <w:w w:val="89"/>
              </w:rPr>
              <w:t>The estimated remaining quantities of oil and natural gas and related substances anticipated to be economically</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89"/>
              </w:rPr>
              <w:t>producible, as of a given date, by application of development projects to known accumulations. In addition, there</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89"/>
              </w:rPr>
              <w:t>must exist, or there must be a reasonable expectation that there will exist, the legal right to produce or a revenue</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88"/>
              </w:rPr>
              <w:t>interest in the production, installed means of delivering oil and natural gas or related substances to the market and</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92"/>
              </w:rPr>
              <w:t>all permits and financing required to implement the project. Reserves are not assigned to adjacent reservoirs</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90"/>
              </w:rPr>
              <w:t>isolated by major, potentially sealing, faults until those reservoirs are penetrated and evaluated as economically</w:t>
            </w:r>
          </w:p>
        </w:tc>
      </w:tr>
      <w:tr>
        <w:trPr>
          <w:trHeight w:val="176"/>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88"/>
              </w:rPr>
              <w:t>producible. Reserves should not be assigned to areas that are clearly separated from a known accumulation by a</w:t>
            </w:r>
          </w:p>
        </w:tc>
      </w:tr>
      <w:tr>
        <w:trPr>
          <w:trHeight w:val="175"/>
        </w:trPr>
        <w:tc>
          <w:tcPr>
            <w:tcW w:w="2720" w:type="dxa"/>
            <w:vAlign w:val="bottom"/>
          </w:tcPr>
          <w:p>
            <w:pPr>
              <w:spacing w:after="0"/>
              <w:rPr>
                <w:sz w:val="15"/>
                <w:szCs w:val="15"/>
                <w:color w:val="auto"/>
              </w:rPr>
            </w:pPr>
          </w:p>
        </w:tc>
        <w:tc>
          <w:tcPr>
            <w:tcW w:w="8520" w:type="dxa"/>
            <w:vAlign w:val="bottom"/>
          </w:tcPr>
          <w:p>
            <w:pPr>
              <w:ind w:left="500"/>
              <w:spacing w:after="0" w:line="176" w:lineRule="exact"/>
              <w:rPr>
                <w:sz w:val="20"/>
                <w:szCs w:val="20"/>
                <w:color w:val="auto"/>
              </w:rPr>
            </w:pPr>
            <w:r>
              <w:rPr>
                <w:rFonts w:ascii="Arial" w:cs="Arial" w:eastAsia="Arial" w:hAnsi="Arial"/>
                <w:sz w:val="18"/>
                <w:szCs w:val="18"/>
                <w:color w:val="auto"/>
                <w:w w:val="88"/>
              </w:rPr>
              <w:t>non-productive reservoir (i.e., absence of reservoir, structurally low reservoir or negative test results). Such areas</w:t>
            </w:r>
          </w:p>
        </w:tc>
      </w:tr>
      <w:tr>
        <w:trPr>
          <w:trHeight w:val="223"/>
        </w:trPr>
        <w:tc>
          <w:tcPr>
            <w:tcW w:w="2720" w:type="dxa"/>
            <w:vAlign w:val="bottom"/>
          </w:tcPr>
          <w:p>
            <w:pPr>
              <w:spacing w:after="0"/>
              <w:rPr>
                <w:sz w:val="19"/>
                <w:szCs w:val="19"/>
                <w:color w:val="auto"/>
              </w:rPr>
            </w:pPr>
          </w:p>
        </w:tc>
        <w:tc>
          <w:tcPr>
            <w:tcW w:w="8520" w:type="dxa"/>
            <w:vAlign w:val="bottom"/>
          </w:tcPr>
          <w:p>
            <w:pPr>
              <w:ind w:left="500"/>
              <w:spacing w:after="0"/>
              <w:rPr>
                <w:sz w:val="20"/>
                <w:szCs w:val="20"/>
                <w:color w:val="auto"/>
              </w:rPr>
            </w:pPr>
            <w:r>
              <w:rPr>
                <w:rFonts w:ascii="Arial" w:cs="Arial" w:eastAsia="Arial" w:hAnsi="Arial"/>
                <w:sz w:val="18"/>
                <w:szCs w:val="18"/>
                <w:color w:val="auto"/>
                <w:w w:val="91"/>
              </w:rPr>
              <w:t>may contain prospective resources (i.e., potentially recoverable resources from undiscovered accumulations).</w:t>
            </w:r>
          </w:p>
        </w:tc>
      </w:tr>
      <w:tr>
        <w:trPr>
          <w:trHeight w:val="182"/>
        </w:trPr>
        <w:tc>
          <w:tcPr>
            <w:tcW w:w="27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Reservoir</w:t>
            </w:r>
          </w:p>
        </w:tc>
        <w:tc>
          <w:tcPr>
            <w:tcW w:w="8520" w:type="dxa"/>
            <w:vAlign w:val="bottom"/>
            <w:shd w:val="clear" w:color="auto" w:fill="CCEEFF"/>
          </w:tcPr>
          <w:p>
            <w:pPr>
              <w:ind w:left="500"/>
              <w:spacing w:after="0" w:line="182" w:lineRule="exact"/>
              <w:rPr>
                <w:sz w:val="20"/>
                <w:szCs w:val="20"/>
                <w:color w:val="auto"/>
              </w:rPr>
            </w:pPr>
            <w:r>
              <w:rPr>
                <w:rFonts w:ascii="Arial" w:cs="Arial" w:eastAsia="Arial" w:hAnsi="Arial"/>
                <w:sz w:val="18"/>
                <w:szCs w:val="18"/>
                <w:color w:val="auto"/>
                <w:w w:val="93"/>
              </w:rPr>
              <w:t>A porous and permeable underground formation containing a natural accumulation of producible natural gas</w:t>
            </w:r>
          </w:p>
        </w:tc>
      </w:tr>
      <w:tr>
        <w:trPr>
          <w:trHeight w:val="224"/>
        </w:trPr>
        <w:tc>
          <w:tcPr>
            <w:tcW w:w="2720" w:type="dxa"/>
            <w:vAlign w:val="bottom"/>
            <w:shd w:val="clear" w:color="auto" w:fill="CCEEFF"/>
          </w:tcPr>
          <w:p>
            <w:pPr>
              <w:spacing w:after="0"/>
              <w:rPr>
                <w:sz w:val="19"/>
                <w:szCs w:val="19"/>
                <w:color w:val="auto"/>
              </w:rPr>
            </w:pPr>
          </w:p>
        </w:tc>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and/or crude oil that is confined by impermeable rock or water barriers and is separate from other reservoirs.</w:t>
            </w: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Royalty interest</w:t>
            </w:r>
          </w:p>
        </w:tc>
        <w:tc>
          <w:tcPr>
            <w:tcW w:w="9040" w:type="dxa"/>
            <w:vAlign w:val="bottom"/>
            <w:tcBorders>
              <w:top w:val="single" w:sz="8" w:color="auto"/>
            </w:tcBorders>
          </w:tcPr>
          <w:p>
            <w:pPr>
              <w:ind w:left="1020"/>
              <w:spacing w:after="0" w:line="195" w:lineRule="exact"/>
              <w:rPr>
                <w:sz w:val="20"/>
                <w:szCs w:val="20"/>
                <w:color w:val="auto"/>
              </w:rPr>
            </w:pPr>
            <w:r>
              <w:rPr>
                <w:rFonts w:ascii="Arial" w:cs="Arial" w:eastAsia="Arial" w:hAnsi="Arial"/>
                <w:sz w:val="18"/>
                <w:szCs w:val="18"/>
                <w:color w:val="auto"/>
                <w:w w:val="89"/>
              </w:rPr>
              <w:t>An interest that gives an owner the right to receive a portion of the resources or revenues without having to carry</w:t>
            </w:r>
          </w:p>
        </w:tc>
      </w:tr>
      <w:tr>
        <w:trPr>
          <w:trHeight w:val="223"/>
        </w:trPr>
        <w:tc>
          <w:tcPr>
            <w:tcW w:w="2200" w:type="dxa"/>
            <w:vAlign w:val="bottom"/>
          </w:tcPr>
          <w:p>
            <w:pPr>
              <w:spacing w:after="0"/>
              <w:rPr>
                <w:sz w:val="19"/>
                <w:szCs w:val="19"/>
                <w:color w:val="auto"/>
              </w:rPr>
            </w:pPr>
          </w:p>
        </w:tc>
        <w:tc>
          <w:tcPr>
            <w:tcW w:w="9040" w:type="dxa"/>
            <w:vAlign w:val="bottom"/>
          </w:tcPr>
          <w:p>
            <w:pPr>
              <w:ind w:left="1020"/>
              <w:spacing w:after="0"/>
              <w:rPr>
                <w:sz w:val="20"/>
                <w:szCs w:val="20"/>
                <w:color w:val="auto"/>
              </w:rPr>
            </w:pPr>
            <w:r>
              <w:rPr>
                <w:rFonts w:ascii="Arial" w:cs="Arial" w:eastAsia="Arial" w:hAnsi="Arial"/>
                <w:sz w:val="18"/>
                <w:szCs w:val="18"/>
                <w:color w:val="auto"/>
              </w:rPr>
              <w:t>any costs of development, which may be subject to expiration.</w:t>
            </w:r>
          </w:p>
        </w:tc>
      </w:tr>
      <w:tr>
        <w:trPr>
          <w:trHeight w:val="182"/>
        </w:trPr>
        <w:tc>
          <w:tcPr>
            <w:tcW w:w="22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Working interest</w:t>
            </w:r>
          </w:p>
        </w:tc>
        <w:tc>
          <w:tcPr>
            <w:tcW w:w="9040" w:type="dxa"/>
            <w:vAlign w:val="bottom"/>
            <w:shd w:val="clear" w:color="auto" w:fill="CCEEFF"/>
          </w:tcPr>
          <w:p>
            <w:pPr>
              <w:ind w:left="1020"/>
              <w:spacing w:after="0" w:line="182" w:lineRule="exact"/>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w:t>
            </w:r>
          </w:p>
        </w:tc>
      </w:tr>
      <w:tr>
        <w:trPr>
          <w:trHeight w:val="176"/>
        </w:trPr>
        <w:tc>
          <w:tcPr>
            <w:tcW w:w="2200" w:type="dxa"/>
            <w:vAlign w:val="bottom"/>
            <w:shd w:val="clear" w:color="auto" w:fill="CCEEFF"/>
          </w:tcPr>
          <w:p>
            <w:pPr>
              <w:spacing w:after="0"/>
              <w:rPr>
                <w:sz w:val="15"/>
                <w:szCs w:val="15"/>
                <w:color w:val="auto"/>
              </w:rPr>
            </w:pPr>
          </w:p>
        </w:tc>
        <w:tc>
          <w:tcPr>
            <w:tcW w:w="9040" w:type="dxa"/>
            <w:vAlign w:val="bottom"/>
            <w:shd w:val="clear" w:color="auto" w:fill="CCEEFF"/>
          </w:tcPr>
          <w:p>
            <w:pPr>
              <w:ind w:left="1020"/>
              <w:spacing w:after="0" w:line="176" w:lineRule="exact"/>
              <w:rPr>
                <w:sz w:val="20"/>
                <w:szCs w:val="20"/>
                <w:color w:val="auto"/>
              </w:rPr>
            </w:pPr>
            <w:r>
              <w:rPr>
                <w:rFonts w:ascii="Arial" w:cs="Arial" w:eastAsia="Arial" w:hAnsi="Arial"/>
                <w:sz w:val="18"/>
                <w:szCs w:val="18"/>
                <w:color w:val="auto"/>
                <w:w w:val="93"/>
              </w:rPr>
              <w:t>property and receive a share of production and requires the owner to pay a share of the costs of drilling and</w:t>
            </w:r>
          </w:p>
        </w:tc>
      </w:tr>
      <w:tr>
        <w:trPr>
          <w:trHeight w:val="223"/>
        </w:trPr>
        <w:tc>
          <w:tcPr>
            <w:tcW w:w="2200" w:type="dxa"/>
            <w:vAlign w:val="bottom"/>
            <w:tcBorders>
              <w:bottom w:val="single" w:sz="8" w:color="auto"/>
            </w:tcBorders>
            <w:shd w:val="clear" w:color="auto" w:fill="CCEEFF"/>
          </w:tcPr>
          <w:p>
            <w:pPr>
              <w:spacing w:after="0"/>
              <w:rPr>
                <w:sz w:val="19"/>
                <w:szCs w:val="19"/>
                <w:color w:val="auto"/>
              </w:rPr>
            </w:pPr>
          </w:p>
        </w:tc>
        <w:tc>
          <w:tcPr>
            <w:tcW w:w="90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production operations.</w:t>
            </w: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8740" w:type="dxa"/>
            <w:vAlign w:val="bottom"/>
          </w:tcPr>
          <w:p>
            <w:pPr>
              <w:ind w:left="13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89"/>
        </w:trPr>
        <w:tc>
          <w:tcPr>
            <w:tcW w:w="2500" w:type="dxa"/>
            <w:vAlign w:val="bottom"/>
            <w:tcBorders>
              <w:bottom w:val="single" w:sz="8" w:color="auto"/>
            </w:tcBorders>
          </w:tcPr>
          <w:p>
            <w:pPr>
              <w:spacing w:after="0"/>
              <w:rPr>
                <w:sz w:val="16"/>
                <w:szCs w:val="16"/>
                <w:color w:val="auto"/>
              </w:rPr>
            </w:pPr>
          </w:p>
        </w:tc>
        <w:tc>
          <w:tcPr>
            <w:tcW w:w="8740" w:type="dxa"/>
            <w:vAlign w:val="bottom"/>
            <w:tcBorders>
              <w:bottom w:val="single" w:sz="8" w:color="auto"/>
            </w:tcBorders>
          </w:tcPr>
          <w:p>
            <w:pPr>
              <w:spacing w:after="0"/>
              <w:rPr>
                <w:sz w:val="16"/>
                <w:szCs w:val="16"/>
                <w:color w:val="auto"/>
              </w:rPr>
            </w:pPr>
          </w:p>
        </w:tc>
      </w:tr>
      <w:tr>
        <w:trPr>
          <w:trHeight w:val="174"/>
        </w:trPr>
        <w:tc>
          <w:tcPr>
            <w:tcW w:w="25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2019 Indenture</w:t>
            </w:r>
          </w:p>
        </w:tc>
        <w:tc>
          <w:tcPr>
            <w:tcW w:w="8740" w:type="dxa"/>
            <w:vAlign w:val="bottom"/>
            <w:shd w:val="clear" w:color="auto" w:fill="CCEEFF"/>
          </w:tcPr>
          <w:p>
            <w:pPr>
              <w:ind w:left="720"/>
              <w:spacing w:after="0" w:line="174" w:lineRule="exact"/>
              <w:rPr>
                <w:sz w:val="20"/>
                <w:szCs w:val="20"/>
                <w:color w:val="auto"/>
              </w:rPr>
            </w:pPr>
            <w:r>
              <w:rPr>
                <w:rFonts w:ascii="Arial" w:cs="Arial" w:eastAsia="Arial" w:hAnsi="Arial"/>
                <w:sz w:val="18"/>
                <w:szCs w:val="18"/>
                <w:color w:val="auto"/>
                <w:w w:val="97"/>
              </w:rPr>
              <w:t>The indenture, dated as of December 5, 2019, among the Company and Wells Fargo, as the trustee, as</w:t>
            </w:r>
          </w:p>
        </w:tc>
      </w:tr>
      <w:tr>
        <w:trPr>
          <w:trHeight w:val="175"/>
        </w:trPr>
        <w:tc>
          <w:tcPr>
            <w:tcW w:w="2500" w:type="dxa"/>
            <w:vAlign w:val="bottom"/>
            <w:shd w:val="clear" w:color="auto" w:fill="CCEEFF"/>
          </w:tcPr>
          <w:p>
            <w:pPr>
              <w:spacing w:after="0"/>
              <w:rPr>
                <w:sz w:val="15"/>
                <w:szCs w:val="15"/>
                <w:color w:val="auto"/>
              </w:rPr>
            </w:pPr>
          </w:p>
        </w:tc>
        <w:tc>
          <w:tcPr>
            <w:tcW w:w="87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94"/>
              </w:rPr>
              <w:t>supplemented by the first supplemental indenture dated as of December 5, 2019, the second supplemental</w:t>
            </w:r>
          </w:p>
        </w:tc>
      </w:tr>
      <w:tr>
        <w:trPr>
          <w:trHeight w:val="176"/>
        </w:trPr>
        <w:tc>
          <w:tcPr>
            <w:tcW w:w="2500" w:type="dxa"/>
            <w:vAlign w:val="bottom"/>
            <w:shd w:val="clear" w:color="auto" w:fill="CCEEFF"/>
          </w:tcPr>
          <w:p>
            <w:pPr>
              <w:spacing w:after="0"/>
              <w:rPr>
                <w:sz w:val="15"/>
                <w:szCs w:val="15"/>
                <w:color w:val="auto"/>
              </w:rPr>
            </w:pPr>
          </w:p>
        </w:tc>
        <w:tc>
          <w:tcPr>
            <w:tcW w:w="87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89"/>
              </w:rPr>
              <w:t>indenture dated as of May 26, 2020, the third supplemental indenture dated as of March 24, 2021, and the fourth</w:t>
            </w:r>
          </w:p>
        </w:tc>
      </w:tr>
      <w:tr>
        <w:trPr>
          <w:trHeight w:val="175"/>
        </w:trPr>
        <w:tc>
          <w:tcPr>
            <w:tcW w:w="2500" w:type="dxa"/>
            <w:vAlign w:val="bottom"/>
            <w:shd w:val="clear" w:color="auto" w:fill="CCEEFF"/>
          </w:tcPr>
          <w:p>
            <w:pPr>
              <w:spacing w:after="0"/>
              <w:rPr>
                <w:sz w:val="15"/>
                <w:szCs w:val="15"/>
                <w:color w:val="auto"/>
              </w:rPr>
            </w:pPr>
          </w:p>
        </w:tc>
        <w:tc>
          <w:tcPr>
            <w:tcW w:w="87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88"/>
              </w:rPr>
              <w:t>supplemental indenture dated as of June 30, 2021, relating to the December 2019 Notes (defined above), the May</w:t>
            </w:r>
          </w:p>
        </w:tc>
      </w:tr>
      <w:tr>
        <w:trPr>
          <w:trHeight w:val="224"/>
        </w:trPr>
        <w:tc>
          <w:tcPr>
            <w:tcW w:w="2500" w:type="dxa"/>
            <w:vAlign w:val="bottom"/>
            <w:shd w:val="clear" w:color="auto" w:fill="CCEEFF"/>
          </w:tcPr>
          <w:p>
            <w:pPr>
              <w:spacing w:after="0"/>
              <w:rPr>
                <w:sz w:val="19"/>
                <w:szCs w:val="19"/>
                <w:color w:val="auto"/>
              </w:rPr>
            </w:pP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2020 Notes (defined below) and the March 2021 Notes (defined below).</w:t>
            </w:r>
          </w:p>
        </w:tc>
      </w:tr>
      <w:tr>
        <w:trPr>
          <w:trHeight w:val="181"/>
        </w:trPr>
        <w:tc>
          <w:tcPr>
            <w:tcW w:w="2500" w:type="dxa"/>
            <w:vAlign w:val="bottom"/>
          </w:tcPr>
          <w:p>
            <w:pPr>
              <w:ind w:left="20"/>
              <w:spacing w:after="0" w:line="181" w:lineRule="exact"/>
              <w:rPr>
                <w:sz w:val="20"/>
                <w:szCs w:val="20"/>
                <w:color w:val="auto"/>
              </w:rPr>
            </w:pPr>
            <w:r>
              <w:rPr>
                <w:rFonts w:ascii="Arial" w:cs="Arial" w:eastAsia="Arial" w:hAnsi="Arial"/>
                <w:sz w:val="18"/>
                <w:szCs w:val="18"/>
                <w:color w:val="auto"/>
              </w:rPr>
              <w:t>2025 Indenture</w:t>
            </w:r>
          </w:p>
        </w:tc>
        <w:tc>
          <w:tcPr>
            <w:tcW w:w="8740" w:type="dxa"/>
            <w:vAlign w:val="bottom"/>
          </w:tcPr>
          <w:p>
            <w:pPr>
              <w:ind w:left="720"/>
              <w:spacing w:after="0" w:line="181" w:lineRule="exact"/>
              <w:rPr>
                <w:sz w:val="20"/>
                <w:szCs w:val="20"/>
                <w:color w:val="auto"/>
              </w:rPr>
            </w:pPr>
            <w:r>
              <w:rPr>
                <w:rFonts w:ascii="Arial" w:cs="Arial" w:eastAsia="Arial" w:hAnsi="Arial"/>
                <w:sz w:val="18"/>
                <w:szCs w:val="18"/>
                <w:color w:val="auto"/>
                <w:w w:val="92"/>
              </w:rPr>
              <w:t>The indenture relating to the 2025 Senior Notes (defined below), dated as of December 20, 2016, among the</w:t>
            </w:r>
          </w:p>
        </w:tc>
      </w:tr>
      <w:tr>
        <w:trPr>
          <w:trHeight w:val="223"/>
        </w:trPr>
        <w:tc>
          <w:tcPr>
            <w:tcW w:w="2500" w:type="dxa"/>
            <w:vAlign w:val="bottom"/>
          </w:tcPr>
          <w:p>
            <w:pPr>
              <w:spacing w:after="0"/>
              <w:rPr>
                <w:sz w:val="19"/>
                <w:szCs w:val="19"/>
                <w:color w:val="auto"/>
              </w:rPr>
            </w:pPr>
          </w:p>
        </w:tc>
        <w:tc>
          <w:tcPr>
            <w:tcW w:w="8740" w:type="dxa"/>
            <w:vAlign w:val="bottom"/>
          </w:tcPr>
          <w:p>
            <w:pPr>
              <w:ind w:left="720"/>
              <w:spacing w:after="0"/>
              <w:rPr>
                <w:sz w:val="20"/>
                <w:szCs w:val="20"/>
                <w:color w:val="auto"/>
              </w:rPr>
            </w:pPr>
            <w:r>
              <w:rPr>
                <w:rFonts w:ascii="Arial" w:cs="Arial" w:eastAsia="Arial" w:hAnsi="Arial"/>
                <w:sz w:val="18"/>
                <w:szCs w:val="18"/>
                <w:color w:val="auto"/>
              </w:rPr>
              <w:t>Company, the subsidiary guarantor party thereto and Wells Fargo, as the trustee, as supplemented.</w:t>
            </w:r>
          </w:p>
        </w:tc>
      </w:tr>
      <w:tr>
        <w:trPr>
          <w:trHeight w:val="182"/>
        </w:trPr>
        <w:tc>
          <w:tcPr>
            <w:tcW w:w="25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2025 Senior Notes</w:t>
            </w:r>
          </w:p>
        </w:tc>
        <w:tc>
          <w:tcPr>
            <w:tcW w:w="8740" w:type="dxa"/>
            <w:vAlign w:val="bottom"/>
            <w:shd w:val="clear" w:color="auto" w:fill="CCEEFF"/>
          </w:tcPr>
          <w:p>
            <w:pPr>
              <w:ind w:left="720"/>
              <w:spacing w:after="0" w:line="182" w:lineRule="exact"/>
              <w:rPr>
                <w:sz w:val="20"/>
                <w:szCs w:val="20"/>
                <w:color w:val="auto"/>
              </w:rPr>
            </w:pPr>
            <w:r>
              <w:rPr>
                <w:rFonts w:ascii="Arial" w:cs="Arial" w:eastAsia="Arial" w:hAnsi="Arial"/>
                <w:sz w:val="18"/>
                <w:szCs w:val="18"/>
                <w:color w:val="auto"/>
                <w:w w:val="93"/>
              </w:rPr>
              <w:t>The Company’s 5.375% senior unsecured notes due 2025 in the aggregate principal amount of $800 million</w:t>
            </w:r>
          </w:p>
        </w:tc>
      </w:tr>
      <w:tr>
        <w:trPr>
          <w:trHeight w:val="224"/>
        </w:trPr>
        <w:tc>
          <w:tcPr>
            <w:tcW w:w="2500" w:type="dxa"/>
            <w:vAlign w:val="bottom"/>
            <w:shd w:val="clear" w:color="auto" w:fill="CCEEFF"/>
          </w:tcPr>
          <w:p>
            <w:pPr>
              <w:spacing w:after="0"/>
              <w:rPr>
                <w:sz w:val="19"/>
                <w:szCs w:val="19"/>
                <w:color w:val="auto"/>
              </w:rPr>
            </w:pP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issued under the 2025 Indenture.</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ASC</w:t>
            </w:r>
          </w:p>
        </w:tc>
        <w:tc>
          <w:tcPr>
            <w:tcW w:w="8740" w:type="dxa"/>
            <w:vAlign w:val="bottom"/>
          </w:tcPr>
          <w:p>
            <w:pPr>
              <w:ind w:left="720"/>
              <w:spacing w:after="0"/>
              <w:rPr>
                <w:sz w:val="20"/>
                <w:szCs w:val="20"/>
                <w:color w:val="auto"/>
              </w:rPr>
            </w:pPr>
            <w:r>
              <w:rPr>
                <w:rFonts w:ascii="Arial" w:cs="Arial" w:eastAsia="Arial" w:hAnsi="Arial"/>
                <w:sz w:val="18"/>
                <w:szCs w:val="18"/>
                <w:color w:val="auto"/>
              </w:rPr>
              <w:t>Accounting Standards Codification.</w:t>
            </w: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Accounting Standards Update.</w:t>
            </w:r>
          </w:p>
        </w:tc>
      </w:tr>
      <w:tr>
        <w:trPr>
          <w:trHeight w:val="181"/>
        </w:trPr>
        <w:tc>
          <w:tcPr>
            <w:tcW w:w="2500" w:type="dxa"/>
            <w:vAlign w:val="bottom"/>
          </w:tcPr>
          <w:p>
            <w:pPr>
              <w:ind w:left="20"/>
              <w:spacing w:after="0" w:line="181" w:lineRule="exact"/>
              <w:rPr>
                <w:sz w:val="20"/>
                <w:szCs w:val="20"/>
                <w:color w:val="auto"/>
              </w:rPr>
            </w:pPr>
            <w:r>
              <w:rPr>
                <w:rFonts w:ascii="Arial" w:cs="Arial" w:eastAsia="Arial" w:hAnsi="Arial"/>
                <w:sz w:val="18"/>
                <w:szCs w:val="18"/>
                <w:color w:val="auto"/>
              </w:rPr>
              <w:t>December 2019 Notes</w:t>
            </w:r>
          </w:p>
        </w:tc>
        <w:tc>
          <w:tcPr>
            <w:tcW w:w="8740" w:type="dxa"/>
            <w:vAlign w:val="bottom"/>
          </w:tcPr>
          <w:p>
            <w:pPr>
              <w:ind w:left="720"/>
              <w:spacing w:after="0" w:line="181" w:lineRule="exact"/>
              <w:rPr>
                <w:sz w:val="20"/>
                <w:szCs w:val="20"/>
                <w:color w:val="auto"/>
              </w:rPr>
            </w:pPr>
            <w:r>
              <w:rPr>
                <w:rFonts w:ascii="Arial" w:cs="Arial" w:eastAsia="Arial" w:hAnsi="Arial"/>
                <w:sz w:val="18"/>
                <w:szCs w:val="18"/>
                <w:color w:val="auto"/>
                <w:w w:val="90"/>
              </w:rPr>
              <w:t>The Company’s 2.875% senior unsecured notes due 2024 in the aggregate principal amount of $1.0 billion, the</w:t>
            </w:r>
          </w:p>
        </w:tc>
      </w:tr>
      <w:tr>
        <w:trPr>
          <w:trHeight w:val="176"/>
        </w:trPr>
        <w:tc>
          <w:tcPr>
            <w:tcW w:w="2500" w:type="dxa"/>
            <w:vAlign w:val="bottom"/>
          </w:tcPr>
          <w:p>
            <w:pPr>
              <w:spacing w:after="0"/>
              <w:rPr>
                <w:sz w:val="15"/>
                <w:szCs w:val="15"/>
                <w:color w:val="auto"/>
              </w:rPr>
            </w:pPr>
          </w:p>
        </w:tc>
        <w:tc>
          <w:tcPr>
            <w:tcW w:w="8740" w:type="dxa"/>
            <w:vAlign w:val="bottom"/>
          </w:tcPr>
          <w:p>
            <w:pPr>
              <w:ind w:left="720"/>
              <w:spacing w:after="0" w:line="176" w:lineRule="exact"/>
              <w:rPr>
                <w:sz w:val="20"/>
                <w:szCs w:val="20"/>
                <w:color w:val="auto"/>
              </w:rPr>
            </w:pPr>
            <w:r>
              <w:rPr>
                <w:rFonts w:ascii="Arial" w:cs="Arial" w:eastAsia="Arial" w:hAnsi="Arial"/>
                <w:sz w:val="18"/>
                <w:szCs w:val="18"/>
                <w:color w:val="auto"/>
                <w:w w:val="90"/>
              </w:rPr>
              <w:t>Company’s 3.250% senior unsecured notes due 2026 in the aggregate principal amount of $800 million and the</w:t>
            </w:r>
          </w:p>
        </w:tc>
      </w:tr>
      <w:tr>
        <w:trPr>
          <w:trHeight w:val="175"/>
        </w:trPr>
        <w:tc>
          <w:tcPr>
            <w:tcW w:w="2500" w:type="dxa"/>
            <w:vAlign w:val="bottom"/>
          </w:tcPr>
          <w:p>
            <w:pPr>
              <w:spacing w:after="0"/>
              <w:rPr>
                <w:sz w:val="15"/>
                <w:szCs w:val="15"/>
                <w:color w:val="auto"/>
              </w:rPr>
            </w:pPr>
          </w:p>
        </w:tc>
        <w:tc>
          <w:tcPr>
            <w:tcW w:w="8740" w:type="dxa"/>
            <w:vAlign w:val="bottom"/>
          </w:tcPr>
          <w:p>
            <w:pPr>
              <w:ind w:left="720"/>
              <w:spacing w:after="0" w:line="176" w:lineRule="exact"/>
              <w:rPr>
                <w:sz w:val="20"/>
                <w:szCs w:val="20"/>
                <w:color w:val="auto"/>
              </w:rPr>
            </w:pPr>
            <w:r>
              <w:rPr>
                <w:rFonts w:ascii="Arial" w:cs="Arial" w:eastAsia="Arial" w:hAnsi="Arial"/>
                <w:sz w:val="18"/>
                <w:szCs w:val="18"/>
                <w:color w:val="auto"/>
                <w:w w:val="92"/>
              </w:rPr>
              <w:t>Company’s 3.500% senior unsecured notes due 2029 in the aggregate principal amount of $1.2 billion issued</w:t>
            </w:r>
          </w:p>
        </w:tc>
      </w:tr>
      <w:tr>
        <w:trPr>
          <w:trHeight w:val="223"/>
        </w:trPr>
        <w:tc>
          <w:tcPr>
            <w:tcW w:w="2500" w:type="dxa"/>
            <w:vAlign w:val="bottom"/>
          </w:tcPr>
          <w:p>
            <w:pPr>
              <w:spacing w:after="0"/>
              <w:rPr>
                <w:sz w:val="19"/>
                <w:szCs w:val="19"/>
                <w:color w:val="auto"/>
              </w:rPr>
            </w:pPr>
          </w:p>
        </w:tc>
        <w:tc>
          <w:tcPr>
            <w:tcW w:w="8740" w:type="dxa"/>
            <w:vAlign w:val="bottom"/>
          </w:tcPr>
          <w:p>
            <w:pPr>
              <w:ind w:left="720"/>
              <w:spacing w:after="0"/>
              <w:rPr>
                <w:sz w:val="20"/>
                <w:szCs w:val="20"/>
                <w:color w:val="auto"/>
              </w:rPr>
            </w:pPr>
            <w:r>
              <w:rPr>
                <w:rFonts w:ascii="Arial" w:cs="Arial" w:eastAsia="Arial" w:hAnsi="Arial"/>
                <w:sz w:val="18"/>
                <w:szCs w:val="18"/>
                <w:color w:val="auto"/>
              </w:rPr>
              <w:t>under the 2019 Indenture.</w:t>
            </w: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Plan</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The Company’s Equity Incentive Plan.</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740" w:type="dxa"/>
            <w:vAlign w:val="bottom"/>
          </w:tcPr>
          <w:p>
            <w:pPr>
              <w:ind w:left="720"/>
              <w:spacing w:after="0"/>
              <w:rPr>
                <w:sz w:val="20"/>
                <w:szCs w:val="20"/>
                <w:color w:val="auto"/>
              </w:rPr>
            </w:pPr>
            <w:r>
              <w:rPr>
                <w:rFonts w:ascii="Arial" w:cs="Arial" w:eastAsia="Arial" w:hAnsi="Arial"/>
                <w:sz w:val="18"/>
                <w:szCs w:val="18"/>
                <w:color w:val="auto"/>
              </w:rPr>
              <w:t>The Securities Exchange Act of 1934, as amended.</w:t>
            </w:r>
          </w:p>
        </w:tc>
      </w:tr>
      <w:tr>
        <w:trPr>
          <w:trHeight w:val="231"/>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Financial Accounting Standards Board.</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GAAP</w:t>
            </w:r>
          </w:p>
        </w:tc>
        <w:tc>
          <w:tcPr>
            <w:tcW w:w="8740" w:type="dxa"/>
            <w:vAlign w:val="bottom"/>
          </w:tcPr>
          <w:p>
            <w:pPr>
              <w:ind w:left="7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The London interbank offered rate.</w:t>
            </w:r>
          </w:p>
        </w:tc>
      </w:tr>
      <w:tr>
        <w:trPr>
          <w:trHeight w:val="181"/>
        </w:trPr>
        <w:tc>
          <w:tcPr>
            <w:tcW w:w="2500" w:type="dxa"/>
            <w:vAlign w:val="bottom"/>
          </w:tcPr>
          <w:p>
            <w:pPr>
              <w:ind w:left="20"/>
              <w:spacing w:after="0" w:line="181" w:lineRule="exact"/>
              <w:rPr>
                <w:sz w:val="20"/>
                <w:szCs w:val="20"/>
                <w:color w:val="auto"/>
              </w:rPr>
            </w:pPr>
            <w:r>
              <w:rPr>
                <w:rFonts w:ascii="Arial" w:cs="Arial" w:eastAsia="Arial" w:hAnsi="Arial"/>
                <w:sz w:val="18"/>
                <w:szCs w:val="18"/>
                <w:color w:val="auto"/>
              </w:rPr>
              <w:t>May 2020 Notes</w:t>
            </w:r>
          </w:p>
        </w:tc>
        <w:tc>
          <w:tcPr>
            <w:tcW w:w="8740" w:type="dxa"/>
            <w:vAlign w:val="bottom"/>
          </w:tcPr>
          <w:p>
            <w:pPr>
              <w:ind w:left="720"/>
              <w:spacing w:after="0" w:line="181" w:lineRule="exact"/>
              <w:rPr>
                <w:sz w:val="20"/>
                <w:szCs w:val="20"/>
                <w:color w:val="auto"/>
              </w:rPr>
            </w:pPr>
            <w:r>
              <w:rPr>
                <w:rFonts w:ascii="Arial" w:cs="Arial" w:eastAsia="Arial" w:hAnsi="Arial"/>
                <w:sz w:val="18"/>
                <w:szCs w:val="18"/>
                <w:color w:val="auto"/>
                <w:w w:val="89"/>
              </w:rPr>
              <w:t>The Company’s 4.750% Senior Notes due 2025 in the aggregate principal amount of $500.0 million issued under</w:t>
            </w:r>
          </w:p>
        </w:tc>
      </w:tr>
      <w:tr>
        <w:trPr>
          <w:trHeight w:val="223"/>
        </w:trPr>
        <w:tc>
          <w:tcPr>
            <w:tcW w:w="2500" w:type="dxa"/>
            <w:vAlign w:val="bottom"/>
          </w:tcPr>
          <w:p>
            <w:pPr>
              <w:spacing w:after="0"/>
              <w:rPr>
                <w:sz w:val="19"/>
                <w:szCs w:val="19"/>
                <w:color w:val="auto"/>
              </w:rPr>
            </w:pPr>
          </w:p>
        </w:tc>
        <w:tc>
          <w:tcPr>
            <w:tcW w:w="8740" w:type="dxa"/>
            <w:vAlign w:val="bottom"/>
          </w:tcPr>
          <w:p>
            <w:pPr>
              <w:ind w:left="720"/>
              <w:spacing w:after="0"/>
              <w:rPr>
                <w:sz w:val="20"/>
                <w:szCs w:val="20"/>
                <w:color w:val="auto"/>
              </w:rPr>
            </w:pPr>
            <w:r>
              <w:rPr>
                <w:rFonts w:ascii="Arial" w:cs="Arial" w:eastAsia="Arial" w:hAnsi="Arial"/>
                <w:sz w:val="18"/>
                <w:szCs w:val="18"/>
                <w:color w:val="auto"/>
              </w:rPr>
              <w:t>the 2019 Indenture.</w:t>
            </w:r>
          </w:p>
        </w:tc>
      </w:tr>
      <w:tr>
        <w:trPr>
          <w:trHeight w:val="182"/>
        </w:trPr>
        <w:tc>
          <w:tcPr>
            <w:tcW w:w="25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March 2021 Notes</w:t>
            </w:r>
          </w:p>
        </w:tc>
        <w:tc>
          <w:tcPr>
            <w:tcW w:w="8740" w:type="dxa"/>
            <w:vAlign w:val="bottom"/>
            <w:shd w:val="clear" w:color="auto" w:fill="CCEEFF"/>
          </w:tcPr>
          <w:p>
            <w:pPr>
              <w:ind w:left="720"/>
              <w:spacing w:after="0" w:line="182" w:lineRule="exact"/>
              <w:rPr>
                <w:sz w:val="20"/>
                <w:szCs w:val="20"/>
                <w:color w:val="auto"/>
              </w:rPr>
            </w:pPr>
            <w:r>
              <w:rPr>
                <w:rFonts w:ascii="Arial" w:cs="Arial" w:eastAsia="Arial" w:hAnsi="Arial"/>
                <w:sz w:val="18"/>
                <w:szCs w:val="18"/>
                <w:color w:val="auto"/>
                <w:w w:val="98"/>
              </w:rPr>
              <w:t>The Company’s 0.900% Senior Notes due 2023 in the aggregate principal amount of $650 million, the</w:t>
            </w:r>
          </w:p>
        </w:tc>
      </w:tr>
      <w:tr>
        <w:trPr>
          <w:trHeight w:val="175"/>
        </w:trPr>
        <w:tc>
          <w:tcPr>
            <w:tcW w:w="2500" w:type="dxa"/>
            <w:vAlign w:val="bottom"/>
            <w:shd w:val="clear" w:color="auto" w:fill="CCEEFF"/>
          </w:tcPr>
          <w:p>
            <w:pPr>
              <w:spacing w:after="0"/>
              <w:rPr>
                <w:sz w:val="15"/>
                <w:szCs w:val="15"/>
                <w:color w:val="auto"/>
              </w:rPr>
            </w:pPr>
          </w:p>
        </w:tc>
        <w:tc>
          <w:tcPr>
            <w:tcW w:w="87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89"/>
              </w:rPr>
              <w:t>Company’s 3.125% Senior Notes due 2031 in the aggregate principal amount of $900 million and the Company’s</w:t>
            </w:r>
          </w:p>
        </w:tc>
      </w:tr>
      <w:tr>
        <w:trPr>
          <w:trHeight w:val="175"/>
        </w:trPr>
        <w:tc>
          <w:tcPr>
            <w:tcW w:w="2500" w:type="dxa"/>
            <w:vAlign w:val="bottom"/>
            <w:shd w:val="clear" w:color="auto" w:fill="CCEEFF"/>
          </w:tcPr>
          <w:p>
            <w:pPr>
              <w:spacing w:after="0"/>
              <w:rPr>
                <w:sz w:val="15"/>
                <w:szCs w:val="15"/>
                <w:color w:val="auto"/>
              </w:rPr>
            </w:pPr>
          </w:p>
        </w:tc>
        <w:tc>
          <w:tcPr>
            <w:tcW w:w="874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w w:val="96"/>
              </w:rPr>
              <w:t>4.400% Senior Notes due 2051 in the aggregate principal amount of $650 million issued under the 2019</w:t>
            </w:r>
          </w:p>
        </w:tc>
      </w:tr>
      <w:tr>
        <w:trPr>
          <w:trHeight w:val="224"/>
        </w:trPr>
        <w:tc>
          <w:tcPr>
            <w:tcW w:w="2500" w:type="dxa"/>
            <w:vAlign w:val="bottom"/>
            <w:shd w:val="clear" w:color="auto" w:fill="CCEEFF"/>
          </w:tcPr>
          <w:p>
            <w:pPr>
              <w:spacing w:after="0"/>
              <w:rPr>
                <w:sz w:val="19"/>
                <w:szCs w:val="19"/>
                <w:color w:val="auto"/>
              </w:rPr>
            </w:pP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Indenture.</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NYMEX</w:t>
            </w:r>
          </w:p>
        </w:tc>
        <w:tc>
          <w:tcPr>
            <w:tcW w:w="8740" w:type="dxa"/>
            <w:vAlign w:val="bottom"/>
          </w:tcPr>
          <w:p>
            <w:pPr>
              <w:ind w:left="72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OPEC</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Organization of the Petroleum Exporting Countries.</w:t>
            </w:r>
          </w:p>
        </w:tc>
      </w:tr>
      <w:tr>
        <w:trPr>
          <w:trHeight w:val="228"/>
        </w:trPr>
        <w:tc>
          <w:tcPr>
            <w:tcW w:w="2500" w:type="dxa"/>
            <w:vAlign w:val="bottom"/>
          </w:tcPr>
          <w:p>
            <w:pPr>
              <w:ind w:left="20"/>
              <w:spacing w:after="0"/>
              <w:rPr>
                <w:sz w:val="20"/>
                <w:szCs w:val="20"/>
                <w:color w:val="auto"/>
              </w:rPr>
            </w:pPr>
            <w:r>
              <w:rPr>
                <w:rFonts w:ascii="Arial" w:cs="Arial" w:eastAsia="Arial" w:hAnsi="Arial"/>
                <w:sz w:val="18"/>
                <w:szCs w:val="18"/>
                <w:color w:val="auto"/>
              </w:rPr>
              <w:t>Rattler</w:t>
            </w:r>
          </w:p>
        </w:tc>
        <w:tc>
          <w:tcPr>
            <w:tcW w:w="8740" w:type="dxa"/>
            <w:vAlign w:val="bottom"/>
          </w:tcPr>
          <w:p>
            <w:pPr>
              <w:ind w:left="720"/>
              <w:spacing w:after="0"/>
              <w:rPr>
                <w:sz w:val="20"/>
                <w:szCs w:val="20"/>
                <w:color w:val="auto"/>
              </w:rPr>
            </w:pPr>
            <w:r>
              <w:rPr>
                <w:rFonts w:ascii="Arial" w:cs="Arial" w:eastAsia="Arial" w:hAnsi="Arial"/>
                <w:sz w:val="18"/>
                <w:szCs w:val="18"/>
                <w:color w:val="auto"/>
              </w:rPr>
              <w:t>Rattler Midstream LP, a Delaware limited partnership.</w:t>
            </w:r>
          </w:p>
        </w:tc>
      </w:tr>
      <w:tr>
        <w:trPr>
          <w:trHeight w:val="182"/>
        </w:trPr>
        <w:tc>
          <w:tcPr>
            <w:tcW w:w="25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Rattler’s General Partner</w:t>
            </w:r>
          </w:p>
        </w:tc>
        <w:tc>
          <w:tcPr>
            <w:tcW w:w="8740" w:type="dxa"/>
            <w:vAlign w:val="bottom"/>
            <w:shd w:val="clear" w:color="auto" w:fill="CCEEFF"/>
          </w:tcPr>
          <w:p>
            <w:pPr>
              <w:ind w:left="720"/>
              <w:spacing w:after="0" w:line="182" w:lineRule="exact"/>
              <w:rPr>
                <w:sz w:val="20"/>
                <w:szCs w:val="20"/>
                <w:color w:val="auto"/>
              </w:rPr>
            </w:pPr>
            <w:r>
              <w:rPr>
                <w:rFonts w:ascii="Arial" w:cs="Arial" w:eastAsia="Arial" w:hAnsi="Arial"/>
                <w:sz w:val="18"/>
                <w:szCs w:val="18"/>
                <w:color w:val="auto"/>
                <w:w w:val="92"/>
              </w:rPr>
              <w:t>Rattler Midstream GP LLC, a Delaware limited liability company; the general partner of Rattler Midstream LP</w:t>
            </w:r>
          </w:p>
        </w:tc>
      </w:tr>
      <w:tr>
        <w:trPr>
          <w:trHeight w:val="224"/>
        </w:trPr>
        <w:tc>
          <w:tcPr>
            <w:tcW w:w="2500" w:type="dxa"/>
            <w:vAlign w:val="bottom"/>
            <w:shd w:val="clear" w:color="auto" w:fill="CCEEFF"/>
          </w:tcPr>
          <w:p>
            <w:pPr>
              <w:spacing w:after="0"/>
              <w:rPr>
                <w:sz w:val="19"/>
                <w:szCs w:val="19"/>
                <w:color w:val="auto"/>
              </w:rPr>
            </w:pP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and a wholly owned subsidiary of the Company.</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Rattler LLC</w:t>
            </w:r>
          </w:p>
        </w:tc>
        <w:tc>
          <w:tcPr>
            <w:tcW w:w="8740" w:type="dxa"/>
            <w:vAlign w:val="bottom"/>
          </w:tcPr>
          <w:p>
            <w:pPr>
              <w:ind w:left="720"/>
              <w:spacing w:after="0"/>
              <w:rPr>
                <w:sz w:val="20"/>
                <w:szCs w:val="20"/>
                <w:color w:val="auto"/>
              </w:rPr>
            </w:pPr>
            <w:r>
              <w:rPr>
                <w:rFonts w:ascii="Arial" w:cs="Arial" w:eastAsia="Arial" w:hAnsi="Arial"/>
                <w:sz w:val="18"/>
                <w:szCs w:val="18"/>
                <w:color w:val="auto"/>
              </w:rPr>
              <w:t>Rattler Midstream Operating LLC, a Delaware limited liability company and a subsidiary of Rattler.</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740" w:type="dxa"/>
            <w:vAlign w:val="bottom"/>
          </w:tcPr>
          <w:p>
            <w:pPr>
              <w:ind w:left="720"/>
              <w:spacing w:after="0"/>
              <w:rPr>
                <w:sz w:val="20"/>
                <w:szCs w:val="20"/>
                <w:color w:val="auto"/>
              </w:rPr>
            </w:pPr>
            <w:r>
              <w:rPr>
                <w:rFonts w:ascii="Arial" w:cs="Arial" w:eastAsia="Arial" w:hAnsi="Arial"/>
                <w:sz w:val="18"/>
                <w:szCs w:val="18"/>
                <w:color w:val="auto"/>
              </w:rPr>
              <w:t>The 2025 Senior Notes, the December 2019 Notes, the May 2020 Notes and the March 2021 Notes.</w:t>
            </w: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w:t>
            </w:r>
          </w:p>
        </w:tc>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29"/>
        </w:trPr>
        <w:tc>
          <w:tcPr>
            <w:tcW w:w="2500" w:type="dxa"/>
            <w:vAlign w:val="bottom"/>
          </w:tcPr>
          <w:p>
            <w:pPr>
              <w:ind w:left="20"/>
              <w:spacing w:after="0"/>
              <w:rPr>
                <w:sz w:val="20"/>
                <w:szCs w:val="20"/>
                <w:color w:val="auto"/>
              </w:rPr>
            </w:pPr>
            <w:r>
              <w:rPr>
                <w:rFonts w:ascii="Arial" w:cs="Arial" w:eastAsia="Arial" w:hAnsi="Arial"/>
                <w:sz w:val="18"/>
                <w:szCs w:val="18"/>
                <w:color w:val="auto"/>
              </w:rPr>
              <w:t>Viper LLC</w:t>
            </w:r>
          </w:p>
        </w:tc>
        <w:tc>
          <w:tcPr>
            <w:tcW w:w="8740" w:type="dxa"/>
            <w:vAlign w:val="bottom"/>
          </w:tcPr>
          <w:p>
            <w:pPr>
              <w:ind w:left="720"/>
              <w:spacing w:after="0"/>
              <w:rPr>
                <w:sz w:val="20"/>
                <w:szCs w:val="20"/>
                <w:color w:val="auto"/>
              </w:rPr>
            </w:pPr>
            <w:r>
              <w:rPr>
                <w:rFonts w:ascii="Arial" w:cs="Arial" w:eastAsia="Arial" w:hAnsi="Arial"/>
                <w:sz w:val="18"/>
                <w:szCs w:val="18"/>
                <w:color w:val="auto"/>
              </w:rPr>
              <w:t>Viper Energy Partners LLC, a Delaware limited liability company and a subsidiary of Viper.</w:t>
            </w:r>
          </w:p>
        </w:tc>
      </w:tr>
      <w:tr>
        <w:trPr>
          <w:trHeight w:val="230"/>
        </w:trPr>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Wells Fargo</w:t>
            </w:r>
          </w:p>
        </w:tc>
        <w:tc>
          <w:tcPr>
            <w:tcW w:w="87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36" w:lineRule="auto"/>
        <w:rPr>
          <w:rFonts w:ascii="Arial" w:cs="Arial" w:eastAsia="Arial" w:hAnsi="Arial"/>
          <w:sz w:val="16"/>
          <w:szCs w:val="16"/>
          <w:color w:val="0000FF"/>
        </w:rPr>
      </w:pPr>
      <w:r>
        <w:rPr>
          <w:rFonts w:ascii="Arial" w:cs="Arial" w:eastAsia="Arial" w:hAnsi="Arial"/>
          <w:sz w:val="16"/>
          <w:szCs w:val="16"/>
          <w:color w:val="auto"/>
        </w:rPr>
        <w:t xml:space="preserve">Various statements contained in this report are “forward-looking statements” as defined by the SEC. These forward-looking statements are subject to a number of risks, uncertainties and assumptions,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hyperlink w:anchor="page56">
        <w:r>
          <w:rPr>
            <w:rFonts w:ascii="Arial" w:cs="Arial" w:eastAsia="Arial" w:hAnsi="Arial"/>
            <w:sz w:val="16"/>
            <w:szCs w:val="16"/>
            <w:i w:val="1"/>
            <w:iCs w:val="1"/>
            <w:u w:val="single" w:color="auto"/>
            <w:color w:val="0000FF"/>
          </w:rPr>
          <w:t>Part II, Item 1A. Risk Factors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in this report and our </w:t>
      </w:r>
      <w:hyperlink r:id="rId17">
        <w:r>
          <w:rPr>
            <w:rFonts w:ascii="Arial" w:cs="Arial" w:eastAsia="Arial" w:hAnsi="Arial"/>
            <w:sz w:val="16"/>
            <w:szCs w:val="16"/>
            <w:u w:val="single" w:color="auto"/>
            <w:color w:val="0000FF"/>
          </w:rPr>
          <w:t>Annual Report on Form 10–K</w:t>
        </w:r>
        <w:r>
          <w:rPr>
            <w:rFonts w:ascii="Arial" w:cs="Arial" w:eastAsia="Arial" w:hAnsi="Arial"/>
            <w:sz w:val="16"/>
            <w:szCs w:val="16"/>
            <w:color w:val="0000FF"/>
          </w:rPr>
          <w:t xml:space="preserve"> </w:t>
        </w:r>
      </w:hyperlink>
      <w:r>
        <w:rPr>
          <w:rFonts w:ascii="Arial" w:cs="Arial" w:eastAsia="Arial" w:hAnsi="Arial"/>
          <w:sz w:val="16"/>
          <w:szCs w:val="16"/>
          <w:color w:val="000000"/>
        </w:rPr>
        <w:t>for</w:t>
      </w:r>
      <w:r>
        <w:rPr>
          <w:rFonts w:ascii="Arial" w:cs="Arial" w:eastAsia="Arial" w:hAnsi="Arial"/>
          <w:sz w:val="16"/>
          <w:szCs w:val="16"/>
          <w:color w:val="0000FF"/>
        </w:rPr>
        <w:t xml:space="preserve"> </w:t>
      </w:r>
      <w:r>
        <w:rPr>
          <w:rFonts w:ascii="Arial" w:cs="Arial" w:eastAsia="Arial" w:hAnsi="Arial"/>
          <w:sz w:val="16"/>
          <w:szCs w:val="16"/>
          <w:color w:val="000000"/>
        </w:rPr>
        <w:t>the year ended December 31, 2020 could affect our actual results and cause our actual results to differ materially from</w:t>
      </w:r>
      <w:r>
        <w:rPr>
          <w:rFonts w:ascii="Arial" w:cs="Arial" w:eastAsia="Arial" w:hAnsi="Arial"/>
          <w:sz w:val="16"/>
          <w:szCs w:val="16"/>
          <w:color w:val="0000FF"/>
        </w:rPr>
        <w:t xml:space="preserve"> </w:t>
      </w:r>
      <w:r>
        <w:rPr>
          <w:rFonts w:ascii="Arial" w:cs="Arial" w:eastAsia="Arial" w:hAnsi="Arial"/>
          <w:sz w:val="16"/>
          <w:szCs w:val="16"/>
          <w:color w:val="000000"/>
        </w:rPr>
        <w:t>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117"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w:t>
      </w:r>
    </w:p>
    <w:p>
      <w:pPr>
        <w:spacing w:after="0" w:line="11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implications and logistical challenges of epidemic or pandemic diseases, including the COVID-19 pandemic and its impact on the oil and natural gas industry, pricing and demand for oil and natural gas and supply chain logistics;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w:t>
      </w:r>
    </w:p>
    <w:p>
      <w:pPr>
        <w:spacing w:after="0" w:line="117"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conditions of the U.S. oil and natural gas industry and the effect of U.S. energy, environmental, monetary and trade policies;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needed for development and exploration operations on favorable terms or at all;</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conditions of the U.S. oil and natural gas industry and the effect of U.S. energy, monetary and trade policies on our industry and business;</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production;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reduced drilling activity on our exploration and development drilling prospects, inventories, projects and programs;</w:t>
      </w:r>
    </w:p>
    <w:p>
      <w:pPr>
        <w:spacing w:after="0" w:line="128" w:lineRule="exact"/>
        <w:rPr>
          <w:rFonts w:ascii="Arial" w:cs="Arial" w:eastAsia="Arial" w:hAnsi="Arial"/>
          <w:sz w:val="17"/>
          <w:szCs w:val="17"/>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any delays, curtailment delays or interruptions of production, and any governmental order, rule or regulation that may impose production limits;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 including our recently completed acquisition of certain assets of Guidon Operating LLC and our merger with QEP Resources, Inc., as well as our anticipated synergies and cost savings from these transactions;</w:t>
      </w:r>
    </w:p>
    <w:p>
      <w:pPr>
        <w:spacing w:after="0" w:line="7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severe weather conditions, including the February 2021 winter storms in the Permian Basin, on our production;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applicable governmental laws and regulations and to obtain permits and governmental approvals;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environmental initiatives and targets;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dividends to our stockholders;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any impairment charges;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plans, objectives, expectations and intentions;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34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8220" w:type="dxa"/>
            <w:vAlign w:val="bottom"/>
            <w:vMerge w:val="restart"/>
          </w:tcPr>
          <w:p>
            <w:pPr>
              <w:ind w:left="390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Joint interest and other,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220" w:type="dxa"/>
            <w:vAlign w:val="bottom"/>
          </w:tcPr>
          <w:p>
            <w:pPr>
              <w:ind w:left="680"/>
              <w:spacing w:after="0"/>
              <w:rPr>
                <w:sz w:val="20"/>
                <w:szCs w:val="20"/>
                <w:color w:val="auto"/>
              </w:rPr>
            </w:pPr>
            <w:r>
              <w:rPr>
                <w:rFonts w:ascii="Arial" w:cs="Arial" w:eastAsia="Arial" w:hAnsi="Arial"/>
                <w:sz w:val="18"/>
                <w:szCs w:val="18"/>
                <w:color w:val="auto"/>
              </w:rPr>
              <w:t>Oil and natural gas sales,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Oil and natural gas properties, full cost method of accounting ($8,287 million and $7,493 million excluded</w:t>
            </w:r>
          </w:p>
        </w:tc>
        <w:tc>
          <w:tcPr>
            <w:tcW w:w="1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32,155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27,377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amortization at June 30, 2021 and December 31, 2020, respectively)</w:t>
            </w: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Midstream assets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property, equipment and land</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depletion, depreciation, amortization and impairment</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Funds held in escrow</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Investment in real estate, net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34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9"/>
        </w:trPr>
        <w:tc>
          <w:tcPr>
            <w:tcW w:w="8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8"/>
        </w:trPr>
        <w:tc>
          <w:tcPr>
            <w:tcW w:w="8220" w:type="dxa"/>
            <w:vAlign w:val="bottom"/>
            <w:vMerge w:val="restart"/>
          </w:tcPr>
          <w:p>
            <w:pPr>
              <w:ind w:left="286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3"/>
                <w:szCs w:val="13"/>
                <w:color w:val="auto"/>
              </w:rPr>
            </w:pPr>
          </w:p>
        </w:tc>
        <w:tc>
          <w:tcPr>
            <w:tcW w:w="2920" w:type="dxa"/>
            <w:vAlign w:val="bottom"/>
            <w:gridSpan w:val="4"/>
          </w:tcPr>
          <w:p>
            <w:pPr>
              <w:jc w:val="right"/>
              <w:ind w:right="31"/>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data)</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capital expenditures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Revenues and royalties payable</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instruments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w:t>
            </w:r>
          </w:p>
        </w:tc>
        <w:tc>
          <w:tcPr>
            <w:tcW w:w="0" w:type="dxa"/>
            <w:vAlign w:val="bottom"/>
          </w:tcPr>
          <w:p>
            <w:pPr>
              <w:spacing w:after="0"/>
              <w:rPr>
                <w:sz w:val="1"/>
                <w:szCs w:val="1"/>
                <w:color w:val="auto"/>
              </w:rPr>
            </w:pPr>
          </w:p>
        </w:tc>
      </w:tr>
      <w:tr>
        <w:trPr>
          <w:trHeight w:val="20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Common stock, $0.01 par value; 400,000,000 shares authorized; 181,049,191 and 158,088,182 shares issued</w:t>
            </w:r>
          </w:p>
        </w:tc>
        <w:tc>
          <w:tcPr>
            <w:tcW w:w="1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June 30, 2021 and December 31, 2020, respectively</w:t>
            </w: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12,656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23"/>
        </w:trPr>
        <w:tc>
          <w:tcPr>
            <w:tcW w:w="8220" w:type="dxa"/>
            <w:vAlign w:val="bottom"/>
          </w:tcPr>
          <w:p>
            <w:pPr>
              <w:ind w:left="680"/>
              <w:spacing w:after="0"/>
              <w:rPr>
                <w:sz w:val="20"/>
                <w:szCs w:val="20"/>
                <w:color w:val="auto"/>
              </w:rPr>
            </w:pPr>
            <w:r>
              <w:rPr>
                <w:rFonts w:ascii="Arial" w:cs="Arial" w:eastAsia="Arial" w:hAnsi="Arial"/>
                <w:sz w:val="18"/>
                <w:szCs w:val="18"/>
                <w:color w:val="auto"/>
              </w:rPr>
              <w:t>Total Diamondback Energy, Inc. stockholders’ equity</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4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9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2020</w:t>
            </w:r>
          </w:p>
        </w:tc>
      </w:tr>
      <w:tr>
        <w:trPr>
          <w:trHeight w:val="210"/>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80" w:type="dxa"/>
            <w:vAlign w:val="bottom"/>
            <w:gridSpan w:val="9"/>
          </w:tcPr>
          <w:p>
            <w:pPr>
              <w:jc w:val="right"/>
              <w:spacing w:after="0"/>
              <w:rPr>
                <w:sz w:val="20"/>
                <w:szCs w:val="20"/>
                <w:color w:val="auto"/>
              </w:rPr>
            </w:pPr>
            <w:r>
              <w:rPr>
                <w:rFonts w:ascii="Arial" w:cs="Arial" w:eastAsia="Arial" w:hAnsi="Arial"/>
                <w:sz w:val="16"/>
                <w:szCs w:val="16"/>
                <w:b w:val="1"/>
                <w:bCs w:val="1"/>
                <w:color w:val="auto"/>
              </w:rPr>
              <w:t>(In millions, except per share amounts, shares in thousands)</w:t>
            </w:r>
          </w:p>
        </w:tc>
        <w:tc>
          <w:tcPr>
            <w:tcW w:w="980" w:type="dxa"/>
            <w:vAlign w:val="bottom"/>
          </w:tcPr>
          <w:p>
            <w:pPr>
              <w:spacing w:after="0"/>
              <w:rPr>
                <w:sz w:val="18"/>
                <w:szCs w:val="18"/>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Oil sales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Natural gas sales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Natural gas liquid sales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Midstream services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8"/>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4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r>
      <w:tr>
        <w:trPr>
          <w:trHeight w:val="19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operating expenses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Gathering and transportation</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Midstream services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depletion, amortization and accretion</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Impairment of oil and natural gas properties</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3,548</w:t>
            </w:r>
          </w:p>
        </w:tc>
      </w:tr>
      <w:tr>
        <w:trPr>
          <w:trHeight w:val="231"/>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Merger and integration expense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49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r>
      <w:tr>
        <w:trPr>
          <w:trHeight w:val="224"/>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Gain (loss) on sale of equity method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(loss) from equity investments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4"/>
        </w:trPr>
        <w:tc>
          <w:tcPr>
            <w:tcW w:w="4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2"/>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(3,409)</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(2,811)</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Diamondback Energy, Inc.</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8"/>
        </w:trPr>
        <w:tc>
          <w:tcPr>
            <w:tcW w:w="498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2"/>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157,829</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158,060</w:t>
            </w: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157,829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173,518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158,060</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Dividends declared per share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158,088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Common units issued for acquisitions</w:t>
            </w:r>
          </w:p>
        </w:tc>
        <w:tc>
          <w:tcPr>
            <w:tcW w:w="840" w:type="dxa"/>
            <w:vAlign w:val="bottom"/>
          </w:tcPr>
          <w:p>
            <w:pPr>
              <w:jc w:val="right"/>
              <w:spacing w:after="0"/>
              <w:rPr>
                <w:sz w:val="20"/>
                <w:szCs w:val="20"/>
                <w:color w:val="auto"/>
              </w:rPr>
            </w:pPr>
            <w:r>
              <w:rPr>
                <w:rFonts w:ascii="Arial" w:cs="Arial" w:eastAsia="Arial" w:hAnsi="Arial"/>
                <w:sz w:val="18"/>
                <w:szCs w:val="18"/>
                <w:color w:val="auto"/>
              </w:rPr>
              <w:t>22,795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76"/>
        </w:trPr>
        <w:tc>
          <w:tcPr>
            <w:tcW w:w="4400" w:type="dxa"/>
            <w:vAlign w:val="bottom"/>
          </w:tcPr>
          <w:p>
            <w:pPr>
              <w:ind w:left="140"/>
              <w:spacing w:after="0" w:line="176" w:lineRule="exact"/>
              <w:rPr>
                <w:sz w:val="20"/>
                <w:szCs w:val="20"/>
                <w:color w:val="auto"/>
              </w:rPr>
            </w:pPr>
            <w:r>
              <w:rPr>
                <w:rFonts w:ascii="Arial" w:cs="Arial" w:eastAsia="Arial" w:hAnsi="Arial"/>
                <w:sz w:val="18"/>
                <w:szCs w:val="18"/>
                <w:color w:val="auto"/>
                <w:w w:val="92"/>
              </w:rPr>
              <w:t>Exercise of stock options and issuance of restricted stock</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180,984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units under buyback programs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 and awards</w:t>
            </w: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Balance June 30,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11,890</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740"/>
        <w:spacing w:after="0" w:line="254" w:lineRule="auto"/>
        <w:rPr>
          <w:sz w:val="20"/>
          <w:szCs w:val="20"/>
          <w:color w:val="auto"/>
        </w:rPr>
      </w:pPr>
      <w:r>
        <w:rPr>
          <w:rFonts w:ascii="Arial" w:cs="Arial" w:eastAsia="Arial" w:hAnsi="Arial"/>
          <w:sz w:val="18"/>
          <w:szCs w:val="18"/>
          <w:b w:val="1"/>
          <w:bCs w:val="1"/>
          <w:color w:val="auto"/>
        </w:rPr>
        <w:t>Diamondback Energy, Inc. and Subsidiaries Condensed Consolidated Statements of Stockholders’ Equity - (Continued) (Unaudited)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Retained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760" w:type="dxa"/>
            <w:vAlign w:val="bottom"/>
            <w:gridSpan w:val="4"/>
            <w:vMerge w:val="restart"/>
          </w:tcPr>
          <w:p>
            <w:pPr>
              <w:jc w:val="right"/>
              <w:ind w:right="25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Earnings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0"/>
                <w:szCs w:val="10"/>
                <w:color w:val="auto"/>
              </w:rPr>
            </w:pPr>
          </w:p>
        </w:tc>
        <w:tc>
          <w:tcPr>
            <w:tcW w:w="126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340" w:type="dxa"/>
            <w:vAlign w:val="bottom"/>
            <w:gridSpan w:val="3"/>
            <w:vMerge w:val="restart"/>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4400" w:type="dxa"/>
            <w:vAlign w:val="bottom"/>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Deficit)</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spacing w:after="0"/>
              <w:rPr>
                <w:sz w:val="20"/>
                <w:szCs w:val="20"/>
                <w:color w:val="auto"/>
              </w:rPr>
            </w:pPr>
            <w:r>
              <w:rPr>
                <w:rFonts w:ascii="Arial" w:cs="Arial" w:eastAsia="Arial" w:hAnsi="Arial"/>
                <w:sz w:val="16"/>
                <w:szCs w:val="16"/>
                <w:b w:val="1"/>
                <w:bCs w:val="1"/>
                <w:color w:val="auto"/>
                <w:w w:val="97"/>
              </w:rPr>
              <w:t>($ in millions, shares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Unit-based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Cash paid for tax withholding on vested equity awards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shares for share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w:t>
            </w: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March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157,815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Distribution equivalent rights payments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Repurchased shares for share buyback program</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Dividend paid</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Exercise of stock options and vesting of restricted stock</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units</w:t>
            </w: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w w:val="98"/>
              </w:rPr>
              <w:t>Change in ownership of consolidated subsidiaries, net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Balance June 30, 2020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157,824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80" w:type="dxa"/>
            <w:vAlign w:val="bottom"/>
            <w:gridSpan w:val="3"/>
          </w:tcPr>
          <w:p>
            <w:pPr>
              <w:jc w:val="right"/>
              <w:ind w:right="696"/>
              <w:spacing w:after="0"/>
              <w:rPr>
                <w:sz w:val="20"/>
                <w:szCs w:val="20"/>
                <w:color w:val="auto"/>
              </w:rPr>
            </w:pPr>
            <w:r>
              <w:rPr>
                <w:rFonts w:ascii="Arial" w:cs="Arial" w:eastAsia="Arial" w:hAnsi="Arial"/>
                <w:sz w:val="16"/>
                <w:szCs w:val="16"/>
                <w:b w:val="1"/>
                <w:bCs w:val="1"/>
                <w:color w:val="auto"/>
              </w:rPr>
              <w:t>(In millions)</w:t>
            </w:r>
          </w:p>
        </w:tc>
        <w:tc>
          <w:tcPr>
            <w:tcW w:w="620" w:type="dxa"/>
            <w:vAlign w:val="bottom"/>
          </w:tcPr>
          <w:p>
            <w:pPr>
              <w:spacing w:after="0"/>
              <w:rPr>
                <w:sz w:val="18"/>
                <w:szCs w:val="18"/>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Net income (loss)</w:t>
            </w:r>
          </w:p>
        </w:tc>
        <w:tc>
          <w:tcPr>
            <w:tcW w:w="1140" w:type="dxa"/>
            <w:vAlign w:val="bottom"/>
          </w:tcPr>
          <w:p>
            <w:pPr>
              <w:jc w:val="right"/>
              <w:ind w:right="937"/>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Pr>
          <w:p>
            <w:pPr>
              <w:spacing w:after="0"/>
              <w:rPr>
                <w:sz w:val="18"/>
                <w:szCs w:val="18"/>
                <w:color w:val="auto"/>
              </w:rPr>
            </w:pPr>
          </w:p>
        </w:tc>
        <w:tc>
          <w:tcPr>
            <w:tcW w:w="1140" w:type="dxa"/>
            <w:vAlign w:val="bottom"/>
          </w:tcPr>
          <w:p>
            <w:pPr>
              <w:jc w:val="right"/>
              <w:ind w:right="95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(2,811)</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Provision for (benefit from) deferred income taxes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(536)</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Impairment of oil and natural gas properties</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3,548</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Depreciation, depletion, amortization and accretion</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614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753</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Loss on extinguishment of debt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(Gain) loss on derivative instruments, net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661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(181)</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Cash received (paid) on settlement of derivative instruments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Equity-based compensation expense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(Gain) loss on sale of equity method investments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Other</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Accounts receivable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229</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Income tax receivable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Prepaid expenses and other</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Accounts payable and accrued liabilities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7600" w:type="dxa"/>
            <w:vAlign w:val="bottom"/>
          </w:tcPr>
          <w:p>
            <w:pPr>
              <w:ind w:left="680"/>
              <w:spacing w:after="0"/>
              <w:rPr>
                <w:sz w:val="20"/>
                <w:szCs w:val="20"/>
                <w:color w:val="auto"/>
              </w:rPr>
            </w:pPr>
            <w:r>
              <w:rPr>
                <w:rFonts w:ascii="Arial" w:cs="Arial" w:eastAsia="Arial" w:hAnsi="Arial"/>
                <w:sz w:val="17"/>
                <w:szCs w:val="17"/>
                <w:color w:val="auto"/>
              </w:rPr>
              <w:t>Revenues and royalties payable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76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1,578</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1,173</w:t>
            </w: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Drilling, completions and non-operated additions to oil and natural gas properties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(1,178)</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Infrastructure additions to oil and natural gas properties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Additions to midstream assets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Purchase of business and assets, net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Acquisitions of mineral interests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sale of 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Funds held in escrow</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Contributions to equity method investments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Distributions from equity method investments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the sale of equity method investments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(1,535)</w:t>
            </w:r>
          </w:p>
        </w:tc>
      </w:tr>
      <w:tr>
        <w:trPr>
          <w:trHeight w:val="196"/>
        </w:trPr>
        <w:tc>
          <w:tcPr>
            <w:tcW w:w="760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borrowings under credit facilities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Repayments under credit facilities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(780)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(390)</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Proceeds from senior notes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Repayment of senior notes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(2,107)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(222)</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Premium on extinguishment of debt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Proceeds from (repayments to) joint venture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Repurchased shares under buyback program</w:t>
            </w:r>
          </w:p>
        </w:tc>
        <w:tc>
          <w:tcPr>
            <w:tcW w:w="1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Repurchased units under buyback program</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to stockholders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Distributions to non-controlling interest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Financing portion of net cash received (paid) for derivative instruments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r>
      <w:tr>
        <w:trPr>
          <w:trHeight w:val="209"/>
        </w:trPr>
        <w:tc>
          <w:tcPr>
            <w:tcW w:w="760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r>
      <w:tr>
        <w:trPr>
          <w:trHeight w:val="210"/>
        </w:trPr>
        <w:tc>
          <w:tcPr>
            <w:tcW w:w="7600" w:type="dxa"/>
            <w:vAlign w:val="bottom"/>
          </w:tcPr>
          <w:p>
            <w:pPr>
              <w:ind w:left="20"/>
              <w:spacing w:after="0" w:line="209" w:lineRule="exact"/>
              <w:rPr>
                <w:sz w:val="20"/>
                <w:szCs w:val="20"/>
                <w:color w:val="auto"/>
              </w:rPr>
            </w:pPr>
            <w:r>
              <w:rPr>
                <w:rFonts w:ascii="Arial" w:cs="Arial" w:eastAsia="Arial" w:hAnsi="Arial"/>
                <w:sz w:val="17"/>
                <w:szCs w:val="17"/>
                <w:color w:val="auto"/>
              </w:rPr>
              <w:t>Cash, cash equivalents and restricted cash at end of period</w:t>
            </w:r>
            <w:r>
              <w:rPr>
                <w:rFonts w:ascii="Arial" w:cs="Arial" w:eastAsia="Arial" w:hAnsi="Arial"/>
                <w:sz w:val="22"/>
                <w:szCs w:val="22"/>
                <w:color w:val="auto"/>
                <w:vertAlign w:val="superscript"/>
              </w:rPr>
              <w:t>(1)</w:t>
            </w:r>
          </w:p>
        </w:tc>
        <w:tc>
          <w:tcPr>
            <w:tcW w:w="1140" w:type="dxa"/>
            <w:vAlign w:val="bottom"/>
            <w:tcBorders>
              <w:bottom w:val="single" w:sz="8" w:color="auto"/>
            </w:tcBorders>
          </w:tcPr>
          <w:p>
            <w:pPr>
              <w:jc w:val="right"/>
              <w:ind w:right="93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0"/>
        </w:trPr>
        <w:tc>
          <w:tcPr>
            <w:tcW w:w="7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6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7"/>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2020</w:t>
            </w:r>
          </w:p>
        </w:tc>
      </w:tr>
      <w:tr>
        <w:trPr>
          <w:trHeight w:val="210"/>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2"/>
          </w:tcPr>
          <w:p>
            <w:pPr>
              <w:jc w:val="right"/>
              <w:ind w:right="95"/>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non-cash transactions: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7"/>
                <w:szCs w:val="17"/>
                <w:color w:val="auto"/>
              </w:rPr>
              <w:t>Accrued capital expenditures included in accounts payable and accrued expenses</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7"/>
              <w:spacing w:after="0"/>
              <w:rPr>
                <w:sz w:val="20"/>
                <w:szCs w:val="20"/>
                <w:color w:val="auto"/>
              </w:rPr>
            </w:pPr>
            <w:r>
              <w:rPr>
                <w:rFonts w:ascii="Arial" w:cs="Arial" w:eastAsia="Arial" w:hAnsi="Arial"/>
                <w:sz w:val="17"/>
                <w:szCs w:val="17"/>
                <w:color w:val="auto"/>
              </w:rPr>
              <w:t>296</w:t>
            </w:r>
          </w:p>
        </w:tc>
        <w:tc>
          <w:tcPr>
            <w:tcW w:w="62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427</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Common stock issued for business combinations</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1,727</w:t>
            </w:r>
          </w:p>
        </w:tc>
        <w:tc>
          <w:tcPr>
            <w:tcW w:w="62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ind w:left="220" w:hanging="194"/>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See </w:t>
      </w:r>
      <w:hyperlink w:anchor="page15">
        <w:r>
          <w:rPr>
            <w:rFonts w:ascii="Arial" w:cs="Arial" w:eastAsia="Arial" w:hAnsi="Arial"/>
            <w:sz w:val="14"/>
            <w:szCs w:val="14"/>
            <w:u w:val="single" w:color="auto"/>
            <w:color w:val="0000FF"/>
          </w:rPr>
          <w:t>Note 2—Summary of Significant Accounting Policies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83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838"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spacing w:after="0" w:line="19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The wholly owned subsidiaries of Diamondback, as of June 30, 2021, include Diamondback E&amp;P LLC (Diamondback E&amp;P), a Delaware limited liability company, Viper Energy Partners GP LLC, a Delaware limited liability company, Rattler Midstream GP LLC, a Delaware limited liability company, and QEP Resources, Inc. (“QEP”), a Delaware corporation. Diamondback O&amp;G LLC (“O&amp;G”), Energen Corporation (“Energen”), Energen Resources Corporation and EGN Services, Inc., former wholly owned subsidiaries of Diamondback, were merged with and into Diamondback E&amp;P LLC effective June 30, 2021 as part of the internal restructuring of the Company’s subsidiaries (the “E&amp;P Merger”).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Diamondback’s publicly traded subsidiaries Viper Energy Partners LP (“Viper”) and Rattler Midstream LP (“Rattler”) are consolidated in the Company’s financial statements. As of June 30, 2021, the Company owned approximately 59% of Viper’s total units outstanding. The Company’s wholly owned subsidiary, Viper Energy Partners GP LLC, is the general partner of Viper. As of June 30, 2021, the Company owned approximately 72% of Rattler’s total units outstanding. The Company’s wholly owned subsidiary, Rattler Midstream GP LLC, is the general partner of Rattler. The results of operations attributable to the non-controlling interest in Viper and Rattler are presented within equity and net income and are shown separately from the Company’s equity and net income attributable to the Company.</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2020, which contains a summary of the Company’s significant accounting policies and other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spacing w:after="0" w:line="1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as of the date of the consolidated financial statements.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in 2020, the effects of COVID-19 and actions by OPEC members and other exporting nations on the supply and demand in global oil and natural gas markets resulted in significant negative pricing pressures in the first half of 2020, followed by a recovery in pricing and an increase in demand in the second half of 2020 and into 2021. The financial results of companies in the oil and natural gas industry have been impacted materially as a result of changing market conditions. Such circumstances generally increase the uncertainty in the Company’s accounting estimates, particularly those involving financial forecasts.</w:t>
      </w: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derivative instruments and estimates of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following table provides a reconciliation of cash, cash equivalents and restricted cash as reported at the end of the period in the condensed consolidated statements of cash flows for the six months ended June 30, 2021 and 2020 to the line items within the condensed 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6"/>
                <w:szCs w:val="16"/>
                <w:b w:val="1"/>
                <w:bCs w:val="1"/>
                <w:color w:val="auto"/>
              </w:rPr>
              <w:t>Six Months Ended June 30,</w:t>
            </w:r>
          </w:p>
        </w:tc>
        <w:tc>
          <w:tcPr>
            <w:tcW w:w="400" w:type="dxa"/>
            <w:vAlign w:val="bottom"/>
            <w:tcBorders>
              <w:bottom w:val="single" w:sz="8" w:color="auto"/>
            </w:tcBorders>
          </w:tcPr>
          <w:p>
            <w:pPr>
              <w:spacing w:after="0"/>
              <w:rPr>
                <w:sz w:val="18"/>
                <w:szCs w:val="18"/>
                <w:color w:val="auto"/>
              </w:rPr>
            </w:pPr>
          </w:p>
        </w:tc>
      </w:tr>
      <w:tr>
        <w:trPr>
          <w:trHeight w:val="210"/>
        </w:trPr>
        <w:tc>
          <w:tcPr>
            <w:tcW w:w="8260" w:type="dxa"/>
            <w:vAlign w:val="bottom"/>
          </w:tcPr>
          <w:p>
            <w:pPr>
              <w:spacing w:after="0"/>
              <w:rPr>
                <w:sz w:val="18"/>
                <w:szCs w:val="18"/>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r>
      <w:tr>
        <w:trPr>
          <w:trHeight w:val="209"/>
        </w:trPr>
        <w:tc>
          <w:tcPr>
            <w:tcW w:w="8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Restricted cash included in funds held in escrow</w:t>
            </w:r>
            <w:r>
              <w:rPr>
                <w:rFonts w:ascii="Arial" w:cs="Arial" w:eastAsia="Arial" w:hAnsi="Arial"/>
                <w:sz w:val="23"/>
                <w:szCs w:val="23"/>
                <w:color w:val="auto"/>
                <w:vertAlign w:val="superscript"/>
              </w:rPr>
              <w:t>(1)</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30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1"/>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40" w:hanging="332"/>
        <w:spacing w:after="0" w:line="277"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June 30, 2021, the restricted cash included in funds held in escrow on the condensed consolidated balance sheet is related to cash deposited into an escrow account for a title dispute between outside parties in the Williston Basin.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and is effective for public business entities beginning after December 15, 2020 with early adoption permitted. The Company adopted this update effective January 1, 2021. The adoption of this update did not have a material impact on its financial position, results of operations or liquidity.</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considers the applicability and impact of all ASUs. ASUs not discussed above were assessed and determined to be either not applicable, the effects of adoption are not expected to be material or clarifications of ASUs previously disclosed.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ind w:left="2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ind w:left="20" w:firstLine="648"/>
        <w:spacing w:after="0" w:line="275"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 The following tables present the Company’s revenue from contracts with customers disaggregated by product type and basin:</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June 30, 2021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Three Months Ended June 30, 2020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Midland</w:t>
            </w:r>
          </w:p>
        </w:tc>
        <w:tc>
          <w:tcPr>
            <w:tcW w:w="180" w:type="dxa"/>
            <w:vAlign w:val="bottom"/>
          </w:tcPr>
          <w:p>
            <w:pPr>
              <w:spacing w:after="0"/>
              <w:rPr>
                <w:sz w:val="13"/>
                <w:szCs w:val="13"/>
                <w:color w:val="auto"/>
              </w:rPr>
            </w:pPr>
          </w:p>
        </w:tc>
        <w:tc>
          <w:tcPr>
            <w:tcW w:w="860" w:type="dxa"/>
            <w:vAlign w:val="bottom"/>
          </w:tcPr>
          <w:p>
            <w:pPr>
              <w:jc w:val="right"/>
              <w:ind w:right="73"/>
              <w:spacing w:after="0" w:line="158" w:lineRule="exact"/>
              <w:rPr>
                <w:sz w:val="20"/>
                <w:szCs w:val="20"/>
                <w:color w:val="auto"/>
              </w:rPr>
            </w:pPr>
            <w:r>
              <w:rPr>
                <w:rFonts w:ascii="Arial" w:cs="Arial" w:eastAsia="Arial" w:hAnsi="Arial"/>
                <w:sz w:val="16"/>
                <w:szCs w:val="16"/>
                <w:b w:val="1"/>
                <w:bCs w:val="1"/>
                <w:color w:val="auto"/>
                <w:w w:val="96"/>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3"/>
                <w:szCs w:val="13"/>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3"/>
                <w:szCs w:val="13"/>
                <w:color w:val="auto"/>
              </w:rPr>
            </w:pPr>
          </w:p>
        </w:tc>
        <w:tc>
          <w:tcPr>
            <w:tcW w:w="860" w:type="dxa"/>
            <w:vAlign w:val="bottom"/>
          </w:tcPr>
          <w:p>
            <w:pPr>
              <w:jc w:val="right"/>
              <w:ind w:right="114"/>
              <w:spacing w:after="0" w:line="158" w:lineRule="exact"/>
              <w:rPr>
                <w:sz w:val="20"/>
                <w:szCs w:val="20"/>
                <w:color w:val="auto"/>
              </w:rPr>
            </w:pPr>
            <w:r>
              <w:rPr>
                <w:rFonts w:ascii="Arial" w:cs="Arial" w:eastAsia="Arial" w:hAnsi="Arial"/>
                <w:sz w:val="16"/>
                <w:szCs w:val="16"/>
                <w:b w:val="1"/>
                <w:bCs w:val="1"/>
                <w:color w:val="auto"/>
              </w:rPr>
              <w:t>Midland</w:t>
            </w:r>
          </w:p>
        </w:tc>
        <w:tc>
          <w:tcPr>
            <w:tcW w:w="180" w:type="dxa"/>
            <w:vAlign w:val="bottom"/>
          </w:tcPr>
          <w:p>
            <w:pPr>
              <w:spacing w:after="0"/>
              <w:rPr>
                <w:sz w:val="13"/>
                <w:szCs w:val="13"/>
                <w:color w:val="auto"/>
              </w:rPr>
            </w:pPr>
          </w:p>
        </w:tc>
        <w:tc>
          <w:tcPr>
            <w:tcW w:w="860" w:type="dxa"/>
            <w:vAlign w:val="bottom"/>
          </w:tcPr>
          <w:p>
            <w:pPr>
              <w:jc w:val="right"/>
              <w:ind w:right="73"/>
              <w:spacing w:after="0" w:line="158" w:lineRule="exact"/>
              <w:rPr>
                <w:sz w:val="20"/>
                <w:szCs w:val="20"/>
                <w:color w:val="auto"/>
              </w:rPr>
            </w:pPr>
            <w:r>
              <w:rPr>
                <w:rFonts w:ascii="Arial" w:cs="Arial" w:eastAsia="Arial" w:hAnsi="Arial"/>
                <w:sz w:val="16"/>
                <w:szCs w:val="16"/>
                <w:b w:val="1"/>
                <w:bCs w:val="1"/>
                <w:color w:val="auto"/>
                <w:w w:val="96"/>
              </w:rPr>
              <w:t>Delaware</w:t>
            </w:r>
          </w:p>
        </w:tc>
        <w:tc>
          <w:tcPr>
            <w:tcW w:w="240" w:type="dxa"/>
            <w:vAlign w:val="bottom"/>
          </w:tcPr>
          <w:p>
            <w:pPr>
              <w:spacing w:after="0"/>
              <w:rPr>
                <w:sz w:val="13"/>
                <w:szCs w:val="13"/>
                <w:color w:val="auto"/>
              </w:rPr>
            </w:pPr>
          </w:p>
        </w:tc>
        <w:tc>
          <w:tcPr>
            <w:tcW w:w="820" w:type="dxa"/>
            <w:vAlign w:val="bottom"/>
            <w:vMerge w:val="restart"/>
          </w:tcPr>
          <w:p>
            <w:pPr>
              <w:jc w:val="right"/>
              <w:ind w:right="212"/>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3"/>
                <w:szCs w:val="13"/>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Basin</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Basin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4"/>
          </w:tcPr>
          <w:p>
            <w:pPr>
              <w:jc w:val="right"/>
              <w:ind w:right="574"/>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70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22" w:right="339" w:bottom="1440" w:gutter="0" w:footer="0" w:header="0"/>
        </w:sectPr>
      </w:pPr>
    </w:p>
    <w:p>
      <w:pPr>
        <w:spacing w:after="0" w:line="164"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Six Months Ended June 30, 2021</w:t>
      </w:r>
    </w:p>
    <w:p>
      <w:pPr>
        <w:spacing w:after="0" w:line="26" w:lineRule="exact"/>
        <w:rPr>
          <w:sz w:val="20"/>
          <w:szCs w:val="20"/>
          <w:color w:val="auto"/>
        </w:rPr>
      </w:pPr>
    </w:p>
    <w:tbl>
      <w:tblPr>
        <w:tblLayout w:type="fixed"/>
        <w:tblInd w:w="2720" w:type="dxa"/>
        <w:tblCellMar>
          <w:top w:w="0" w:type="dxa"/>
          <w:left w:w="0" w:type="dxa"/>
          <w:bottom w:w="0" w:type="dxa"/>
          <w:right w:w="0" w:type="dxa"/>
        </w:tblCellMar>
      </w:tblPr>
      <w:tr>
        <w:trPr>
          <w:trHeight w:val="162"/>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1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100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Other</w:t>
            </w:r>
          </w:p>
        </w:tc>
        <w:tc>
          <w:tcPr>
            <w:tcW w:w="1040" w:type="dxa"/>
            <w:vAlign w:val="bottom"/>
            <w:tcBorders>
              <w:top w:val="single" w:sz="8" w:color="auto"/>
            </w:tcBorders>
            <w:vMerge w:val="restart"/>
          </w:tcPr>
          <w:p>
            <w:pPr>
              <w:ind w:lef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1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1000" w:type="dxa"/>
            <w:vAlign w:val="bottom"/>
            <w:tcBorders>
              <w:top w:val="single" w:sz="8" w:color="auto"/>
            </w:tcBorders>
            <w:vMerge w:val="restart"/>
          </w:tcPr>
          <w:p>
            <w:pPr>
              <w:ind w:left="260"/>
              <w:spacing w:after="0"/>
              <w:rPr>
                <w:sz w:val="20"/>
                <w:szCs w:val="20"/>
                <w:color w:val="auto"/>
              </w:rPr>
            </w:pPr>
            <w:r>
              <w:rPr>
                <w:rFonts w:ascii="Arial" w:cs="Arial" w:eastAsia="Arial" w:hAnsi="Arial"/>
                <w:sz w:val="16"/>
                <w:szCs w:val="16"/>
                <w:b w:val="1"/>
                <w:bCs w:val="1"/>
                <w:color w:val="auto"/>
              </w:rPr>
              <w:t>Other</w:t>
            </w:r>
          </w:p>
        </w:tc>
        <w:tc>
          <w:tcPr>
            <w:tcW w:w="1040" w:type="dxa"/>
            <w:vAlign w:val="bottom"/>
            <w:tcBorders>
              <w:top w:val="single" w:sz="8" w:color="auto"/>
            </w:tcBorders>
            <w:vMerge w:val="restart"/>
          </w:tcPr>
          <w:p>
            <w:pPr>
              <w:ind w:lef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40" w:space="100"/>
            <w:col w:w="4220"/>
          </w:cols>
          <w:pgMar w:left="300" w:top="122" w:right="339" w:bottom="1440" w:gutter="0" w:footer="0" w:header="0"/>
          <w:type w:val="continuous"/>
        </w:sectPr>
      </w:pPr>
    </w:p>
    <w:tbl>
      <w:tblPr>
        <w:tblLayout w:type="fixed"/>
        <w:tblInd w:w="2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6"/>
                <w:szCs w:val="16"/>
                <w:b w:val="1"/>
                <w:bCs w:val="1"/>
                <w:color w:val="auto"/>
              </w:rPr>
              <w:t>(In millions)</w:t>
            </w:r>
          </w:p>
        </w:tc>
        <w:tc>
          <w:tcPr>
            <w:tcW w:w="5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270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r>
      <w:tr>
        <w:trPr>
          <w:trHeight w:val="20"/>
        </w:trPr>
        <w:tc>
          <w:tcPr>
            <w:tcW w:w="2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Guidon Operating LLC</w:t>
      </w:r>
    </w:p>
    <w:p>
      <w:pPr>
        <w:spacing w:after="0" w:line="252" w:lineRule="exact"/>
        <w:rPr>
          <w:sz w:val="20"/>
          <w:szCs w:val="20"/>
          <w:color w:val="auto"/>
        </w:rPr>
      </w:pPr>
    </w:p>
    <w:p>
      <w:pPr>
        <w:jc w:val="both"/>
        <w:ind w:left="20" w:firstLine="648"/>
        <w:spacing w:after="0" w:line="257" w:lineRule="auto"/>
        <w:rPr>
          <w:sz w:val="20"/>
          <w:szCs w:val="20"/>
          <w:color w:val="auto"/>
        </w:rPr>
      </w:pPr>
      <w:r>
        <w:rPr>
          <w:rFonts w:ascii="Arial" w:cs="Arial" w:eastAsia="Arial" w:hAnsi="Arial"/>
          <w:sz w:val="18"/>
          <w:szCs w:val="18"/>
          <w:color w:val="auto"/>
        </w:rPr>
        <w:t>On December 21, 2020, the Company entered into a definitive purchase agreement to acquire all leasehold interests and related assets of Guidon Operating LLC (the “Guidon Acquisition”) which include approximately 32,500 net acres in the Northern Midland Basin in exchange for 10.68 million shares of the Company’s common stock and $375 million of cash. The Guidon Acquisition closed on February 26, 2021. The cash portion of this transaction was funded through a combination of cash on hand and borrowings under the Company’s credit facility. As a result of the Guidon Acquisition, the Company added approximately 210 gross producing wells.</w:t>
      </w:r>
    </w:p>
    <w:p>
      <w:pPr>
        <w:spacing w:after="0" w:line="2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following table presents the acquisition consideration paid in the Guidon Acquisition (in millions, except per share data, shares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w:t>
            </w:r>
          </w:p>
        </w:tc>
        <w:tc>
          <w:tcPr>
            <w:tcW w:w="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8"/>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Shares of Diamondback common stock issued at closing</w:t>
            </w:r>
          </w:p>
        </w:tc>
        <w:tc>
          <w:tcPr>
            <w:tcW w:w="9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Closing price per share of Diamondback common stock on the closing date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r>
      <w:tr>
        <w:trPr>
          <w:trHeight w:val="222"/>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Fair value of Diamondback common stock issued</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9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4"/>
        </w:trPr>
        <w:tc>
          <w:tcPr>
            <w:tcW w:w="9020" w:type="dxa"/>
            <w:vAlign w:val="bottom"/>
            <w:gridSpan w:val="2"/>
          </w:tcPr>
          <w:p>
            <w:pPr>
              <w:spacing w:after="0"/>
              <w:rPr>
                <w:sz w:val="20"/>
                <w:szCs w:val="20"/>
                <w:color w:val="auto"/>
              </w:rPr>
            </w:pPr>
            <w:r>
              <w:rPr>
                <w:rFonts w:ascii="Arial" w:cs="Arial" w:eastAsia="Arial" w:hAnsi="Arial"/>
                <w:sz w:val="16"/>
                <w:szCs w:val="16"/>
                <w:b w:val="1"/>
                <w:bCs w:val="1"/>
                <w:color w:val="auto"/>
              </w:rPr>
              <w:t>Total consideration (including fair value of Diamondback common stock issued)</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Guidon Acquisition has been accounted for as a business combination using the acquisition method. The following table represents the allocation of the total purchase price paid in the Guidon Acquisition to the identifiable assets acquired based on the fair values at the acquisition date, with any excess of the purchase price over the estimated fair value of the identifiable net assets acquired. Although the purchase price allocation is substantially complete as of the date of this filing, there may be further adjustments to the fair value of certain assets acquired and liabilities assumed, including but not limited to the Company’s oil and natural gas properties. The Company expects to complete the purchase price allocation during the 12-month period following the acquisition date and may revise the value of the assets and liabilities as appropriate within that time frame. For the three months ended June 30, 2021, there were no material changes to the allocation presented in the March 31, 2021 10-Q filed with the SEC on May 7, 2021.</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preliminary purchase price allocation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7"/>
        </w:trPr>
        <w:tc>
          <w:tcPr>
            <w:tcW w:w="9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28"/>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Midstream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Oil and natural gas properties were valued using an income approach utilizing the discounted cash flow method, which takes into account production forecasts, projected commodity prices and pricing differentials, and estimates of future capital and operating costs which are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completion of the Guidon Acquisition, the Company acquired proved properties of $537 million and unproved properties of $573 million. The results of operations attributable to the Guidon Acquisition since the acquisition date have been included in the condensed consolidated statements of operations and include $103 million and $133 million of total revenue for the three and six months ended June 30, 2021, respectively, and $49 million and $65 million of net income for the three and six months ended June 30, 2021,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Resources, Inc.</w:t>
      </w:r>
    </w:p>
    <w:p>
      <w:pPr>
        <w:spacing w:after="0" w:line="252" w:lineRule="exact"/>
        <w:rPr>
          <w:sz w:val="20"/>
          <w:szCs w:val="20"/>
          <w:color w:val="auto"/>
        </w:rPr>
      </w:pPr>
    </w:p>
    <w:p>
      <w:pPr>
        <w:jc w:val="both"/>
        <w:ind w:firstLine="648"/>
        <w:spacing w:after="0" w:line="275" w:lineRule="auto"/>
        <w:rPr>
          <w:rFonts w:ascii="Arial" w:cs="Arial" w:eastAsia="Arial" w:hAnsi="Arial"/>
          <w:sz w:val="17"/>
          <w:szCs w:val="17"/>
          <w:color w:val="auto"/>
        </w:rPr>
      </w:pPr>
      <w:r>
        <w:rPr>
          <w:rFonts w:ascii="Arial" w:cs="Arial" w:eastAsia="Arial" w:hAnsi="Arial"/>
          <w:sz w:val="17"/>
          <w:szCs w:val="17"/>
          <w:color w:val="auto"/>
        </w:rPr>
        <w:t>On March 17, 2021, the Company completed its acquisition of QEP in an all-stock transaction (the “QEP Merger”). The addition of QEP’s assets increased the Company’s net acreage in the Midland Basin by approximately 49,000 net acres. Under the terms of the QEP Merger, each eligible share of QEP common stock issued and outstanding immediately prior to the effective time converted into the right to receive 0.050 of a share of Diamondback common stock, with cash being paid in lieu of any fractional shares (the “merger consideration”). At the closing date of the QEP Merger, the carrying value of QEP’s outstanding debt was approximately $1.6 billion. See Note 7—</w:t>
      </w:r>
      <w:hyperlink w:anchor="page22">
        <w:r>
          <w:rPr>
            <w:rFonts w:ascii="Arial" w:cs="Arial" w:eastAsia="Arial" w:hAnsi="Arial"/>
            <w:sz w:val="17"/>
            <w:szCs w:val="17"/>
            <w:u w:val="single" w:color="auto"/>
            <w:color w:val="0000FF"/>
          </w:rPr>
          <w:t>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acquisition consideration paid to QEP stockholders in the QEP Merger (in millions, except per share data, shares in thousands):</w:t>
      </w:r>
    </w:p>
    <w:p>
      <w:pPr>
        <w:sectPr>
          <w:pgSz w:w="11900" w:h="16838" w:orient="portrait"/>
          <w:cols w:equalWidth="0" w:num="1">
            <w:col w:w="11240"/>
          </w:cols>
          <w:pgMar w:left="320" w:top="122"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 w:lineRule="exact"/>
        <w:rPr>
          <w:sz w:val="20"/>
          <w:szCs w:val="20"/>
          <w:color w:val="auto"/>
        </w:rPr>
      </w:pPr>
    </w:p>
    <w:p>
      <w:pPr>
        <w:ind w:left="20" w:right="2155"/>
        <w:spacing w:after="0" w:line="308" w:lineRule="auto"/>
        <w:rPr>
          <w:sz w:val="20"/>
          <w:szCs w:val="20"/>
          <w:color w:val="auto"/>
        </w:rPr>
      </w:pPr>
      <w:r>
        <w:rPr>
          <w:rFonts w:ascii="Arial" w:cs="Arial" w:eastAsia="Arial" w:hAnsi="Arial"/>
          <w:sz w:val="16"/>
          <w:szCs w:val="16"/>
          <w:color w:val="auto"/>
        </w:rPr>
        <w:t>Eligible shares of QEP common stock converted into shares of Diamondback common stock Shares of QEP equity awards included in precombination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815"/>
        <w:spacing w:after="0" w:line="266" w:lineRule="auto"/>
        <w:rPr>
          <w:sz w:val="20"/>
          <w:szCs w:val="20"/>
          <w:color w:val="auto"/>
        </w:rPr>
      </w:pPr>
      <w:r>
        <w:rPr>
          <w:rFonts w:ascii="Arial" w:cs="Arial" w:eastAsia="Arial" w:hAnsi="Arial"/>
          <w:sz w:val="18"/>
          <w:szCs w:val="18"/>
          <w:color w:val="auto"/>
        </w:rPr>
        <w:t>Total shares of QEP common stock eligible for merger consideration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695"/>
        <w:spacing w:after="0" w:line="331" w:lineRule="auto"/>
        <w:rPr>
          <w:sz w:val="20"/>
          <w:szCs w:val="20"/>
          <w:color w:val="auto"/>
        </w:rPr>
      </w:pPr>
      <w:r>
        <w:rPr>
          <w:rFonts w:ascii="Arial" w:cs="Arial" w:eastAsia="Arial" w:hAnsi="Arial"/>
          <w:sz w:val="16"/>
          <w:szCs w:val="16"/>
          <w:color w:val="auto"/>
        </w:rPr>
        <w:t>Shares of Diamondback common stock issued as merger consideration Closing price per share of Diamondback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Total consideration (fair value of the Company's common stock issued)</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238,153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830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242,374</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0.050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12,119</w:t>
      </w:r>
    </w:p>
    <w:p>
      <w:pPr>
        <w:spacing w:after="0" w:line="23" w:lineRule="exact"/>
        <w:rPr>
          <w:sz w:val="20"/>
          <w:szCs w:val="20"/>
          <w:color w:val="auto"/>
        </w:rPr>
      </w:pPr>
    </w:p>
    <w:p>
      <w:pPr>
        <w:ind w:left="1385" w:hanging="1385"/>
        <w:spacing w:after="0"/>
        <w:tabs>
          <w:tab w:leader="none" w:pos="1385" w:val="left"/>
        </w:tabs>
        <w:numPr>
          <w:ilvl w:val="0"/>
          <w:numId w:val="7"/>
        </w:numPr>
        <w:rPr>
          <w:rFonts w:ascii="Arial" w:cs="Arial" w:eastAsia="Arial" w:hAnsi="Arial"/>
          <w:sz w:val="15"/>
          <w:szCs w:val="15"/>
          <w:color w:val="auto"/>
        </w:rPr>
      </w:pPr>
      <w:r>
        <w:rPr>
          <w:rFonts w:ascii="Arial" w:cs="Arial" w:eastAsia="Arial" w:hAnsi="Arial"/>
          <w:sz w:val="15"/>
          <w:szCs w:val="15"/>
          <w:color w:val="auto"/>
        </w:rPr>
        <w:t>81.41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51" w:lineRule="exact"/>
        <w:rPr>
          <w:sz w:val="20"/>
          <w:szCs w:val="20"/>
          <w:color w:val="auto"/>
        </w:rPr>
      </w:pPr>
    </w:p>
    <w:p>
      <w:pPr>
        <w:ind w:left="5"/>
        <w:spacing w:after="0"/>
        <w:tabs>
          <w:tab w:leader="none" w:pos="1485"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11830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809" w:lineRule="exact"/>
        <w:rPr>
          <w:sz w:val="20"/>
          <w:szCs w:val="20"/>
          <w:color w:val="auto"/>
        </w:rPr>
      </w:pPr>
    </w:p>
    <w:p>
      <w:pPr>
        <w:sectPr>
          <w:pgSz w:w="11900" w:h="16838" w:orient="portrait"/>
          <w:cols w:equalWidth="0" w:num="2">
            <w:col w:w="8675" w:space="720"/>
            <w:col w:w="1845"/>
          </w:cols>
          <w:pgMar w:left="320" w:top="122" w:right="339" w:bottom="1440" w:gutter="0" w:footer="0" w:header="0"/>
          <w:type w:val="continuous"/>
        </w:sectPr>
      </w:pPr>
    </w:p>
    <w:p>
      <w:pPr>
        <w:spacing w:after="0" w:line="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QEP Merger has been accounted for as a business combination using the acquisition method. The following table represents the preliminary allocation of the total purchase price for the acquisition of QEP to the identifiable assets acquired and the liabilities assumed based on the fair values at the acquisition date, with any excess of the purchase price over the estimated fair value of the identifiable net assets acquired. Although the purchase price allocation is substantially complete as of the date of this filing, certain data necessary to complete the purchase price allocation is not yet available, and includes, but is not limited to, final tax returns that provide the underlying tax basis of QEP’s assets and liabilities. As such, there may be further adjustments to the fair value of certain assets acquired and liabilities assumed, including the Company’s oil and natural gas properties. The Company expects to complete the purchase price allocation during the 12-month period following the acquisition date. For the three months ended June 30, 2021, there were no material changes to the allocation presented in the March 31, 2021 10-Q filed with the SEC on May 7, 2021.</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preliminary purchase price allocation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consideration</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16"/>
        </w:trPr>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9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Fair value of liabilities assumed:</w:t>
            </w: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Accounts payable - trade</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1"/>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capital expenditures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Other accrued liabilities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Revenues and royalties payable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Derivative instruments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Asset retirement obligations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2"/>
        </w:trPr>
        <w:tc>
          <w:tcPr>
            <w:tcW w:w="90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Amount attributable to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r>
      <w:tr>
        <w:trPr>
          <w:trHeight w:val="197"/>
        </w:trPr>
        <w:tc>
          <w:tcPr>
            <w:tcW w:w="9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Fair value of assets acquired:</w:t>
            </w: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2"/>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cash equivalents and restricted cash</w:t>
            </w:r>
          </w:p>
        </w:tc>
        <w:tc>
          <w:tcPr>
            <w:tcW w:w="94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Accounts receivable - joint interest and other, net</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 oil and natural gas sales, net</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90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1"/>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and natural gas properties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r>
      <w:tr>
        <w:trPr>
          <w:trHeight w:val="229"/>
        </w:trPr>
        <w:tc>
          <w:tcPr>
            <w:tcW w:w="9000" w:type="dxa"/>
            <w:vAlign w:val="bottom"/>
          </w:tcPr>
          <w:p>
            <w:pPr>
              <w:ind w:left="240"/>
              <w:spacing w:after="0"/>
              <w:rPr>
                <w:sz w:val="20"/>
                <w:szCs w:val="20"/>
                <w:color w:val="auto"/>
              </w:rPr>
            </w:pPr>
            <w:r>
              <w:rPr>
                <w:rFonts w:ascii="Arial" w:cs="Arial" w:eastAsia="Arial" w:hAnsi="Arial"/>
                <w:sz w:val="18"/>
                <w:szCs w:val="18"/>
                <w:color w:val="auto"/>
              </w:rPr>
              <w:t>Other property, equipment and land</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8"/>
        </w:trPr>
        <w:tc>
          <w:tcPr>
            <w:tcW w:w="9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9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Amount attributable to assets acquired</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r>
      <w:tr>
        <w:trPr>
          <w:trHeight w:val="224"/>
        </w:trPr>
        <w:tc>
          <w:tcPr>
            <w:tcW w:w="9000" w:type="dxa"/>
            <w:vAlign w:val="bottom"/>
          </w:tcPr>
          <w:p>
            <w:pPr>
              <w:ind w:left="20"/>
              <w:spacing w:after="0"/>
              <w:rPr>
                <w:sz w:val="20"/>
                <w:szCs w:val="20"/>
                <w:color w:val="auto"/>
              </w:rPr>
            </w:pPr>
            <w:r>
              <w:rPr>
                <w:rFonts w:ascii="Arial" w:cs="Arial" w:eastAsia="Arial" w:hAnsi="Arial"/>
                <w:sz w:val="16"/>
                <w:szCs w:val="16"/>
                <w:b w:val="1"/>
                <w:bCs w:val="1"/>
                <w:color w:val="auto"/>
              </w:rPr>
              <w:t>Net assets acquired and liabilities assumed</w:t>
            </w:r>
          </w:p>
        </w:tc>
        <w:tc>
          <w:tcPr>
            <w:tcW w:w="940" w:type="dxa"/>
            <w:vAlign w:val="bottom"/>
            <w:tcBorders>
              <w:bottom w:val="single" w:sz="8" w:color="auto"/>
            </w:tcBorders>
          </w:tcPr>
          <w:p>
            <w:pPr>
              <w:jc w:val="right"/>
              <w:ind w:right="752"/>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1"/>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purchase price allocation above was based on preliminary estimates of the fair values of the assets and liabilities of QEP as of the closing date of the QEP Merger. The majority of the measurements of assets acquired and liabilities assumed are based on inputs that are not observable in the market and are therefore considered Level 3 inputs. The fair value of acquired property and equipment, including midstream assets classified in oil and natural gas properties, is based on the cost approach, which utilized asset listings and cost records with consideration for the reported age, condition, utilization and economic support of the assets. Oil and natural gas properties were valued using an income approach utilizing the discounted cash flow method, which takes into account production forecasts, projected commodity prices and pricing differentials, and estimates of future capital and operating costs which are then discounted utilizing an estimated weighted-average cost of capital for industry market participants. The fair value of QEP’s outstanding senior unsecured notes was based on unadjusted quoted prices in an active market, which are considered Level 1 inputs. The value of derivative instruments was based on observable inputs including forward commodity-price curves which are considered Level 2 inputs. Deferred income taxes represent the tax effects of differences in the tax basis and merger-date fair values of assets acquired and liabilities assumed.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completion of the QEP Merger, the Company acquired proved properties of $2.3 billion and unproved properties of $444 million, primarily in the Midland Basin and the Williston Basin. The results of operations attributable to the QEP Merger since the acquisition date have been included in the condensed consolidated statements of operations and include $359 million and $413 million of total revenue, and $124 million and $139 million of net income for the three and six months ended June 30, 2021,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unaudited summary pro forma financial information for the three and six months ended June 30, 2021 and 2020 has been prepared to give effect to the QEP Merger and the Guidon Acquisition as if they had occurred on January 1, 2020.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below information reflects pro forma adjustments for the issuance of the Company’s common stock in exchange for QEP’s outstanding shares of common stock, as well as pro forma adjustments based on available information and certain assumptions that the Company believes are reasonable, including adjustments to depreciation, depletion and amortization based on the full cost method of accounting and the purchase price allocated to property, plant, and equipment as well as adjustments to interest expense and the provision for (benefit from) income taxes.</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pro forma earnings were adjusted to exclude acquisition-related costs incurred by the Company for the QEP Merger and the Guidon Acquisition of approximately $2 million and $77 million for the three and six months ended June 30, 2021 and acquisition-related costs incurred by QEP of $31 million through the closing date of the QEP Merger. These acquisition-related costs primarily consist of one-time severance costs and the accelerated or change-in-control vesting of certain QEP share-based awards for former QEP employees based on the terms of the merger agreement relating to the QEP Merger and other bank, legal and advisory fees. The pro forma results of operations do not include any cost savings or other synergies that may result from the QEP Merger and the Guidon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328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820" w:type="dxa"/>
            <w:vAlign w:val="bottom"/>
            <w:gridSpan w:val="3"/>
          </w:tcPr>
          <w:p>
            <w:pPr>
              <w:jc w:val="right"/>
              <w:ind w:right="55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7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10"/>
        </w:trPr>
        <w:tc>
          <w:tcPr>
            <w:tcW w:w="4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w w:val="91"/>
              </w:rPr>
              <w:t>(In millions, except per share amounts)</w:t>
            </w: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1,656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3,137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w w:val="88"/>
              </w:rPr>
              <w:t>1,763</w:t>
            </w: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1,706</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512"/>
              <w:spacing w:after="0"/>
              <w:rPr>
                <w:sz w:val="20"/>
                <w:szCs w:val="20"/>
                <w:color w:val="auto"/>
              </w:rPr>
            </w:pPr>
            <w:r>
              <w:rPr>
                <w:rFonts w:ascii="Arial" w:cs="Arial" w:eastAsia="Arial" w:hAnsi="Arial"/>
                <w:sz w:val="18"/>
                <w:szCs w:val="18"/>
                <w:color w:val="auto"/>
                <w:w w:val="94"/>
              </w:rPr>
              <w:t>(3,536)</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4"/>
              </w:rPr>
              <w:t>(2,469)</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2.95</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512"/>
              <w:spacing w:after="0"/>
              <w:rPr>
                <w:sz w:val="20"/>
                <w:szCs w:val="20"/>
                <w:color w:val="auto"/>
              </w:rPr>
            </w:pPr>
            <w:r>
              <w:rPr>
                <w:rFonts w:ascii="Arial" w:cs="Arial" w:eastAsia="Arial" w:hAnsi="Arial"/>
                <w:sz w:val="18"/>
                <w:szCs w:val="18"/>
                <w:color w:val="auto"/>
                <w:w w:val="94"/>
              </w:rPr>
              <w:t>(13.66)</w:t>
            </w: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4"/>
              </w:rPr>
              <w:t>(13.66)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May 3, 2021, the Company signed a definitive agreement to divest all of its Williston Basin assets acquired in the QEP Merger, consisting of approximately 95,000 net acres, for a sales price of approximately $745 million, subject to certain closing adjustments. These assets have estimated full year 2021 net production of approximately 15 MBO/d (25 MBOE/d). This transaction is expected to close late in the third quarter of 2021, subject to continued due diligence and closing conditions. The Company intends to use its net proceeds from this transaction for debt reduction.</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 2021 and June 7, 2021, respectively, the Company closed transactions to divest certain non-core Permian assets including over 7,000 net acres of non-core Southern Midland Basin acreage in Upton county, Texas and approximately 1,300 net acres of non-core, non-operated Delaware Basin assets in Lea county, New Mexico for a combined sales price of $82 million, net of customary purchase price adjustments. These assets have estimated full year 2021 net production of approximately 900 BO/d (2,650 BOE/d) from 140 producing wells. The Company used its net proceeds from these transactions toward debt reduction.</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PROPERTY AND EQUIPMENT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includes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292"/>
              <w:spacing w:after="0"/>
              <w:rPr>
                <w:sz w:val="20"/>
                <w:szCs w:val="20"/>
                <w:color w:val="auto"/>
              </w:rPr>
            </w:pPr>
            <w:r>
              <w:rPr>
                <w:rFonts w:ascii="Arial" w:cs="Arial" w:eastAsia="Arial" w:hAnsi="Arial"/>
                <w:sz w:val="16"/>
                <w:szCs w:val="16"/>
                <w:b w:val="1"/>
                <w:bCs w:val="1"/>
                <w:color w:val="auto"/>
                <w:w w:val="90"/>
              </w:rPr>
              <w:t>December 31,</w:t>
            </w:r>
          </w:p>
        </w:tc>
      </w:tr>
      <w:tr>
        <w:trPr>
          <w:trHeight w:val="219"/>
        </w:trPr>
        <w:tc>
          <w:tcPr>
            <w:tcW w:w="7700" w:type="dxa"/>
            <w:vAlign w:val="bottom"/>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r>
      <w:tr>
        <w:trPr>
          <w:trHeight w:val="210"/>
        </w:trPr>
        <w:tc>
          <w:tcPr>
            <w:tcW w:w="7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spacing w:after="0"/>
              <w:rPr>
                <w:sz w:val="18"/>
                <w:szCs w:val="18"/>
                <w:color w:val="auto"/>
              </w:rPr>
            </w:pPr>
          </w:p>
        </w:tc>
      </w:tr>
      <w:tr>
        <w:trPr>
          <w:trHeight w:val="23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1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770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1140" w:type="dxa"/>
            <w:vAlign w:val="bottom"/>
          </w:tcPr>
          <w:p>
            <w:pPr>
              <w:jc w:val="right"/>
              <w:ind w:right="935"/>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23,868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19,884</w:t>
            </w: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Gross oil and natural gas properties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32,155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27,377</w:t>
            </w:r>
          </w:p>
        </w:tc>
      </w:tr>
      <w:tr>
        <w:trPr>
          <w:trHeight w:val="229"/>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r>
      <w:tr>
        <w:trPr>
          <w:trHeight w:val="230"/>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impairment</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(7,954)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r>
      <w:tr>
        <w:trPr>
          <w:trHeight w:val="223"/>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Oil and natural gas properties, net</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19,390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w:t>
            </w:r>
          </w:p>
        </w:tc>
      </w:tr>
      <w:tr>
        <w:trPr>
          <w:trHeight w:val="223"/>
        </w:trPr>
        <w:tc>
          <w:tcPr>
            <w:tcW w:w="7700" w:type="dxa"/>
            <w:vAlign w:val="bottom"/>
          </w:tcPr>
          <w:p>
            <w:pPr>
              <w:ind w:left="220"/>
              <w:spacing w:after="0"/>
              <w:rPr>
                <w:sz w:val="20"/>
                <w:szCs w:val="20"/>
                <w:color w:val="auto"/>
              </w:rPr>
            </w:pPr>
            <w:r>
              <w:rPr>
                <w:rFonts w:ascii="Arial" w:cs="Arial" w:eastAsia="Arial" w:hAnsi="Arial"/>
                <w:sz w:val="18"/>
                <w:szCs w:val="18"/>
                <w:color w:val="auto"/>
              </w:rPr>
              <w:t>Midstream assets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property, equipment and land</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depreciation and impairment</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8"/>
        </w:trPr>
        <w:tc>
          <w:tcPr>
            <w:tcW w:w="7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16,214</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full cost method of accounting, the Company is required to perform a ceiling test each quarter which determines a limit, or ceiling, on the book value of proved oil and natural gas properties. No impairment expense was recorded for the three and six months ended June 30, 2021. The Company recorded $2.5 billion and $3.5 billion in impairment expense for the three and six months ended June 30, 2020, respectively, based on the results of the respective quarterly ceiling tests.</w:t>
      </w:r>
    </w:p>
    <w:p>
      <w:pPr>
        <w:spacing w:after="0" w:line="20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In connection with the QEP Merger and the Guidon Acquisition, the Company recorded the oil and natural gas properties acquired at fair value, based on forward strip oil and natural gas pricing existing at the closing date of the respective transactions, in accordance with ASC 820 Fair Value Measurement. Pursuant to SEC guidance, the Company determined that the fair value of the properties acquired in the QEP Merger and the Guidon Acquisition clearly exceeded the related full cost ceiling limitation beyond a reasonable doubt. As such, the Company requested and received a waiver from the SEC to exclude the properties acquired from the ceiling test calculation for the quarter ended March 31, 2021. As a result, no impairment expense related to the QEP Merger and the Guidon Acquisition was recorded for the three months ended March 31, 2021. Had the Company not received a waiver from the SEC, an impairment charge of approximately $1.1 billion would have been recorded for such period. Management affirmed there has not been a decline in the fair value of these acquired assets. The properties acquired in the QEP Merger and the Guidon Acquisition had total unamortized costs at March 31, 2021 of $3.0 billion and $1.1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Six Months Ended June 30,</w:t>
            </w:r>
          </w:p>
        </w:tc>
        <w:tc>
          <w:tcPr>
            <w:tcW w:w="46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gridSpan w:val="3"/>
          </w:tcPr>
          <w:p>
            <w:pPr>
              <w:jc w:val="right"/>
              <w:ind w:right="593"/>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Liabilities settled and divested</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Revisions in estimated liabilities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81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 - long-term</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current portion of the asset retirement obligation is included in other accrued liabilities in the Company’s condensed consolidated balance sheets.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431"/>
              <w:spacing w:after="0"/>
              <w:rPr>
                <w:sz w:val="20"/>
                <w:szCs w:val="20"/>
                <w:color w:val="auto"/>
              </w:rPr>
            </w:pPr>
            <w:r>
              <w:rPr>
                <w:rFonts w:ascii="Arial" w:cs="Arial" w:eastAsia="Arial" w:hAnsi="Arial"/>
                <w:sz w:val="16"/>
                <w:szCs w:val="16"/>
                <w:b w:val="1"/>
                <w:bCs w:val="1"/>
                <w:color w:val="auto"/>
                <w:w w:val="94"/>
              </w:rPr>
              <w:t>December 31,</w:t>
            </w:r>
          </w:p>
        </w:tc>
      </w:tr>
      <w:tr>
        <w:trPr>
          <w:trHeight w:val="219"/>
        </w:trPr>
        <w:tc>
          <w:tcPr>
            <w:tcW w:w="60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40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2020</w:t>
            </w:r>
          </w:p>
        </w:tc>
      </w:tr>
      <w:tr>
        <w:trPr>
          <w:trHeight w:val="210"/>
        </w:trPr>
        <w:tc>
          <w:tcPr>
            <w:tcW w:w="60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520" w:type="dxa"/>
            <w:vAlign w:val="bottom"/>
          </w:tcPr>
          <w:p>
            <w:pPr>
              <w:spacing w:after="0"/>
              <w:rPr>
                <w:sz w:val="18"/>
                <w:szCs w:val="18"/>
                <w:color w:val="auto"/>
              </w:rPr>
            </w:pPr>
          </w:p>
        </w:tc>
      </w:tr>
      <w:tr>
        <w:trPr>
          <w:trHeight w:val="232"/>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4.625% Notes due 2021</w:t>
            </w:r>
          </w:p>
        </w:tc>
        <w:tc>
          <w:tcPr>
            <w:tcW w:w="1400" w:type="dxa"/>
            <w:vAlign w:val="bottom"/>
            <w:shd w:val="clear" w:color="auto" w:fill="CCEEFF"/>
          </w:tcPr>
          <w:p>
            <w:pPr>
              <w:jc w:val="right"/>
              <w:ind w:right="1195"/>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2022</w:t>
            </w:r>
            <w:r>
              <w:rPr>
                <w:rFonts w:ascii="Arial" w:cs="Arial" w:eastAsia="Arial" w:hAnsi="Arial"/>
                <w:sz w:val="23"/>
                <w:szCs w:val="23"/>
                <w:color w:val="auto"/>
                <w:vertAlign w:val="superscript"/>
              </w:rPr>
              <w:t>(1)</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7.320%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2022</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5.250%</w:t>
            </w:r>
          </w:p>
        </w:tc>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Senior Notes due 2023</w:t>
            </w:r>
            <w:r>
              <w:rPr>
                <w:rFonts w:ascii="Arial" w:cs="Arial" w:eastAsia="Arial" w:hAnsi="Arial"/>
                <w:sz w:val="23"/>
                <w:szCs w:val="23"/>
                <w:color w:val="auto"/>
                <w:vertAlign w:val="superscript"/>
              </w:rPr>
              <w:t>(1)</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2.875%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4.750%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5.375%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3.250%</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5.625%</w:t>
            </w:r>
          </w:p>
        </w:tc>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Senior Notes due 2026</w:t>
            </w:r>
            <w:r>
              <w:rPr>
                <w:rFonts w:ascii="Arial" w:cs="Arial" w:eastAsia="Arial" w:hAnsi="Arial"/>
                <w:sz w:val="23"/>
                <w:szCs w:val="23"/>
                <w:color w:val="auto"/>
                <w:vertAlign w:val="superscript"/>
              </w:rPr>
              <w:t>(1)</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7.125%</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B, due 2028</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3.500%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2031</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4.400%</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2051</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DrillCo Agreement</w:t>
            </w:r>
            <w:r>
              <w:rPr>
                <w:rFonts w:ascii="Arial" w:cs="Arial" w:eastAsia="Arial" w:hAnsi="Arial"/>
                <w:sz w:val="23"/>
                <w:szCs w:val="23"/>
                <w:color w:val="auto"/>
                <w:vertAlign w:val="superscript"/>
              </w:rPr>
              <w:t>(2)</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Unamortized debt issuance costs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costs</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Unamortized premium costs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Fair value of interest rate swap agreements</w:t>
            </w:r>
            <w:r>
              <w:rPr>
                <w:rFonts w:ascii="Arial" w:cs="Arial" w:eastAsia="Arial" w:hAnsi="Arial"/>
                <w:sz w:val="23"/>
                <w:szCs w:val="23"/>
                <w:color w:val="auto"/>
                <w:vertAlign w:val="superscript"/>
              </w:rPr>
              <w:t>(3)</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14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Viper revolving credit facility</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Viper 5.375% Senior Notes due 2027</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Rattler revolving credit facility</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Rattler 5.625% Senior Notes due 2025</w:t>
            </w:r>
          </w:p>
        </w:tc>
        <w:tc>
          <w:tcPr>
            <w:tcW w:w="14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debt, net</w:t>
            </w:r>
          </w:p>
        </w:tc>
        <w:tc>
          <w:tcPr>
            <w:tcW w:w="14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w:t>
            </w:r>
          </w:p>
        </w:tc>
      </w:tr>
      <w:tr>
        <w:trPr>
          <w:trHeight w:val="229"/>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14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48"/>
        </w:trPr>
        <w:tc>
          <w:tcPr>
            <w:tcW w:w="71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400" w:type="dxa"/>
            <w:vAlign w:val="bottom"/>
            <w:tcBorders>
              <w:top w:val="single" w:sz="8" w:color="auto"/>
              <w:bottom w:val="single" w:sz="8" w:color="auto"/>
            </w:tcBorders>
            <w:shd w:val="clear" w:color="auto" w:fill="CCEEFF"/>
          </w:tcPr>
          <w:p>
            <w:pPr>
              <w:jc w:val="right"/>
              <w:ind w:right="1195"/>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effective time of the QEP Merger, QEP became a wholly owned subsidiary of the Company and remained the issuer of the notes.</w:t>
      </w:r>
    </w:p>
    <w:p>
      <w:pPr>
        <w:spacing w:after="0" w:line="23" w:lineRule="exact"/>
        <w:rPr>
          <w:rFonts w:ascii="Arial" w:cs="Arial" w:eastAsia="Arial" w:hAnsi="Arial"/>
          <w:sz w:val="18"/>
          <w:szCs w:val="18"/>
          <w:color w:val="auto"/>
        </w:rPr>
      </w:pPr>
    </w:p>
    <w:p>
      <w:pPr>
        <w:ind w:left="340" w:hanging="332"/>
        <w:spacing w:after="0" w:line="281" w:lineRule="auto"/>
        <w:tabs>
          <w:tab w:leader="none" w:pos="27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entered into a participation and development agreement (the “DrillCo Agreement”), dated September 10, 2018, with Obsidian Resources, L.L.C. (“CEMOF”) to fund oil and natural gas development. As of June 30, 2021, the amount due to CEMOF related to this alliance was $68 million.</w:t>
      </w:r>
    </w:p>
    <w:p>
      <w:pPr>
        <w:spacing w:after="0" w:line="1" w:lineRule="exact"/>
        <w:rPr>
          <w:rFonts w:ascii="Arial" w:cs="Arial" w:eastAsia="Arial" w:hAnsi="Arial"/>
          <w:sz w:val="16"/>
          <w:szCs w:val="16"/>
          <w:color w:val="auto"/>
        </w:rPr>
      </w:pPr>
    </w:p>
    <w:p>
      <w:pPr>
        <w:ind w:left="340" w:right="20" w:hanging="332"/>
        <w:spacing w:after="0" w:line="260" w:lineRule="auto"/>
        <w:tabs>
          <w:tab w:leader="none" w:pos="281" w:val="left"/>
        </w:tabs>
        <w:numPr>
          <w:ilvl w:val="0"/>
          <w:numId w:val="9"/>
        </w:numPr>
        <w:rPr>
          <w:rFonts w:ascii="Arial" w:cs="Arial" w:eastAsia="Arial" w:hAnsi="Arial"/>
          <w:sz w:val="18"/>
          <w:szCs w:val="18"/>
          <w:color w:val="0000FF"/>
        </w:rPr>
      </w:pPr>
      <w:r>
        <w:rPr>
          <w:rFonts w:ascii="Arial" w:cs="Arial" w:eastAsia="Arial" w:hAnsi="Arial"/>
          <w:sz w:val="18"/>
          <w:szCs w:val="18"/>
          <w:color w:val="auto"/>
        </w:rPr>
        <w:t xml:space="preserve">The Company has two interest rate swap agreements in place on the Company’s $1.2 billion 3.500% fixed rate senior notes due 2029. See Note 11— </w:t>
      </w:r>
      <w:hyperlink w:anchor="page30">
        <w:r>
          <w:rPr>
            <w:rFonts w:ascii="Arial" w:cs="Arial" w:eastAsia="Arial" w:hAnsi="Arial"/>
            <w:sz w:val="18"/>
            <w:szCs w:val="18"/>
            <w:u w:val="single" w:color="auto"/>
            <w:color w:val="0000FF"/>
          </w:rPr>
          <w:t>Derivatives</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additional information on the Company’s interest rate swaps designated as fair value hedges.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References in this section to the Company shall mean Diamondback Energy, Inc. and Diamondback E&amp;P, collectively,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7"/>
          <w:szCs w:val="17"/>
          <w:color w:val="auto"/>
        </w:rPr>
        <w:t>On June 2, 2021, Diamondback Energy, Inc., as parent guarantor, and O&amp;G, as borrower (the “Borrower”), entered into a twelfth amendment (the “Amendment”) to the Second Amended and Restated Credit Agreement, dated as of November 1, 2013, with Wells Fargo Bank, National Association, as administrative agent (the “Administrative Agent”), and the lenders party thereto (as amended, supplemented or otherwise modified to the date thereof and as further amended by the Amendment. The Amendment, among other things, (i) extended the maturity date to June 2, 2026, which may be further extended by two one-year extensions pursuant to the terms set forth in the credit agreement, (ii) decreased the total revolving loan commitments from $2.0 billion to $1.6 billion, which may be increased in an amount up to $1.0 billion (for a total maximum commitment amount of $2.6 billion) upon election of the Borrower (subject to obtaining additional lender commitments and satisfaction of customary conditions) pursuant to the terms set forth in the credit agreement, (iii) added the ability of the Borrower to incur up to $100 million of the loans under the credit agreement as swingline loans and (iv) changed the interest rate applicable to the loans and certain fees payable under the credit agreement. Outstanding borrowings under the credit agreement bear interest at a per annum rate elected by the Borrower that is equal to an alternate base rate (which is equal to the greatest of the prime rate, the Federal Funds effective rate plus 0.50%, and 3-month LIBOR plus 1.0%) or LIBOR, in each case plus the applicable margin. After giving effect to the Amendment, (i) the applicable margin ranges from 0.250% to 1.125% per annum in the case of the alternate base rate, and from 1.250% to 2.125% per annum in the case of LIBOR, in each case based on the pricing level, and (ii) the commitment fee ranges from 0.150% to 0.350% per annum on the average daily unused portion of the commitments, based on the pricing level. The pricing level depends on certain ratings agencies’ ratings of the Company’s long-term senior unsecured debt.</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30, 2021, Diamondback E&amp;P, as successor borrower, Diamondback Energy, Inc., as parent guarantor, and the Administrative Agent entered into that certain Successor Borrower Joinder Agreement (the “Joinder Agreement”) in connection with the E&amp;P Merger. Pursuant to the Joinder Agreement, Diamondback E&amp;P assumed all obligations (including, without limitation, all of the indebtedness) of O&amp;G as the borrower under the credit agreement, the Second Amended and Restated Guaranty Agreement, dated as of November 20, 2019, made by O&amp;G and Diamondback Energy, Inc., and the other documents entered into connection therewith.</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June 30, 2021, the maximum credit amount available under the credit agreement was $1.6 billion, with no outstanding borrowings and $1.6 billion available for future borrowings. As of June 30, 2021, there was an aggregate of $3 million in outstanding letters of credit, which reduces available borrowings under the credit agreement on a dollar for dollar basis. During the three and six months ended June 30, 2021 and 2020, the weighted average interest rate on loans under the credit agreement was 1.68%, 1.67%, 2.02% and 2.42%, respectively. The borrowing base is scheduled to be redetermined semi-annually in May and November.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the Company was in compliance with all financial maintenance covenants under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March 2021 Notes Offering</w:t>
      </w:r>
    </w:p>
    <w:p>
      <w:pPr>
        <w:spacing w:after="0" w:line="23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On March 24, 2021, Diamondback Energy, Inc. issued $650 million aggregate principal amount of 0.900% Senior Notes due March 24, 2023 (the “2023 Notes”), $900 million aggregate principal amount of 3.125% Senior Notes due March 24, 2031 (the “2031 Notes”) and $650 million aggregate principal amount of 4.400% Senior Notes due March 24, 2051 (the “2051 Notes” and together with the 2023 Notes and the 2031 Notes, the “March 2021 Notes”) and received proceeds, net of $24 million in debt issuance costs and discounts, of $2.18 billion. The net proceeds were primarily used to fund the repurchase of other senior notes outstanding as discussed further below. Interest on the March 2021 Notes is payable semi-annually on March 24 and September 24, beginning on September 24, 2021.</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March 2021 Notes are the Company’s senior unsecured obligations and are fully and unconditionally guaranteed by Diamondback E&amp;P. The March 2021 Notes are senior in right of payment to any of the Company’s future subordinated indebtedness and rank equal in right of payment with all of the Company’s existing and future senior indebtedness. At June 30, 2021, the March 2021 Notes are effectively subordinated to the Company’s existing and future secured indebtedness, if any, to the extent of the value of the collateral securing such indebtedness, and structurally subordinated to all of the existing and future indebtedness and other liabilities of the Company’s subsidiaries other than Diamondback E&amp;P.</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not redeem the 2023 Notes in whole or in part at any time prior to September 24, 2021. The Company may redeem (i) the 2031 Notes in whole or in part at any time prior to December 24, 2030 and (ii) the 2051 Notes in whole or in part at any time prior to September 24, 2050, in each case at the redemption price set forth in the 2019 Indenture. If the March 2021 Notes are redeemed on or after the dates noted above, in each case, the March 2021 Notes may be redeemed at a redemption price equal to 100% of the principal amount of the March 2021 Notes to be redeemed plus interest accrued thereon to but not including the redemption date.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the occurrence of a change of control triggering event as defined in the 2019 Indenture, holders may require the Company to purchase some or all of their March 2021 Notes for cash at a price equal to 101% of the principal amount of the March 2021 Notes being purchased, plus accrued and unpaid interest, if any, to the date of purchase.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52" w:lineRule="exact"/>
        <w:rPr>
          <w:sz w:val="20"/>
          <w:szCs w:val="20"/>
          <w:color w:val="auto"/>
        </w:rPr>
      </w:pPr>
    </w:p>
    <w:p>
      <w:pPr>
        <w:jc w:val="both"/>
        <w:ind w:firstLine="648"/>
        <w:spacing w:after="0" w:line="311" w:lineRule="auto"/>
        <w:rPr>
          <w:rFonts w:ascii="Arial" w:cs="Arial" w:eastAsia="Arial" w:hAnsi="Arial"/>
          <w:sz w:val="16"/>
          <w:szCs w:val="16"/>
          <w:color w:val="auto"/>
        </w:rPr>
      </w:pPr>
      <w:r>
        <w:rPr>
          <w:rFonts w:ascii="Arial" w:cs="Arial" w:eastAsia="Arial" w:hAnsi="Arial"/>
          <w:sz w:val="16"/>
          <w:szCs w:val="16"/>
          <w:color w:val="auto"/>
        </w:rPr>
        <w:t>On March 17, 2021, at the time of the QEP Merger discussed in Note 4—</w:t>
      </w:r>
      <w:hyperlink w:anchor="page17">
        <w:r>
          <w:rPr>
            <w:rFonts w:ascii="Arial" w:cs="Arial" w:eastAsia="Arial" w:hAnsi="Arial"/>
            <w:sz w:val="16"/>
            <w:szCs w:val="16"/>
            <w:u w:val="single" w:color="auto"/>
            <w:color w:val="0000FF"/>
          </w:rPr>
          <w:t>Acquisitions</w:t>
        </w:r>
      </w:hyperlink>
      <w:r>
        <w:rPr>
          <w:rFonts w:ascii="Arial" w:cs="Arial" w:eastAsia="Arial" w:hAnsi="Arial"/>
          <w:sz w:val="16"/>
          <w:szCs w:val="16"/>
          <w:color w:val="auto"/>
        </w:rPr>
        <w:t>, QEP had outstanding debt at fair values consisting of $478 million of 5.375% Senior Notes due 2022 (the “QEP 2022 Notes”), $673 million of 5.250% Senior Notes due 2023 (the “QEP 2023 Notes”) and $558 million of 5.625% Senior Notes due 2026 (the “QEP 2026 Notes” and together with the QEP 2022 Notes and QEP 2023 Notes, the “QEP Notes”).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Subsequent to the QEP Merger, in March 2021, the Company repurchased pursuant to tender offers commenced by the Company, approximately $1.65 billion in fair value carrying amount of the QEP Notes for total cash consideration of $1.7 billion, including redemption and early premium fees of $152 million, which resulted in a loss on extinguishment of debt during the six months ended June 30, 2021 of approximately $47 million. The aggregate fair value of the QEP Notes repurchased consisted of (i) $453 million, or 94.65%, of the outstanding fair value carrying amount of the QEP 2022 Notes, (ii) $663 million, or 98.43%, of the outstanding fair value carrying amount of the QEP 2023 Notes and (iii) $538 million, or 96.35%, of the outstanding fair value carrying amount of the QEP 2026 Notes.</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March 2021, the Company also repurchased an aggregate of $368 million principal amount of its 5.375% 2025 Senior Notes, representing approximately 45.97% of the outstanding 2025 Senior Notes, for total cash consideration of $381 million, including redemption and early premium fees of $13 million, which resulted in a loss on extinguishment of debt during the six months ended June 30, 2021 of $14 million. The Company funded the repurchases of the QEP Notes and 2025 Senior Notes with the proceeds from the March 2021 Notes offering discussed above.</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tender offers to repurchase the QEP Notes discussed above, the Company also solicited consents from holders of the QEP Notes to amend the indenture for the QEP Notes to, among other things, eliminate substantially all of the restrictive covenants and related provisions and certain events of default contained in the indenture under which the QEP Notes were issued. The Company received the requisite number of consents and, on March 23, 2021, entered into a supplemental indenture relating to the QEP Notes adopting these amendments.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2021, the Company redeemed the remaining $191 million principal amount of the outstanding Energen 4.625% senior notes due on September 1, 2021. The Company recorded an immaterial pre-tax loss on extinguishment of debt related to the redemption, which included the write-off of unamortized debt discounts associated with the redeemed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Notes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E&amp;P Merger, Diamondback E&amp;P became the successor issuer under the indenture, dated as of September 1, 1996, pursuant to which Energen issued $100 million aggregate principal amount of 7.125% Medium-Term Notes, Series B due 2028 and $20 million aggregate principal amount of 7.32% Medium-Term Notes, Series A due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Viper LLC’s existing credit agreement, as amended by the seventh amendment on June 2, 2021 (the “Viper Amendment”), provides for a revolving credit facility in the maximum credit amount of $2.0 billion with a borrowing base of $580 million based on Viper LLC’s oil and natural gas reserves and other factors. Among other changes, the Viper Amendment added new provisions that allow Viper LLC to elect a commitment amount that is less than its borrowing base as determined by the lenders. As of June 30, 2021, the elected commitment amount was $500 million with $62 million of outstanding borrowings and $438 million available for future borrowings. The borrowing base is scheduled to be redetermined semi-annually in May and November. During the three and six months ended June 30, 2021 and 2020, the weighted average interest rate 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the Viper credit agreement was 1.93%, 1.90%, 2.41% and 2.82%, respectively. The Viper credit agreement will mature on June 2,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Viper LLC was in compliance with all financial maintenance covenants under the Viper 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Rattler LLC’s credit agreement, as amended, provides for a revolving credit facility in the maximum credit amount of $600 million, which is expandable to $1.0 billion upon Rattler’s election, subject to obtaining additional lender commitments and satisfaction of customary conditions. As of June 30, 2021, Rattler LLC had $5 million of outstanding borrowings and $595 million available for future borrowings under the Rattler credit agreement. During the three and six months ended June 30, 2021 and 2020, the weighted average interest rate on borrowings under the Rattler credit agreement was 1.36%, 1.39%, 2.43% and 2.64%, respectively. The revolving credit facility will mature on May 28, 2024. As of June 30, 2021, Rattler LLC was in compliance with all financial maintenance covenants under the Rattler credit agreement.</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CAPITAL STOCK AND EARNINGS PER SHARE</w:t>
      </w:r>
    </w:p>
    <w:p>
      <w:pPr>
        <w:spacing w:after="0" w:line="256" w:lineRule="exact"/>
        <w:rPr>
          <w:sz w:val="20"/>
          <w:szCs w:val="20"/>
          <w:color w:val="auto"/>
        </w:rPr>
      </w:pPr>
    </w:p>
    <w:p>
      <w:pPr>
        <w:jc w:val="both"/>
        <w:ind w:firstLine="648"/>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Diamondback did not complete any equity offerings during the six months ended June 30, 2021 and June 30, 2020. As discussed in Note 4— </w:t>
      </w:r>
      <w:hyperlink w:anchor="page17">
        <w:r>
          <w:rPr>
            <w:rFonts w:ascii="Arial" w:cs="Arial" w:eastAsia="Arial" w:hAnsi="Arial"/>
            <w:sz w:val="18"/>
            <w:szCs w:val="18"/>
            <w:u w:val="single" w:color="auto"/>
            <w:color w:val="0000FF"/>
          </w:rPr>
          <w:t>Acquisitions</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Diamondback issued 12.12 million shares of the Company’s stock as consideration for the QEP Merger and 10.68 million shares of the</w:t>
      </w:r>
      <w:r>
        <w:rPr>
          <w:rFonts w:ascii="Arial" w:cs="Arial" w:eastAsia="Arial" w:hAnsi="Arial"/>
          <w:sz w:val="18"/>
          <w:szCs w:val="18"/>
          <w:color w:val="0000FF"/>
        </w:rPr>
        <w:t xml:space="preserve"> </w:t>
      </w:r>
      <w:r>
        <w:rPr>
          <w:rFonts w:ascii="Arial" w:cs="Arial" w:eastAsia="Arial" w:hAnsi="Arial"/>
          <w:sz w:val="18"/>
          <w:szCs w:val="18"/>
          <w:color w:val="000000"/>
        </w:rPr>
        <w:t>Company’s stock as consideration for the Guidon Acquisition during the six months ended June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(loss) per share amounts have been computed based on the weighted-average number of shares of common stock outstanding for the period. Diluted earnings per share include the effect of potentially dilutive shares outstanding for the period. Additionally, the per share earnings of Viper and Rattler are included in the consolidated earnings per share computation based on the consolidated group’s holdings of the subsidiaries.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8"/>
                <w:szCs w:val="18"/>
                <w:color w:val="auto"/>
              </w:rPr>
            </w:pPr>
          </w:p>
        </w:tc>
        <w:tc>
          <w:tcPr>
            <w:tcW w:w="230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56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2020</w:t>
            </w:r>
          </w:p>
        </w:tc>
      </w:tr>
      <w:tr>
        <w:trPr>
          <w:trHeight w:val="210"/>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00" w:type="dxa"/>
            <w:vAlign w:val="bottom"/>
            <w:gridSpan w:val="10"/>
          </w:tcPr>
          <w:p>
            <w:pPr>
              <w:jc w:val="right"/>
              <w:ind w:right="571"/>
              <w:spacing w:after="0"/>
              <w:rPr>
                <w:sz w:val="20"/>
                <w:szCs w:val="20"/>
                <w:color w:val="auto"/>
              </w:rPr>
            </w:pPr>
            <w:r>
              <w:rPr>
                <w:rFonts w:ascii="Arial" w:cs="Arial" w:eastAsia="Arial" w:hAnsi="Arial"/>
                <w:sz w:val="16"/>
                <w:szCs w:val="16"/>
                <w:b w:val="1"/>
                <w:bCs w:val="1"/>
                <w:color w:val="auto"/>
                <w:w w:val="97"/>
              </w:rPr>
              <w:t>($ in millions, except per share amounts, shares in thousands)</w:t>
            </w:r>
          </w:p>
        </w:tc>
      </w:tr>
      <w:tr>
        <w:trPr>
          <w:trHeight w:val="232"/>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r>
      <w:tr>
        <w:trPr>
          <w:trHeight w:val="229"/>
        </w:trPr>
        <w:tc>
          <w:tcPr>
            <w:tcW w:w="56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shares outstanding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158,060</w:t>
            </w:r>
          </w:p>
        </w:tc>
      </w:tr>
      <w:tr>
        <w:trPr>
          <w:trHeight w:val="230"/>
        </w:trPr>
        <w:tc>
          <w:tcPr>
            <w:tcW w:w="568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6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Potential common shares issuable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181,968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157,829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173,518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158,060</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(16.86)</w:t>
            </w:r>
          </w:p>
        </w:tc>
      </w:tr>
    </w:tbl>
    <w:p>
      <w:pPr>
        <w:spacing w:after="0" w:line="66" w:lineRule="exact"/>
        <w:rPr>
          <w:sz w:val="20"/>
          <w:szCs w:val="20"/>
          <w:color w:val="auto"/>
        </w:rPr>
      </w:pPr>
    </w:p>
    <w:p>
      <w:pPr>
        <w:jc w:val="both"/>
        <w:ind w:left="340" w:hanging="332"/>
        <w:spacing w:after="0" w:line="259" w:lineRule="auto"/>
        <w:tabs>
          <w:tab w:leader="none" w:pos="5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and six months ended June 30, 2021, there were 80,329 and 105,577 potential common units, respectively, excluded from the computation of diluted earnings per share because their inclusion would have been anti-dilutive under the treasury stock method. For the three and six months ended June 30, 2020, no potential common units were included in the computation of diluted earnings per share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interests in the accompanying condensed consolidated financial statements represent minority interest ownership in Viper and Rattler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306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June 30,</w:t>
            </w:r>
          </w:p>
        </w:tc>
        <w:tc>
          <w:tcPr>
            <w:tcW w:w="700" w:type="dxa"/>
            <w:vAlign w:val="bottom"/>
          </w:tcPr>
          <w:p>
            <w:pPr>
              <w:spacing w:after="0"/>
              <w:rPr>
                <w:sz w:val="18"/>
                <w:szCs w:val="18"/>
                <w:color w:val="auto"/>
              </w:rPr>
            </w:pPr>
          </w:p>
        </w:tc>
        <w:tc>
          <w:tcPr>
            <w:tcW w:w="2900" w:type="dxa"/>
            <w:vAlign w:val="bottom"/>
            <w:gridSpan w:val="4"/>
          </w:tcPr>
          <w:p>
            <w:pPr>
              <w:jc w:val="right"/>
              <w:ind w:right="752"/>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Change from net income (loss) attributable to the Company's</w:t>
            </w:r>
          </w:p>
        </w:tc>
        <w:tc>
          <w:tcPr>
            <w:tcW w:w="980" w:type="dxa"/>
            <w:vAlign w:val="bottom"/>
            <w:vMerge w:val="restart"/>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and transfers to non-controlling interest</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EQUITY-BASED COMPENSATION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 2021, the Company’s stockholders approved and adopted the Company’s 2021 amended and restated equity incentive plan (the “Equity Plan”), which, among other things, increased total shares authorized for issuance from 8.3 million to 11.8 million. At June 30, 2021, the Company had 4.9 million shares of common stock available for future grants.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Equity Plan, approved by the Board of Directors, the Company is authorized to issue incentive and non-statutory stock options, restricted stock awards and restricted stock units, performance awards and stock appreciation rights to eligible employees. At June 30, 2021, the Company had outstanding restricted stock units, performance-based restricted stock units, immaterial amounts of restricted share awards and restricted stock units which were assumed in connection with the QEP Merger and immaterial amounts of stock options and stock appreciation rights. The Company classifies these as equity-based awards and estimates the fair values of restricted stock awards and units as the closing price of the Company’s common stock on the grant date of the award, which is expensed over the applicable vesting period. The Company values its stock options using a Black-Scholes option valuation model.</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to the Equity Plan, Viper and Rattler maintain their own long-term incentive plans which are not significant to the Company.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financial statement impacts of the equity compensation plans and related costs: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420" w:type="dxa"/>
            <w:vAlign w:val="bottom"/>
            <w:gridSpan w:val="3"/>
          </w:tcPr>
          <w:p>
            <w:pPr>
              <w:jc w:val="right"/>
              <w:ind w:right="353"/>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6" w:lineRule="exact"/>
              <w:rPr>
                <w:sz w:val="20"/>
                <w:szCs w:val="20"/>
                <w:color w:val="auto"/>
              </w:rPr>
            </w:pPr>
            <w:r>
              <w:rPr>
                <w:rFonts w:ascii="Arial" w:cs="Arial" w:eastAsia="Arial" w:hAnsi="Arial"/>
                <w:sz w:val="18"/>
                <w:szCs w:val="18"/>
                <w:color w:val="auto"/>
                <w:w w:val="96"/>
              </w:rPr>
              <w:t>Equity-based compensation capitalized pursuant to full cost method of</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5"/>
              <w:spacing w:after="0"/>
              <w:rPr>
                <w:sz w:val="20"/>
                <w:szCs w:val="20"/>
                <w:color w:val="auto"/>
              </w:rPr>
            </w:pPr>
            <w:r>
              <w:rPr>
                <w:rFonts w:ascii="Arial" w:cs="Arial" w:eastAsia="Arial" w:hAnsi="Arial"/>
                <w:sz w:val="18"/>
                <w:szCs w:val="18"/>
                <w:color w:val="auto"/>
              </w:rPr>
              <w:t>5</w:t>
            </w:r>
          </w:p>
        </w:tc>
        <w:tc>
          <w:tcPr>
            <w:tcW w:w="4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15"/>
              <w:spacing w:after="0"/>
              <w:rPr>
                <w:sz w:val="20"/>
                <w:szCs w:val="20"/>
                <w:color w:val="auto"/>
              </w:rPr>
            </w:pPr>
            <w:r>
              <w:rPr>
                <w:rFonts w:ascii="Arial" w:cs="Arial" w:eastAsia="Arial" w:hAnsi="Arial"/>
                <w:sz w:val="18"/>
                <w:szCs w:val="18"/>
                <w:color w:val="auto"/>
              </w:rPr>
              <w:t>9</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accounting for oil and natural gas properties</w:t>
            </w:r>
          </w:p>
        </w:tc>
        <w:tc>
          <w:tcPr>
            <w:tcW w:w="28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unit activity during the six months ended June 30, 2021 under the Equity Plan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QEP equity incentive plan assumed by the Company in the QEP Merger:</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4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Restricted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Weighted Average Grant-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1,113,480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0" w:type="dxa"/>
            <w:vAlign w:val="bottom"/>
          </w:tcPr>
          <w:p>
            <w:pPr>
              <w:spacing w:after="0"/>
              <w:rPr>
                <w:sz w:val="1"/>
                <w:szCs w:val="1"/>
                <w:color w:val="auto"/>
              </w:rPr>
            </w:pPr>
          </w:p>
        </w:tc>
      </w:tr>
      <w:tr>
        <w:trPr>
          <w:trHeight w:val="230"/>
        </w:trPr>
        <w:tc>
          <w:tcPr>
            <w:tcW w:w="7040" w:type="dxa"/>
            <w:vAlign w:val="bottom"/>
          </w:tcPr>
          <w:p>
            <w:pPr>
              <w:ind w:left="36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2040" w:type="dxa"/>
            <w:vAlign w:val="bottom"/>
          </w:tcPr>
          <w:p>
            <w:pPr>
              <w:jc w:val="right"/>
              <w:spacing w:after="0"/>
              <w:rPr>
                <w:sz w:val="20"/>
                <w:szCs w:val="20"/>
                <w:color w:val="auto"/>
              </w:rPr>
            </w:pPr>
            <w:r>
              <w:rPr>
                <w:rFonts w:ascii="Arial" w:cs="Arial" w:eastAsia="Arial" w:hAnsi="Arial"/>
                <w:sz w:val="18"/>
                <w:szCs w:val="18"/>
                <w:color w:val="auto"/>
              </w:rPr>
              <w:t>655,634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2021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1,393,585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77" w:lineRule="auto"/>
        <w:tabs>
          <w:tab w:leader="none" w:pos="4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164,088 replacement restricted stock unit awards granted in connection with the QEP Merger, the majority of which vested upon closing of the QEP Merger. For additional information regarding the QEP Merger, see Note 4—</w:t>
      </w:r>
      <w:hyperlink w:anchor="page17">
        <w:r>
          <w:rPr>
            <w:rFonts w:ascii="Arial" w:cs="Arial" w:eastAsia="Arial" w:hAnsi="Arial"/>
            <w:sz w:val="18"/>
            <w:szCs w:val="18"/>
            <w:u w:val="single" w:color="auto"/>
            <w:color w:val="0000FF"/>
          </w:rPr>
          <w:t>Acquisitions</w:t>
        </w:r>
      </w:hyperlink>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six months ended June 30, 2021 and 2020 was $25 million and $9 million, respectively. As of June 30, 2021, the Company’s unrecognized compensation cost related to unvested restricted stock units was $63 million, which is expected to be recognized over a weighted-average period of 2.3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performance restricted stock units activity under the Equity Plan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w w:val="91"/>
              </w:rPr>
              <w:t>Performance Restricted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Weighted Average</w:t>
            </w:r>
          </w:p>
        </w:tc>
      </w:tr>
      <w:tr>
        <w:trPr>
          <w:trHeight w:val="213"/>
        </w:trPr>
        <w:tc>
          <w:tcPr>
            <w:tcW w:w="76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6"/>
                <w:szCs w:val="16"/>
                <w:b w:val="1"/>
                <w:bCs w:val="1"/>
                <w:color w:val="auto"/>
              </w:rPr>
              <w:t>Grant-Date Fair Value</w:t>
            </w:r>
          </w:p>
        </w:tc>
      </w:tr>
      <w:tr>
        <w:trPr>
          <w:trHeight w:val="226"/>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198,454</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131.06</w:t>
            </w:r>
          </w:p>
        </w:tc>
      </w:tr>
      <w:tr>
        <w:trPr>
          <w:trHeight w:val="248"/>
        </w:trPr>
        <w:tc>
          <w:tcPr>
            <w:tcW w:w="76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June 30, 2021</w:t>
            </w:r>
            <w:r>
              <w:rPr>
                <w:rFonts w:ascii="Arial" w:cs="Arial" w:eastAsia="Arial" w:hAnsi="Arial"/>
                <w:sz w:val="23"/>
                <w:szCs w:val="23"/>
                <w:color w:val="auto"/>
                <w:vertAlign w:val="superscript"/>
              </w:rPr>
              <w:t>(1)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610,041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1,431,833 units could be awarded based upon the Company’s final TSR ranking.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the Company’s unrecognized compensation cost related to unvested performance based restricted stock awards and units was $38 million, which is expected to be recognized over a weighted-average period of 1.9 years.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2021, eligible employees received performance restricted stock unit awards totaling 198,454 units from which a minimum of 0% and a maximum of 200% of the units could be awarded based upon the measurement of total stockholder return of the Company’s common stock as compared to a designated peer group during the three-year performance period of January 1, 2021 to December 31, 2023 and cliff vest at December 31, 2023 subject to continued employment. The initial payout of the March 2021 awards will be further adjusted by a TSR modifier that may reduce the payout or increase the payout up to a maximum of 250%.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issuance is estimated at the date of grant using a Monte Carlo simulation, which results in an expected percentage of units to be earned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awards granted during the period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2021</w:t>
            </w:r>
          </w:p>
        </w:tc>
      </w:tr>
      <w:tr>
        <w:trPr>
          <w:trHeight w:val="226"/>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131.06</w:t>
            </w:r>
          </w:p>
        </w:tc>
      </w:tr>
      <w:tr>
        <w:trPr>
          <w:trHeight w:val="229"/>
        </w:trPr>
        <w:tc>
          <w:tcPr>
            <w:tcW w:w="934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0.15 %</w:t>
            </w:r>
          </w:p>
        </w:tc>
      </w:tr>
      <w:tr>
        <w:trPr>
          <w:trHeight w:val="230"/>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69.60 %</w:t>
            </w:r>
          </w:p>
        </w:tc>
      </w:tr>
    </w:tbl>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INCOME TAXES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The Company’s effective income tax rates were 22.3% and 22.0% for the three months ended June 30, 2021 and 2020, respectively, and 22.4% and 17.5% for the six months ended June 30, 2021 and 2020, respectively. Total income tax expense from continuing operations for the three and six months ended June 30, 2021 differed from amounts computed by applying the United States federal statutory tax rate to pre-tax income primarily due to (i) state income taxes, net of federal benefit, and (ii) the impact of permanent differences between book and taxable income, partially offset by (iii) tax benefit resulting from a reduction in the valuation allowance on Viper’s deferred tax assets due to pre-tax income for the period.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six months ended June 30, 2021, the Company’s items of discrete income tax expense or benefit were not material.</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17, 2021, the Company completed its acquisition of QEP. For federal income tax purposes, the transaction qualified as a nontaxable merger whereby the Company acquired carryover tax basis in QEP’s assets and liabilities. The Company recorded an opening balance sheet net deferred tax asset of $15 million, primarily consisting of deferred tax assets related to tax attributes acquired from QEP, partially offset by a valuation allowance, and deferred tax liabilities resulting from the excess of financial reporting carrying value over tax basis of oil and natural gas properties and other assets acquired from QEP. The acquired income tax attributes, including federal net operating loss and credit carryforwards, are subject to an annual limitation under Internal Revenue Code Section 382. The Company has considered the positive and negative evidence regarding realizability of these federal tax attributes including taxable income in prior carryback years, the annual limitation imposed by Section 382, and the anticipated timing of reversal of its deferred tax liabilities, resulting in a valuation allowance on the portion of QEP’s federal tax attributes estimated not more likely than not to be realized prior to expiration. In addition, acquired tax attributes include state net operating loss carryforwards for which a valuation allowance has been provided, since the Company does not believe the state net operating losses are more likely than not to be realized based on its assessment of anticipated future operations in those states.</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income tax expense from continuing operations for the three and six months ended June 30, 2020 differed from amounts computed by applying the United States federal statutory tax rate to pre-tax loss primarily due to (i) the impact of recording a valuation allowance on Viper’s deferred tax assets, (ii) state income taxes and (iii) the impact of permanent differences between book and taxable income, partially offset by tax benefit resulting from the carryback of federal net operating losses.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six months ended June 30, 2020, the Company recorded a discrete income tax expense of $143 million related to application in the first quarter of a valuation allowance on Viper’s beginning-of-year deferred tax assets, which consisted primarily of its investment in Viper LLC and federal net operating loss carryforwards. As of June 30, 2021 and 2020, Viper maintained a valuation allowance against its deferred tax assets, based on its assessment of all available evidence, both positive and negative, supporting realizability of Viper’s deferred tax assets. In addition, for the six months ended June 30, 2020, the Company recorded a discrete income tax benefit of $25 million related to the available carryback of certain federal net operating losses to tax year(s) in which the corporate income tax rate was 35%.</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considered the impact of the American Rescue Plan, enacted on March 11, 2021, and concluded its provisions related to U.S. income taxes for corporations did not materially affect the Company’s current or deferred tax balances. The Company also considered the impact of the CARES Act, enacted March 27, 2020, in the period of enactment, resulting in a net discrete income tax benefit of $25 million for the three months ended March 31, 2020 related to the carryback of approximately $179 million of the Company’s federal net operating losses as noted above. As a result of the refund associated with such carryback as well as the accelerated refund available for minimum tax credits, the Company received a refund of federal taxes in the first quarter of 2021 of approximately $100 million. In addition, the Company’s current and long-term income taxes receivable at June 30, 2021 of approximately $33 million and $31 million, respectively, relate to anticipated refunds of minimum tax credits resulting from available carryback of certain federal net operating losses acquired from QEP.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June 30, 2021, the Company has commodity derivative contracts and receive-fixed, pay-variable interest rate hedges outstanding. All derivative financial instruments are recorded at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entered into multiple crude oil, natural gas and natural gas liquids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commodity derivative instruments only with counterparties that are also lenders under its credit facility and have been deemed an acceptable credit risk.</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multiple commodity derivative contracts that contain an other-than-insignificant financing element at inception and, therefore, the cash receipts were classified as cash flows from financing activities in the condensed consolidated statements of cash flow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firstLine="648"/>
        <w:spacing w:after="0" w:line="272" w:lineRule="auto"/>
        <w:rPr>
          <w:sz w:val="20"/>
          <w:szCs w:val="20"/>
          <w:color w:val="auto"/>
        </w:rPr>
      </w:pPr>
      <w:r>
        <w:rPr>
          <w:rFonts w:ascii="Arial" w:cs="Arial" w:eastAsia="Arial" w:hAnsi="Arial"/>
          <w:sz w:val="18"/>
          <w:szCs w:val="18"/>
          <w:color w:val="auto"/>
        </w:rPr>
        <w:t>As of June 30, 2021, the Company had the following outstanding commodity derivative contracts. When aggregating multiple contracts, the weighted average contract price is disclosed.</w:t>
      </w:r>
    </w:p>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320" w:type="dxa"/>
            <w:vAlign w:val="bottom"/>
            <w:tcBorders>
              <w:bottom w:val="single" w:sz="8" w:color="auto"/>
            </w:tcBorders>
            <w:gridSpan w:val="2"/>
          </w:tcPr>
          <w:p>
            <w:pPr>
              <w:ind w:left="960"/>
              <w:spacing w:after="0"/>
              <w:rPr>
                <w:sz w:val="20"/>
                <w:szCs w:val="20"/>
                <w:color w:val="auto"/>
              </w:rPr>
            </w:pPr>
            <w:r>
              <w:rPr>
                <w:rFonts w:ascii="Arial" w:cs="Arial" w:eastAsia="Arial" w:hAnsi="Arial"/>
                <w:sz w:val="15"/>
                <w:szCs w:val="15"/>
                <w:b w:val="1"/>
                <w:bCs w:val="1"/>
                <w:color w:val="auto"/>
              </w:rPr>
              <w:t>Swaps</w:t>
            </w:r>
          </w:p>
        </w:tc>
        <w:tc>
          <w:tcPr>
            <w:tcW w:w="210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b w:val="1"/>
                <w:bCs w:val="1"/>
                <w:color w:val="auto"/>
              </w:rPr>
              <w:t>Collars</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Bbls/MMBtu</w:t>
            </w:r>
          </w:p>
        </w:tc>
        <w:tc>
          <w:tcPr>
            <w:tcW w:w="1720" w:type="dxa"/>
            <w:vAlign w:val="bottom"/>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1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08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1020" w:type="dxa"/>
            <w:vAlign w:val="bottom"/>
          </w:tcPr>
          <w:p>
            <w:pPr>
              <w:jc w:val="center"/>
              <w:spacing w:after="0" w:line="146" w:lineRule="exact"/>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48"/>
        </w:trPr>
        <w:tc>
          <w:tcPr>
            <w:tcW w:w="126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95"/>
              </w:rPr>
              <w:t>Settlement Month</w:t>
            </w:r>
          </w:p>
        </w:tc>
        <w:tc>
          <w:tcPr>
            <w:tcW w:w="1220" w:type="dxa"/>
            <w:vAlign w:val="bottom"/>
            <w:vMerge w:val="restart"/>
          </w:tcPr>
          <w:p>
            <w:pPr>
              <w:jc w:val="center"/>
              <w:ind w:right="19"/>
              <w:spacing w:after="0"/>
              <w:rPr>
                <w:sz w:val="20"/>
                <w:szCs w:val="20"/>
                <w:color w:val="auto"/>
              </w:rPr>
            </w:pPr>
            <w:r>
              <w:rPr>
                <w:rFonts w:ascii="Arial" w:cs="Arial" w:eastAsia="Arial" w:hAnsi="Arial"/>
                <w:sz w:val="15"/>
                <w:szCs w:val="15"/>
                <w:b w:val="1"/>
                <w:bCs w:val="1"/>
                <w:color w:val="auto"/>
                <w:w w:val="91"/>
              </w:rPr>
              <w:t>Settlement Year</w:t>
            </w:r>
          </w:p>
        </w:tc>
        <w:tc>
          <w:tcPr>
            <w:tcW w:w="14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Type of Contract</w:t>
            </w:r>
          </w:p>
        </w:tc>
        <w:tc>
          <w:tcPr>
            <w:tcW w:w="1160" w:type="dxa"/>
            <w:vAlign w:val="bottom"/>
            <w:vMerge w:val="continue"/>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1"/>
              </w:rPr>
              <w:t>Index</w:t>
            </w:r>
          </w:p>
        </w:tc>
        <w:tc>
          <w:tcPr>
            <w:tcW w:w="114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Average</w:t>
            </w:r>
          </w:p>
        </w:tc>
        <w:tc>
          <w:tcPr>
            <w:tcW w:w="11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Average Fixed</w:t>
            </w:r>
          </w:p>
        </w:tc>
        <w:tc>
          <w:tcPr>
            <w:tcW w:w="108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91"/>
              </w:rPr>
              <w:t>Average Floor</w:t>
            </w:r>
          </w:p>
        </w:tc>
        <w:tc>
          <w:tcPr>
            <w:tcW w:w="1020" w:type="dxa"/>
            <w:vAlign w:val="bottom"/>
          </w:tcPr>
          <w:p>
            <w:pPr>
              <w:jc w:val="center"/>
              <w:spacing w:after="0" w:line="149" w:lineRule="exact"/>
              <w:rPr>
                <w:sz w:val="20"/>
                <w:szCs w:val="20"/>
                <w:color w:val="auto"/>
              </w:rPr>
            </w:pPr>
            <w:r>
              <w:rPr>
                <w:rFonts w:ascii="Arial" w:cs="Arial" w:eastAsia="Arial" w:hAnsi="Arial"/>
                <w:sz w:val="15"/>
                <w:szCs w:val="15"/>
                <w:b w:val="1"/>
                <w:bCs w:val="1"/>
                <w:color w:val="auto"/>
                <w:w w:val="87"/>
              </w:rPr>
              <w:t>Average</w:t>
            </w:r>
          </w:p>
        </w:tc>
        <w:tc>
          <w:tcPr>
            <w:tcW w:w="0" w:type="dxa"/>
            <w:vAlign w:val="bottom"/>
          </w:tcPr>
          <w:p>
            <w:pPr>
              <w:spacing w:after="0"/>
              <w:rPr>
                <w:sz w:val="1"/>
                <w:szCs w:val="1"/>
                <w:color w:val="auto"/>
              </w:rPr>
            </w:pPr>
          </w:p>
        </w:tc>
      </w:tr>
      <w:tr>
        <w:trPr>
          <w:trHeight w:val="200"/>
        </w:trPr>
        <w:tc>
          <w:tcPr>
            <w:tcW w:w="12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Per Day</w:t>
            </w:r>
          </w:p>
        </w:tc>
        <w:tc>
          <w:tcPr>
            <w:tcW w:w="17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Differential</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Ceiling Price</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OIL</w:t>
            </w:r>
          </w:p>
        </w:tc>
        <w:tc>
          <w:tcPr>
            <w:tcW w:w="1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60" w:type="dxa"/>
            <w:vAlign w:val="bottom"/>
          </w:tcPr>
          <w:p>
            <w:pPr>
              <w:ind w:left="280"/>
              <w:spacing w:after="0"/>
              <w:rPr>
                <w:sz w:val="20"/>
                <w:szCs w:val="20"/>
                <w:color w:val="auto"/>
              </w:rPr>
            </w:pPr>
            <w:r>
              <w:rPr>
                <w:rFonts w:ascii="Arial" w:cs="Arial" w:eastAsia="Arial" w:hAnsi="Arial"/>
                <w:sz w:val="16"/>
                <w:szCs w:val="16"/>
                <w:color w:val="auto"/>
              </w:rPr>
              <w:t>July - Sep.</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38,348</w:t>
            </w:r>
          </w:p>
        </w:tc>
        <w:tc>
          <w:tcPr>
            <w:tcW w:w="172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$42.82</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30,674</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$42.36</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$37.78</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$41.62</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34,000</w:t>
            </w:r>
          </w:p>
        </w:tc>
        <w:tc>
          <w:tcPr>
            <w:tcW w:w="1720" w:type="dxa"/>
            <w:vAlign w:val="bottom"/>
          </w:tcPr>
          <w:p>
            <w:pPr>
              <w:jc w:val="center"/>
              <w:spacing w:after="0"/>
              <w:rPr>
                <w:sz w:val="20"/>
                <w:szCs w:val="20"/>
                <w:color w:val="auto"/>
              </w:rPr>
            </w:pPr>
            <w:r>
              <w:rPr>
                <w:rFonts w:ascii="Arial" w:cs="Arial" w:eastAsia="Arial" w:hAnsi="Arial"/>
                <w:sz w:val="16"/>
                <w:szCs w:val="16"/>
                <w:color w:val="auto"/>
                <w:w w:val="96"/>
              </w:rPr>
              <w:t>Argus WTI Midland</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$0.91</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July - Sep.</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86"/>
              </w:rPr>
              <w:t>Roll Swap</w:t>
            </w:r>
            <w:r>
              <w:rPr>
                <w:rFonts w:ascii="Arial" w:cs="Arial" w:eastAsia="Arial" w:hAnsi="Arial"/>
                <w:sz w:val="21"/>
                <w:szCs w:val="21"/>
                <w:color w:val="auto"/>
                <w:w w:val="86"/>
                <w:vertAlign w:val="superscript"/>
              </w:rPr>
              <w:t>(2)(3)</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57,261</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$0.50</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6"/>
              </w:rPr>
              <w:t>Roll Swap</w:t>
            </w:r>
            <w:r>
              <w:rPr>
                <w:rFonts w:ascii="Arial" w:cs="Arial" w:eastAsia="Arial" w:hAnsi="Arial"/>
                <w:sz w:val="21"/>
                <w:szCs w:val="21"/>
                <w:color w:val="auto"/>
                <w:w w:val="86"/>
                <w:vertAlign w:val="superscript"/>
              </w:rPr>
              <w:t>(2)(3)</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64,000</w:t>
            </w:r>
          </w:p>
        </w:tc>
        <w:tc>
          <w:tcPr>
            <w:tcW w:w="172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$0.56</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July - Sep.</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17,685</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$35.27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$46.50</w:t>
            </w:r>
          </w:p>
        </w:tc>
        <w:tc>
          <w:tcPr>
            <w:tcW w:w="0" w:type="dxa"/>
            <w:vAlign w:val="bottom"/>
          </w:tcPr>
          <w:p>
            <w:pPr>
              <w:spacing w:after="0"/>
              <w:rPr>
                <w:sz w:val="1"/>
                <w:szCs w:val="1"/>
                <w:color w:val="auto"/>
              </w:rPr>
            </w:pPr>
          </w:p>
        </w:tc>
      </w:tr>
      <w:tr>
        <w:trPr>
          <w:trHeight w:val="213"/>
        </w:trPr>
        <w:tc>
          <w:tcPr>
            <w:tcW w:w="1260" w:type="dxa"/>
            <w:vAlign w:val="bottom"/>
          </w:tcPr>
          <w:p>
            <w:pPr>
              <w:ind w:left="280"/>
              <w:spacing w:after="0"/>
              <w:rPr>
                <w:sz w:val="20"/>
                <w:szCs w:val="20"/>
                <w:color w:val="auto"/>
              </w:rPr>
            </w:pPr>
            <w:r>
              <w:rPr>
                <w:rFonts w:ascii="Arial" w:cs="Arial" w:eastAsia="Arial" w:hAnsi="Arial"/>
                <w:sz w:val="16"/>
                <w:szCs w:val="16"/>
                <w:color w:val="auto"/>
              </w:rPr>
              <w:t>July - Sep.</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67,000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$40.39</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$49.28</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July - Sep.</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$57.90</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$45.00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$78.75</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26,663</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$38.69</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$53.80</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69,000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$40.52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$49.71</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$45.00</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ind w:left="280"/>
              <w:spacing w:after="0"/>
              <w:rPr>
                <w:sz w:val="20"/>
                <w:szCs w:val="20"/>
                <w:color w:val="auto"/>
              </w:rPr>
            </w:pPr>
            <w:r>
              <w:rPr>
                <w:rFonts w:ascii="Arial" w:cs="Arial" w:eastAsia="Arial" w:hAnsi="Arial"/>
                <w:sz w:val="16"/>
                <w:szCs w:val="16"/>
                <w:color w:val="auto"/>
              </w:rPr>
              <w:t>Jan.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10,000</w:t>
            </w:r>
          </w:p>
        </w:tc>
        <w:tc>
          <w:tcPr>
            <w:tcW w:w="1720" w:type="dxa"/>
            <w:vAlign w:val="bottom"/>
          </w:tcPr>
          <w:p>
            <w:pPr>
              <w:jc w:val="center"/>
              <w:spacing w:after="0"/>
              <w:rPr>
                <w:sz w:val="20"/>
                <w:szCs w:val="20"/>
                <w:color w:val="auto"/>
              </w:rPr>
            </w:pPr>
            <w:r>
              <w:rPr>
                <w:rFonts w:ascii="Arial" w:cs="Arial" w:eastAsia="Arial" w:hAnsi="Arial"/>
                <w:sz w:val="16"/>
                <w:szCs w:val="16"/>
                <w:color w:val="auto"/>
                <w:w w:val="96"/>
              </w:rPr>
              <w:t>Argus WTI Midland</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$0.84</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89"/>
              </w:rPr>
              <w:t>Roll Swap</w:t>
            </w:r>
            <w:r>
              <w:rPr>
                <w:rFonts w:ascii="Arial" w:cs="Arial" w:eastAsia="Arial" w:hAnsi="Arial"/>
                <w:sz w:val="21"/>
                <w:szCs w:val="21"/>
                <w:color w:val="auto"/>
                <w:w w:val="89"/>
                <w:vertAlign w:val="superscript"/>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$0.54</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3"/>
        </w:trPr>
        <w:tc>
          <w:tcPr>
            <w:tcW w:w="1260" w:type="dxa"/>
            <w:vAlign w:val="bottom"/>
          </w:tcPr>
          <w:p>
            <w:pPr>
              <w:ind w:left="280"/>
              <w:spacing w:after="0"/>
              <w:rPr>
                <w:sz w:val="20"/>
                <w:szCs w:val="20"/>
                <w:color w:val="auto"/>
              </w:rPr>
            </w:pPr>
            <w:r>
              <w:rPr>
                <w:rFonts w:ascii="Arial" w:cs="Arial" w:eastAsia="Arial" w:hAnsi="Arial"/>
                <w:sz w:val="16"/>
                <w:szCs w:val="16"/>
                <w:color w:val="auto"/>
              </w:rPr>
              <w:t>Jan. - Mar.</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16,500</w:t>
            </w:r>
          </w:p>
        </w:tc>
        <w:tc>
          <w:tcPr>
            <w:tcW w:w="1720" w:type="dxa"/>
            <w:vAlign w:val="bottom"/>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$45.61</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$71.34</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Mar.</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$45.38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$70.61</w:t>
            </w:r>
          </w:p>
        </w:tc>
        <w:tc>
          <w:tcPr>
            <w:tcW w:w="0" w:type="dxa"/>
            <w:vAlign w:val="bottom"/>
          </w:tcPr>
          <w:p>
            <w:pPr>
              <w:spacing w:after="0"/>
              <w:rPr>
                <w:sz w:val="1"/>
                <w:szCs w:val="1"/>
                <w:color w:val="auto"/>
              </w:rPr>
            </w:pPr>
          </w:p>
        </w:tc>
      </w:tr>
      <w:tr>
        <w:trPr>
          <w:trHeight w:val="213"/>
        </w:trPr>
        <w:tc>
          <w:tcPr>
            <w:tcW w:w="1260" w:type="dxa"/>
            <w:vAlign w:val="bottom"/>
          </w:tcPr>
          <w:p>
            <w:pPr>
              <w:ind w:left="280"/>
              <w:spacing w:after="0"/>
              <w:rPr>
                <w:sz w:val="20"/>
                <w:szCs w:val="20"/>
                <w:color w:val="auto"/>
              </w:rPr>
            </w:pPr>
            <w:r>
              <w:rPr>
                <w:rFonts w:ascii="Arial" w:cs="Arial" w:eastAsia="Arial" w:hAnsi="Arial"/>
                <w:sz w:val="16"/>
                <w:szCs w:val="16"/>
                <w:color w:val="auto"/>
              </w:rPr>
              <w:t>Jan. - Mar.</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22,000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$45.91</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$70.95</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Apr.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WTI</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$46.25</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$71.84</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Apr. - June</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30,000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$46.00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$76.37</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Apr.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Argus WTI Houston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$46.00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$71.29</w:t>
            </w:r>
          </w:p>
        </w:tc>
        <w:tc>
          <w:tcPr>
            <w:tcW w:w="0" w:type="dxa"/>
            <w:vAlign w:val="bottom"/>
          </w:tcPr>
          <w:p>
            <w:pPr>
              <w:spacing w:after="0"/>
              <w:rPr>
                <w:sz w:val="1"/>
                <w:szCs w:val="1"/>
                <w:color w:val="auto"/>
              </w:rPr>
            </w:pPr>
          </w:p>
        </w:tc>
      </w:tr>
      <w:tr>
        <w:trPr>
          <w:trHeight w:val="213"/>
        </w:trPr>
        <w:tc>
          <w:tcPr>
            <w:tcW w:w="1260" w:type="dxa"/>
            <w:vAlign w:val="bottom"/>
          </w:tcPr>
          <w:p>
            <w:pPr>
              <w:ind w:left="280"/>
              <w:spacing w:after="0"/>
              <w:rPr>
                <w:sz w:val="20"/>
                <w:szCs w:val="20"/>
                <w:color w:val="auto"/>
              </w:rPr>
            </w:pPr>
            <w:r>
              <w:rPr>
                <w:rFonts w:ascii="Arial" w:cs="Arial" w:eastAsia="Arial" w:hAnsi="Arial"/>
                <w:sz w:val="16"/>
                <w:szCs w:val="16"/>
                <w:color w:val="auto"/>
              </w:rPr>
              <w:t>July - Sep.</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7,000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$46.43</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$78.16</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Oct.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Brent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$75.56</w:t>
            </w:r>
          </w:p>
        </w:tc>
        <w:tc>
          <w:tcPr>
            <w:tcW w:w="0" w:type="dxa"/>
            <w:vAlign w:val="bottom"/>
          </w:tcPr>
          <w:p>
            <w:pPr>
              <w:spacing w:after="0"/>
              <w:rPr>
                <w:sz w:val="1"/>
                <w:szCs w:val="1"/>
                <w:color w:val="auto"/>
              </w:rPr>
            </w:pPr>
          </w:p>
        </w:tc>
      </w:tr>
      <w:tr>
        <w:trPr>
          <w:trHeight w:val="200"/>
        </w:trPr>
        <w:tc>
          <w:tcPr>
            <w:tcW w:w="1260" w:type="dxa"/>
            <w:vAlign w:val="bottom"/>
          </w:tcPr>
          <w:p>
            <w:pPr>
              <w:ind w:left="20"/>
              <w:spacing w:after="0"/>
              <w:rPr>
                <w:sz w:val="20"/>
                <w:szCs w:val="20"/>
                <w:color w:val="auto"/>
              </w:rPr>
            </w:pPr>
            <w:r>
              <w:rPr>
                <w:rFonts w:ascii="Arial" w:cs="Arial" w:eastAsia="Arial" w:hAnsi="Arial"/>
                <w:sz w:val="15"/>
                <w:szCs w:val="15"/>
                <w:b w:val="1"/>
                <w:bCs w:val="1"/>
                <w:color w:val="auto"/>
              </w:rPr>
              <w:t>NATURAL GAS</w:t>
            </w: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245,000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$2.65</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50,000</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$1.92</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shd w:val="clear" w:color="auto" w:fill="CCEEFF"/>
          </w:tcPr>
          <w:p>
            <w:pPr>
              <w:jc w:val="center"/>
              <w:spacing w:after="0" w:line="219"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$(0.66)</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tcPr>
          <w:p>
            <w:pPr>
              <w:ind w:left="280"/>
              <w:spacing w:after="0"/>
              <w:rPr>
                <w:sz w:val="20"/>
                <w:szCs w:val="20"/>
                <w:color w:val="auto"/>
              </w:rPr>
            </w:pPr>
            <w:r>
              <w:rPr>
                <w:rFonts w:ascii="Arial" w:cs="Arial" w:eastAsia="Arial" w:hAnsi="Arial"/>
                <w:sz w:val="16"/>
                <w:szCs w:val="16"/>
                <w:color w:val="auto"/>
              </w:rPr>
              <w:t>Jan.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line="216" w:lineRule="exact"/>
              <w:rPr>
                <w:sz w:val="20"/>
                <w:szCs w:val="20"/>
                <w:color w:val="auto"/>
              </w:rPr>
            </w:pPr>
            <w:r>
              <w:rPr>
                <w:rFonts w:ascii="Arial" w:cs="Arial" w:eastAsia="Arial" w:hAnsi="Arial"/>
                <w:sz w:val="16"/>
                <w:szCs w:val="16"/>
                <w:color w:val="auto"/>
                <w:w w:val="87"/>
              </w:rPr>
              <w:t>Basis Swap</w:t>
            </w:r>
            <w:r>
              <w:rPr>
                <w:rFonts w:ascii="Arial" w:cs="Arial" w:eastAsia="Arial" w:hAnsi="Arial"/>
                <w:sz w:val="21"/>
                <w:szCs w:val="21"/>
                <w:color w:val="auto"/>
                <w:w w:val="87"/>
                <w:vertAlign w:val="superscript"/>
              </w:rPr>
              <w:t>(1)</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210,000</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Waha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$(0.34)</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Jan. - June</w:t>
            </w:r>
          </w:p>
        </w:tc>
        <w:tc>
          <w:tcPr>
            <w:tcW w:w="12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160,000</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$3.93</w:t>
            </w:r>
          </w:p>
        </w:tc>
        <w:tc>
          <w:tcPr>
            <w:tcW w:w="0" w:type="dxa"/>
            <w:vAlign w:val="bottom"/>
          </w:tcPr>
          <w:p>
            <w:pPr>
              <w:spacing w:after="0"/>
              <w:rPr>
                <w:sz w:val="1"/>
                <w:szCs w:val="1"/>
                <w:color w:val="auto"/>
              </w:rPr>
            </w:pPr>
          </w:p>
        </w:tc>
      </w:tr>
      <w:tr>
        <w:trPr>
          <w:trHeight w:val="213"/>
        </w:trPr>
        <w:tc>
          <w:tcPr>
            <w:tcW w:w="1260" w:type="dxa"/>
            <w:vAlign w:val="bottom"/>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2022</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Costless Collar</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60,000</w:t>
            </w:r>
          </w:p>
        </w:tc>
        <w:tc>
          <w:tcPr>
            <w:tcW w:w="1720" w:type="dxa"/>
            <w:vAlign w:val="bottom"/>
          </w:tcPr>
          <w:p>
            <w:pPr>
              <w:jc w:val="center"/>
              <w:spacing w:after="0"/>
              <w:rPr>
                <w:sz w:val="20"/>
                <w:szCs w:val="20"/>
                <w:color w:val="auto"/>
              </w:rPr>
            </w:pPr>
            <w:r>
              <w:rPr>
                <w:rFonts w:ascii="Arial" w:cs="Arial" w:eastAsia="Arial" w:hAnsi="Arial"/>
                <w:sz w:val="16"/>
                <w:szCs w:val="16"/>
                <w:color w:val="auto"/>
                <w:w w:val="94"/>
              </w:rPr>
              <w:t>Henry Hub</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$4.51</w:t>
            </w:r>
          </w:p>
        </w:tc>
        <w:tc>
          <w:tcPr>
            <w:tcW w:w="0" w:type="dxa"/>
            <w:vAlign w:val="bottom"/>
          </w:tcPr>
          <w:p>
            <w:pPr>
              <w:spacing w:after="0"/>
              <w:rPr>
                <w:sz w:val="1"/>
                <w:szCs w:val="1"/>
                <w:color w:val="auto"/>
              </w:rPr>
            </w:pPr>
          </w:p>
        </w:tc>
      </w:tr>
      <w:tr>
        <w:trPr>
          <w:trHeight w:val="206"/>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NATURAL GAS LIQUIDS</w:t>
            </w:r>
          </w:p>
        </w:tc>
        <w:tc>
          <w:tcPr>
            <w:tcW w:w="1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60" w:type="dxa"/>
            <w:vAlign w:val="bottom"/>
          </w:tcPr>
          <w:p>
            <w:pPr>
              <w:ind w:left="260"/>
              <w:spacing w:after="0"/>
              <w:rPr>
                <w:sz w:val="20"/>
                <w:szCs w:val="20"/>
                <w:color w:val="auto"/>
              </w:rPr>
            </w:pPr>
            <w:r>
              <w:rPr>
                <w:rFonts w:ascii="Arial" w:cs="Arial" w:eastAsia="Arial" w:hAnsi="Arial"/>
                <w:sz w:val="16"/>
                <w:szCs w:val="16"/>
                <w:color w:val="auto"/>
              </w:rPr>
              <w:t>July - Dec.</w:t>
            </w:r>
          </w:p>
        </w:tc>
        <w:tc>
          <w:tcPr>
            <w:tcW w:w="1220" w:type="dxa"/>
            <w:vAlign w:val="bottom"/>
          </w:tcPr>
          <w:p>
            <w:pPr>
              <w:jc w:val="center"/>
              <w:ind w:right="39"/>
              <w:spacing w:after="0"/>
              <w:rPr>
                <w:sz w:val="20"/>
                <w:szCs w:val="20"/>
                <w:color w:val="auto"/>
              </w:rPr>
            </w:pPr>
            <w:r>
              <w:rPr>
                <w:rFonts w:ascii="Arial" w:cs="Arial" w:eastAsia="Arial" w:hAnsi="Arial"/>
                <w:sz w:val="16"/>
                <w:szCs w:val="16"/>
                <w:color w:val="auto"/>
                <w:w w:val="95"/>
              </w:rPr>
              <w:t>2021</w:t>
            </w:r>
          </w:p>
        </w:tc>
        <w:tc>
          <w:tcPr>
            <w:tcW w:w="1460" w:type="dxa"/>
            <w:vAlign w:val="bottom"/>
          </w:tcPr>
          <w:p>
            <w:pPr>
              <w:jc w:val="center"/>
              <w:spacing w:after="0"/>
              <w:rPr>
                <w:sz w:val="20"/>
                <w:szCs w:val="20"/>
                <w:color w:val="auto"/>
              </w:rPr>
            </w:pPr>
            <w:r>
              <w:rPr>
                <w:rFonts w:ascii="Arial" w:cs="Arial" w:eastAsia="Arial" w:hAnsi="Arial"/>
                <w:sz w:val="16"/>
                <w:szCs w:val="16"/>
                <w:color w:val="auto"/>
                <w:w w:val="89"/>
              </w:rPr>
              <w:t>Swap</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2,000</w:t>
            </w: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Mont Belvieu Propane</w:t>
            </w: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$29.40</w:t>
            </w:r>
          </w:p>
        </w:tc>
        <w:tc>
          <w:tcPr>
            <w:tcW w:w="108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firstLine="8"/>
        <w:spacing w:after="0" w:line="286" w:lineRule="auto"/>
        <w:tabs>
          <w:tab w:leader="none" w:pos="25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8"/>
        <w:spacing w:after="0" w:line="255" w:lineRule="auto"/>
        <w:tabs>
          <w:tab w:leader="none" w:pos="2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rolling hedge basis swaps for the differential in NYMEX prices between the calendar month average and the physical crude oil delivery month. The weighted average differential represents the amount of reduction to Cushing, Oklahoma oil price for the notional volumes covered by the rolling hedge basis swap contracts.</w:t>
      </w:r>
    </w:p>
    <w:p>
      <w:pPr>
        <w:spacing w:after="0" w:line="2" w:lineRule="exact"/>
        <w:rPr>
          <w:rFonts w:ascii="Arial" w:cs="Arial" w:eastAsia="Arial" w:hAnsi="Arial"/>
          <w:sz w:val="18"/>
          <w:szCs w:val="18"/>
          <w:color w:val="auto"/>
        </w:rPr>
      </w:pPr>
    </w:p>
    <w:p>
      <w:pPr>
        <w:ind w:firstLine="8"/>
        <w:spacing w:after="0" w:line="260" w:lineRule="auto"/>
        <w:tabs>
          <w:tab w:leader="none" w:pos="2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 rolling hedge basis swap contract for the differential between the NYMEX prices for WTI Cushing and WTI CMA calendar month average of each basis for a notional quantity of 4,000 barrels per day with a weighted average differential of $0.00.</w:t>
      </w:r>
    </w:p>
    <w:p>
      <w:pPr>
        <w:spacing w:after="0" w:line="253" w:lineRule="exact"/>
        <w:rPr>
          <w:sz w:val="20"/>
          <w:szCs w:val="20"/>
          <w:color w:val="auto"/>
        </w:rPr>
      </w:pPr>
    </w:p>
    <w:p>
      <w:pPr>
        <w:ind w:left="300"/>
        <w:spacing w:after="0"/>
        <w:tabs>
          <w:tab w:leader="none" w:pos="2220" w:val="left"/>
          <w:tab w:leader="none" w:pos="4060" w:val="left"/>
          <w:tab w:leader="none" w:pos="5920" w:val="left"/>
          <w:tab w:leader="none" w:pos="8200" w:val="left"/>
          <w:tab w:leader="none" w:pos="9880" w:val="left"/>
        </w:tabs>
        <w:rPr>
          <w:sz w:val="20"/>
          <w:szCs w:val="20"/>
          <w:color w:val="auto"/>
        </w:rPr>
      </w:pPr>
      <w:r>
        <w:rPr>
          <w:rFonts w:ascii="Arial" w:cs="Arial" w:eastAsia="Arial" w:hAnsi="Arial"/>
          <w:sz w:val="16"/>
          <w:szCs w:val="16"/>
          <w:b w:val="1"/>
          <w:bCs w:val="1"/>
          <w:color w:val="auto"/>
        </w:rPr>
        <w:t>Settlement Month</w:t>
      </w:r>
      <w:r>
        <w:rPr>
          <w:sz w:val="20"/>
          <w:szCs w:val="20"/>
          <w:color w:val="auto"/>
        </w:rPr>
        <w:tab/>
      </w:r>
      <w:r>
        <w:rPr>
          <w:rFonts w:ascii="Arial" w:cs="Arial" w:eastAsia="Arial" w:hAnsi="Arial"/>
          <w:sz w:val="16"/>
          <w:szCs w:val="16"/>
          <w:b w:val="1"/>
          <w:bCs w:val="1"/>
          <w:color w:val="auto"/>
        </w:rPr>
        <w:t>Settlement Year</w:t>
      </w:r>
      <w:r>
        <w:rPr>
          <w:sz w:val="20"/>
          <w:szCs w:val="20"/>
          <w:color w:val="auto"/>
        </w:rPr>
        <w:tab/>
      </w:r>
      <w:r>
        <w:rPr>
          <w:rFonts w:ascii="Arial" w:cs="Arial" w:eastAsia="Arial" w:hAnsi="Arial"/>
          <w:sz w:val="16"/>
          <w:szCs w:val="16"/>
          <w:b w:val="1"/>
          <w:bCs w:val="1"/>
          <w:color w:val="auto"/>
        </w:rPr>
        <w:t>Type of Contract</w:t>
      </w:r>
      <w:r>
        <w:rPr>
          <w:sz w:val="20"/>
          <w:szCs w:val="20"/>
          <w:color w:val="auto"/>
        </w:rPr>
        <w:tab/>
      </w:r>
      <w:r>
        <w:rPr>
          <w:rFonts w:ascii="Arial" w:cs="Arial" w:eastAsia="Arial" w:hAnsi="Arial"/>
          <w:sz w:val="16"/>
          <w:szCs w:val="16"/>
          <w:b w:val="1"/>
          <w:bCs w:val="1"/>
          <w:color w:val="auto"/>
        </w:rPr>
        <w:t>Bbls/Mcf Per Day</w:t>
      </w:r>
      <w:r>
        <w:rPr>
          <w:sz w:val="20"/>
          <w:szCs w:val="20"/>
          <w:color w:val="auto"/>
        </w:rPr>
        <w:tab/>
      </w:r>
      <w:r>
        <w:rPr>
          <w:rFonts w:ascii="Arial" w:cs="Arial" w:eastAsia="Arial" w:hAnsi="Arial"/>
          <w:sz w:val="16"/>
          <w:szCs w:val="16"/>
          <w:b w:val="1"/>
          <w:bCs w:val="1"/>
          <w:color w:val="auto"/>
        </w:rPr>
        <w:t>Index</w:t>
      </w:r>
      <w:r>
        <w:rPr>
          <w:sz w:val="20"/>
          <w:szCs w:val="20"/>
          <w:color w:val="auto"/>
        </w:rPr>
        <w:tab/>
      </w:r>
      <w:r>
        <w:rPr>
          <w:rFonts w:ascii="Arial" w:cs="Arial" w:eastAsia="Arial" w:hAnsi="Arial"/>
          <w:sz w:val="14"/>
          <w:szCs w:val="14"/>
          <w:b w:val="1"/>
          <w:bCs w:val="1"/>
          <w:color w:val="auto"/>
        </w:rPr>
        <w:t>Strike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OIL</w:t>
      </w:r>
    </w:p>
    <w:p>
      <w:pPr>
        <w:spacing w:after="0" w:line="21" w:lineRule="exact"/>
        <w:rPr>
          <w:sz w:val="20"/>
          <w:szCs w:val="20"/>
          <w:color w:val="auto"/>
        </w:rPr>
      </w:pPr>
    </w:p>
    <w:p>
      <w:pPr>
        <w:ind w:left="540"/>
        <w:spacing w:after="0"/>
        <w:tabs>
          <w:tab w:leader="none" w:pos="2600" w:val="left"/>
          <w:tab w:leader="none" w:pos="4420" w:val="left"/>
          <w:tab w:leader="none" w:pos="6320" w:val="left"/>
          <w:tab w:leader="none" w:pos="8240" w:val="left"/>
          <w:tab w:leader="none" w:pos="10040" w:val="left"/>
        </w:tabs>
        <w:rPr>
          <w:sz w:val="20"/>
          <w:szCs w:val="20"/>
          <w:color w:val="auto"/>
        </w:rPr>
      </w:pPr>
      <w:r>
        <w:rPr>
          <w:rFonts w:ascii="Arial" w:cs="Arial" w:eastAsia="Arial" w:hAnsi="Arial"/>
          <w:sz w:val="18"/>
          <w:szCs w:val="18"/>
          <w:color w:val="auto"/>
        </w:rPr>
        <w:t>Jan. - Mar.</w:t>
      </w:r>
      <w:r>
        <w:rPr>
          <w:sz w:val="20"/>
          <w:szCs w:val="20"/>
          <w:color w:val="auto"/>
        </w:rPr>
        <w:tab/>
      </w:r>
      <w:r>
        <w:rPr>
          <w:rFonts w:ascii="Arial" w:cs="Arial" w:eastAsia="Arial" w:hAnsi="Arial"/>
          <w:sz w:val="18"/>
          <w:szCs w:val="18"/>
          <w:color w:val="auto"/>
        </w:rPr>
        <w:t>2022</w:t>
      </w:r>
      <w:r>
        <w:rPr>
          <w:sz w:val="20"/>
          <w:szCs w:val="20"/>
          <w:color w:val="auto"/>
        </w:rPr>
        <w:tab/>
      </w:r>
      <w:r>
        <w:rPr>
          <w:rFonts w:ascii="Arial" w:cs="Arial" w:eastAsia="Arial" w:hAnsi="Arial"/>
          <w:sz w:val="18"/>
          <w:szCs w:val="18"/>
          <w:color w:val="auto"/>
        </w:rPr>
        <w:t>Puts</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5,000</w:t>
      </w:r>
      <w:r>
        <w:rPr>
          <w:sz w:val="20"/>
          <w:szCs w:val="20"/>
          <w:color w:val="auto"/>
        </w:rPr>
        <w:tab/>
      </w:r>
      <w:r>
        <w:rPr>
          <w:rFonts w:ascii="Arial" w:cs="Arial" w:eastAsia="Arial" w:hAnsi="Arial"/>
          <w:sz w:val="18"/>
          <w:szCs w:val="18"/>
          <w:color w:val="auto"/>
        </w:rPr>
        <w:t>WTI</w:t>
      </w:r>
      <w:r>
        <w:rPr>
          <w:sz w:val="20"/>
          <w:szCs w:val="20"/>
          <w:color w:val="auto"/>
        </w:rPr>
        <w:tab/>
      </w:r>
      <w:r>
        <w:rPr>
          <w:rFonts w:ascii="Arial" w:cs="Arial" w:eastAsia="Arial" w:hAnsi="Arial"/>
          <w:sz w:val="15"/>
          <w:szCs w:val="15"/>
          <w:color w:val="auto"/>
        </w:rPr>
        <w:t>$47.52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(1) Includes immaterial deferred premiums.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second quarter of 2021, the Company entered into two interest rate swap agreements for notional amounts of $600 million each to limit the Company’s exposure to changes in the fair value of debt due to movements in LIBOR interest rates. These interest rate swaps have been designated as fair value hedges of the Company’s $1.2 billion 3.50% fixed rate senior notes due 2029 (the “2029 Notes”) whereby the Company will receive the fixed rate of interest and will pay an average variable rate of interest based on three month LIBOR plus 2.1865%. Gains and losses due to changes in the fair value of the interest rate swaps completely offset changes in the fair value of the hedged portion of the underlying debt, and were not material for the three and six months ended June 30, 2021. These interest rate swaps are assumed to be perfectly effective and were determined to qualify for the “shortcut” method of accounting. The swaps expire on December 1, 2029, with an alternative early termination date of September 1, 2029, which mirrors the call option in the 2029 Notes.</w:t>
      </w:r>
    </w:p>
    <w:p>
      <w:pPr>
        <w:spacing w:after="0" w:line="21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2020 and the first quarter of 2021, the Company used interest rate swaps to reduce its exposure to variable rate interest payments associated with the Company’s revolving credit facility. These interest rate swaps were not designated as hedging instruments and as a result, the Company recognized all changes in fair value immediately in earnings. During the first quarter of 2021, the Company terminated all of its previously outstanding interest rate swaps which resulted in cash received upon settlement of $80 million, net of fees, during the six months ended June 30, 2021. The interest swaps contained an other-than-insignificant financing element at inception, and therefore, the cash receipts were classified as cash flows from financing activities in the condensed consolidated statements of cash flow for the six months ended June 30,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12—</w:t>
      </w:r>
      <w:hyperlink w:anchor="page33">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not designated as hedging instruments included in the 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4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6"/>
                <w:szCs w:val="16"/>
                <w:b w:val="1"/>
                <w:bCs w:val="1"/>
                <w:color w:val="auto"/>
                <w:w w:val="96"/>
              </w:rPr>
              <w:t>Six Months Ended June 30,</w:t>
            </w:r>
          </w:p>
        </w:tc>
      </w:tr>
      <w:tr>
        <w:trPr>
          <w:trHeight w:val="210"/>
        </w:trPr>
        <w:tc>
          <w:tcPr>
            <w:tcW w:w="48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r>
      <w:tr>
        <w:trPr>
          <w:trHeight w:val="210"/>
        </w:trPr>
        <w:tc>
          <w:tcPr>
            <w:tcW w:w="4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2"/>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1000" w:type="dxa"/>
            <w:vAlign w:val="bottom"/>
          </w:tcPr>
          <w:p>
            <w:pPr>
              <w:jc w:val="right"/>
              <w:ind w:right="81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(353)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4840" w:type="dxa"/>
            <w:vAlign w:val="bottom"/>
          </w:tcPr>
          <w:p>
            <w:pPr>
              <w:ind w:left="4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(361)</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8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Commodity contracts</w:t>
            </w: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4840" w:type="dxa"/>
            <w:vAlign w:val="bottom"/>
          </w:tcPr>
          <w:p>
            <w:pPr>
              <w:ind w:left="220"/>
              <w:spacing w:after="0" w:line="230" w:lineRule="exact"/>
              <w:rPr>
                <w:sz w:val="20"/>
                <w:szCs w:val="20"/>
                <w:color w:val="auto"/>
              </w:rPr>
            </w:pPr>
            <w:r>
              <w:rPr>
                <w:rFonts w:ascii="Arial" w:cs="Arial" w:eastAsia="Arial" w:hAnsi="Arial"/>
                <w:sz w:val="18"/>
                <w:szCs w:val="18"/>
                <w:color w:val="auto"/>
              </w:rPr>
              <w:t>Interest rate swaps</w:t>
            </w:r>
            <w:r>
              <w:rPr>
                <w:rFonts w:ascii="Arial" w:cs="Arial" w:eastAsia="Arial" w:hAnsi="Arial"/>
                <w:sz w:val="23"/>
                <w:szCs w:val="23"/>
                <w:color w:val="auto"/>
                <w:vertAlign w:val="superscript"/>
              </w:rPr>
              <w:t>(1)</w:t>
            </w:r>
          </w:p>
        </w:tc>
        <w:tc>
          <w:tcPr>
            <w:tcW w:w="100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8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 six months ended June 30, 2021 include cash received on contracts terminated prior to their contractual maturity of $80 million.</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commodity derivative instruments and interest rate swaps. The fair values of the Company’s commodity derivative contracts are measured internally using established commodity futures price strips for the underlying commodity provided by a reputable third party, the contracted notional volumes, and time to maturity. Interest rate swaps designated as fair value hedges and those that are not designated as hedges are determined based on inputs that are readily available in public markets, can be derived from information available in publicly quoted markets, or are provided by financial institutions that trade these contracts. These valuations are Level 2 inputs.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right="20" w:firstLine="8"/>
        <w:spacing w:after="0" w:line="277" w:lineRule="auto"/>
        <w:tabs>
          <w:tab w:leader="none" w:pos="2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gross amounts of recognized derivative assets and liabilities, (iii) the amounts offset under master netting arrangements with counterparties, and (iv) the resulting net amounts presented in the Company’s condensed consolidated balance sheets as of June 30, 2021 and December 31, 2020. The net amounts of derivative instruments are classified as current or noncurrent based on their anticipated settlement dates.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center"/>
              <w:ind w:left="613"/>
              <w:spacing w:after="0"/>
              <w:rPr>
                <w:sz w:val="20"/>
                <w:szCs w:val="20"/>
                <w:color w:val="auto"/>
              </w:rPr>
            </w:pPr>
            <w:r>
              <w:rPr>
                <w:rFonts w:ascii="Arial" w:cs="Arial" w:eastAsia="Arial" w:hAnsi="Arial"/>
                <w:sz w:val="16"/>
                <w:szCs w:val="16"/>
                <w:b w:val="1"/>
                <w:bCs w:val="1"/>
                <w:color w:val="auto"/>
                <w:w w:val="90"/>
              </w:rPr>
              <w:t>As of June 30, 2021</w:t>
            </w:r>
          </w:p>
        </w:tc>
        <w:tc>
          <w:tcPr>
            <w:tcW w:w="1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53"/>
              <w:spacing w:after="0"/>
              <w:rPr>
                <w:sz w:val="20"/>
                <w:szCs w:val="20"/>
                <w:color w:val="auto"/>
              </w:rPr>
            </w:pPr>
            <w:r>
              <w:rPr>
                <w:rFonts w:ascii="Arial" w:cs="Arial" w:eastAsia="Arial" w:hAnsi="Arial"/>
                <w:sz w:val="16"/>
                <w:szCs w:val="16"/>
                <w:b w:val="1"/>
                <w:bCs w:val="1"/>
                <w:color w:val="auto"/>
                <w:w w:val="92"/>
              </w:rPr>
              <w:t>Total Gross Fair</w:t>
            </w:r>
          </w:p>
        </w:tc>
        <w:tc>
          <w:tcPr>
            <w:tcW w:w="140" w:type="dxa"/>
            <w:vAlign w:val="bottom"/>
          </w:tcPr>
          <w:p>
            <w:pPr>
              <w:spacing w:after="0"/>
              <w:rPr>
                <w:sz w:val="13"/>
                <w:szCs w:val="13"/>
                <w:color w:val="auto"/>
              </w:rPr>
            </w:pPr>
          </w:p>
        </w:tc>
        <w:tc>
          <w:tcPr>
            <w:tcW w:w="1400" w:type="dxa"/>
            <w:vAlign w:val="bottom"/>
          </w:tcPr>
          <w:p>
            <w:pPr>
              <w:jc w:val="center"/>
              <w:ind w:right="53"/>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right"/>
              <w:ind w:right="172"/>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3"/>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104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(In millions)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807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 designated as hedges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743"/>
        </w:trPr>
        <w:tc>
          <w:tcPr>
            <w:tcW w:w="3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jc w:val="right"/>
              <w:ind w:right="131"/>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As of December 31, 2020</w:t>
      </w:r>
    </w:p>
    <w:p>
      <w:pPr>
        <w:spacing w:after="0" w:line="26" w:lineRule="exact"/>
        <w:rPr>
          <w:sz w:val="20"/>
          <w:szCs w:val="20"/>
          <w:color w:val="auto"/>
        </w:rPr>
      </w:pPr>
    </w:p>
    <w:tbl>
      <w:tblPr>
        <w:tblLayout w:type="fixed"/>
        <w:tblInd w:w="3960" w:type="dxa"/>
        <w:tblCellMar>
          <w:top w:w="0" w:type="dxa"/>
          <w:left w:w="0" w:type="dxa"/>
          <w:bottom w:w="0" w:type="dxa"/>
          <w:right w:w="0" w:type="dxa"/>
        </w:tblCellMar>
      </w:tblPr>
      <w:tr>
        <w:trPr>
          <w:trHeight w:val="161"/>
        </w:trPr>
        <w:tc>
          <w:tcPr>
            <w:tcW w:w="10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Total Gross Fair</w:t>
            </w:r>
          </w:p>
        </w:tc>
        <w:tc>
          <w:tcPr>
            <w:tcW w:w="13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89"/>
              </w:rPr>
              <w:t>Gross Amounts</w:t>
            </w:r>
          </w:p>
        </w:tc>
        <w:tc>
          <w:tcPr>
            <w:tcW w:w="158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Net Fair Value</w:t>
            </w:r>
          </w:p>
        </w:tc>
        <w:tc>
          <w:tcPr>
            <w:tcW w:w="0" w:type="dxa"/>
            <w:vAlign w:val="bottom"/>
          </w:tcPr>
          <w:p>
            <w:pPr>
              <w:spacing w:after="0"/>
              <w:rPr>
                <w:sz w:val="1"/>
                <w:szCs w:val="1"/>
                <w:color w:val="auto"/>
              </w:rPr>
            </w:pPr>
          </w:p>
        </w:tc>
      </w:tr>
      <w:tr>
        <w:trPr>
          <w:trHeight w:val="162"/>
        </w:trPr>
        <w:tc>
          <w:tcPr>
            <w:tcW w:w="10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10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2</w:t>
            </w:r>
          </w:p>
        </w:tc>
        <w:tc>
          <w:tcPr>
            <w:tcW w:w="9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Level 3</w:t>
            </w:r>
          </w:p>
        </w:tc>
        <w:tc>
          <w:tcPr>
            <w:tcW w:w="1400" w:type="dxa"/>
            <w:vAlign w:val="bottom"/>
            <w:vMerge w:val="continue"/>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Presented in Balance</w:t>
            </w:r>
          </w:p>
        </w:tc>
        <w:tc>
          <w:tcPr>
            <w:tcW w:w="0" w:type="dxa"/>
            <w:vAlign w:val="bottom"/>
          </w:tcPr>
          <w:p>
            <w:pPr>
              <w:spacing w:after="0"/>
              <w:rPr>
                <w:sz w:val="1"/>
                <w:szCs w:val="1"/>
                <w:color w:val="auto"/>
              </w:rPr>
            </w:pPr>
          </w:p>
        </w:tc>
      </w:tr>
      <w:tr>
        <w:trPr>
          <w:trHeight w:val="213"/>
        </w:trPr>
        <w:tc>
          <w:tcPr>
            <w:tcW w:w="10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Value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Sheet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Sheet</w:t>
            </w:r>
          </w:p>
        </w:tc>
        <w:tc>
          <w:tcPr>
            <w:tcW w:w="0" w:type="dxa"/>
            <w:vAlign w:val="bottom"/>
          </w:tcPr>
          <w:p>
            <w:pPr>
              <w:spacing w:after="0"/>
              <w:rPr>
                <w:sz w:val="1"/>
                <w:szCs w:val="1"/>
                <w:color w:val="auto"/>
              </w:rPr>
            </w:pPr>
          </w:p>
        </w:tc>
      </w:tr>
      <w:tr>
        <w:trPr>
          <w:trHeight w:val="207"/>
        </w:trPr>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3960" w:val="left"/>
          <w:tab w:leader="none" w:pos="4700" w:val="left"/>
          <w:tab w:leader="none" w:pos="5720" w:val="left"/>
          <w:tab w:leader="none" w:pos="6720" w:val="left"/>
          <w:tab w:leader="none" w:pos="7940" w:val="left"/>
          <w:tab w:leader="none" w:pos="9380" w:val="left"/>
          <w:tab w:leader="none" w:pos="110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43 $</w:t>
      </w:r>
      <w:r>
        <w:rPr>
          <w:sz w:val="20"/>
          <w:szCs w:val="20"/>
          <w:color w:val="auto"/>
        </w:rPr>
        <w:tab/>
      </w:r>
      <w:r>
        <w:rPr>
          <w:rFonts w:ascii="Arial" w:cs="Arial" w:eastAsia="Arial" w:hAnsi="Arial"/>
          <w:sz w:val="18"/>
          <w:szCs w:val="18"/>
          <w:color w:val="auto"/>
        </w:rPr>
        <w:t>(42) $</w:t>
      </w:r>
      <w:r>
        <w:rPr>
          <w:sz w:val="20"/>
          <w:szCs w:val="20"/>
          <w:color w:val="auto"/>
        </w:rPr>
        <w:tab/>
      </w:r>
      <w:r>
        <w:rPr>
          <w:rFonts w:ascii="Arial" w:cs="Arial" w:eastAsia="Arial" w:hAnsi="Arial"/>
          <w:sz w:val="13"/>
          <w:szCs w:val="13"/>
          <w:color w:val="auto"/>
        </w:rPr>
        <w:t>1</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3960" w:val="left"/>
          <w:tab w:leader="none" w:pos="4700" w:val="left"/>
          <w:tab w:leader="none" w:pos="5620" w:val="left"/>
          <w:tab w:leader="none" w:pos="6720" w:val="left"/>
          <w:tab w:leader="none" w:pos="7840" w:val="left"/>
          <w:tab w:leader="none" w:pos="9300" w:val="left"/>
          <w:tab w:leader="none" w:pos="109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440"/>
        <w:spacing w:after="0"/>
        <w:tabs>
          <w:tab w:leader="none" w:pos="3960" w:val="left"/>
          <w:tab w:leader="none" w:pos="4700" w:val="left"/>
          <w:tab w:leader="none" w:pos="5620" w:val="left"/>
          <w:tab w:leader="none" w:pos="6720" w:val="left"/>
          <w:tab w:leader="none" w:pos="7840" w:val="left"/>
          <w:tab w:leader="none" w:pos="9380" w:val="left"/>
          <w:tab w:leader="none" w:pos="1088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291 $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291 $</w:t>
      </w:r>
      <w:r>
        <w:rPr>
          <w:sz w:val="20"/>
          <w:szCs w:val="20"/>
          <w:color w:val="auto"/>
        </w:rPr>
        <w:tab/>
      </w:r>
      <w:r>
        <w:rPr>
          <w:rFonts w:ascii="Arial" w:cs="Arial" w:eastAsia="Arial" w:hAnsi="Arial"/>
          <w:sz w:val="18"/>
          <w:szCs w:val="18"/>
          <w:color w:val="auto"/>
        </w:rPr>
        <w:t>(42) $</w:t>
      </w:r>
      <w:r>
        <w:rPr>
          <w:sz w:val="20"/>
          <w:szCs w:val="20"/>
          <w:color w:val="auto"/>
        </w:rPr>
        <w:tab/>
      </w:r>
      <w:r>
        <w:rPr>
          <w:rFonts w:ascii="Arial" w:cs="Arial" w:eastAsia="Arial" w:hAnsi="Arial"/>
          <w:sz w:val="15"/>
          <w:szCs w:val="15"/>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440"/>
        <w:spacing w:after="0"/>
        <w:tabs>
          <w:tab w:leader="none" w:pos="3960" w:val="left"/>
          <w:tab w:leader="none" w:pos="4700" w:val="left"/>
          <w:tab w:leader="none" w:pos="5620" w:val="left"/>
          <w:tab w:leader="none" w:pos="6720" w:val="left"/>
          <w:tab w:leader="none" w:pos="7840" w:val="left"/>
          <w:tab w:leader="none" w:pos="9300" w:val="left"/>
          <w:tab w:leader="none" w:pos="10960" w:val="left"/>
        </w:tabs>
        <w:rPr>
          <w:sz w:val="20"/>
          <w:szCs w:val="20"/>
          <w:color w:val="auto"/>
        </w:rPr>
      </w:pPr>
      <w:r>
        <w:rPr>
          <w:rFonts w:ascii="Arial" w:cs="Arial" w:eastAsia="Arial" w:hAnsi="Arial"/>
          <w:sz w:val="18"/>
          <w:szCs w:val="18"/>
          <w:color w:val="auto"/>
        </w:rPr>
        <w:t>Derivative instruments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244 $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244 $</w:t>
      </w:r>
      <w:r>
        <w:rPr>
          <w:sz w:val="20"/>
          <w:szCs w:val="20"/>
          <w:color w:val="auto"/>
        </w:rPr>
        <w:tab/>
      </w:r>
      <w:r>
        <w:rPr>
          <w:rFonts w:ascii="Arial" w:cs="Arial" w:eastAsia="Arial" w:hAnsi="Arial"/>
          <w:sz w:val="18"/>
          <w:szCs w:val="18"/>
          <w:color w:val="auto"/>
        </w:rPr>
        <w:t>(187) $</w:t>
      </w:r>
      <w:r>
        <w:rPr>
          <w:sz w:val="20"/>
          <w:szCs w:val="20"/>
          <w:color w:val="auto"/>
        </w:rPr>
        <w:tab/>
      </w:r>
      <w:r>
        <w:rPr>
          <w:rFonts w:ascii="Arial" w:cs="Arial" w:eastAsia="Arial" w:hAnsi="Arial"/>
          <w:sz w:val="16"/>
          <w:szCs w:val="16"/>
          <w:color w:val="auto"/>
        </w:rPr>
        <w:t>57</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ind w:left="700"/>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Pr>
          <w:p>
            <w:pPr>
              <w:spacing w:after="0"/>
              <w:rPr>
                <w:sz w:val="18"/>
                <w:szCs w:val="18"/>
                <w:color w:val="auto"/>
              </w:rPr>
            </w:pPr>
          </w:p>
        </w:tc>
        <w:tc>
          <w:tcPr>
            <w:tcW w:w="2520" w:type="dxa"/>
            <w:vAlign w:val="bottom"/>
            <w:gridSpan w:val="3"/>
          </w:tcPr>
          <w:p>
            <w:pPr>
              <w:jc w:val="right"/>
              <w:ind w:right="635"/>
              <w:spacing w:after="0"/>
              <w:rPr>
                <w:sz w:val="20"/>
                <w:szCs w:val="20"/>
                <w:color w:val="auto"/>
              </w:rPr>
            </w:pPr>
            <w:r>
              <w:rPr>
                <w:rFonts w:ascii="Arial" w:cs="Arial" w:eastAsia="Arial" w:hAnsi="Arial"/>
                <w:sz w:val="16"/>
                <w:szCs w:val="16"/>
                <w:b w:val="1"/>
                <w:bCs w:val="1"/>
                <w:color w:val="auto"/>
              </w:rPr>
              <w:t>December 31, 2020</w:t>
            </w:r>
          </w:p>
        </w:tc>
      </w:tr>
      <w:tr>
        <w:trPr>
          <w:trHeight w:val="207"/>
        </w:trPr>
        <w:tc>
          <w:tcPr>
            <w:tcW w:w="5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97"/>
              <w:spacing w:after="0"/>
              <w:rPr>
                <w:sz w:val="20"/>
                <w:szCs w:val="20"/>
                <w:color w:val="auto"/>
              </w:rPr>
            </w:pPr>
            <w:r>
              <w:rPr>
                <w:rFonts w:ascii="Arial" w:cs="Arial" w:eastAsia="Arial" w:hAnsi="Arial"/>
                <w:sz w:val="16"/>
                <w:szCs w:val="16"/>
                <w:b w:val="1"/>
                <w:bCs w:val="1"/>
                <w:color w:val="auto"/>
                <w:w w:val="97"/>
              </w:rPr>
              <w:t>Carrying</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9"/>
        </w:trPr>
        <w:tc>
          <w:tcPr>
            <w:tcW w:w="5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4"/>
          </w:tcPr>
          <w:p>
            <w:pPr>
              <w:jc w:val="right"/>
              <w:ind w:right="897"/>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7,360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5,815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r>
    </w:tbl>
    <w:p>
      <w:pPr>
        <w:spacing w:after="0" w:line="32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fair values of the Company’s credit agreement,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June 30, 2021 quoted market price, a Level 1 classification in the fair value hierarchy.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funds held in escrow, prepaid expenses and other current assets, payables and other accrued liabilities approximate their fair value because of the short-term nature of the instruments.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COMMITMENTS AND CONTINGENCIES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 party to various routine legal proceedings, disputes and claims arising in the course of its business, including those that arise from interpretation of federal and state laws and regulations affecting the crude oil and natural gas industry.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acquired certain contractual obligations in conjunction with the QEP Merger including an aggregate of approximately $68 million in various transportation, gathering and purchase commitments.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Quarter 2021 Dividend Declaration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July 29, 2021, the Board of Directors of the Company declared a cash dividend for the second quarter of 2021 of $0.45 per share of common stock, payable on August 19, 2021 to its stockholders of record at the close of business on August 12, 2021.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Pending Full Redemption of the Outstanding 5.375% Senior Notes due 2025</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23, 2021, the Company elected to effect an optional redemption of all of the Company’s 5.375% Senior Notes due 2025 outstanding as of the Redemption Date (defined below) in the aggregate principal amount of $432 million (the “2025 Notes”) and gave notice to the holders of the 2025 Notes of such redemption.</w:t>
      </w:r>
    </w:p>
    <w:p>
      <w:pPr>
        <w:spacing w:after="0" w:line="197"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The 2025 Notes are called for redemption on August 24, 2021 (the “Redemption Date”), at a redemption price equal to 102.688% of the principal amount on the Redemption Date, plus accrued interest to the Redemption Date (the “Redemption Price”). Interest on the 2025 Notes will cease to accrue on and after the Redemption Date unless the Company defaults in making the redemption payment, and thereupon the only remaining right of holders of the 2025 Notes is to receive payment of the Redemption Price. The Company intends to fund the redemption with cash on hand and borrowings under its revolving credit facility.</w:t>
      </w:r>
    </w:p>
    <w:p>
      <w:pPr>
        <w:spacing w:after="0" w:line="21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SEGMENT INFORMATION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reports its operations in two operating segments: (i) the upstream segment, which is engaged in the acquisition, development, exploration and exploitation of unconventional, onshore oil and natural gas reserves primarily in the Permian Basin in West Texas and (ii) the midstream operations segment, which is focused on owning, operating, developing and acquiring midstream infrastructure assets in the Midland and Delaware Basins of the Permian Basin. All of the Company’s equity method investments are included in the midstream operations segment.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2021:</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As of June 30, 2021: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527"/>
        </w:trPr>
        <w:tc>
          <w:tcPr>
            <w:tcW w:w="5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24"/>
                <w:szCs w:val="24"/>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16"/>
                <w:szCs w:val="16"/>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2021:</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Impairment of midstream assets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2021:</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526"/>
        </w:trPr>
        <w:tc>
          <w:tcPr>
            <w:tcW w:w="4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Upstream</w:t>
            </w: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Midstream</w:t>
            </w:r>
          </w:p>
        </w:tc>
        <w:tc>
          <w:tcPr>
            <w:tcW w:w="18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260" w:type="dxa"/>
            <w:vAlign w:val="bottom"/>
          </w:tcPr>
          <w:p>
            <w:pPr>
              <w:spacing w:after="0"/>
              <w:rPr>
                <w:sz w:val="24"/>
                <w:szCs w:val="24"/>
                <w:color w:val="auto"/>
              </w:rPr>
            </w:pPr>
          </w:p>
        </w:tc>
        <w:tc>
          <w:tcPr>
            <w:tcW w:w="940" w:type="dxa"/>
            <w:vAlign w:val="bottom"/>
            <w:vMerge w:val="restart"/>
          </w:tcPr>
          <w:p>
            <w:pPr>
              <w:jc w:val="right"/>
              <w:ind w:right="3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Operations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Six Months Ended June 30, 2020:</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20" w:type="dxa"/>
            <w:vAlign w:val="bottom"/>
            <w:gridSpan w:val="5"/>
            <w:shd w:val="clear" w:color="auto" w:fill="CCEEFF"/>
          </w:tcPr>
          <w:p>
            <w:pPr>
              <w:ind w:left="700"/>
              <w:spacing w:after="0"/>
              <w:rPr>
                <w:sz w:val="20"/>
                <w:szCs w:val="20"/>
                <w:color w:val="auto"/>
              </w:rPr>
            </w:pPr>
            <w:r>
              <w:rPr>
                <w:rFonts w:ascii="Arial" w:cs="Arial" w:eastAsia="Arial" w:hAnsi="Arial"/>
                <w:sz w:val="16"/>
                <w:szCs w:val="16"/>
                <w:b w:val="1"/>
                <w:bCs w:val="1"/>
                <w:color w:val="auto"/>
              </w:rPr>
              <w:t>(In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amortization and accretion</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17,619</w:t>
            </w:r>
          </w:p>
        </w:tc>
        <w:tc>
          <w:tcPr>
            <w:tcW w:w="0" w:type="dxa"/>
            <w:vAlign w:val="bottom"/>
          </w:tcPr>
          <w:p>
            <w:pPr>
              <w:spacing w:after="0"/>
              <w:rPr>
                <w:sz w:val="1"/>
                <w:szCs w:val="1"/>
                <w:color w:val="auto"/>
              </w:rPr>
            </w:pPr>
          </w:p>
        </w:tc>
      </w:tr>
      <w:tr>
        <w:trPr>
          <w:trHeight w:val="728"/>
        </w:trPr>
        <w:tc>
          <w:tcPr>
            <w:tcW w:w="492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consolidated financial statements and notes thereto presented in this report as well as our audited consolidated financial statements and notes thereto included in our </w:t>
      </w:r>
      <w:hyperlink r:id="rId17">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2020.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56">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5">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operate in two operating segments: (i) the upstream segment, which is engaged in the acquisition, development, exploration and exploitation of unconventional, onshore oil and natural gas reserves primarily in the Permian Basin in West Texas and (ii) through our subsidiary, Rattler, the midstream operations segment, which is focused on ownership, operation, development and acquisition of midstream infrastructure assets in the Midland and Delaware Basins of the Permian Basin.</w:t>
      </w:r>
    </w:p>
    <w:p>
      <w:pPr>
        <w:spacing w:after="0" w:line="210"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Acquisitions</w:t>
      </w:r>
    </w:p>
    <w:p>
      <w:pPr>
        <w:spacing w:after="0" w:line="252" w:lineRule="exact"/>
        <w:rPr>
          <w:rFonts w:ascii="Arial" w:cs="Arial" w:eastAsia="Arial" w:hAnsi="Arial"/>
          <w:sz w:val="17"/>
          <w:szCs w:val="17"/>
          <w:i w:val="1"/>
          <w:iCs w:val="1"/>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26, 2021, we completed the Guidon Acquisition, which included approximately 32,500 net acres in the Northern Midland Basin, in exchange for 10.68 million shares of the Company’s common stock and $375 million of cash.</w:t>
      </w:r>
    </w:p>
    <w:p>
      <w:pPr>
        <w:spacing w:after="0" w:line="197" w:lineRule="exact"/>
        <w:rPr>
          <w:rFonts w:ascii="Arial" w:cs="Arial" w:eastAsia="Arial" w:hAnsi="Arial"/>
          <w:sz w:val="17"/>
          <w:szCs w:val="17"/>
          <w:i w:val="1"/>
          <w:iCs w:val="1"/>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17, 2021, we completed the acquisition of QEP pursuant to the Agreement and Plan of Merger, dated as of December 20, 2020, by and among Diamondback, Bohemia Merger Sub, Inc., a Delaware corporation and QEP. Pursuant to the merger agreement, at the effective time of the QEP Merger, Bohemia Merger Sub, Inc. merged with and into QEP, with QEP continuing as the surviving corporation and as a wholly owned subsidiary of Diamondback. The addition of QEP’s assets increased our net acreage in the Midland Basin by approximately 49,000 net acres. Under the terms of the merger agreement, we issued approximately 12.12 million shares of our common stock (valued at a price of $81.41 per share on the closing date) to the former QEP stockholders, with a total value of approximately $987 million.</w:t>
      </w:r>
    </w:p>
    <w:p>
      <w:pPr>
        <w:spacing w:after="0" w:line="205" w:lineRule="exact"/>
        <w:rPr>
          <w:rFonts w:ascii="Arial" w:cs="Arial" w:eastAsia="Arial" w:hAnsi="Arial"/>
          <w:sz w:val="17"/>
          <w:szCs w:val="17"/>
          <w:i w:val="1"/>
          <w:iCs w:val="1"/>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4—</w:t>
      </w:r>
      <w:hyperlink w:anchor="page17">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discussion of the Guidon Acquisition and the QEP Merger.</w:t>
      </w:r>
    </w:p>
    <w:p>
      <w:pPr>
        <w:spacing w:after="0" w:line="252"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Recent and Pending Divestitures</w:t>
      </w:r>
    </w:p>
    <w:p>
      <w:pPr>
        <w:spacing w:after="0" w:line="252" w:lineRule="exact"/>
        <w:rPr>
          <w:rFonts w:ascii="Arial" w:cs="Arial" w:eastAsia="Arial" w:hAnsi="Arial"/>
          <w:sz w:val="17"/>
          <w:szCs w:val="17"/>
          <w:i w:val="1"/>
          <w:iCs w:val="1"/>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 2021, we signed a definitive agreement to divest all of our Williston Basin assets acquired in the QEP Merger, consisting of approximately 95,000 net acres, for a sales price of approximately $745 million, subject to certain closing adjustments. This transaction is expected to close late in the third quarter of 2021, subject to continued due diligence and closing conditions. We intend to use our net proceeds from this transaction toward debt reduction.</w:t>
      </w:r>
    </w:p>
    <w:p>
      <w:pPr>
        <w:spacing w:after="0" w:line="214" w:lineRule="exact"/>
        <w:rPr>
          <w:rFonts w:ascii="Arial" w:cs="Arial" w:eastAsia="Arial" w:hAnsi="Arial"/>
          <w:sz w:val="17"/>
          <w:szCs w:val="17"/>
          <w:i w:val="1"/>
          <w:iCs w:val="1"/>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3, 2021 and June 7, 2021, respectively, we closed transactions to divest certain non-core Permian assets, including over 7,000 net acres of non-core Southern Midland Basin acreage in Upton county and approximately 1,300 net acres of non-core, non-operated Delaware Basin assets in Lea county, New Mexico, for a combined sales price of $82 million, net of customary purchase price adjustments. We used our net proceeds from these transactions toward debt reduction.</w:t>
      </w:r>
    </w:p>
    <w:p>
      <w:pPr>
        <w:spacing w:after="0" w:line="214"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March 2021 Notes Offering and Repurchase of Notes</w:t>
      </w:r>
    </w:p>
    <w:p>
      <w:pPr>
        <w:spacing w:after="0" w:line="252" w:lineRule="exact"/>
        <w:rPr>
          <w:rFonts w:ascii="Arial" w:cs="Arial" w:eastAsia="Arial" w:hAnsi="Arial"/>
          <w:sz w:val="17"/>
          <w:szCs w:val="17"/>
          <w:i w:val="1"/>
          <w:iCs w:val="1"/>
          <w:color w:val="auto"/>
        </w:rPr>
      </w:pPr>
    </w:p>
    <w:p>
      <w:pPr>
        <w:jc w:val="both"/>
        <w:ind w:firstLine="648"/>
        <w:spacing w:after="0" w:line="275" w:lineRule="auto"/>
        <w:rPr>
          <w:sz w:val="20"/>
          <w:szCs w:val="20"/>
          <w:color w:val="auto"/>
        </w:rPr>
      </w:pPr>
      <w:r>
        <w:rPr>
          <w:rFonts w:ascii="Arial" w:cs="Arial" w:eastAsia="Arial" w:hAnsi="Arial"/>
          <w:sz w:val="17"/>
          <w:szCs w:val="17"/>
          <w:color w:val="auto"/>
        </w:rPr>
        <w:t>On March 24, 2021, we completed an offering of our March 2021 Notes resulting in aggregate net proceeds of $2.18 billion. The net proceeds were primarily used to fund the repurchase of $1.65 billion in fair value carrying amount of the QEP Notes that remained outstanding at the effective time of the QEP Merger for total cash consideration of $1.7 billion, and $368 million principal amount of 2025 Senior Notes, for total cash consideration of $381 million. These refinancing transactions are expected to result in an estimated annual interest cost savings of approximately $40 million in addition to an estimated $60 million to $80 million of previously announced expected annual cost synergies from the QEP Merger.</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35" w:lineRule="exact"/>
        <w:rPr>
          <w:rFonts w:ascii="Arial" w:cs="Arial" w:eastAsia="Arial" w:hAnsi="Arial"/>
          <w:sz w:val="17"/>
          <w:szCs w:val="17"/>
          <w:i w:val="1"/>
          <w:iCs w:val="1"/>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the Energen 4.625% Senior Notes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2021, we redeemed the remaining $191 million principal amount of the outstanding Energen 4.625% senior notes due on September 1, 2021. We recorded an immaterial pre-tax loss on extinguishment of debt related to the redemption, which included the write-off of unamortized debt discounts associated with the repurchased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Full Redemption of the Outstanding 5.375% Senior Notes due 2025</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23, 2021, we elected to effect an optional redemption of all of our 2025 Notes outstanding as of August 24, 2021 in the aggregate principal amount of $432 million, at a redemption price equal to 102.688% of the principal amount plus accrued interest. We intend to fund the redemption with cash on hand and borrowings under our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and Joinder to the Second Amended and Restated Credit Facility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 2021, we entered into an amendment to the credit agreement, which among other things (i) extended the maturity date to June 2, 2026,</w:t>
      </w:r>
    </w:p>
    <w:p>
      <w:pPr>
        <w:spacing w:after="0" w:line="46" w:lineRule="exact"/>
        <w:rPr>
          <w:sz w:val="20"/>
          <w:szCs w:val="20"/>
          <w:color w:val="auto"/>
        </w:rPr>
      </w:pPr>
    </w:p>
    <w:p>
      <w:pPr>
        <w:jc w:val="both"/>
        <w:ind w:firstLine="8"/>
        <w:spacing w:after="0" w:line="255" w:lineRule="auto"/>
        <w:tabs>
          <w:tab w:leader="none" w:pos="2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the total revolving loan commitments from $2.0 billion to $1.6 billion, which amount may be increased in an amount up to $1.0 billion (for a total maximum commitment amount of $2.6 billion), (iii) added the ability to incur up to $100 million of the loans under the credit agreement as swingline loans and (iv) changed the interest rate applicable to the loans and certain fees payable under the credit agreement.</w:t>
      </w:r>
    </w:p>
    <w:p>
      <w:pPr>
        <w:spacing w:after="0" w:line="217"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For additional discussion of our 2021 debt transactions and the amendment to the second amended and restated credit facility, see Note 7—</w:t>
      </w:r>
      <w:hyperlink w:anchor="page22">
        <w:r>
          <w:rPr>
            <w:rFonts w:ascii="Arial" w:cs="Arial" w:eastAsia="Arial" w:hAnsi="Arial"/>
            <w:sz w:val="16"/>
            <w:szCs w:val="16"/>
            <w:u w:val="single" w:color="auto"/>
            <w:color w:val="0000FF"/>
          </w:rPr>
          <w:t>Debt</w:t>
        </w:r>
      </w:hyperlink>
    </w:p>
    <w:p>
      <w:pPr>
        <w:spacing w:after="0" w:line="4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and Note 14—</w:t>
      </w:r>
      <w:hyperlink w:anchor="page35">
        <w:r>
          <w:rPr>
            <w:rFonts w:ascii="Arial" w:cs="Arial" w:eastAsia="Arial" w:hAnsi="Arial"/>
            <w:sz w:val="18"/>
            <w:szCs w:val="18"/>
            <w:u w:val="single" w:color="auto"/>
            <w:color w:val="0000FF"/>
          </w:rPr>
          <w:t>Subsequent Events—Pending Full Redemption of the Outstanding 5.375% Senior Notes due 2025</w:t>
        </w:r>
      </w:hyperlink>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Commodity Prices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ongoing COVID-19 pandemic. However, certain restrictions on conducting business that were implemented in response to the COVID-19 pandemic have been lifted as improved treatments and vaccinations for COVID-19 have been rolled-out globally since late 2020. As a result, oil and natural gas market prices have improved in response to the increase in demand.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2020 and 2021, the posted NYMEX WTI price for crude oil ranged from $(37.63) to $75.25 per Bbl, and the NYMEX Henry Hub price of natural gas ranged from $1.48 to $3.75 per MMBtu. On July 16, 2021, the NYMEX WTI price for crude oil was $71.81 per Bbl and the NYMEX Henry Hub price of natural gas was $3.67 per MMBtu. Commodity prices have historically been volatile and we cannot predict events which may lead to future fluctuations in these prices.</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addition to the volatility in commodity prices and the impact of the COVID-19 pandemic on our business and industry, our results of operations may be adversely impacted by any government rule, regulation or order that may impose production limits, as well as pipeline capacity and storage constraints, in the Permian Basin where we operate.</w:t>
      </w:r>
    </w:p>
    <w:p>
      <w:pPr>
        <w:spacing w:after="0" w:line="20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As a result of the reduction in crude oil demand caused by factors discussed above, in 2020, we lowered our 2020 capital budgets and production guidance. We have since restored curtailed production in the second half of 2020 to stem production declines and respond to improved demand and increasing commodity prices, but have elected to keep production relatively flat during the first six months of 2021, focusing on cost control and using excess cash flow for debt payment and return of capital to our stockholders. We expect to continue to exercise capital discipline and maintain flat oil production for the foreseeable future. If this maintenance plan continues into 2022, we expect to be able to hold fourth quarter 2021 Permian oil production flat with 10% to 15% more capital than our current 2021 plan, demonstrating our improved capital efficiency that incorporates a full year of capital expenditures on the assets we acquired in the first quarter of 2021 in the QEP Merger and the Guidon Acquisition. We expect to be in a position to continue to increase our return of capital to stockholders and, beginning in 2022, plan to return 50% of our free cash flow to our stockholders. The form of such capital return will be decided by our board of directors at the appropriate time, based on its assessment of which opportunities present the best return to our stockholders at that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Operating Highlights</w:t>
      </w:r>
    </w:p>
    <w:p>
      <w:pPr>
        <w:spacing w:after="0" w:line="25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recorded net income of $311 million for the second quarter ended June 30, 2021.</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Our average production was 401.5 MBOE/d during the second quarter of 2021 which includes a full quarter of production from our Guidon Acquisition and QEP Merger.</w:t>
      </w:r>
    </w:p>
    <w:p>
      <w:pPr>
        <w:spacing w:after="0" w:line="197"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During the second quarter of 2021, we drilled 47 gross horizontal wells in the Midland Basin and nine gross horizontal wells in the Delaware Basin.</w:t>
      </w:r>
    </w:p>
    <w:p>
      <w:pPr>
        <w:spacing w:after="0" w:line="197"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turned 65 gross operated horizontal wells (47 in the Midland Basin and 14 in the Delaware Basin) to production and had capital expenditures, excluding acquisitions, of $366 million during the second quarter of 2021.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The average lateral length for the wells completed during the second quarter of 2021 was 11,137 feet.</w:t>
      </w:r>
    </w:p>
    <w:p>
      <w:pPr>
        <w:spacing w:after="0" w:line="252"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cash operating costs for the second quarter ended June 30, 2021 were $9.33 per BOE, including lease operating expenses of $4.30 per BOE, cash general and administrative expenses of $0.63 per BOE and production and ad valorem taxes and gathering and transportation expenses of $4.40 per BOE.</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July 29, 2021, our board of directors declared a cash dividend for the second quarter of 2021 of $0.45 per share of common stock, payable on August 19, 2021 to our stockholders of record at the close of business of August 12,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Segment</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our upstream segment, our activities are primarily directed at the horizontal development of the Wolfcamp and Spraberry formations in the Midland Basin and the Wolfcamp and Bone Spring formations in the Delaware Basin within the Permian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Additionally, our publicly-traded subsidiary, Viper, is focused on owning and acquiring mineral interests and royalty interests in oil and natural gas properties primarily in the Permian Basin and derives royalty income and lease bonus income from such interests.</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June 30, 2021, we had approximately 542,242 net acres, which primarily consisted of approximately 264,777 net acres in the Midland Basin and 149,309 net acres in the Delaware Basin. As discussed above, during the second quarter of 2021, we closed transactions to divest over 7,000 net acres of non-core Southern Midland Basin acreage in Upton county and approximately 1,300 net acres of non-core, non-operated Delaware Basin assets in Lea county, New Mexico for an aggregate sales price of $82 million, net of customary purchase price adjustments. Additionally, we entered into a definitive agreement to divest all of our Williston Basin net acres for $745 million, subjected to certain closing adjustments. This transaction is expected to close late in the third quarter of 2021, subject to continued due diligence and closing conditions.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total number of operated horizontal wells drilled and completed during the three and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6"/>
              </w:rPr>
              <w:t>Three Months Ended June 30, 2021</w:t>
            </w:r>
          </w:p>
        </w:tc>
        <w:tc>
          <w:tcPr>
            <w:tcW w:w="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1"/>
              </w:rPr>
              <w:t>Six Months Ended June 30, 2021</w:t>
            </w:r>
          </w:p>
        </w:tc>
        <w:tc>
          <w:tcPr>
            <w:tcW w:w="1000" w:type="dxa"/>
            <w:vAlign w:val="bottom"/>
            <w:tcBorders>
              <w:bottom w:val="single" w:sz="8" w:color="auto"/>
            </w:tcBorders>
          </w:tcPr>
          <w:p>
            <w:pPr>
              <w:spacing w:after="0"/>
              <w:rPr>
                <w:sz w:val="18"/>
                <w:szCs w:val="18"/>
                <w:color w:val="auto"/>
              </w:rPr>
            </w:pPr>
          </w:p>
        </w:tc>
      </w:tr>
      <w:tr>
        <w:trPr>
          <w:trHeight w:val="213"/>
        </w:trPr>
        <w:tc>
          <w:tcPr>
            <w:tcW w:w="2520" w:type="dxa"/>
            <w:vAlign w:val="bottom"/>
          </w:tcPr>
          <w:p>
            <w:pPr>
              <w:spacing w:after="0"/>
              <w:rPr>
                <w:sz w:val="18"/>
                <w:szCs w:val="18"/>
                <w:color w:val="auto"/>
              </w:rPr>
            </w:pPr>
          </w:p>
        </w:tc>
        <w:tc>
          <w:tcPr>
            <w:tcW w:w="2180" w:type="dxa"/>
            <w:vAlign w:val="bottom"/>
            <w:gridSpan w:val="5"/>
          </w:tcPr>
          <w:p>
            <w:pPr>
              <w:ind w:left="800"/>
              <w:spacing w:after="0"/>
              <w:rPr>
                <w:sz w:val="20"/>
                <w:szCs w:val="20"/>
                <w:color w:val="auto"/>
              </w:rPr>
            </w:pPr>
            <w:r>
              <w:rPr>
                <w:rFonts w:ascii="Arial" w:cs="Arial" w:eastAsia="Arial" w:hAnsi="Arial"/>
                <w:sz w:val="16"/>
                <w:szCs w:val="16"/>
                <w:b w:val="1"/>
                <w:bCs w:val="1"/>
                <w:color w:val="auto"/>
              </w:rPr>
              <w:t>Drilled</w:t>
            </w:r>
          </w:p>
        </w:tc>
        <w:tc>
          <w:tcPr>
            <w:tcW w:w="1800" w:type="dxa"/>
            <w:vAlign w:val="bottom"/>
            <w:gridSpan w:val="4"/>
          </w:tcPr>
          <w:p>
            <w:pPr>
              <w:ind w:left="620"/>
              <w:spacing w:after="0" w:line="213" w:lineRule="exact"/>
              <w:rPr>
                <w:sz w:val="20"/>
                <w:szCs w:val="20"/>
                <w:color w:val="auto"/>
              </w:rPr>
            </w:pPr>
            <w:r>
              <w:rPr>
                <w:rFonts w:ascii="Arial" w:cs="Arial" w:eastAsia="Arial" w:hAnsi="Arial"/>
                <w:sz w:val="16"/>
                <w:szCs w:val="16"/>
                <w:b w:val="1"/>
                <w:bCs w:val="1"/>
                <w:color w:val="auto"/>
              </w:rPr>
              <w:t>Completed</w:t>
            </w:r>
            <w:r>
              <w:rPr>
                <w:rFonts w:ascii="Arial" w:cs="Arial" w:eastAsia="Arial" w:hAnsi="Arial"/>
                <w:sz w:val="21"/>
                <w:szCs w:val="21"/>
                <w:b w:val="1"/>
                <w:bCs w:val="1"/>
                <w:color w:val="auto"/>
                <w:vertAlign w:val="superscript"/>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ind w:left="820"/>
              <w:spacing w:after="0"/>
              <w:rPr>
                <w:sz w:val="20"/>
                <w:szCs w:val="20"/>
                <w:color w:val="auto"/>
              </w:rPr>
            </w:pPr>
            <w:r>
              <w:rPr>
                <w:rFonts w:ascii="Arial" w:cs="Arial" w:eastAsia="Arial" w:hAnsi="Arial"/>
                <w:sz w:val="16"/>
                <w:szCs w:val="16"/>
                <w:b w:val="1"/>
                <w:bCs w:val="1"/>
                <w:color w:val="auto"/>
              </w:rPr>
              <w:t>Drilled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tcPr>
          <w:p>
            <w:pPr>
              <w:jc w:val="right"/>
              <w:ind w:right="532"/>
              <w:spacing w:after="0" w:line="213" w:lineRule="exact"/>
              <w:rPr>
                <w:sz w:val="20"/>
                <w:szCs w:val="20"/>
                <w:color w:val="auto"/>
              </w:rPr>
            </w:pPr>
            <w:r>
              <w:rPr>
                <w:rFonts w:ascii="Arial" w:cs="Arial" w:eastAsia="Arial" w:hAnsi="Arial"/>
                <w:sz w:val="16"/>
                <w:szCs w:val="16"/>
                <w:b w:val="1"/>
                <w:bCs w:val="1"/>
                <w:color w:val="auto"/>
              </w:rPr>
              <w:t>Completed</w:t>
            </w:r>
            <w:r>
              <w:rPr>
                <w:rFonts w:ascii="Arial" w:cs="Arial" w:eastAsia="Arial" w:hAnsi="Arial"/>
                <w:sz w:val="21"/>
                <w:szCs w:val="21"/>
                <w:b w:val="1"/>
                <w:bCs w:val="1"/>
                <w:color w:val="auto"/>
                <w:vertAlign w:val="superscript"/>
              </w:rPr>
              <w:t>(2)</w:t>
            </w:r>
          </w:p>
        </w:tc>
      </w:tr>
      <w:tr>
        <w:trPr>
          <w:trHeight w:val="207"/>
        </w:trPr>
        <w:tc>
          <w:tcPr>
            <w:tcW w:w="252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920" w:type="dxa"/>
            <w:vAlign w:val="bottom"/>
            <w:tcBorders>
              <w:top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Gross</w:t>
            </w: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7"/>
                <w:szCs w:val="17"/>
                <w:color w:val="auto"/>
              </w:rPr>
            </w:pPr>
          </w:p>
        </w:tc>
        <w:tc>
          <w:tcPr>
            <w:tcW w:w="1340" w:type="dxa"/>
            <w:vAlign w:val="bottom"/>
            <w:tcBorders>
              <w:top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Net</w:t>
            </w: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Gross</w:t>
            </w:r>
          </w:p>
        </w:tc>
        <w:tc>
          <w:tcPr>
            <w:tcW w:w="70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7"/>
                <w:szCs w:val="17"/>
                <w:color w:val="auto"/>
              </w:rPr>
            </w:pPr>
          </w:p>
        </w:tc>
        <w:tc>
          <w:tcPr>
            <w:tcW w:w="1100" w:type="dxa"/>
            <w:vAlign w:val="bottom"/>
            <w:tcBorders>
              <w:top w:val="single" w:sz="8" w:color="auto"/>
            </w:tcBorders>
            <w:gridSpan w:val="2"/>
          </w:tcPr>
          <w:p>
            <w:pPr>
              <w:ind w:left="300"/>
              <w:spacing w:after="0"/>
              <w:rPr>
                <w:sz w:val="20"/>
                <w:szCs w:val="20"/>
                <w:color w:val="auto"/>
              </w:rPr>
            </w:pPr>
            <w:r>
              <w:rPr>
                <w:rFonts w:ascii="Arial" w:cs="Arial" w:eastAsia="Arial" w:hAnsi="Arial"/>
                <w:sz w:val="16"/>
                <w:szCs w:val="16"/>
                <w:b w:val="1"/>
                <w:bCs w:val="1"/>
                <w:color w:val="auto"/>
              </w:rPr>
              <w:t>Gross</w:t>
            </w:r>
          </w:p>
        </w:tc>
        <w:tc>
          <w:tcPr>
            <w:tcW w:w="1000" w:type="dxa"/>
            <w:vAlign w:val="bottom"/>
            <w:tcBorders>
              <w:top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Net</w:t>
            </w:r>
          </w:p>
        </w:tc>
      </w:tr>
      <w:tr>
        <w:trPr>
          <w:trHeight w:val="226"/>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2520" w:type="dxa"/>
            <w:vAlign w:val="bottom"/>
          </w:tcPr>
          <w:p>
            <w:pPr>
              <w:ind w:left="22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71" w:lineRule="auto"/>
        <w:tabs>
          <w:tab w:leader="none" w:pos="33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average lateral length for the wells completed during the second quarter of 2021 was 11,137 feet. Operated completions during the second quarter of 2021 consisted of 19 Lower Spraberry wells, ten Wolfcamp A wells, nine Middle Spraberry wells, eight Jo Mill wells, six Wolfcamp B wells, five Third Bone Springs wells, two Second Bone Springs wells, two Dean wells, two Bakken wells and two Three Forks wells.</w:t>
      </w:r>
    </w:p>
    <w:p>
      <w:pPr>
        <w:jc w:val="both"/>
        <w:ind w:left="340" w:hanging="332"/>
        <w:spacing w:after="0" w:line="302" w:lineRule="auto"/>
        <w:tabs>
          <w:tab w:leader="none" w:pos="33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average lateral length for the wells completed during the first six months of 2021 was 10,729 feet. Operated completions during the first six months of 2021 consisted of 38 Wolfcamp A wells, 29 Lower Spraberry wells, 15 Middle Spraberry wells, 13 Wolfcamp B wells, 13 Jo Mill wells, eight Second Bone Springs wells, eight Third Bone Springs wells, three Dean wells, two Bakken wells, two Three Forks wells and one Barnett well.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operated the following wells: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6"/>
                <w:szCs w:val="16"/>
                <w:b w:val="1"/>
                <w:bCs w:val="1"/>
                <w:color w:val="auto"/>
                <w:w w:val="90"/>
              </w:rPr>
              <w:t>As of June 30, 2021</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3940" w:type="dxa"/>
            <w:vAlign w:val="bottom"/>
          </w:tcPr>
          <w:p>
            <w:pPr>
              <w:spacing w:after="0"/>
              <w:rPr>
                <w:sz w:val="17"/>
                <w:szCs w:val="17"/>
                <w:color w:val="auto"/>
              </w:rPr>
            </w:pPr>
          </w:p>
        </w:tc>
        <w:tc>
          <w:tcPr>
            <w:tcW w:w="1660" w:type="dxa"/>
            <w:vAlign w:val="bottom"/>
            <w:gridSpan w:val="3"/>
          </w:tcPr>
          <w:p>
            <w:pPr>
              <w:ind w:left="700"/>
              <w:spacing w:after="0"/>
              <w:rPr>
                <w:sz w:val="20"/>
                <w:szCs w:val="20"/>
                <w:color w:val="auto"/>
              </w:rPr>
            </w:pPr>
            <w:r>
              <w:rPr>
                <w:rFonts w:ascii="Arial" w:cs="Arial" w:eastAsia="Arial" w:hAnsi="Arial"/>
                <w:sz w:val="16"/>
                <w:szCs w:val="16"/>
                <w:b w:val="1"/>
                <w:bCs w:val="1"/>
                <w:color w:val="auto"/>
                <w:w w:val="90"/>
              </w:rPr>
              <w:t>Vertical Wells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3"/>
              </w:rPr>
              <w:t>Horizontal Wells</w:t>
            </w:r>
          </w:p>
        </w:tc>
        <w:tc>
          <w:tcPr>
            <w:tcW w:w="1540" w:type="dxa"/>
            <w:vAlign w:val="bottom"/>
            <w:gridSpan w:val="3"/>
          </w:tcPr>
          <w:p>
            <w:pPr>
              <w:ind w:left="1020"/>
              <w:spacing w:after="0"/>
              <w:rPr>
                <w:sz w:val="20"/>
                <w:szCs w:val="20"/>
                <w:color w:val="auto"/>
              </w:rPr>
            </w:pPr>
            <w:r>
              <w:rPr>
                <w:rFonts w:ascii="Arial" w:cs="Arial" w:eastAsia="Arial" w:hAnsi="Arial"/>
                <w:sz w:val="16"/>
                <w:szCs w:val="16"/>
                <w:b w:val="1"/>
                <w:bCs w:val="1"/>
                <w:color w:val="auto"/>
              </w:rPr>
              <w:t>Total</w:t>
            </w:r>
          </w:p>
        </w:tc>
        <w:tc>
          <w:tcPr>
            <w:tcW w:w="840" w:type="dxa"/>
            <w:vAlign w:val="bottom"/>
          </w:tcPr>
          <w:p>
            <w:pPr>
              <w:spacing w:after="0"/>
              <w:rPr>
                <w:sz w:val="17"/>
                <w:szCs w:val="17"/>
                <w:color w:val="auto"/>
              </w:rPr>
            </w:pPr>
          </w:p>
        </w:tc>
      </w:tr>
      <w:tr>
        <w:trPr>
          <w:trHeight w:val="212"/>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Area</w:t>
            </w:r>
          </w:p>
        </w:tc>
        <w:tc>
          <w:tcPr>
            <w:tcW w:w="166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Gross</w:t>
            </w:r>
          </w:p>
        </w:tc>
        <w:tc>
          <w:tcPr>
            <w:tcW w:w="68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w w:val="85"/>
              </w:rPr>
              <w:t>Net</w:t>
            </w:r>
          </w:p>
        </w:tc>
        <w:tc>
          <w:tcPr>
            <w:tcW w:w="120" w:type="dxa"/>
            <w:vAlign w:val="bottom"/>
          </w:tcPr>
          <w:p>
            <w:pPr>
              <w:spacing w:after="0"/>
              <w:rPr>
                <w:sz w:val="18"/>
                <w:szCs w:val="18"/>
                <w:color w:val="auto"/>
              </w:rPr>
            </w:pPr>
          </w:p>
        </w:tc>
        <w:tc>
          <w:tcPr>
            <w:tcW w:w="1220" w:type="dxa"/>
            <w:vAlign w:val="bottom"/>
            <w:tcBorders>
              <w:top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Gross</w:t>
            </w:r>
          </w:p>
        </w:tc>
        <w:tc>
          <w:tcPr>
            <w:tcW w:w="11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8"/>
                <w:szCs w:val="18"/>
                <w:color w:val="auto"/>
              </w:rPr>
            </w:pPr>
          </w:p>
        </w:tc>
        <w:tc>
          <w:tcPr>
            <w:tcW w:w="1540" w:type="dxa"/>
            <w:vAlign w:val="bottom"/>
            <w:tcBorders>
              <w:top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Gross</w:t>
            </w:r>
          </w:p>
        </w:tc>
        <w:tc>
          <w:tcPr>
            <w:tcW w:w="840" w:type="dxa"/>
            <w:vAlign w:val="bottom"/>
            <w:tcBorders>
              <w:top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Net</w:t>
            </w:r>
          </w:p>
        </w:tc>
      </w:tr>
      <w:tr>
        <w:trPr>
          <w:trHeight w:val="226"/>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Delaware Basin</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3940" w:type="dxa"/>
            <w:vAlign w:val="bottom"/>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4,673</w:t>
            </w:r>
          </w:p>
        </w:tc>
      </w:tr>
      <w:tr>
        <w:trPr>
          <w:trHeight w:val="21"/>
        </w:trPr>
        <w:tc>
          <w:tcPr>
            <w:tcW w:w="3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2021, we held interests in 10,936 gross (4,816 net) wells, including wells that we do not operate. During the first quarter of 2021, we acquired interests in 1,671 gross (1,240 net) wells as part of the QEP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Glasscock areas within the Permian Basin. Rattler’s natural gas gathering and compression system consists of gathering pipelines, compression and metering facilities, which collectively service the production from our Pecos area assets within the Permian Basin. Rattler’s water sourcing and distribution assets consist of water wells, hydraulic fracturing pits, pipelines and water treatment facilities, which collectively gather and distribute water from Permian Basin aquifers to the drilling and completion sites through buried pipelines and temporary surface pipelines. Rattler’s gathering and disposal system spans approximately 519 miles and consists of gathering pipelines along with produced water disposal wells and facilities which collectively gather and dispose of produced water from operations throughout our Permian Basin acreage.</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w:t>
      </w:r>
    </w:p>
    <w:p>
      <w:pPr>
        <w:spacing w:after="0" w:line="211" w:lineRule="exact"/>
        <w:rPr>
          <w:sz w:val="20"/>
          <w:szCs w:val="20"/>
          <w:color w:val="auto"/>
        </w:rPr>
      </w:pPr>
    </w:p>
    <w:p>
      <w:pPr>
        <w:jc w:val="both"/>
        <w:ind w:firstLine="648"/>
        <w:spacing w:after="0" w:line="308" w:lineRule="auto"/>
        <w:rPr>
          <w:rFonts w:ascii="Arial" w:cs="Arial" w:eastAsia="Arial" w:hAnsi="Arial"/>
          <w:sz w:val="17"/>
          <w:szCs w:val="17"/>
          <w:color w:val="auto"/>
        </w:rPr>
      </w:pPr>
      <w:r>
        <w:rPr>
          <w:rFonts w:ascii="Arial" w:cs="Arial" w:eastAsia="Arial" w:hAnsi="Arial"/>
          <w:sz w:val="17"/>
          <w:szCs w:val="17"/>
          <w:color w:val="auto"/>
        </w:rPr>
        <w:t>The midstream operations segment’s revenues and operating expenses were not significant to our condensed consolidated statements of operations for the three and six months ended June 30, 2021 and 2020. See Note 15—</w:t>
      </w:r>
      <w:hyperlink w:anchor="page36">
        <w:r>
          <w:rPr>
            <w:rFonts w:ascii="Arial" w:cs="Arial" w:eastAsia="Arial" w:hAnsi="Arial"/>
            <w:sz w:val="17"/>
            <w:szCs w:val="17"/>
            <w:u w:val="single" w:color="auto"/>
            <w:color w:val="0000FF"/>
          </w:rPr>
          <w:t>Segment Information</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details regarding acquisitions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operating data for the three and six months ended June 30, 2021 and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80" w:type="dxa"/>
            <w:vAlign w:val="bottom"/>
            <w:gridSpan w:val="4"/>
          </w:tcPr>
          <w:p>
            <w:pPr>
              <w:jc w:val="right"/>
              <w:ind w:right="53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6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2020</w:t>
            </w:r>
          </w:p>
        </w:tc>
      </w:tr>
      <w:tr>
        <w:trPr>
          <w:trHeight w:val="199"/>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 (In millions):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Oil sales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29"/>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Natural gas sales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Natural gas liquid sales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48"/>
        </w:trPr>
        <w:tc>
          <w:tcPr>
            <w:tcW w:w="4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oil, natural gas and natural gas liquid revenues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660" w:type="dxa"/>
            <w:vAlign w:val="bottom"/>
          </w:tcPr>
          <w:p>
            <w:pPr>
              <w:ind w:left="480"/>
              <w:spacing w:after="0"/>
              <w:rPr>
                <w:sz w:val="20"/>
                <w:szCs w:val="20"/>
                <w:color w:val="auto"/>
              </w:rPr>
            </w:pPr>
            <w:r>
              <w:rPr>
                <w:rFonts w:ascii="Arial" w:cs="Arial" w:eastAsia="Arial" w:hAnsi="Arial"/>
                <w:sz w:val="18"/>
                <w:szCs w:val="18"/>
                <w:color w:val="auto"/>
              </w:rPr>
              <w:t>Oil (MBbls)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34,370</w:t>
            </w:r>
          </w:p>
        </w:tc>
      </w:tr>
      <w:tr>
        <w:trPr>
          <w:trHeight w:val="229"/>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(MMcf)</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63,977</w:t>
            </w:r>
          </w:p>
        </w:tc>
      </w:tr>
      <w:tr>
        <w:trPr>
          <w:trHeight w:val="230"/>
        </w:trPr>
        <w:tc>
          <w:tcPr>
            <w:tcW w:w="4660" w:type="dxa"/>
            <w:vAlign w:val="bottom"/>
          </w:tcPr>
          <w:p>
            <w:pPr>
              <w:ind w:left="480"/>
              <w:spacing w:after="0"/>
              <w:rPr>
                <w:sz w:val="20"/>
                <w:szCs w:val="20"/>
                <w:color w:val="auto"/>
              </w:rPr>
            </w:pPr>
            <w:r>
              <w:rPr>
                <w:rFonts w:ascii="Arial" w:cs="Arial" w:eastAsia="Arial" w:hAnsi="Arial"/>
                <w:sz w:val="18"/>
                <w:szCs w:val="18"/>
                <w:color w:val="auto"/>
              </w:rPr>
              <w:t>Natural gas liquids (MBbls)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10,949</w:t>
            </w:r>
          </w:p>
        </w:tc>
      </w:tr>
      <w:tr>
        <w:trPr>
          <w:trHeight w:val="229"/>
        </w:trPr>
        <w:tc>
          <w:tcPr>
            <w:tcW w:w="4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55,982</w:t>
            </w:r>
          </w:p>
        </w:tc>
      </w:tr>
      <w:tr>
        <w:trPr>
          <w:trHeight w:val="270"/>
        </w:trPr>
        <w:tc>
          <w:tcPr>
            <w:tcW w:w="4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Daily oil volumes (BO/d)</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188,846</w:t>
            </w:r>
          </w:p>
        </w:tc>
      </w:tr>
      <w:tr>
        <w:trPr>
          <w:trHeight w:val="229"/>
        </w:trPr>
        <w:tc>
          <w:tcPr>
            <w:tcW w:w="4660" w:type="dxa"/>
            <w:vAlign w:val="bottom"/>
          </w:tcPr>
          <w:p>
            <w:pPr>
              <w:ind w:left="20"/>
              <w:spacing w:after="0" w:line="230" w:lineRule="exact"/>
              <w:rPr>
                <w:sz w:val="20"/>
                <w:szCs w:val="20"/>
                <w:color w:val="auto"/>
              </w:rPr>
            </w:pPr>
            <w:r>
              <w:rPr>
                <w:rFonts w:ascii="Arial" w:cs="Arial" w:eastAsia="Arial" w:hAnsi="Arial"/>
                <w:sz w:val="18"/>
                <w:szCs w:val="18"/>
                <w:color w:val="auto"/>
              </w:rPr>
              <w:t>Daily combined volumes (BOE/d)</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401,451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294,126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354,696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307,592</w:t>
            </w:r>
          </w:p>
        </w:tc>
      </w:tr>
      <w:tr>
        <w:trPr>
          <w:trHeight w:val="270"/>
        </w:trPr>
        <w:tc>
          <w:tcPr>
            <w:tcW w:w="46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13"/>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Average Prices: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 ($ per Bbl)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r>
      <w:tr>
        <w:trPr>
          <w:trHeight w:val="230"/>
        </w:trPr>
        <w:tc>
          <w:tcPr>
            <w:tcW w:w="4660" w:type="dxa"/>
            <w:vAlign w:val="bottom"/>
          </w:tcPr>
          <w:p>
            <w:pPr>
              <w:ind w:left="480"/>
              <w:spacing w:after="0"/>
              <w:rPr>
                <w:sz w:val="20"/>
                <w:szCs w:val="20"/>
                <w:color w:val="auto"/>
              </w:rPr>
            </w:pPr>
            <w:r>
              <w:rPr>
                <w:rFonts w:ascii="Arial" w:cs="Arial" w:eastAsia="Arial" w:hAnsi="Arial"/>
                <w:sz w:val="18"/>
                <w:szCs w:val="18"/>
                <w:color w:val="auto"/>
              </w:rPr>
              <w:t>Natural gas ($ per Mcf)</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229"/>
        </w:trPr>
        <w:tc>
          <w:tcPr>
            <w:tcW w:w="4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Natural gas liquids ($ per Bbl)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4660" w:type="dxa"/>
            <w:vAlign w:val="bottom"/>
          </w:tcPr>
          <w:p>
            <w:pPr>
              <w:ind w:left="480"/>
              <w:spacing w:after="0"/>
              <w:rPr>
                <w:sz w:val="20"/>
                <w:szCs w:val="20"/>
                <w:color w:val="auto"/>
              </w:rPr>
            </w:pPr>
            <w:r>
              <w:rPr>
                <w:rFonts w:ascii="Arial" w:cs="Arial" w:eastAsia="Arial" w:hAnsi="Arial"/>
                <w:sz w:val="18"/>
                <w:szCs w:val="18"/>
                <w:color w:val="auto"/>
              </w:rPr>
              <w:t>Combined ($ per BOE)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70"/>
        </w:trPr>
        <w:tc>
          <w:tcPr>
            <w:tcW w:w="46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466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42.73</w:t>
            </w:r>
          </w:p>
        </w:tc>
      </w:tr>
      <w:tr>
        <w:trPr>
          <w:trHeight w:val="230"/>
        </w:trPr>
        <w:tc>
          <w:tcPr>
            <w:tcW w:w="4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3"/>
                <w:szCs w:val="23"/>
                <w:color w:val="auto"/>
                <w:vertAlign w:val="superscript"/>
              </w:rPr>
              <w:t>(3)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29"/>
        </w:trPr>
        <w:tc>
          <w:tcPr>
            <w:tcW w:w="466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23.27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466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r>
    </w:tbl>
    <w:p>
      <w:pPr>
        <w:spacing w:after="0" w:line="67"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volumes presented are based on actual results and are not calculated using the rounded numbers in the table above.</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Substantially all of our revenues are generated through the sale of oil, natural gas and natural gas liquids production. The following tables set forth the mix of our production data by product and basin for the three and six months ended June 30,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3220" w:type="dxa"/>
            <w:vAlign w:val="bottom"/>
            <w:gridSpan w:val="4"/>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140" w:type="dxa"/>
            <w:vAlign w:val="bottom"/>
            <w:gridSpan w:val="3"/>
          </w:tcPr>
          <w:p>
            <w:pPr>
              <w:jc w:val="right"/>
              <w:ind w:right="532"/>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48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5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48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736"/>
        </w:trPr>
        <w:tc>
          <w:tcPr>
            <w:tcW w:w="4880" w:type="dxa"/>
            <w:vAlign w:val="bottom"/>
          </w:tcPr>
          <w:p>
            <w:pPr>
              <w:spacing w:after="0"/>
              <w:rPr>
                <w:sz w:val="24"/>
                <w:szCs w:val="24"/>
                <w:color w:val="auto"/>
              </w:rPr>
            </w:pPr>
          </w:p>
        </w:tc>
        <w:tc>
          <w:tcPr>
            <w:tcW w:w="1500" w:type="dxa"/>
            <w:vAlign w:val="bottom"/>
          </w:tcPr>
          <w:p>
            <w:pPr>
              <w:jc w:val="right"/>
              <w:ind w:right="57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48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4160"/>
        <w:spacing w:after="0"/>
        <w:rPr>
          <w:sz w:val="20"/>
          <w:szCs w:val="20"/>
          <w:color w:val="auto"/>
        </w:rPr>
      </w:pPr>
      <w:r>
        <w:rPr>
          <w:rFonts w:ascii="Arial" w:cs="Arial" w:eastAsia="Arial" w:hAnsi="Arial"/>
          <w:sz w:val="16"/>
          <w:szCs w:val="16"/>
          <w:b w:val="1"/>
          <w:bCs w:val="1"/>
          <w:color w:val="auto"/>
        </w:rPr>
        <w:t>Three Months Ended June 30, 2021</w:t>
      </w:r>
    </w:p>
    <w:p>
      <w:pPr>
        <w:spacing w:after="0" w:line="26"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5"/>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Three Months Ended June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1"/>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13,960</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6,391</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1,716</w:t>
            </w:r>
          </w:p>
        </w:tc>
        <w:tc>
          <w:tcPr>
            <w:tcW w:w="760" w:type="dxa"/>
            <w:vAlign w:val="bottom"/>
          </w:tcPr>
          <w:p>
            <w:pPr>
              <w:jc w:val="right"/>
              <w:spacing w:after="0"/>
              <w:rPr>
                <w:sz w:val="20"/>
                <w:szCs w:val="20"/>
                <w:color w:val="auto"/>
              </w:rPr>
            </w:pPr>
            <w:r>
              <w:rPr>
                <w:rFonts w:ascii="Arial" w:cs="Arial" w:eastAsia="Arial" w:hAnsi="Arial"/>
                <w:sz w:val="18"/>
                <w:szCs w:val="18"/>
                <w:color w:val="auto"/>
              </w:rPr>
              <w:t>22,067</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9,382</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6,626</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740" w:type="dxa"/>
            <w:vAlign w:val="bottom"/>
          </w:tcPr>
          <w:p>
            <w:pPr>
              <w:jc w:val="right"/>
              <w:spacing w:after="0"/>
              <w:rPr>
                <w:sz w:val="20"/>
                <w:szCs w:val="20"/>
                <w:color w:val="auto"/>
              </w:rPr>
            </w:pPr>
            <w:r>
              <w:rPr>
                <w:rFonts w:ascii="Arial" w:cs="Arial" w:eastAsia="Arial" w:hAnsi="Arial"/>
                <w:sz w:val="18"/>
                <w:szCs w:val="18"/>
                <w:color w:val="auto"/>
              </w:rPr>
              <w:t>16,045</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25,119</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16,238</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3,149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17,049</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14,721</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31,857</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4,363</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2,068</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616</w:t>
            </w:r>
          </w:p>
        </w:tc>
        <w:tc>
          <w:tcPr>
            <w:tcW w:w="76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3,146</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2,244</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740" w:type="dxa"/>
            <w:vAlign w:val="bottom"/>
          </w:tcPr>
          <w:p>
            <w:pPr>
              <w:jc w:val="right"/>
              <w:spacing w:after="0"/>
              <w:rPr>
                <w:sz w:val="20"/>
                <w:szCs w:val="20"/>
                <w:color w:val="auto"/>
              </w:rPr>
            </w:pPr>
            <w:r>
              <w:rPr>
                <w:rFonts w:ascii="Arial" w:cs="Arial" w:eastAsia="Arial" w:hAnsi="Arial"/>
                <w:sz w:val="18"/>
                <w:szCs w:val="18"/>
                <w:color w:val="auto"/>
              </w:rPr>
              <w:t>5,411</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22,510</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11,165</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2,857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15,370</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11,324</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26,765</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164"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Six Months Ended June 30, 2021</w:t>
      </w:r>
    </w:p>
    <w:p>
      <w:pPr>
        <w:spacing w:after="0" w:line="26" w:lineRule="exact"/>
        <w:rPr>
          <w:sz w:val="20"/>
          <w:szCs w:val="20"/>
          <w:color w:val="auto"/>
        </w:rPr>
      </w:pPr>
    </w:p>
    <w:tbl>
      <w:tblPr>
        <w:tblLayout w:type="fixed"/>
        <w:tblInd w:w="346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5"/>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3"/>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840" w:type="dxa"/>
            <w:vAlign w:val="bottom"/>
            <w:tcBorders>
              <w:top w:val="single" w:sz="8" w:color="auto"/>
            </w:tcBorders>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Six Months Ended June 30,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9"/>
              </w:rPr>
              <w:t>Midland</w:t>
            </w:r>
          </w:p>
        </w:tc>
        <w:tc>
          <w:tcPr>
            <w:tcW w:w="106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w w:val="91"/>
              </w:rPr>
              <w:t>Delaware</w:t>
            </w:r>
          </w:p>
        </w:tc>
        <w:tc>
          <w:tcPr>
            <w:tcW w:w="920" w:type="dxa"/>
            <w:vAlign w:val="bottom"/>
            <w:tcBorders>
              <w:top w:val="single" w:sz="8" w:color="auto"/>
            </w:tcBorders>
            <w:vMerge w:val="restart"/>
          </w:tcPr>
          <w:p>
            <w:pPr>
              <w:ind w:left="18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(2)</w:t>
            </w:r>
          </w:p>
        </w:tc>
        <w:tc>
          <w:tcPr>
            <w:tcW w:w="800" w:type="dxa"/>
            <w:vAlign w:val="bottom"/>
            <w:tcBorders>
              <w:top w:val="single" w:sz="8" w:color="auto"/>
            </w:tcBorders>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7"/>
              </w:rPr>
              <w:t>Basin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Basin</w:t>
            </w:r>
          </w:p>
        </w:tc>
        <w:tc>
          <w:tcPr>
            <w:tcW w:w="9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320" w:space="100"/>
            <w:col w:w="38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1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23,800</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12,827</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760" w:type="dxa"/>
            <w:vAlign w:val="bottom"/>
          </w:tcPr>
          <w:p>
            <w:pPr>
              <w:jc w:val="right"/>
              <w:spacing w:after="0"/>
              <w:rPr>
                <w:sz w:val="20"/>
                <w:szCs w:val="20"/>
                <w:color w:val="auto"/>
              </w:rPr>
            </w:pPr>
            <w:r>
              <w:rPr>
                <w:rFonts w:ascii="Arial" w:cs="Arial" w:eastAsia="Arial" w:hAnsi="Arial"/>
                <w:sz w:val="18"/>
                <w:szCs w:val="18"/>
                <w:color w:val="auto"/>
              </w:rPr>
              <w:t>38,645</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19,893</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14,386</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91</w:t>
            </w:r>
          </w:p>
        </w:tc>
        <w:tc>
          <w:tcPr>
            <w:tcW w:w="740" w:type="dxa"/>
            <w:vAlign w:val="bottom"/>
          </w:tcPr>
          <w:p>
            <w:pPr>
              <w:jc w:val="right"/>
              <w:spacing w:after="0"/>
              <w:rPr>
                <w:sz w:val="20"/>
                <w:szCs w:val="20"/>
                <w:color w:val="auto"/>
              </w:rPr>
            </w:pPr>
            <w:r>
              <w:rPr>
                <w:rFonts w:ascii="Arial" w:cs="Arial" w:eastAsia="Arial" w:hAnsi="Arial"/>
                <w:sz w:val="18"/>
                <w:szCs w:val="18"/>
                <w:color w:val="auto"/>
              </w:rPr>
              <w:t>34,370</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43,576</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31,293</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3,746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32,882</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30,868</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63,977</w:t>
            </w: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7,599</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4,137</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716</w:t>
            </w:r>
          </w:p>
        </w:tc>
        <w:tc>
          <w:tcPr>
            <w:tcW w:w="760" w:type="dxa"/>
            <w:vAlign w:val="bottom"/>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6,194</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4,707</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740" w:type="dxa"/>
            <w:vAlign w:val="bottom"/>
          </w:tcPr>
          <w:p>
            <w:pPr>
              <w:jc w:val="right"/>
              <w:spacing w:after="0"/>
              <w:rPr>
                <w:sz w:val="20"/>
                <w:szCs w:val="20"/>
                <w:color w:val="auto"/>
              </w:rPr>
            </w:pPr>
            <w:r>
              <w:rPr>
                <w:rFonts w:ascii="Arial" w:cs="Arial" w:eastAsia="Arial" w:hAnsi="Arial"/>
                <w:sz w:val="18"/>
                <w:szCs w:val="18"/>
                <w:color w:val="auto"/>
              </w:rPr>
              <w:t>10,949</w:t>
            </w: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38,662</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22,180</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31,567</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24,238</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55,982</w:t>
            </w:r>
          </w:p>
        </w:tc>
      </w:tr>
    </w:tbl>
    <w:p>
      <w:pPr>
        <w:spacing w:after="0" w:line="12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Eagle Ford Shale, Rockies and High Plains.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the Central Basin Platform, Eagle Ford Shale and Rockies.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 and Six Months Ended June 30, 2021 and 2020</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revenues are a function of oil, natural gas and natural gas liquids production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sold and average sales prices received for those volumes.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oil, natural gas and natural gas liquids revenues for the three months ended June 30, 2021 increased by $1.3 billion, or 305%, to $1.7 billion from $412 million during the three months ended June 30, 2020. Higher average oil prices, and to a lesser extent natural gas and natural gas liquids prices, contributed to $1.1 billion of the total increase. The remainder of the overall change is due to a 36% increase in combined volumes sold</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oil, natural gas and natural gas liquids revenues for the six months ended June 30, 2021 increased by $1.5 billion, or 119%, to $2.8 billion from $1.3 billion during the six months ended June 30, 2020. Higher average oil prices, and to a lesser extent natural gas and natural gas liquids prices, contributed to $1.4 billion of the total increase. The remainder of the overall change is due to a 15% increase in combined volumes sold.</w:t>
      </w:r>
    </w:p>
    <w:p>
      <w:pPr>
        <w:spacing w:after="0" w:line="176"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In both cases, higher commodity prices in the 2021 periods compared to the 2020 periods primarily reflect a recovery from historically low prices experienced in 2020 due to the COVID-19 pandemic as discussed in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hyperlink w:anchor="page39">
        <w:r>
          <w:rPr>
            <w:rFonts w:ascii="Arial" w:cs="Arial" w:eastAsia="Arial" w:hAnsi="Arial"/>
            <w:sz w:val="17"/>
            <w:szCs w:val="17"/>
            <w:i w:val="1"/>
            <w:iCs w:val="1"/>
            <w:u w:val="single" w:color="auto"/>
            <w:color w:val="0000FF"/>
          </w:rPr>
          <w:t>Recent Developments</w:t>
        </w:r>
      </w:hyperlink>
      <w:r>
        <w:rPr>
          <w:rFonts w:ascii="Arial" w:cs="Arial" w:eastAsia="Arial" w:hAnsi="Arial"/>
          <w:sz w:val="17"/>
          <w:szCs w:val="17"/>
          <w:color w:val="auto"/>
        </w:rPr>
        <w:t>” above. The increase in production for the 2021 periods compared to the 2020 periods resulted primarily from the Guidon Acquisition and QEP Merger during the first quarter of 2021 and an overall recovery in our drilling and production activities after curtailments in the second quarter of 2020 in response to the COVID-19 pandemic.</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Lease Operating Expenses. </w:t>
      </w:r>
      <w:r>
        <w:rPr>
          <w:rFonts w:ascii="Arial" w:cs="Arial" w:eastAsia="Arial" w:hAnsi="Arial"/>
          <w:sz w:val="16"/>
          <w:szCs w:val="16"/>
          <w:color w:val="auto"/>
        </w:rPr>
        <w:t>The following table shows lease operating expenses for the three and six months ended June 30, 2021 and 2020: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Three Months Ended June 30,</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Six Months Ended June 30,</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8"/>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2"/>
              </w:rPr>
              <w:t>Per BOE</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60" w:type="dxa"/>
            <w:vAlign w:val="bottom"/>
            <w:gridSpan w:val="9"/>
          </w:tcPr>
          <w:p>
            <w:pPr>
              <w:ind w:left="480"/>
              <w:spacing w:after="0"/>
              <w:rPr>
                <w:sz w:val="20"/>
                <w:szCs w:val="20"/>
                <w:color w:val="auto"/>
              </w:rPr>
            </w:pPr>
            <w:r>
              <w:rPr>
                <w:rFonts w:ascii="Arial" w:cs="Arial" w:eastAsia="Arial" w:hAnsi="Arial"/>
                <w:sz w:val="16"/>
                <w:szCs w:val="16"/>
                <w:b w:val="1"/>
                <w:bCs w:val="1"/>
                <w:color w:val="auto"/>
              </w:rPr>
              <w:t>(In millions, except per BOE amounts)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Lease operating expenses increased by $54 million, or $0.45 per BOE for the second quarter of 2021 compared to the second quarter of 2020 and increased by $29 million, or $0.08 per BOE for the first half of 2021 compared to the first half of 2020, primarily due to an increase in production between periods driven by the Guidon Acquisition and the QEP Merger in the first quarter of 2021. The production acquired from QEP has higher lease operating costs per BOE on average than our historical properties. Additionally, the increase in lease operating costs for the first half of 2021 compared to the first half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2020 was partially offset by a decrease of approximately $12 million in power generation costs related to enhancements in infrastructure which occurred between periods.</w:t>
      </w:r>
    </w:p>
    <w:p>
      <w:pPr>
        <w:spacing w:after="0" w:line="197"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4—</w:t>
      </w:r>
      <w:hyperlink w:anchor="page17">
        <w:r>
          <w:rPr>
            <w:rFonts w:ascii="Arial" w:cs="Arial" w:eastAsia="Arial" w:hAnsi="Arial"/>
            <w:sz w:val="18"/>
            <w:szCs w:val="18"/>
            <w:u w:val="single" w:color="auto"/>
            <w:color w:val="0000FF"/>
          </w:rPr>
          <w:t>Acquisitions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The following table shows production and ad valorem tax expense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w w:val="97"/>
              </w:rPr>
              <w:t>Three Months Ended June 30,</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6"/>
                <w:szCs w:val="16"/>
                <w:b w:val="1"/>
                <w:bCs w:val="1"/>
                <w:color w:val="auto"/>
                <w:w w:val="94"/>
              </w:rPr>
              <w:t>Six Months Ended June 30,</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w w:val="89"/>
              </w:rPr>
              <w:t>2021</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2020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w w:val="89"/>
              </w:rPr>
              <w:t>2021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2"/>
              </w:rPr>
              <w:t>Per BOE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2"/>
              </w:rPr>
              <w:t>Per BOE</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Per BOE</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w w:val="92"/>
              </w:rPr>
              <w:t>Per BOE</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10"/>
          </w:tcPr>
          <w:p>
            <w:pPr>
              <w:jc w:val="right"/>
              <w:ind w:right="79"/>
              <w:spacing w:after="0"/>
              <w:rPr>
                <w:sz w:val="20"/>
                <w:szCs w:val="20"/>
                <w:color w:val="auto"/>
              </w:rPr>
            </w:pPr>
            <w:r>
              <w:rPr>
                <w:rFonts w:ascii="Arial" w:cs="Arial" w:eastAsia="Arial" w:hAnsi="Arial"/>
                <w:sz w:val="16"/>
                <w:szCs w:val="16"/>
                <w:b w:val="1"/>
                <w:bCs w:val="1"/>
                <w:color w:val="auto"/>
              </w:rPr>
              <w:t>(In millions, except per BOE amounts)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2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56"/>
        </w:trPr>
        <w:tc>
          <w:tcPr>
            <w:tcW w:w="298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production and ad valorem</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20" w:type="dxa"/>
            <w:vAlign w:val="bottom"/>
            <w:gridSpan w:val="3"/>
            <w:vMerge w:val="restart"/>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expense</w:t>
            </w: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Production taxes as a % of oil, natural</w:t>
            </w: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and natural gas liquids revenue</w:t>
            </w: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general, production taxes are directly related to production revenues and are based upon current year commodity prices. Production taxes as a percentage of production revenues increased for the three and six months ended June 30, 2021 compared to the same periods in 2020 due to the addition of production revenues from the newly acquired Williston Basin properties which have a higher production tax rate than our other properties.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three months ended June 30, 2021 as compared to the three months ended June 30, 2020 increased by $15 million primarily due to valuation adjustments that were made in 2020 related to the COVID-19 pandemic. Ad valorem taxes for the six months ended June 30, 2021 as compared to the six months ended June 30, 2020 remained relatively flat.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Gathering and Transportation Expense. </w:t>
      </w:r>
      <w:r>
        <w:rPr>
          <w:rFonts w:ascii="Arial" w:cs="Arial" w:eastAsia="Arial" w:hAnsi="Arial"/>
          <w:sz w:val="16"/>
          <w:szCs w:val="16"/>
          <w:color w:val="auto"/>
        </w:rPr>
        <w:t>The following table shows gathering and transportation expense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Three Months Ended June 30,</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Six Months Ended June 30,</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Borders>
              <w:bottom w:val="single" w:sz="8" w:color="auto"/>
            </w:tcBorders>
          </w:tcPr>
          <w:p>
            <w:pPr>
              <w:spacing w:after="0"/>
              <w:rPr>
                <w:sz w:val="18"/>
                <w:szCs w:val="18"/>
                <w:color w:val="auto"/>
              </w:rPr>
            </w:pPr>
          </w:p>
        </w:tc>
      </w:tr>
      <w:tr>
        <w:trPr>
          <w:trHeight w:val="210"/>
        </w:trPr>
        <w:tc>
          <w:tcPr>
            <w:tcW w:w="3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95"/>
              </w:rPr>
              <w:t>Amount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w w:val="95"/>
              </w:rPr>
              <w:t>Per BOE</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2"/>
              </w:rPr>
              <w:t>Per BOE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w w:val="95"/>
              </w:rPr>
              <w:t>Per BOE</w:t>
            </w:r>
          </w:p>
        </w:tc>
      </w:tr>
      <w:tr>
        <w:trPr>
          <w:trHeight w:val="209"/>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40" w:type="dxa"/>
            <w:vAlign w:val="bottom"/>
            <w:gridSpan w:val="9"/>
          </w:tcPr>
          <w:p>
            <w:pPr>
              <w:ind w:left="48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bl>
    <w:p>
      <w:pPr>
        <w:spacing w:after="0" w:line="200" w:lineRule="exact"/>
        <w:rPr>
          <w:sz w:val="20"/>
          <w:szCs w:val="20"/>
          <w:color w:val="auto"/>
        </w:rPr>
      </w:pP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 BOE increases for gathering and transportation expenses for the three and six months ended June 30, 2021, compared to the same periods in 2020 are primarily attributable to the increase in production between periods, which was primarily driven by the Guidon Acquisition and the QEP Merger. The increase in gathering and transportation expense per BOE was also driven by QEP production, which on average has a higher gathering and transportation cost per BOE than our historical properties.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Amortization and Accretion. </w:t>
      </w:r>
      <w:r>
        <w:rPr>
          <w:rFonts w:ascii="Arial" w:cs="Arial" w:eastAsia="Arial" w:hAnsi="Arial"/>
          <w:sz w:val="18"/>
          <w:szCs w:val="18"/>
          <w:color w:val="auto"/>
        </w:rPr>
        <w:t>The following table provides the components of our depreciation, depletion,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accretion expense for the three and six months ended June 30,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40" w:type="dxa"/>
            <w:vAlign w:val="bottom"/>
          </w:tcPr>
          <w:p>
            <w:pPr>
              <w:spacing w:after="0"/>
              <w:rPr>
                <w:sz w:val="18"/>
                <w:szCs w:val="18"/>
                <w:color w:val="auto"/>
              </w:rPr>
            </w:pPr>
          </w:p>
        </w:tc>
        <w:tc>
          <w:tcPr>
            <w:tcW w:w="308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46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(In millions, except BOE amounts)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retirement obligation accretion</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 expense</w:t>
            </w: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960" w:type="dxa"/>
            <w:vAlign w:val="bottom"/>
          </w:tcPr>
          <w:p>
            <w:pPr>
              <w:jc w:val="right"/>
              <w:ind w:right="754"/>
              <w:spacing w:after="0" w:line="204"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4" w:lineRule="exact"/>
              <w:rPr>
                <w:sz w:val="20"/>
                <w:szCs w:val="20"/>
                <w:color w:val="auto"/>
              </w:rPr>
            </w:pPr>
            <w:r>
              <w:rPr>
                <w:rFonts w:ascii="Arial" w:cs="Arial" w:eastAsia="Arial" w:hAnsi="Arial"/>
                <w:sz w:val="18"/>
                <w:szCs w:val="18"/>
                <w:color w:val="auto"/>
              </w:rPr>
              <w:t>8.70</w:t>
            </w:r>
          </w:p>
        </w:tc>
        <w:tc>
          <w:tcPr>
            <w:tcW w:w="120" w:type="dxa"/>
            <w:vAlign w:val="bottom"/>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4" w:lineRule="exact"/>
              <w:rPr>
                <w:sz w:val="20"/>
                <w:szCs w:val="20"/>
                <w:color w:val="auto"/>
              </w:rPr>
            </w:pPr>
            <w:r>
              <w:rPr>
                <w:rFonts w:ascii="Arial" w:cs="Arial" w:eastAsia="Arial" w:hAnsi="Arial"/>
                <w:sz w:val="18"/>
                <w:szCs w:val="18"/>
                <w:color w:val="auto"/>
              </w:rPr>
              <w:t>12.33</w:t>
            </w:r>
          </w:p>
        </w:tc>
        <w:tc>
          <w:tcPr>
            <w:tcW w:w="120" w:type="dxa"/>
            <w:vAlign w:val="bottom"/>
          </w:tcPr>
          <w:p>
            <w:pPr>
              <w:spacing w:after="0"/>
              <w:rPr>
                <w:sz w:val="17"/>
                <w:szCs w:val="17"/>
                <w:color w:val="auto"/>
              </w:rPr>
            </w:pPr>
          </w:p>
        </w:tc>
        <w:tc>
          <w:tcPr>
            <w:tcW w:w="240" w:type="dxa"/>
            <w:vAlign w:val="bottom"/>
          </w:tcPr>
          <w:p>
            <w:pPr>
              <w:jc w:val="right"/>
              <w:ind w:right="50"/>
              <w:spacing w:after="0" w:line="204"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4" w:lineRule="exact"/>
              <w:rPr>
                <w:sz w:val="20"/>
                <w:szCs w:val="20"/>
                <w:color w:val="auto"/>
              </w:rPr>
            </w:pPr>
            <w:r>
              <w:rPr>
                <w:rFonts w:ascii="Arial" w:cs="Arial" w:eastAsia="Arial" w:hAnsi="Arial"/>
                <w:sz w:val="18"/>
                <w:szCs w:val="18"/>
                <w:color w:val="auto"/>
              </w:rPr>
              <w:t>8.96</w:t>
            </w:r>
          </w:p>
        </w:tc>
        <w:tc>
          <w:tcPr>
            <w:tcW w:w="120" w:type="dxa"/>
            <w:vAlign w:val="bottom"/>
          </w:tcPr>
          <w:p>
            <w:pPr>
              <w:spacing w:after="0"/>
              <w:rPr>
                <w:sz w:val="17"/>
                <w:szCs w:val="17"/>
                <w:color w:val="auto"/>
              </w:rPr>
            </w:pPr>
          </w:p>
        </w:tc>
        <w:tc>
          <w:tcPr>
            <w:tcW w:w="300" w:type="dxa"/>
            <w:vAlign w:val="bottom"/>
          </w:tcPr>
          <w:p>
            <w:pPr>
              <w:jc w:val="right"/>
              <w:ind w:right="110"/>
              <w:spacing w:after="0" w:line="204"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4" w:lineRule="exact"/>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decrease in depletion of proved oil and natural gas properties of $12 million for the three months ended June 30, 2021 as compared to the three months ended June 30, 2020 and $147 million for the six months ended June 30, 2021 as compared to the six months ended June 30, 2020 resulted largely from a reduction in the average depletion rate for our oil and natural gas properties in 2021. The decline in rate resulted primarily from a decrease in the net book value of our properties due to the full cost ceiling impairments recorded in 2020.</w:t>
      </w:r>
    </w:p>
    <w:p>
      <w:pPr>
        <w:spacing w:after="0" w:line="18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b w:val="1"/>
          <w:bCs w:val="1"/>
          <w:i w:val="1"/>
          <w:iCs w:val="1"/>
          <w:color w:val="auto"/>
        </w:rPr>
        <w:t xml:space="preserve">Impairment of Oil and Natural Gas Properties. </w:t>
      </w:r>
      <w:r>
        <w:rPr>
          <w:rFonts w:ascii="Arial" w:cs="Arial" w:eastAsia="Arial" w:hAnsi="Arial"/>
          <w:sz w:val="18"/>
          <w:szCs w:val="18"/>
          <w:color w:val="auto"/>
        </w:rPr>
        <w:t>No impairment expense was recorded for the three and six months ended June 30, 2021.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QEP Merger and the Guidon Acquisition, we recorded the oil and natural gas properties acquired at fair value. Pursuant to SEC guidance, we determined the fair value of the properties acquired in the QEP Merger and the Guidon Acquisition clearly exceeded the related full cost ceiling limitation beyond a reasonable doubt. As such, we requested and received a waiver from the SEC to exclude the acquired properties from the first quarter 2021 ceiling test calculation. As a result, no impairment expense related to the QEP Merger and the Guidon Acquisition was recorded for the three months ended March 31, 2021. Had we not received the waiver from the SEC, an impairment charge of approximately $1.1 billion would have been recorded in the first quarter of 2021. The properties acquired in the QEP Merger and the Guidon Acquisition had total unamortized costs at March 31, 2021 of $3.0 billion and $1.1 billion, respectively.</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sharp decline in commodity prices during 2020, we recorded non-cash ceiling test impairments for the three and six months ended June 30, 2020 of $2.5 billion and $3.5 billion, respectively, which are included in accumulated depletion, depreciation, amortization and impairment on our condensed consolidated balance sheet.</w:t>
      </w:r>
    </w:p>
    <w:p>
      <w:pPr>
        <w:spacing w:after="0" w:line="211" w:lineRule="exact"/>
        <w:rPr>
          <w:sz w:val="20"/>
          <w:szCs w:val="20"/>
          <w:color w:val="auto"/>
        </w:rPr>
      </w:pPr>
    </w:p>
    <w:p>
      <w:pPr>
        <w:jc w:val="both"/>
        <w:ind w:firstLine="648"/>
        <w:spacing w:after="0" w:line="257" w:lineRule="auto"/>
        <w:rPr>
          <w:rFonts w:ascii="Arial" w:cs="Arial" w:eastAsia="Arial" w:hAnsi="Arial"/>
          <w:sz w:val="18"/>
          <w:szCs w:val="18"/>
          <w:color w:val="auto"/>
        </w:rPr>
      </w:pPr>
      <w:r>
        <w:rPr>
          <w:rFonts w:ascii="Arial" w:cs="Arial" w:eastAsia="Arial" w:hAnsi="Arial"/>
          <w:sz w:val="18"/>
          <w:szCs w:val="18"/>
          <w:color w:val="auto"/>
        </w:rPr>
        <w:t>Impairment charges affect our results of operations but do not reduce our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fall as compared to the commodity prices used in prior quarters, we may have material write-downs in subsequent quarters. See Note 5—</w:t>
      </w:r>
      <w:hyperlink w:anchor="page21">
        <w:r>
          <w:rPr>
            <w:rFonts w:ascii="Arial" w:cs="Arial" w:eastAsia="Arial" w:hAnsi="Arial"/>
            <w:sz w:val="18"/>
            <w:szCs w:val="18"/>
            <w:u w:val="single" w:color="auto"/>
            <w:color w:val="0000FF"/>
          </w:rPr>
          <w:t>Property and Equipment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factors that impact the impairment of oil and natural gas properties.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The following table shows general and administrative expenses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8"/>
          </w:tcPr>
          <w:p>
            <w:pPr>
              <w:spacing w:after="0"/>
              <w:rPr>
                <w:sz w:val="20"/>
                <w:szCs w:val="20"/>
                <w:color w:val="auto"/>
              </w:rPr>
            </w:pPr>
            <w:r>
              <w:rPr>
                <w:rFonts w:ascii="Arial" w:cs="Arial" w:eastAsia="Arial" w:hAnsi="Arial"/>
                <w:sz w:val="16"/>
                <w:szCs w:val="16"/>
                <w:b w:val="1"/>
                <w:bCs w:val="1"/>
                <w:color w:val="auto"/>
                <w:w w:val="97"/>
              </w:rPr>
              <w:t>Three Months Ended 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6"/>
                <w:szCs w:val="16"/>
                <w:b w:val="1"/>
                <w:bCs w:val="1"/>
                <w:color w:val="auto"/>
                <w:w w:val="95"/>
              </w:rPr>
              <w:t>Six Months Ended 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4"/>
              </w:rPr>
              <w:t>2021</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89"/>
              </w:rPr>
              <w:t>2020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8"/>
              </w:rPr>
              <w:t>Per BOE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w w:val="92"/>
              </w:rPr>
              <w:t>Amount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2"/>
              </w:rPr>
              <w:t>Per BOE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95"/>
              </w:rPr>
              <w:t>Per BOE</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6"/>
                <w:szCs w:val="16"/>
                <w:b w:val="1"/>
                <w:bCs w:val="1"/>
                <w:color w:val="auto"/>
                <w:w w:val="92"/>
              </w:rPr>
              <w:t>Amount</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2"/>
              </w:rPr>
              <w:t>Per BOE</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13"/>
          </w:tcPr>
          <w:p>
            <w:pPr>
              <w:ind w:left="560"/>
              <w:spacing w:after="0"/>
              <w:rPr>
                <w:sz w:val="20"/>
                <w:szCs w:val="20"/>
                <w:color w:val="auto"/>
              </w:rPr>
            </w:pPr>
            <w:r>
              <w:rPr>
                <w:rFonts w:ascii="Arial" w:cs="Arial" w:eastAsia="Arial" w:hAnsi="Arial"/>
                <w:sz w:val="16"/>
                <w:szCs w:val="16"/>
                <w:b w:val="1"/>
                <w:bCs w:val="1"/>
                <w:color w:val="auto"/>
              </w:rPr>
              <w:t>(In millions, except per BOE amounts)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general and administrative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expenses</w:t>
            </w: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173"/>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increases in general and administrative expenses for the three and six months ended June 30, 2021 compared to the three and six months ended June 30, 2020 were due largely to additional payroll and other employee driven costs of $9 million and $11 million, respectively, related to the QEP Merger and the Guidon Acquisition. Additionally, equity compensation increased by $4 million for each of the 2021 periods compared to the 2020 periods.</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Merger and Integration Expense. </w:t>
      </w:r>
      <w:r>
        <w:rPr>
          <w:rFonts w:ascii="Arial" w:cs="Arial" w:eastAsia="Arial" w:hAnsi="Arial"/>
          <w:sz w:val="18"/>
          <w:szCs w:val="18"/>
          <w:color w:val="auto"/>
        </w:rPr>
        <w:t>The following tables shows merger and integration expense for the three and six months ended June 30,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2020:</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220" w:type="dxa"/>
            <w:vAlign w:val="bottom"/>
          </w:tcPr>
          <w:p>
            <w:pPr>
              <w:spacing w:after="0"/>
              <w:rPr>
                <w:sz w:val="18"/>
                <w:szCs w:val="18"/>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r>
      <w:tr>
        <w:trPr>
          <w:trHeight w:val="209"/>
        </w:trPr>
        <w:tc>
          <w:tcPr>
            <w:tcW w:w="5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Merger and integration expense</w:t>
            </w:r>
          </w:p>
        </w:tc>
        <w:tc>
          <w:tcPr>
            <w:tcW w:w="106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Total merger and integration expense for the six months ended June 30, 2021 includes $68 million in costs incurred for the QEP Merger and $9 million in costs incurred for the Guidon Acquisition. The QEP Merger related expenses primarily consist of $38 million in severance costs and $30 million in banking, legal and advisory fees, and the Guidon Acquisition related expenses consist primarily of advisory and legal fees. See Note 4—</w:t>
      </w:r>
      <w:hyperlink w:anchor="page17">
        <w:r>
          <w:rPr>
            <w:rFonts w:ascii="Arial" w:cs="Arial" w:eastAsia="Arial" w:hAnsi="Arial"/>
            <w:sz w:val="18"/>
            <w:szCs w:val="18"/>
            <w:u w:val="single" w:color="auto"/>
            <w:color w:val="0000FF"/>
          </w:rPr>
          <w:t>Acquisitions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the QEP Merger and the Guidon Acquisition.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Net Interest Expense. </w:t>
      </w:r>
      <w:r>
        <w:rPr>
          <w:rFonts w:ascii="Arial" w:cs="Arial" w:eastAsia="Arial" w:hAnsi="Arial"/>
          <w:sz w:val="16"/>
          <w:szCs w:val="16"/>
          <w:color w:val="auto"/>
        </w:rPr>
        <w:t>The following table shows the components of net interest expense for the three and six months ended June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6"/>
                <w:szCs w:val="16"/>
                <w:b w:val="1"/>
                <w:bCs w:val="1"/>
                <w:color w:val="auto"/>
                <w:w w:val="93"/>
              </w:rPr>
              <w:t>Six Months Ended June 30,</w:t>
            </w:r>
          </w:p>
        </w:tc>
      </w:tr>
      <w:tr>
        <w:trPr>
          <w:trHeight w:val="210"/>
        </w:trPr>
        <w:tc>
          <w:tcPr>
            <w:tcW w:w="5220" w:type="dxa"/>
            <w:vAlign w:val="bottom"/>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10"/>
        </w:trPr>
        <w:tc>
          <w:tcPr>
            <w:tcW w:w="5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agreements</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 and discounts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2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Net interest expense increased by $11 million and $19 million for the three and six months ended June 30, 2021 compared to the same periods in 2020. In both cases, the increase was primarily due to interest expense related to our May 2020 Notes, Rattler’s 5.625% Senior Notes due 2025, and to a lesser extent, interest expense incurred on the QEP Notes that remained outstanding following the QEP Merger completed in March 2021 and the newly issued March 2021 Notes. These increases were partially offset by interest cost savings on the repurchase of $368 million in outstanding principal of our 2025 Notes in March 2021, and the reduction in borrowings under our revolving credit agreements during 2021. See Note 7—</w:t>
      </w:r>
      <w:hyperlink w:anchor="page22">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regarding outstanding borrowings and interest expense.</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(payments)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of derivative instruments for the three and six months ended June 30,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Pr>
          <w:p>
            <w:pPr>
              <w:spacing w:after="0"/>
              <w:rPr>
                <w:sz w:val="18"/>
                <w:szCs w:val="18"/>
                <w:color w:val="auto"/>
              </w:rPr>
            </w:pPr>
          </w:p>
        </w:tc>
        <w:tc>
          <w:tcPr>
            <w:tcW w:w="2500" w:type="dxa"/>
            <w:vAlign w:val="bottom"/>
            <w:gridSpan w:val="3"/>
          </w:tcPr>
          <w:p>
            <w:pPr>
              <w:jc w:val="right"/>
              <w:ind w:right="453"/>
              <w:spacing w:after="0"/>
              <w:rPr>
                <w:sz w:val="20"/>
                <w:szCs w:val="20"/>
                <w:color w:val="auto"/>
              </w:rPr>
            </w:pPr>
            <w:r>
              <w:rPr>
                <w:rFonts w:ascii="Arial" w:cs="Arial" w:eastAsia="Arial" w:hAnsi="Arial"/>
                <w:sz w:val="16"/>
                <w:szCs w:val="16"/>
                <w:b w:val="1"/>
                <w:bCs w:val="1"/>
                <w:color w:val="auto"/>
                <w:w w:val="93"/>
              </w:rPr>
              <w:t>Six Months Ended June 30,</w:t>
            </w:r>
          </w:p>
        </w:tc>
      </w:tr>
      <w:tr>
        <w:trPr>
          <w:trHeight w:val="210"/>
        </w:trPr>
        <w:tc>
          <w:tcPr>
            <w:tcW w:w="5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09"/>
        </w:trPr>
        <w:tc>
          <w:tcPr>
            <w:tcW w:w="5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3"/>
          </w:tcPr>
          <w:p>
            <w:pPr>
              <w:ind w:left="720"/>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304"/>
        </w:trPr>
        <w:tc>
          <w:tcPr>
            <w:tcW w:w="522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ind w:left="74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r>
    </w:tbl>
    <w:p>
      <w:pPr>
        <w:spacing w:after="0"/>
        <w:rPr>
          <w:sz w:val="20"/>
          <w:szCs w:val="20"/>
          <w:color w:val="auto"/>
        </w:rPr>
      </w:pPr>
      <w:r>
        <w:rPr>
          <w:rFonts w:ascii="Arial" w:cs="Arial" w:eastAsia="Arial" w:hAnsi="Arial"/>
          <w:sz w:val="16"/>
          <w:szCs w:val="16"/>
          <w:color w:val="auto"/>
        </w:rPr>
        <w:t>(1) The six months ended June 30, 2021 include cash received on interest rate swap contracts terminated prior to their contractual maturity of $80 million.</w:t>
      </w:r>
    </w:p>
    <w:p>
      <w:pPr>
        <w:spacing w:after="0" w:line="2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commodity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instruments, net.” As part of the QEP Merger, we received by novation from QEP certain derivative instruments which were included on our balance sheet as of June 30, 2021.</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designated certain of our interest rate swaps as fair value hedges for accounting purposes. As a result, gains and losses due to changes in the fair value of the interest rate swaps completely offset changes in the fair value of the hedged portion of the underlying debt and no gain or loss is recognized due to hedge ineffectiveness. Changes in fair value are recorded as an adjustment to the carrying value of the 2029 Notes in the condensed consolidated balance sheet. Beginning on December 1, 2021, semi-annual cash settlements of these interest rate swaps will be recorded in interest expense in the condensed consolidated statements of operations.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The following table shows the provision for (benefit from) income taxes for the three and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2021 and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300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8"/>
                <w:szCs w:val="18"/>
                <w:color w:val="auto"/>
              </w:rPr>
            </w:pPr>
          </w:p>
        </w:tc>
        <w:tc>
          <w:tcPr>
            <w:tcW w:w="2460" w:type="dxa"/>
            <w:vAlign w:val="bottom"/>
            <w:gridSpan w:val="3"/>
          </w:tcPr>
          <w:p>
            <w:pPr>
              <w:jc w:val="right"/>
              <w:ind w:right="415"/>
              <w:spacing w:after="0"/>
              <w:rPr>
                <w:sz w:val="20"/>
                <w:szCs w:val="20"/>
                <w:color w:val="auto"/>
              </w:rPr>
            </w:pPr>
            <w:r>
              <w:rPr>
                <w:rFonts w:ascii="Arial" w:cs="Arial" w:eastAsia="Arial" w:hAnsi="Arial"/>
                <w:sz w:val="16"/>
                <w:szCs w:val="16"/>
                <w:b w:val="1"/>
                <w:bCs w:val="1"/>
                <w:color w:val="auto"/>
                <w:w w:val="93"/>
              </w:rPr>
              <w:t>Six Months Ended June 30,</w:t>
            </w:r>
          </w:p>
        </w:tc>
      </w:tr>
      <w:tr>
        <w:trPr>
          <w:trHeight w:val="210"/>
        </w:trPr>
        <w:tc>
          <w:tcPr>
            <w:tcW w:w="53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2020</w:t>
            </w:r>
          </w:p>
        </w:tc>
      </w:tr>
      <w:tr>
        <w:trPr>
          <w:trHeight w:val="209"/>
        </w:trPr>
        <w:tc>
          <w:tcPr>
            <w:tcW w:w="5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159</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changes in our income tax provision for the three and six months ended June 30, 2021 compared to the same periods in 2020 were primarily due to the increase in pre-tax income for the three and six months ended June 30, 2021, partially offset by income tax expense resulting from recording a valuation allowance on Viper’s deferred tax assets for the three and six months ended 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As of June 30, 2021, we had $1.6 billion of availability for future borrowings under the credit agreement and approximately $344 million of cash on hand. Historically, our primary sources of liquidity have been cash flows from operations, proceeds from our public equity offerings, borrowings under the credit agreement and proceeds from the issuance of our senior notes. Our primary uses of capital have been for the acquisition, development and exploration of oil and natural gas properties and return of capital to our stockholders.</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COVID-19 pandemic, the commodity pricing environment and uncertain macroeconomic conditions may limit our access to, or increase our cost of, capital or make capital unavailable on terms acceptable to us or at all.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six months ended June 30, 2021 and 2020 are presented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r>
      <w:tr>
        <w:trPr>
          <w:trHeight w:val="210"/>
        </w:trPr>
        <w:tc>
          <w:tcPr>
            <w:tcW w:w="8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80" w:type="dxa"/>
            <w:vAlign w:val="bottom"/>
            <w:gridSpan w:val="3"/>
          </w:tcPr>
          <w:p>
            <w:pPr>
              <w:jc w:val="right"/>
              <w:ind w:right="473"/>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8"/>
                <w:szCs w:val="18"/>
                <w:color w:val="auto"/>
              </w:rPr>
            </w:pPr>
          </w:p>
        </w:tc>
      </w:tr>
      <w:tr>
        <w:trPr>
          <w:trHeight w:val="232"/>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(1,535)</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Net increase (decrease) in cash</w:t>
            </w: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3"/>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1"/>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increase in operating cash flows for the six months ended June 30, 2021 compared to the same period in 2020 primarily resulted from (i) an increase of $1.5 billion in our total revenues, and (ii) receipt of a $99 million refund of an income tax receivable related to the carryback of federal net operating losses and the accelerated refund of minimum tax credits allowed under the CARES Act in 2020. These net cash inflows were partially offset by</w:t>
      </w:r>
    </w:p>
    <w:p>
      <w:pPr>
        <w:spacing w:after="0" w:line="2" w:lineRule="exact"/>
        <w:rPr>
          <w:sz w:val="20"/>
          <w:szCs w:val="20"/>
          <w:color w:val="auto"/>
        </w:rPr>
      </w:pPr>
    </w:p>
    <w:p>
      <w:pPr>
        <w:jc w:val="both"/>
        <w:ind w:firstLine="8"/>
        <w:spacing w:after="0" w:line="253" w:lineRule="auto"/>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reduction of $781 million due to making net cash payments of $484 million on our derivative contracts in the six months ended June 30, 2021 compared to receiving net cash of $297 million on our derivative contracts in the six months ended June 30, 2020, (ii) an increase in our cash operating expenses of approximately $228 million primarily due to the QEP Merger and the Guidon Acquisition, and (iii) working capital changes, primarily due to recording working capital assets and liabilities acquired in the QEP Merger during March 2021. See “</w:t>
      </w:r>
      <w:r>
        <w:rPr>
          <w:rFonts w:ascii="Arial" w:cs="Arial" w:eastAsia="Arial" w:hAnsi="Arial"/>
          <w:sz w:val="18"/>
          <w:szCs w:val="18"/>
          <w:i w:val="1"/>
          <w:iCs w:val="1"/>
          <w:color w:val="auto"/>
        </w:rPr>
        <w:t>— Results of Operations</w:t>
      </w:r>
      <w:r>
        <w:rPr>
          <w:rFonts w:ascii="Arial" w:cs="Arial" w:eastAsia="Arial" w:hAnsi="Arial"/>
          <w:sz w:val="18"/>
          <w:szCs w:val="18"/>
          <w:color w:val="auto"/>
        </w:rPr>
        <w:t>” for discussion of significant changes in our revenues and expenses.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301" w:lineRule="auto"/>
        <w:rPr>
          <w:rFonts w:ascii="Arial" w:cs="Arial" w:eastAsia="Arial" w:hAnsi="Arial"/>
          <w:sz w:val="16"/>
          <w:szCs w:val="16"/>
          <w:color w:val="auto"/>
        </w:rPr>
      </w:pPr>
      <w:r>
        <w:rPr>
          <w:rFonts w:ascii="Arial" w:cs="Arial" w:eastAsia="Arial" w:hAnsi="Arial"/>
          <w:sz w:val="16"/>
          <w:szCs w:val="16"/>
          <w:color w:val="auto"/>
        </w:rPr>
        <w:t>Net cash used in investing activities was $898 million compared to $1.5 billion during the six months ended June 30, 2021 and 2020, respectively. The majority of our net cash used for investing activities during the six months ended June 30, 2021 was for the purchase and development of oil and natural gas properties and related assets, including the acquisition of certain leasehold interests as part of the Guidon Acquisition. These expenditures were partially offset by proceeds from the sale of leasehold acreage discussed in Note 4—</w:t>
      </w:r>
      <w:hyperlink w:anchor="page17">
        <w:r>
          <w:rPr>
            <w:rFonts w:ascii="Arial" w:cs="Arial" w:eastAsia="Arial" w:hAnsi="Arial"/>
            <w:sz w:val="16"/>
            <w:szCs w:val="16"/>
            <w:u w:val="single" w:color="auto"/>
            <w:color w:val="0000FF"/>
          </w:rPr>
          <w:t>Acquisitions and Divestitures</w:t>
        </w:r>
      </w:hyperlink>
      <w:r>
        <w:rPr>
          <w:rFonts w:ascii="Arial" w:cs="Arial" w:eastAsia="Arial" w:hAnsi="Arial"/>
          <w:sz w:val="16"/>
          <w:szCs w:val="16"/>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majority of our net cash used in investing activities during the six months ended June 30, 2020 was incurred for drilling and completion costs in conjunction with our development program. Our capital expenditures for each period are discussed further below.</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gridSpan w:val="3"/>
          </w:tcPr>
          <w:p>
            <w:pPr>
              <w:jc w:val="right"/>
              <w:ind w:right="553"/>
              <w:spacing w:after="0"/>
              <w:rPr>
                <w:sz w:val="20"/>
                <w:szCs w:val="20"/>
                <w:color w:val="auto"/>
              </w:rPr>
            </w:pPr>
            <w:r>
              <w:rPr>
                <w:rFonts w:ascii="Arial" w:cs="Arial" w:eastAsia="Arial" w:hAnsi="Arial"/>
                <w:sz w:val="16"/>
                <w:szCs w:val="16"/>
                <w:b w:val="1"/>
                <w:bCs w:val="1"/>
                <w:color w:val="auto"/>
              </w:rPr>
              <w:t>(In millions)</w:t>
            </w:r>
          </w:p>
        </w:tc>
        <w:tc>
          <w:tcPr>
            <w:tcW w:w="560" w:type="dxa"/>
            <w:vAlign w:val="bottom"/>
          </w:tcPr>
          <w:p>
            <w:pPr>
              <w:spacing w:after="0"/>
              <w:rPr>
                <w:sz w:val="18"/>
                <w:szCs w:val="18"/>
                <w:color w:val="auto"/>
              </w:rPr>
            </w:pPr>
          </w:p>
        </w:tc>
      </w:tr>
      <w:tr>
        <w:trPr>
          <w:trHeight w:val="232"/>
        </w:trPr>
        <w:tc>
          <w:tcPr>
            <w:tcW w:w="79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Drilling, completions and non-operated additions to oil and natural gas properties</w:t>
            </w:r>
            <w:r>
              <w:rPr>
                <w:rFonts w:ascii="Arial" w:cs="Arial" w:eastAsia="Arial" w:hAnsi="Arial"/>
                <w:sz w:val="23"/>
                <w:szCs w:val="23"/>
                <w:color w:val="auto"/>
                <w:vertAlign w:val="superscript"/>
              </w:rPr>
              <w:t>(1)(2)</w:t>
            </w:r>
          </w:p>
        </w:tc>
        <w:tc>
          <w:tcPr>
            <w:tcW w:w="108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r>
      <w:tr>
        <w:trPr>
          <w:trHeight w:val="20"/>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340" w:hanging="332"/>
        <w:spacing w:after="0" w:line="254"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six months ended June 30, 2021, in conjunction with our development program, we drilled 105 gross (99 net) operated horizontal wells, of which 88 gross (83 net) wells were in the Midland Basin and 17 gross (16 net) wells were in the Delaware Basin, and turned 132 gross (121 net) operated horizontal wells to production, of which 89 gross (81 net) wells were in the Midland Basin and 39 gross (37 net) wells were in the Delaware Basin.</w:t>
      </w:r>
    </w:p>
    <w:p>
      <w:pPr>
        <w:spacing w:after="0" w:line="2" w:lineRule="exact"/>
        <w:rPr>
          <w:rFonts w:ascii="Arial" w:cs="Arial" w:eastAsia="Arial" w:hAnsi="Arial"/>
          <w:sz w:val="18"/>
          <w:szCs w:val="18"/>
          <w:color w:val="auto"/>
        </w:rPr>
      </w:pPr>
    </w:p>
    <w:p>
      <w:pPr>
        <w:jc w:val="both"/>
        <w:ind w:left="340" w:hanging="332"/>
        <w:spacing w:after="0" w:line="302" w:lineRule="auto"/>
        <w:tabs>
          <w:tab w:leader="none" w:pos="334"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six months ended June 30, 2020, in conjunction with our development program, we drilled 151 gross (141 net) operated horizontal wells, of which 92 gross (86 net) wells were in the Midland Basin and 59 gross (55 net) wells were in the Delaware Basin, and turned 95 gross (83 net) operated horizontal wells to production, of which 51 gross (47 net) wells were in the Delaware Basin and 44 gross (36 net) wells were in the Midland Basin.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Net cash used in financing activities for the six months ended June 30, 2021 was $392 million compared to net cash provided by financing activities for the six months ended June 30, 2020 of $293 million. During the six months ended June 30, 2021, the amount used in financing activities was primarily attributable to (i) $2.1 billion paid for the repurchase of a portion of the QEP Notes and the 2025 Senior Notes and the Energen Notes and the redemption of the Energen 4.62% Senior Notes due 2021, as well as $166 million of additional premiums paid in connection with the repurchases, (ii) $140 million of dividends paid to stockholders, (iii) $119 million of repayments under our credit facilities, net of borrowings, (iv) $41 million in distributions to non-controlling interest, and (v) $36 million of unit repurchases as part of the Viper and Rattler unit repurchase programs. These cash outflows were partially offset by $2.2 billion in proceeds from the March 2021 Notes and $59 million in net cash receipts from the early settlement of interest rate swaps and commodity derivative contracts that contained an other-than-insignificant financing element.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for the six months ended June 30, 2020 was primarily attributable to (i) $275 million in proceeds, net of repayments, from senior notes, (ii) $262 million of borrowings, net of repayments, under our credit facilities and (iii) $43 million in proceeds from joint ventures. These cash inflows were partially offset by (i) $118 million of dividends to stockholders, (ii) $98 million of share repurchases as part of our previous stock repurchase program, and (iii) $62 million of distributions to non-controlling interest.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At June 30, 2021, our debt, including the debt of Viper and Rattler, consists of approximately $7.3 billion in aggregate outstanding principal amount of senior notes, $67 million in aggregate outstanding borrowings under revolving credit facilities and $68 million in outstanding amounts due under our DrillCo Agreement. Our revolving credit facilities and significant changes in our outstanding indebtedness during the six months ended June 30, 2021 are discussed further below. See Note 7—</w:t>
      </w:r>
      <w:hyperlink w:anchor="page22">
        <w:r>
          <w:rPr>
            <w:rFonts w:ascii="Arial" w:cs="Arial" w:eastAsia="Arial" w:hAnsi="Arial"/>
            <w:sz w:val="17"/>
            <w:szCs w:val="17"/>
            <w:u w:val="single" w:color="auto"/>
            <w:color w:val="0000FF"/>
          </w:rPr>
          <w:t>Debt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discussion of our outstanding debt at June 30, 2021.</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39" w:lineRule="exact"/>
        <w:rPr>
          <w:sz w:val="20"/>
          <w:szCs w:val="20"/>
          <w:color w:val="auto"/>
        </w:rPr>
      </w:pPr>
    </w:p>
    <w:p>
      <w:pPr>
        <w:jc w:val="both"/>
        <w:ind w:firstLine="648"/>
        <w:spacing w:after="0" w:line="242" w:lineRule="auto"/>
        <w:rPr>
          <w:rFonts w:ascii="Arial" w:cs="Arial" w:eastAsia="Arial" w:hAnsi="Arial"/>
          <w:sz w:val="17"/>
          <w:szCs w:val="17"/>
          <w:color w:val="auto"/>
        </w:rPr>
      </w:pPr>
      <w:r>
        <w:rPr>
          <w:rFonts w:ascii="Arial" w:cs="Arial" w:eastAsia="Arial" w:hAnsi="Arial"/>
          <w:sz w:val="17"/>
          <w:szCs w:val="17"/>
          <w:color w:val="auto"/>
        </w:rPr>
        <w:t>As discussed in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hyperlink w:anchor="page39">
        <w:r>
          <w:rPr>
            <w:rFonts w:ascii="Arial" w:cs="Arial" w:eastAsia="Arial" w:hAnsi="Arial"/>
            <w:sz w:val="17"/>
            <w:szCs w:val="17"/>
            <w:i w:val="1"/>
            <w:iCs w:val="1"/>
            <w:u w:val="single" w:color="auto"/>
            <w:color w:val="0000FF"/>
          </w:rPr>
          <w:t>Recent Developments</w:t>
        </w:r>
      </w:hyperlink>
      <w:r>
        <w:rPr>
          <w:rFonts w:ascii="Arial" w:cs="Arial" w:eastAsia="Arial" w:hAnsi="Arial"/>
          <w:sz w:val="17"/>
          <w:szCs w:val="17"/>
          <w:color w:val="auto"/>
        </w:rPr>
        <w:t>” on June 2, 2021, we entered into an amendment to the credit agreement. As of June 30, 2021, the maximum credit amount available under the credit agreement was $1.6 billion, with no outstanding borrowings and $1.6 billion available for future borrowings. As of June 30, 2021, there was an aggregate of $3 million in outstanding letters of credit, which reduces available borrowings under the credit agreement on a dollar for dollar basis. The borrowing base is scheduled to be redetermined semi-annually in May and November. During the three and six months ended June 30, 2021, the weighted average interest rate on the credit facility was 1.68% and 1.67%, respectively.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we were in compliance with all financial maintenance covenants under the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March 2021 Notes Offering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24, 2021, we issued $650 million of our 2023 Notes, $900 million of our 2031 Notes and $650 million of our 2051 Notes and received proceeds of $2.18 billion, net of $24 million in debt issuance costs and discounts. The net proceeds were primarily used to fund the repurchase of other senior notes outstanding as discussed further below. Interest on the March 2021 Notes is payable semi-annually on March 24 and September 24, beginning on September 24, 2021.</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Repurchases of Notes</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On March 17, 2021, in conjunction with the QEP Merger discussed in Note 4—</w:t>
      </w:r>
      <w:hyperlink w:anchor="page17">
        <w:r>
          <w:rPr>
            <w:rFonts w:ascii="Arial" w:cs="Arial" w:eastAsia="Arial" w:hAnsi="Arial"/>
            <w:sz w:val="18"/>
            <w:szCs w:val="18"/>
            <w:u w:val="single" w:color="auto"/>
            <w:color w:val="0000FF"/>
          </w:rPr>
          <w:t>Acquisitions</w:t>
        </w:r>
      </w:hyperlink>
      <w:r>
        <w:rPr>
          <w:rFonts w:ascii="Arial" w:cs="Arial" w:eastAsia="Arial" w:hAnsi="Arial"/>
          <w:sz w:val="18"/>
          <w:szCs w:val="18"/>
          <w:color w:val="auto"/>
        </w:rPr>
        <w:t>, QEP’s outstanding debt had fair values consisting of $478 million of the QEP 2022 Notes, $673 million of the QEP 2023 Notes, and $558 million of the QEP 2026 Notes.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Subsequent to the QEP Merger, in March 2021, we repurchased pursuant to tender offers commenced by us approximately $1.65 billion in fair value carrying amount of the QEP Notes for total cash consideration of $1.7 billion, including redemption and early premium fees, which resulted in a loss on extinguishment of debt during the three months ended March 31, 2021 of approximately $47 million. The aggregate fair value of the QEP Notes repurchased consisted of (i) $453 million, or 94.65%, of the outstanding fair value carrying amount of the QEP 2022 Notes, (ii) $663 million, or 98.43%, of the outstanding fair value carrying amount of the QEP 2023 Notes, and (iii) $538 million, or 96.35%, of the outstanding fair value carrying amount of the QEP 2026 Notes.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2021, we also repurchased an aggregate of $368 million principal amount of our 5.375% 2025 Senior Notes, representing approximately 45.97% of the outstanding 2025 Senior Notes, for total cash consideration of $381 million, including redemption and early premium fees, which resulted in a loss on extinguishment of debt during the six months ended June 30, 2021 of $14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funded the repurchases of the QEP Notes and 2025 Senior Notes with the proceeds from the March 2021 Notes offering discussed above.</w:t>
      </w:r>
    </w:p>
    <w:p>
      <w:pPr>
        <w:spacing w:after="0" w:line="2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tender offers to repurchase the QEP Notes discussed above, we also solicited consents from holders of the QEP Notes to amend the indenture for the QEP Notes to, among other things, eliminate substantially all of the restrictive covenants and related provisions and certain events of default contained in the indenture under which the QEP Notes were issued. We received the requisite number of consents and, on March 23, 2021, entered into a supplemental indenture relating to the QEP Notes adopting these amendments.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2021, we redeemed the remaining $191 million principal amount of the outstanding Energen 4.625% senior notes due on September 1, 2021. We recorded an immaterial pre-tax loss on extinguishment of debt related to the redemption, which included the write-off of unamortized debt discounts associated with the redeemed notes.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Pending Full Redemption of the Outstanding 5.375% Senior Notes due 2025</w:t>
      </w:r>
    </w:p>
    <w:p>
      <w:pPr>
        <w:spacing w:after="0" w:line="252" w:lineRule="exact"/>
        <w:rPr>
          <w:sz w:val="20"/>
          <w:szCs w:val="20"/>
          <w:color w:val="auto"/>
        </w:rPr>
      </w:pPr>
    </w:p>
    <w:p>
      <w:pPr>
        <w:jc w:val="both"/>
        <w:ind w:firstLine="648"/>
        <w:spacing w:after="0" w:line="342" w:lineRule="auto"/>
        <w:rPr>
          <w:rFonts w:ascii="Arial" w:cs="Arial" w:eastAsia="Arial" w:hAnsi="Arial"/>
          <w:sz w:val="16"/>
          <w:szCs w:val="16"/>
          <w:color w:val="auto"/>
        </w:rPr>
      </w:pPr>
      <w:r>
        <w:rPr>
          <w:rFonts w:ascii="Arial" w:cs="Arial" w:eastAsia="Arial" w:hAnsi="Arial"/>
          <w:sz w:val="16"/>
          <w:szCs w:val="16"/>
          <w:color w:val="auto"/>
        </w:rPr>
        <w:t>As discussed in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hyperlink w:anchor="page39">
        <w:r>
          <w:rPr>
            <w:rFonts w:ascii="Arial" w:cs="Arial" w:eastAsia="Arial" w:hAnsi="Arial"/>
            <w:sz w:val="16"/>
            <w:szCs w:val="16"/>
            <w:i w:val="1"/>
            <w:iCs w:val="1"/>
            <w:u w:val="single" w:color="auto"/>
            <w:color w:val="0000FF"/>
          </w:rPr>
          <w:t>Recent Developments</w:t>
        </w:r>
      </w:hyperlink>
      <w:r>
        <w:rPr>
          <w:rFonts w:ascii="Arial" w:cs="Arial" w:eastAsia="Arial" w:hAnsi="Arial"/>
          <w:sz w:val="16"/>
          <w:szCs w:val="16"/>
          <w:color w:val="auto"/>
        </w:rPr>
        <w:t>” on July 23, 2021, we elected to effect an optional redemption of all of the 2025 Notes in the aggregate principal amount of $432 million on August 24, 2021 at the Redemption Price equal to 102.688% of the principal amount plus accrued interest.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Viper credit agreement, as amended to date, provides for a revolving credit facility in the maximum credit amount of $2.0 billion, with a borrowing base of $580 million as of June 30, 2021, although Viper LLC had elected a commitment amount of $500 million, based on Viper LLC’s oil and natural gas reserves and other factors. The borrowing base is scheduled to be redetermined semi-annually in May and November. As of June 30, 2021, there were $62 million of outstanding borrowings and $438 million available for future borrowings under the Viper credit agreement. During the three and six months ended June 30, 2021, the weighted average interest rate on borrowings under the Viper credit agreement was 1.93% and 1.90%, respectively. The Viper credit agreement will mature on June 2, 2025.</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Viper LLC was in compliance with all financial maintenance covenants under the Viper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Rattler credit agreement, as amended to date, provides for a revolving credit facility in the maximum credit amount of $600 million, which is expandable to $1.0 billion upon Rattler’s election, subject to obtaining additional lender commitments and satisfaction of customary conditions. As of June 30, 2021, there were $5 million of outstanding borrowings and $595 million available for future borrowings under the Rattler credit agreement. During the three and six months ended June 30, 2021, the weighted average interest rate on borrowings under the Rattler credit agreement was 1.36% and 1.39%. The Rattler credit agreement matures on May 28, 2024.</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2021, Rattler LLC was in compliance with all financial maintenance covenants under the Rattler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primary short and long-term liquidity requirements consist primarily of (i) capital expenditures, (iii) payments of contractual obligations, including debt maturities, (iv) dividends and share repurchases, and (v) working capital obligations.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initially approved a 2021 capital budget for drilling and completion, midstream and infrastructure of approximately $1.4 billion to $1.6 billion. We have updated our 2021 capital budget to approximately $1.5 billion to $1.6 billion to give effect to the QEP Merger, representing an increase at the midpoint of 9% over our original 2021 capital budget. We estimate that, of these expenditures, approximately:</w:t>
      </w:r>
    </w:p>
    <w:p>
      <w:pPr>
        <w:spacing w:after="0" w:line="192" w:lineRule="exact"/>
        <w:rPr>
          <w:sz w:val="20"/>
          <w:szCs w:val="20"/>
          <w:color w:val="auto"/>
        </w:rPr>
      </w:pPr>
    </w:p>
    <w:p>
      <w:pPr>
        <w:ind w:left="66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$1.38 billion to $1.45 billion will be spent on drilling and completing 265 to 275 gross (246 to 256 net) horizontal wells across our operated leasehold acreage in the Northern Midland and Southern Delaware Basins, with an average lateral length of approximately 10,300 feet;</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 million to $70 million will be spent on midstream infrastructure, excluding joint venture investments;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$100 million to $110 million will be spent on infrastructure and other expenditures, excluding the cost of any leasehold and mineral interest acquisitions.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six months ended June 30, 2021, we spent $603 million on drilling and completion, $17 million on midstream, $20 million on non-operated properties and $22 million on infrastructure, for total capital expenditures, excluding acquisitions, of $662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nine drilling rigs and three completion crews. We currently continue to execute on our strategy to hold oil production flat while using cash flow from operations to reduce debt, strengthen our balance sheet and return capital to our stockholders. We currently intend to reduce our estimated 2021 capital budget by 6% at the midpoint of the previously disclosed guidance due to cost control and outperformance of our 2021 development plan, intending to maintain current production levels with less capital and fewer completed wells than was originally expected in our 2021 development plan. We will continue monitoring commodity prices and overall market conditions and can adjust our rig cadence and our capital expenditure budget in response to changes in commodity prices and overall market conditions.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upon current oil and natural gas prices and production expectations for 2021, we believe that our cash flow from operations, cash on hand and borrowings under our revolving credit facility will be sufficient to fund our operations through the 12-month period following the filing of this report and thereafter. However, future cash flows are subject to a number of variables, including the level of oil and natural gas production and prices, and significant additional capital expenditures will be required to more fully develop our properties. We cannot assure you that the needed capital will be available on acceptable terms or at all. Further, our 2021 capital expenditure budget does not allocate any funds for leasehold interest and property acquisitions.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3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connection with the merger of certain of the Company’s wholly owned subsidiaries as of June 30, 2021 completed as part of the internal subsidiary restructuring, Diamondback E&amp;P became the successor borrower to O&amp;G under the credit agreement, the successor issuer of the Energen Medium-Term Notes and the sole guarantor under the indentures governing the December 2019 Notes, the May 2020 Notes, the 2025 Senior Notes and the March 2021 Notes.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Guarantees are “full and unconditional,” as that term is used in Regulation S-X, Rule 3-10(b)(3), except that such guarantees will be released or terminated in certain circumstances set forth in the 2019 Indenture and the 2025 Indenture, such as, with certain exceptions, (1) in the event Diamondback E&amp;P (or all or substantially all of its assets) is sold or disposed of, (2) in the event Diamondback E&amp;P ceases to be a guarantor of or otherwise be an obligor under certain other indebtedness, and (3) in connection with any covenant defeasance, legal defeasance or satisfaction and discharge of the relevant indenture.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E&amp;P’s guarantees of the December 2019 Notes, the May 2020 Notes, the 2025 Senior Notes and the March 2021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June 30, 2021</w:t>
            </w: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December 31, 2020</w:t>
            </w: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Summarized Balance Sheets:</w:t>
            </w:r>
          </w:p>
        </w:tc>
        <w:tc>
          <w:tcPr>
            <w:tcW w:w="320" w:type="dxa"/>
            <w:vAlign w:val="bottom"/>
          </w:tcPr>
          <w:p>
            <w:pPr>
              <w:spacing w:after="0"/>
              <w:rPr>
                <w:sz w:val="18"/>
                <w:szCs w:val="18"/>
                <w:color w:val="auto"/>
              </w:rPr>
            </w:pPr>
          </w:p>
        </w:tc>
        <w:tc>
          <w:tcPr>
            <w:tcW w:w="3740" w:type="dxa"/>
            <w:vAlign w:val="bottom"/>
            <w:gridSpan w:val="3"/>
          </w:tcPr>
          <w:p>
            <w:pPr>
              <w:jc w:val="right"/>
              <w:ind w:right="1512"/>
              <w:spacing w:after="0"/>
              <w:rPr>
                <w:sz w:val="20"/>
                <w:szCs w:val="20"/>
                <w:color w:val="auto"/>
              </w:rPr>
            </w:pPr>
            <w:r>
              <w:rPr>
                <w:rFonts w:ascii="Arial" w:cs="Arial" w:eastAsia="Arial" w:hAnsi="Arial"/>
                <w:sz w:val="16"/>
                <w:szCs w:val="16"/>
                <w:b w:val="1"/>
                <w:bCs w:val="1"/>
                <w:color w:val="auto"/>
              </w:rPr>
              <w:t>(In millions)</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774</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14,314</w:t>
            </w:r>
          </w:p>
        </w:tc>
        <w:tc>
          <w:tcPr>
            <w:tcW w:w="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1,659</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accounts payable, non-guarantor subsidiary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6,204</w:t>
            </w:r>
          </w:p>
        </w:tc>
        <w:tc>
          <w:tcPr>
            <w:tcW w:w="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4,293</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526"/>
        </w:trPr>
        <w:tc>
          <w:tcPr>
            <w:tcW w:w="7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0"/>
        </w:trPr>
        <w:tc>
          <w:tcPr>
            <w:tcW w:w="7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272"/>
              <w:spacing w:after="0"/>
              <w:rPr>
                <w:sz w:val="20"/>
                <w:szCs w:val="20"/>
                <w:color w:val="auto"/>
              </w:rPr>
            </w:pPr>
            <w:r>
              <w:rPr>
                <w:rFonts w:ascii="Arial" w:cs="Arial" w:eastAsia="Arial" w:hAnsi="Arial"/>
                <w:sz w:val="16"/>
                <w:szCs w:val="16"/>
                <w:b w:val="1"/>
                <w:bCs w:val="1"/>
                <w:color w:val="auto"/>
                <w:w w:val="89"/>
              </w:rPr>
              <w:t>2021</w:t>
            </w:r>
          </w:p>
        </w:tc>
      </w:tr>
      <w:tr>
        <w:trPr>
          <w:trHeight w:val="212"/>
        </w:trPr>
        <w:tc>
          <w:tcPr>
            <w:tcW w:w="7180" w:type="dxa"/>
            <w:vAlign w:val="bottom"/>
          </w:tcPr>
          <w:p>
            <w:pPr>
              <w:ind w:left="20"/>
              <w:spacing w:after="0"/>
              <w:rPr>
                <w:sz w:val="20"/>
                <w:szCs w:val="20"/>
                <w:color w:val="auto"/>
              </w:rPr>
            </w:pPr>
            <w:r>
              <w:rPr>
                <w:rFonts w:ascii="Arial" w:cs="Arial" w:eastAsia="Arial" w:hAnsi="Arial"/>
                <w:sz w:val="16"/>
                <w:szCs w:val="16"/>
                <w:b w:val="1"/>
                <w:bCs w:val="1"/>
                <w:color w:val="auto"/>
              </w:rPr>
              <w:t>Summarized Statement of Operations:</w:t>
            </w: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jc w:val="center"/>
              <w:ind w:right="252"/>
              <w:spacing w:after="0"/>
              <w:rPr>
                <w:sz w:val="20"/>
                <w:szCs w:val="20"/>
                <w:color w:val="auto"/>
              </w:rPr>
            </w:pPr>
            <w:r>
              <w:rPr>
                <w:rFonts w:ascii="Arial" w:cs="Arial" w:eastAsia="Arial" w:hAnsi="Arial"/>
                <w:sz w:val="16"/>
                <w:szCs w:val="16"/>
                <w:b w:val="1"/>
                <w:bCs w:val="1"/>
                <w:color w:val="auto"/>
                <w:w w:val="95"/>
              </w:rPr>
              <w:t>(In millions)</w:t>
            </w:r>
          </w:p>
        </w:tc>
      </w:tr>
      <w:tr>
        <w:trPr>
          <w:trHeight w:val="232"/>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648"/>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In addition to the changes in debt discussed in </w:t>
      </w:r>
      <w:r>
        <w:rPr>
          <w:rFonts w:ascii="Arial" w:cs="Arial" w:eastAsia="Arial" w:hAnsi="Arial"/>
          <w:sz w:val="16"/>
          <w:szCs w:val="16"/>
          <w:i w:val="1"/>
          <w:iCs w:val="1"/>
          <w:color w:val="auto"/>
        </w:rPr>
        <w:t>“</w:t>
      </w:r>
      <w:hyperlink w:anchor="page50">
        <w:r>
          <w:rPr>
            <w:rFonts w:ascii="Arial" w:cs="Arial" w:eastAsia="Arial" w:hAnsi="Arial"/>
            <w:sz w:val="16"/>
            <w:szCs w:val="16"/>
            <w:i w:val="1"/>
            <w:iCs w:val="1"/>
            <w:u w:val="single" w:color="auto"/>
            <w:color w:val="0000FF"/>
          </w:rPr>
          <w:t>—Indebtedness</w:t>
        </w:r>
      </w:hyperlink>
      <w:r>
        <w:rPr>
          <w:rFonts w:ascii="Arial" w:cs="Arial" w:eastAsia="Arial" w:hAnsi="Arial"/>
          <w:sz w:val="16"/>
          <w:szCs w:val="16"/>
          <w:i w:val="1"/>
          <w:iCs w:val="1"/>
          <w:color w:val="auto"/>
        </w:rPr>
        <w:t>”</w:t>
      </w:r>
      <w:r>
        <w:rPr>
          <w:rFonts w:ascii="Arial" w:cs="Arial" w:eastAsia="Arial" w:hAnsi="Arial"/>
          <w:sz w:val="16"/>
          <w:szCs w:val="16"/>
          <w:color w:val="auto"/>
        </w:rPr>
        <w:t xml:space="preserve"> above and in Note 7—</w:t>
      </w:r>
      <w:hyperlink w:anchor="page22">
        <w:r>
          <w:rPr>
            <w:rFonts w:ascii="Arial" w:cs="Arial" w:eastAsia="Arial" w:hAnsi="Arial"/>
            <w:sz w:val="16"/>
            <w:szCs w:val="16"/>
            <w:u w:val="single" w:color="auto"/>
            <w:color w:val="0000FF"/>
          </w:rPr>
          <w:t>Deb</w:t>
        </w:r>
      </w:hyperlink>
      <w:r>
        <w:rPr>
          <w:rFonts w:ascii="Arial" w:cs="Arial" w:eastAsia="Arial" w:hAnsi="Arial"/>
          <w:sz w:val="16"/>
          <w:szCs w:val="16"/>
          <w:color w:val="auto"/>
        </w:rPr>
        <w:t xml:space="preserve">t included in the notes to the condensed consolidated financial statements included elsewhere in this report, we acquired certain contractual obligations during the six months ended June 30, 2021 in conjunction with the QEP Merger including an aggregate of approximately $68 million in various transportation, gathering and purchase commitments. There were no other significant changes in our contractual obligations from those disclosed in our </w:t>
      </w:r>
      <w:hyperlink r:id="rId17">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year ended December 31, 2020.</w:t>
      </w:r>
    </w:p>
    <w:p>
      <w:pPr>
        <w:spacing w:after="0" w:line="18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rFonts w:ascii="Arial" w:cs="Arial" w:eastAsia="Arial" w:hAnsi="Arial"/>
          <w:sz w:val="16"/>
          <w:szCs w:val="16"/>
          <w:color w:val="auto"/>
        </w:rPr>
      </w:pPr>
    </w:p>
    <w:p>
      <w:pPr>
        <w:jc w:val="both"/>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our critical accounting policies from those disclosed in our </w:t>
      </w:r>
      <w:hyperlink r:id="rId83">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9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rFonts w:ascii="Arial" w:cs="Arial" w:eastAsia="Arial" w:hAnsi="Arial"/>
          <w:sz w:val="16"/>
          <w:szCs w:val="16"/>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We had no material off-balance sheet arrangements as of June 30, 2021. Please read Note 13—</w:t>
      </w:r>
      <w:hyperlink w:anchor="page35">
        <w:r>
          <w:rPr>
            <w:rFonts w:ascii="Arial" w:cs="Arial" w:eastAsia="Arial" w:hAnsi="Arial"/>
            <w:sz w:val="18"/>
            <w:szCs w:val="18"/>
            <w:u w:val="single" w:color="auto"/>
            <w:color w:val="0000FF"/>
          </w:rPr>
          <w:t>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notes to the condensed consolidated financial statements included elsewhere in this report, for a discussion of our commitments and contingencies, which are not recognized in the balance sheets under GAAP.</w:t>
      </w:r>
    </w:p>
    <w:p>
      <w:pPr>
        <w:spacing w:after="0" w:line="40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due to the rising energy use, easing of the COVID-19 pandemic and the improvements in the U.S. economic activity, we cannot predict events that may lead to future price volatility and the near term energy outlook remains subject to heightened levels of uncertainty. Further, the prices we receive for production depend on many other factors outside of our control.</w:t>
      </w: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derivatives, including swaps, basis swaps, puts, swaptions, roll swaps, and costless collars, to reduce price volatility associated with certain of our oil and natural gas sales.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June 30, 2021, we had a net liability derivative position related to our commodity price derivatives of $783 million, related to our commodity price risk derivatives. Utilizing actual derivative contractual volumes under our commodity price derivatives as of June 30, 2021, a 10% increase in forward curves associated with the underlying commodity would have increased the net liability position to $860 million, an increase of $77 million, while a 10% decrease in forward curves associated with the underlying commodity would have decreased the net liability position to $706 million, a decrease of $77 million. However, any cash derivative gain or loss would be substantially offset by a decrease or increase, respectively, in the actual sales value of production covered by the derivative instrument.</w:t>
      </w:r>
    </w:p>
    <w:p>
      <w:pPr>
        <w:spacing w:after="0" w:line="219"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 in production due to persistently low commodity prices or for any other reason, our revenue in the midstream operations segment could decrease, as Rattler’s commercial agreements do not contain minimum volume commitments.</w:t>
      </w:r>
    </w:p>
    <w:p>
      <w:pPr>
        <w:spacing w:after="0" w:line="215"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For additional information on our open commodity derivative instruments at June 30, 2021, see Note 11—</w:t>
      </w:r>
      <w:hyperlink w:anchor="page30">
        <w:r>
          <w:rPr>
            <w:rFonts w:ascii="Arial" w:cs="Arial" w:eastAsia="Arial" w:hAnsi="Arial"/>
            <w:sz w:val="18"/>
            <w:szCs w:val="18"/>
            <w:u w:val="single" w:color="auto"/>
            <w:color w:val="0000FF"/>
          </w:rPr>
          <w:t>Derivatives</w:t>
        </w:r>
      </w:hyperlink>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principal exposures to credit risk are due to the concentration of receivables from the sale of our oil and natural gas production (approximately $579 million at June 30, 2021), and to a lesser extent, receivables resulting from joint interest receivables (approximately $78 million at June 30, 2021).</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jc w:val="both"/>
        <w:ind w:firstLine="648"/>
        <w:spacing w:after="0" w:line="239" w:lineRule="auto"/>
        <w:rPr>
          <w:rFonts w:ascii="Arial" w:cs="Arial" w:eastAsia="Arial" w:hAnsi="Arial"/>
          <w:sz w:val="17"/>
          <w:szCs w:val="17"/>
          <w:color w:val="auto"/>
        </w:rPr>
      </w:pPr>
      <w:r>
        <w:rPr>
          <w:rFonts w:ascii="Arial" w:cs="Arial" w:eastAsia="Arial" w:hAnsi="Arial"/>
          <w:sz w:val="17"/>
          <w:szCs w:val="17"/>
          <w:color w:val="auto"/>
        </w:rPr>
        <w:t>We are subject to market risk exposure related to changes in interest rates on our indebtedness under our revolving credit facilities and changes in the fair value of our fixed-rate debt. The terms of the credit agreement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1.125% per annum in the case of the alternative base rate and from 1.25% to 2.125% per annum in the case of LIBOR,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June 30, 2021, see Note 7—</w:t>
      </w:r>
      <w:hyperlink w:anchor="page22">
        <w:r>
          <w:rPr>
            <w:rFonts w:ascii="Arial" w:cs="Arial" w:eastAsia="Arial" w:hAnsi="Arial"/>
            <w:sz w:val="17"/>
            <w:szCs w:val="17"/>
            <w:u w:val="single" w:color="auto"/>
            <w:color w:val="0000FF"/>
          </w:rPr>
          <w:t>Debt</w:t>
        </w:r>
      </w:hyperlink>
      <w:r>
        <w:rPr>
          <w:rFonts w:ascii="Arial" w:cs="Arial" w:eastAsia="Arial" w:hAnsi="Arial"/>
          <w:sz w:val="17"/>
          <w:szCs w:val="17"/>
          <w:color w:val="auto"/>
        </w:rPr>
        <w:t>.</w:t>
      </w:r>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Historically, we have at times used interest rates swaps to manage our exposure to (i) interest rate changes on our floating-rate date and (ii) fair value changes on our fixed-rate debt. At June 30, 2021, we have interest rate swap agreements for a notional amount of $1.2 billion to manage the impact of market interest rates on interest expense. These interest rate swaps have been designated as fair value hedges of the Company’s $1.2 billion 3.50% fixed rate senior notes due 2029 whereby we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will receive the fixed rate of interest and will pay an average variable rate of interest based on three month LIBOR plus 2.1865%. For additional information on our interest rate swaps, see Note 11—</w:t>
      </w:r>
      <w:hyperlink w:anchor="page30">
        <w:r>
          <w:rPr>
            <w:rFonts w:ascii="Arial" w:cs="Arial" w:eastAsia="Arial" w:hAnsi="Arial"/>
            <w:sz w:val="18"/>
            <w:szCs w:val="18"/>
            <w:u w:val="single" w:color="auto"/>
            <w:color w:val="0000FF"/>
          </w:rPr>
          <w:t>Derivatives</w:t>
        </w:r>
      </w:hyperlink>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2021,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June 30, 2021, our disclosure controls and procedures are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June 30, 2021, that have materially affected, or are reasonably likely to materially affect, internal controls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48"/>
        <w:spacing w:after="0" w:line="293" w:lineRule="auto"/>
        <w:rPr>
          <w:rFonts w:ascii="Arial" w:cs="Arial" w:eastAsia="Arial" w:hAnsi="Arial"/>
          <w:sz w:val="16"/>
          <w:szCs w:val="16"/>
          <w:color w:val="auto"/>
        </w:rPr>
      </w:pPr>
      <w:r>
        <w:rPr>
          <w:rFonts w:ascii="Arial" w:cs="Arial" w:eastAsia="Arial" w:hAnsi="Arial"/>
          <w:sz w:val="16"/>
          <w:szCs w:val="16"/>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13—</w:t>
      </w:r>
      <w:hyperlink w:anchor="page35">
        <w:r>
          <w:rPr>
            <w:rFonts w:ascii="Arial" w:cs="Arial" w:eastAsia="Arial" w:hAnsi="Arial"/>
            <w:sz w:val="16"/>
            <w:szCs w:val="16"/>
            <w:u w:val="single" w:color="auto"/>
            <w:color w:val="0000FF"/>
          </w:rPr>
          <w:t>Commitments and Contingencies</w:t>
        </w:r>
      </w:hyperlink>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311" w:lineRule="auto"/>
        <w:rPr>
          <w:rFonts w:ascii="Arial" w:cs="Arial" w:eastAsia="Arial" w:hAnsi="Arial"/>
          <w:sz w:val="16"/>
          <w:szCs w:val="16"/>
          <w:color w:val="000000"/>
        </w:rPr>
      </w:pPr>
      <w:hyperlink r:id="rId87">
        <w:r>
          <w:rPr>
            <w:rFonts w:ascii="Arial" w:cs="Arial" w:eastAsia="Arial" w:hAnsi="Arial"/>
            <w:sz w:val="16"/>
            <w:szCs w:val="16"/>
            <w:color w:val="auto"/>
          </w:rPr>
          <w:t xml:space="preserve">As of the date of this filing, we continue to be subject to the risk factors previously disclosed in </w:t>
        </w:r>
        <w:r>
          <w:rPr>
            <w:rFonts w:ascii="Arial" w:cs="Arial" w:eastAsia="Arial" w:hAnsi="Arial"/>
            <w:sz w:val="16"/>
            <w:szCs w:val="16"/>
            <w:u w:val="single" w:color="auto"/>
            <w:color w:val="0000FF"/>
          </w:rPr>
          <w:t>Part I, Item 1A. Risk Factors in our Annual Report</w:t>
        </w:r>
      </w:hyperlink>
      <w:r>
        <w:rPr>
          <w:rFonts w:ascii="Arial" w:cs="Arial" w:eastAsia="Arial" w:hAnsi="Arial"/>
          <w:sz w:val="16"/>
          <w:szCs w:val="16"/>
          <w:color w:val="auto"/>
        </w:rPr>
        <w:t xml:space="preserve"> </w:t>
      </w:r>
      <w:hyperlink r:id="rId87">
        <w:r>
          <w:rPr>
            <w:rFonts w:ascii="Arial" w:cs="Arial" w:eastAsia="Arial" w:hAnsi="Arial"/>
            <w:sz w:val="16"/>
            <w:szCs w:val="16"/>
            <w:u w:val="single" w:color="auto"/>
            <w:color w:val="0000FF"/>
          </w:rPr>
          <w:t>on Form 10-K</w:t>
        </w:r>
        <w:r>
          <w:rPr>
            <w:rFonts w:ascii="Arial" w:cs="Arial" w:eastAsia="Arial" w:hAnsi="Arial"/>
            <w:sz w:val="16"/>
            <w:szCs w:val="16"/>
            <w:color w:val="0000FF"/>
          </w:rPr>
          <w:t xml:space="preserve"> </w:t>
        </w:r>
        <w:r>
          <w:rPr>
            <w:rFonts w:ascii="Arial" w:cs="Arial" w:eastAsia="Arial" w:hAnsi="Arial"/>
            <w:sz w:val="16"/>
            <w:szCs w:val="16"/>
            <w:color w:val="000000"/>
          </w:rPr>
          <w:t>for the year ended December 31, 2020, filed with the SEC on February 25, 2021, and in subsequent filings we make with the SEC. There</w:t>
        </w:r>
      </w:hyperlink>
      <w:r>
        <w:rPr>
          <w:rFonts w:ascii="Arial" w:cs="Arial" w:eastAsia="Arial" w:hAnsi="Arial"/>
          <w:sz w:val="16"/>
          <w:szCs w:val="16"/>
          <w:color w:val="0000FF"/>
        </w:rPr>
        <w:t xml:space="preserve"> </w:t>
      </w:r>
      <w:r>
        <w:rPr>
          <w:rFonts w:ascii="Arial" w:cs="Arial" w:eastAsia="Arial" w:hAnsi="Arial"/>
          <w:sz w:val="16"/>
          <w:szCs w:val="16"/>
          <w:color w:val="000000"/>
        </w:rPr>
        <w:t xml:space="preserve">have been no material changes in our risk factors from those described in our </w:t>
      </w:r>
      <w:hyperlink r:id="rId87">
        <w:r>
          <w:rPr>
            <w:rFonts w:ascii="Arial" w:cs="Arial" w:eastAsia="Arial" w:hAnsi="Arial"/>
            <w:sz w:val="16"/>
            <w:szCs w:val="16"/>
            <w:u w:val="single" w:color="auto"/>
            <w:color w:val="0000FF"/>
          </w:rPr>
          <w:t>Annual Report on Form 10-K</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for the year ended December 31, 2020.</w:t>
      </w:r>
    </w:p>
    <w:p>
      <w:pPr>
        <w:spacing w:after="0" w:line="17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8"/>
          <w:szCs w:val="18"/>
          <w:color w:val="auto"/>
        </w:rPr>
        <w:t>Our common stock repurchase activity for the six months ended June 30, 2021 was as follows:</w:t>
      </w:r>
    </w:p>
    <w:p>
      <w:pPr>
        <w:spacing w:after="0" w:line="113"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18"/>
                <w:szCs w:val="18"/>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80" w:type="dxa"/>
            <w:vAlign w:val="bottom"/>
          </w:tcPr>
          <w:p>
            <w:pPr>
              <w:spacing w:after="0"/>
              <w:rPr>
                <w:sz w:val="18"/>
                <w:szCs w:val="18"/>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Approximate Dollar</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212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w w:val="91"/>
              </w:rPr>
              <w:t>Value of Shares that May</w:t>
            </w:r>
          </w:p>
        </w:tc>
        <w:tc>
          <w:tcPr>
            <w:tcW w:w="0" w:type="dxa"/>
            <w:vAlign w:val="bottom"/>
          </w:tcPr>
          <w:p>
            <w:pPr>
              <w:spacing w:after="0"/>
              <w:rPr>
                <w:sz w:val="1"/>
                <w:szCs w:val="1"/>
                <w:color w:val="auto"/>
              </w:rPr>
            </w:pPr>
          </w:p>
        </w:tc>
      </w:tr>
      <w:tr>
        <w:trPr>
          <w:trHeight w:val="175"/>
        </w:trPr>
        <w:tc>
          <w:tcPr>
            <w:tcW w:w="3900" w:type="dxa"/>
            <w:vAlign w:val="bottom"/>
            <w:gridSpan w:val="2"/>
            <w:vMerge w:val="restart"/>
          </w:tcPr>
          <w:p>
            <w:pPr>
              <w:ind w:left="1660"/>
              <w:spacing w:after="0"/>
              <w:rPr>
                <w:sz w:val="20"/>
                <w:szCs w:val="20"/>
                <w:color w:val="auto"/>
              </w:rPr>
            </w:pPr>
            <w:r>
              <w:rPr>
                <w:rFonts w:ascii="Arial" w:cs="Arial" w:eastAsia="Arial" w:hAnsi="Arial"/>
                <w:sz w:val="18"/>
                <w:szCs w:val="18"/>
                <w:b w:val="1"/>
                <w:bCs w:val="1"/>
                <w:color w:val="auto"/>
              </w:rPr>
              <w:t>Period</w:t>
            </w: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Price Paid</w:t>
            </w:r>
          </w:p>
        </w:tc>
        <w:tc>
          <w:tcPr>
            <w:tcW w:w="25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Publicly</w:t>
            </w:r>
          </w:p>
        </w:tc>
        <w:tc>
          <w:tcPr>
            <w:tcW w:w="21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7"/>
              </w:rPr>
              <w:t>Yet Be Purchased Under</w:t>
            </w:r>
          </w:p>
        </w:tc>
        <w:tc>
          <w:tcPr>
            <w:tcW w:w="0" w:type="dxa"/>
            <w:vAlign w:val="bottom"/>
          </w:tcPr>
          <w:p>
            <w:pPr>
              <w:spacing w:after="0"/>
              <w:rPr>
                <w:sz w:val="1"/>
                <w:szCs w:val="1"/>
                <w:color w:val="auto"/>
              </w:rPr>
            </w:pPr>
          </w:p>
        </w:tc>
      </w:tr>
      <w:tr>
        <w:trPr>
          <w:trHeight w:val="229"/>
        </w:trPr>
        <w:tc>
          <w:tcPr>
            <w:tcW w:w="3900" w:type="dxa"/>
            <w:vAlign w:val="bottom"/>
            <w:gridSpan w:val="2"/>
            <w:vMerge w:val="continue"/>
          </w:tcPr>
          <w:p>
            <w:pPr>
              <w:spacing w:after="0"/>
              <w:rPr>
                <w:sz w:val="19"/>
                <w:szCs w:val="19"/>
                <w:color w:val="auto"/>
              </w:rPr>
            </w:pPr>
          </w:p>
        </w:tc>
        <w:tc>
          <w:tcPr>
            <w:tcW w:w="152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4"/>
              </w:rPr>
              <w:t>Purchased</w:t>
            </w:r>
            <w:r>
              <w:rPr>
                <w:rFonts w:ascii="Arial" w:cs="Arial" w:eastAsia="Arial" w:hAnsi="Arial"/>
                <w:sz w:val="23"/>
                <w:szCs w:val="23"/>
                <w:b w:val="1"/>
                <w:bCs w:val="1"/>
                <w:color w:val="auto"/>
                <w:w w:val="84"/>
                <w:vertAlign w:val="superscript"/>
              </w:rPr>
              <w:t>(1)</w:t>
            </w:r>
          </w:p>
        </w:tc>
        <w:tc>
          <w:tcPr>
            <w:tcW w:w="1160" w:type="dxa"/>
            <w:vAlign w:val="bottom"/>
            <w:gridSpan w:val="3"/>
          </w:tcPr>
          <w:p>
            <w:pPr>
              <w:jc w:val="center"/>
              <w:ind w:right="100"/>
              <w:spacing w:after="0" w:line="230" w:lineRule="exact"/>
              <w:rPr>
                <w:sz w:val="20"/>
                <w:szCs w:val="20"/>
                <w:color w:val="auto"/>
              </w:rPr>
            </w:pPr>
            <w:r>
              <w:rPr>
                <w:rFonts w:ascii="Arial" w:cs="Arial" w:eastAsia="Arial" w:hAnsi="Arial"/>
                <w:sz w:val="18"/>
                <w:szCs w:val="18"/>
                <w:b w:val="1"/>
                <w:bCs w:val="1"/>
                <w:color w:val="auto"/>
                <w:w w:val="87"/>
              </w:rPr>
              <w:t>Per Share</w:t>
            </w:r>
            <w:r>
              <w:rPr>
                <w:rFonts w:ascii="Arial" w:cs="Arial" w:eastAsia="Arial" w:hAnsi="Arial"/>
                <w:sz w:val="23"/>
                <w:szCs w:val="23"/>
                <w:b w:val="1"/>
                <w:bCs w:val="1"/>
                <w:color w:val="auto"/>
                <w:w w:val="87"/>
                <w:vertAlign w:val="superscript"/>
              </w:rPr>
              <w:t>(2)</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280" w:type="dxa"/>
            <w:vAlign w:val="bottom"/>
          </w:tcPr>
          <w:p>
            <w:pPr>
              <w:spacing w:after="0"/>
              <w:rPr>
                <w:sz w:val="19"/>
                <w:szCs w:val="19"/>
                <w:color w:val="auto"/>
              </w:rPr>
            </w:pPr>
          </w:p>
        </w:tc>
        <w:tc>
          <w:tcPr>
            <w:tcW w:w="1840" w:type="dxa"/>
            <w:vAlign w:val="bottom"/>
          </w:tcPr>
          <w:p>
            <w:pPr>
              <w:jc w:val="right"/>
              <w:ind w:right="590"/>
              <w:spacing w:after="0"/>
              <w:rPr>
                <w:sz w:val="20"/>
                <w:szCs w:val="20"/>
                <w:color w:val="auto"/>
              </w:rPr>
            </w:pPr>
            <w:r>
              <w:rPr>
                <w:rFonts w:ascii="Arial" w:cs="Arial" w:eastAsia="Arial" w:hAnsi="Arial"/>
                <w:sz w:val="18"/>
                <w:szCs w:val="18"/>
                <w:b w:val="1"/>
                <w:bCs w:val="1"/>
                <w:color w:val="auto"/>
              </w:rPr>
              <w:t>the Plan</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340" w:type="dxa"/>
            <w:vAlign w:val="bottom"/>
            <w:tcBorders>
              <w:top w:val="single" w:sz="8" w:color="auto"/>
            </w:tcBorders>
            <w:gridSpan w:val="8"/>
          </w:tcPr>
          <w:p>
            <w:pPr>
              <w:jc w:val="right"/>
              <w:ind w:right="1210"/>
              <w:spacing w:after="0"/>
              <w:rPr>
                <w:sz w:val="20"/>
                <w:szCs w:val="20"/>
                <w:color w:val="auto"/>
              </w:rPr>
            </w:pPr>
            <w:r>
              <w:rPr>
                <w:rFonts w:ascii="Arial" w:cs="Arial" w:eastAsia="Arial" w:hAnsi="Arial"/>
                <w:sz w:val="18"/>
                <w:szCs w:val="18"/>
                <w:b w:val="1"/>
                <w:bCs w:val="1"/>
                <w:color w:val="auto"/>
              </w:rPr>
              <w:t>($ In millions, except per share amounts, shares in thousands)</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ind w:left="23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May 1, 2021 - May 31, 2021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540" w:type="dxa"/>
            <w:vAlign w:val="bottom"/>
          </w:tcPr>
          <w:p>
            <w:pPr>
              <w:ind w:left="234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2021 -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00" w:type="dxa"/>
            <w:vAlign w:val="bottom"/>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ind w:left="23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86.44</w:t>
            </w:r>
          </w:p>
        </w:tc>
        <w:tc>
          <w:tcPr>
            <w:tcW w:w="100" w:type="dxa"/>
            <w:vAlign w:val="bottom"/>
          </w:tcPr>
          <w:p>
            <w:pPr>
              <w:spacing w:after="0"/>
              <w:rPr>
                <w:sz w:val="19"/>
                <w:szCs w:val="19"/>
                <w:color w:val="auto"/>
              </w:rPr>
            </w:pPr>
          </w:p>
        </w:tc>
        <w:tc>
          <w:tcPr>
            <w:tcW w:w="2540" w:type="dxa"/>
            <w:vAlign w:val="bottom"/>
            <w:tcBorders>
              <w:bottom w:val="single" w:sz="8" w:color="auto"/>
            </w:tcBorders>
          </w:tcPr>
          <w:p>
            <w:pPr>
              <w:ind w:left="23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rFonts w:ascii="Arial" w:cs="Arial" w:eastAsia="Arial" w:hAnsi="Arial"/>
          <w:sz w:val="16"/>
          <w:szCs w:val="16"/>
          <w:color w:val="auto"/>
        </w:rPr>
      </w:pPr>
    </w:p>
    <w:p>
      <w:pPr>
        <w:ind w:left="340" w:hanging="332"/>
        <w:spacing w:after="0" w:line="258"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shares of common stock repurchased from employees in order to satisfy tax withholding requirements. Such shares are cancelled and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average price paid per share is net of any commissions paid to repurchase stock.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tab/>
        <w:t>EXHIBITS</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9860" w:type="dxa"/>
            <w:vAlign w:val="bottom"/>
            <w:gridSpan w:val="3"/>
          </w:tcPr>
          <w:p>
            <w:pPr>
              <w:ind w:left="36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175"/>
        </w:trPr>
        <w:tc>
          <w:tcPr>
            <w:tcW w:w="1160" w:type="dxa"/>
            <w:vAlign w:val="bottom"/>
          </w:tcPr>
          <w:p>
            <w:pPr>
              <w:ind w:left="40"/>
              <w:spacing w:after="0" w:line="176" w:lineRule="exact"/>
              <w:rPr>
                <w:sz w:val="20"/>
                <w:szCs w:val="20"/>
                <w:color w:val="auto"/>
              </w:rPr>
            </w:pPr>
            <w:r>
              <w:rPr>
                <w:rFonts w:ascii="Arial" w:cs="Arial" w:eastAsia="Arial" w:hAnsi="Arial"/>
                <w:sz w:val="17"/>
                <w:szCs w:val="17"/>
                <w:b w:val="1"/>
                <w:bCs w:val="1"/>
                <w:color w:val="auto"/>
              </w:rPr>
              <w:t>Exhibit</w:t>
            </w:r>
          </w:p>
        </w:tc>
        <w:tc>
          <w:tcPr>
            <w:tcW w:w="98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20"/>
        </w:trPr>
        <w:tc>
          <w:tcPr>
            <w:tcW w:w="1160" w:type="dxa"/>
            <w:vAlign w:val="bottom"/>
          </w:tcPr>
          <w:p>
            <w:pPr>
              <w:ind w:left="40"/>
              <w:spacing w:after="0"/>
              <w:rPr>
                <w:sz w:val="20"/>
                <w:szCs w:val="20"/>
                <w:color w:val="auto"/>
              </w:rPr>
            </w:pPr>
            <w:r>
              <w:rPr>
                <w:rFonts w:ascii="Arial" w:cs="Arial" w:eastAsia="Arial" w:hAnsi="Arial"/>
                <w:sz w:val="17"/>
                <w:szCs w:val="17"/>
                <w:b w:val="1"/>
                <w:bCs w:val="1"/>
                <w:color w:val="auto"/>
              </w:rPr>
              <w:t>Number</w:t>
            </w:r>
          </w:p>
        </w:tc>
        <w:tc>
          <w:tcPr>
            <w:tcW w:w="98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46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1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3.1</w:t>
            </w:r>
          </w:p>
        </w:tc>
        <w:tc>
          <w:tcPr>
            <w:tcW w:w="9800" w:type="dxa"/>
            <w:vAlign w:val="bottom"/>
            <w:tcBorders>
              <w:bottom w:val="single" w:sz="8" w:color="0000FF"/>
            </w:tcBorders>
            <w:gridSpan w:val="2"/>
            <w:shd w:val="clear" w:color="auto" w:fill="CCEEFF"/>
          </w:tcPr>
          <w:p>
            <w:pPr>
              <w:spacing w:after="0" w:line="189" w:lineRule="exact"/>
              <w:rPr>
                <w:rFonts w:ascii="Arial" w:cs="Arial" w:eastAsia="Arial" w:hAnsi="Arial"/>
                <w:sz w:val="17"/>
                <w:szCs w:val="17"/>
                <w:color w:val="0000FF"/>
                <w:w w:val="92"/>
              </w:rPr>
            </w:pPr>
            <w:hyperlink r:id="rId89">
              <w:r>
                <w:rPr>
                  <w:rFonts w:ascii="Arial" w:cs="Arial" w:eastAsia="Arial" w:hAnsi="Arial"/>
                  <w:sz w:val="17"/>
                  <w:szCs w:val="17"/>
                  <w:color w:val="0000FF"/>
                  <w:w w:val="92"/>
                </w:rPr>
                <w:t>Amended and Restated Certificate of Incorporation of the Company (incorporated by reference to Exhibit 3.1 to the Form 10-Q, File No. 001-</w:t>
              </w:r>
            </w:hyperlink>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60" w:type="dxa"/>
            <w:vAlign w:val="bottom"/>
            <w:shd w:val="clear" w:color="auto" w:fill="CCEEFF"/>
          </w:tcPr>
          <w:p>
            <w:pPr>
              <w:spacing w:after="0"/>
              <w:rPr>
                <w:sz w:val="15"/>
                <w:szCs w:val="15"/>
                <w:color w:val="auto"/>
              </w:rPr>
            </w:pPr>
          </w:p>
        </w:tc>
        <w:tc>
          <w:tcPr>
            <w:tcW w:w="9860" w:type="dxa"/>
            <w:vAlign w:val="bottom"/>
            <w:gridSpan w:val="3"/>
            <w:shd w:val="clear" w:color="auto" w:fill="CCEEFF"/>
          </w:tcPr>
          <w:p>
            <w:pPr>
              <w:spacing w:after="0" w:line="183" w:lineRule="exact"/>
              <w:rPr>
                <w:rFonts w:ascii="Arial" w:cs="Arial" w:eastAsia="Arial" w:hAnsi="Arial"/>
                <w:sz w:val="17"/>
                <w:szCs w:val="17"/>
                <w:color w:val="0000FF"/>
              </w:rPr>
            </w:pPr>
            <w:hyperlink r:id="rId89">
              <w:r>
                <w:rPr>
                  <w:rFonts w:ascii="Arial" w:cs="Arial" w:eastAsia="Arial" w:hAnsi="Arial"/>
                  <w:sz w:val="17"/>
                  <w:szCs w:val="17"/>
                  <w:color w:val="0000FF"/>
                </w:rPr>
                <w:t>35700, filed by the Company with the SEC on November 16, 2012).</w:t>
              </w:r>
            </w:hyperlink>
          </w:p>
        </w:tc>
        <w:tc>
          <w:tcPr>
            <w:tcW w:w="0" w:type="dxa"/>
            <w:vAlign w:val="bottom"/>
          </w:tcPr>
          <w:p>
            <w:pPr>
              <w:spacing w:after="0"/>
              <w:rPr>
                <w:sz w:val="1"/>
                <w:szCs w:val="1"/>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0000FF"/>
            </w:tcBorders>
            <w:shd w:val="clear" w:color="auto" w:fill="CCEEFF"/>
          </w:tcPr>
          <w:p>
            <w:pPr>
              <w:spacing w:after="0"/>
              <w:rPr>
                <w:sz w:val="4"/>
                <w:szCs w:val="4"/>
                <w:color w:val="auto"/>
              </w:rPr>
            </w:pPr>
          </w:p>
        </w:tc>
        <w:tc>
          <w:tcPr>
            <w:tcW w:w="5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122" w:right="439" w:bottom="1440" w:gutter="0" w:footer="0" w:header="0"/>
        </w:sectPr>
      </w:pPr>
    </w:p>
    <w:p>
      <w:pPr>
        <w:ind w:left="160"/>
        <w:spacing w:after="0"/>
        <w:rPr>
          <w:sz w:val="20"/>
          <w:szCs w:val="20"/>
          <w:color w:val="auto"/>
        </w:rPr>
      </w:pPr>
      <w:r>
        <w:rPr>
          <w:rFonts w:ascii="Arial" w:cs="Arial" w:eastAsia="Arial" w:hAnsi="Arial"/>
          <w:sz w:val="15"/>
          <w:szCs w:val="15"/>
          <w:color w:val="auto"/>
        </w:rPr>
        <w:t>3.2</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3.3</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br w:type="column"/>
      </w:r>
    </w:p>
    <w:p>
      <w:pPr>
        <w:ind w:right="80"/>
        <w:spacing w:after="0" w:line="273" w:lineRule="auto"/>
        <w:rPr>
          <w:rFonts w:ascii="Arial" w:cs="Arial" w:eastAsia="Arial" w:hAnsi="Arial"/>
          <w:sz w:val="17"/>
          <w:szCs w:val="17"/>
          <w:u w:val="single" w:color="auto"/>
          <w:color w:val="0000FF"/>
        </w:rPr>
      </w:pPr>
      <w:hyperlink r:id="rId90">
        <w:r>
          <w:rPr>
            <w:rFonts w:ascii="Arial" w:cs="Arial" w:eastAsia="Arial" w:hAnsi="Arial"/>
            <w:sz w:val="17"/>
            <w:szCs w:val="17"/>
            <w:u w:val="single" w:color="auto"/>
            <w:color w:val="0000FF"/>
          </w:rPr>
          <w:t>Certificate of Amendment No. 1 of the Amended and Restated Certificate of Incorporation of the Company (incorporated by reference to</w:t>
        </w:r>
      </w:hyperlink>
      <w:r>
        <w:rPr>
          <w:rFonts w:ascii="Arial" w:cs="Arial" w:eastAsia="Arial" w:hAnsi="Arial"/>
          <w:sz w:val="17"/>
          <w:szCs w:val="17"/>
          <w:u w:val="single" w:color="auto"/>
          <w:color w:val="0000FF"/>
        </w:rPr>
        <w:t xml:space="preserve"> </w:t>
      </w:r>
      <w:hyperlink r:id="rId90">
        <w:r>
          <w:rPr>
            <w:rFonts w:ascii="Arial" w:cs="Arial" w:eastAsia="Arial" w:hAnsi="Arial"/>
            <w:sz w:val="17"/>
            <w:szCs w:val="17"/>
            <w:u w:val="single" w:color="auto"/>
            <w:color w:val="0000FF"/>
          </w:rPr>
          <w:t>Exhibit 3.1 to the Form 8-K, File No. 001-35700, filed by the Company with the SEC on December 12, 2016).</w:t>
        </w:r>
      </w:hyperlink>
    </w:p>
    <w:p>
      <w:pPr>
        <w:spacing w:after="0" w:line="1" w:lineRule="exact"/>
        <w:rPr>
          <w:sz w:val="20"/>
          <w:szCs w:val="20"/>
          <w:color w:val="auto"/>
        </w:rPr>
      </w:pPr>
    </w:p>
    <w:p>
      <w:pPr>
        <w:ind w:right="20"/>
        <w:spacing w:after="0" w:line="232" w:lineRule="auto"/>
        <w:rPr>
          <w:rFonts w:ascii="Arial" w:cs="Arial" w:eastAsia="Arial" w:hAnsi="Arial"/>
          <w:sz w:val="17"/>
          <w:szCs w:val="17"/>
          <w:u w:val="single" w:color="auto"/>
          <w:color w:val="0000FF"/>
        </w:rPr>
      </w:pPr>
      <w:hyperlink r:id="rId91">
        <w:r>
          <w:rPr>
            <w:rFonts w:ascii="Arial" w:cs="Arial" w:eastAsia="Arial" w:hAnsi="Arial"/>
            <w:sz w:val="17"/>
            <w:szCs w:val="17"/>
            <w:u w:val="single" w:color="auto"/>
            <w:color w:val="0000FF"/>
          </w:rPr>
          <w:t>Certificate of Amendment No. 2 to the Amended and Restated Certificate of Incorporation of the Company (incorporated by reference to</w:t>
        </w:r>
      </w:hyperlink>
      <w:r>
        <w:rPr>
          <w:rFonts w:ascii="Arial" w:cs="Arial" w:eastAsia="Arial" w:hAnsi="Arial"/>
          <w:sz w:val="17"/>
          <w:szCs w:val="17"/>
          <w:u w:val="single" w:color="auto"/>
          <w:color w:val="0000FF"/>
        </w:rPr>
        <w:t xml:space="preserve"> </w:t>
      </w:r>
      <w:hyperlink r:id="rId91">
        <w:r>
          <w:rPr>
            <w:rFonts w:ascii="Arial" w:cs="Arial" w:eastAsia="Arial" w:hAnsi="Arial"/>
            <w:sz w:val="17"/>
            <w:szCs w:val="17"/>
            <w:u w:val="single" w:color="auto"/>
            <w:color w:val="0000FF"/>
          </w:rPr>
          <w:t>Exhibit 3.1 to the Form 8-K, File No. 001-35700, filed by the Company with the SEC on June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-236855</wp:posOffset>
            </wp:positionV>
            <wp:extent cx="7003415"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003415" cy="240030"/>
                    </a:xfrm>
                    <a:prstGeom prst="rect">
                      <a:avLst/>
                    </a:prstGeom>
                    <a:noFill/>
                  </pic:spPr>
                </pic:pic>
              </a:graphicData>
            </a:graphic>
          </wp:anchor>
        </w:drawing>
      </w:r>
    </w:p>
    <w:p>
      <w:pPr>
        <w:ind w:right="60"/>
        <w:spacing w:after="0" w:line="274" w:lineRule="auto"/>
        <w:rPr>
          <w:rFonts w:ascii="Arial" w:cs="Arial" w:eastAsia="Arial" w:hAnsi="Arial"/>
          <w:sz w:val="17"/>
          <w:szCs w:val="17"/>
          <w:u w:val="single" w:color="auto"/>
          <w:color w:val="0000FF"/>
        </w:rPr>
      </w:pPr>
      <w:hyperlink r:id="rId93">
        <w:r>
          <w:rPr>
            <w:rFonts w:ascii="Arial" w:cs="Arial" w:eastAsia="Arial" w:hAnsi="Arial"/>
            <w:sz w:val="17"/>
            <w:szCs w:val="17"/>
            <w:u w:val="single" w:color="auto"/>
            <w:color w:val="0000FF"/>
          </w:rPr>
          <w:t>Second Amended and Restated Bylaws of the Company (incorporated by reference to Exhibit 3.1 to the Form 8-K, File No. 001-35700, filed</w:t>
        </w:r>
      </w:hyperlink>
      <w:r>
        <w:rPr>
          <w:rFonts w:ascii="Arial" w:cs="Arial" w:eastAsia="Arial" w:hAnsi="Arial"/>
          <w:sz w:val="17"/>
          <w:szCs w:val="17"/>
          <w:u w:val="single" w:color="auto"/>
          <w:color w:val="0000FF"/>
        </w:rPr>
        <w:t xml:space="preserve"> </w:t>
      </w:r>
      <w:hyperlink r:id="rId93">
        <w:r>
          <w:rPr>
            <w:rFonts w:ascii="Arial" w:cs="Arial" w:eastAsia="Arial" w:hAnsi="Arial"/>
            <w:sz w:val="17"/>
            <w:szCs w:val="17"/>
            <w:u w:val="single" w:color="auto"/>
            <w:color w:val="0000FF"/>
          </w:rPr>
          <w:t>by the Company with the SEC on November 19, 2019).</w:t>
        </w:r>
      </w:hyperlink>
    </w:p>
    <w:p>
      <w:pPr>
        <w:spacing w:after="0" w:line="1" w:lineRule="exact"/>
        <w:rPr>
          <w:sz w:val="20"/>
          <w:szCs w:val="20"/>
          <w:color w:val="auto"/>
        </w:rPr>
      </w:pPr>
    </w:p>
    <w:p>
      <w:pPr>
        <w:sectPr>
          <w:pgSz w:w="11900" w:h="16838" w:orient="portrait"/>
          <w:cols w:equalWidth="0" w:num="2">
            <w:col w:w="560" w:space="720"/>
            <w:col w:w="9860"/>
          </w:cols>
          <w:pgMar w:left="320" w:top="122" w:right="439" w:bottom="1440" w:gutter="0" w:footer="0" w:header="0"/>
          <w:type w:val="continuous"/>
        </w:sectPr>
      </w:pPr>
    </w:p>
    <w:tbl>
      <w:tblPr>
        <w:tblLayout w:type="fixed"/>
        <w:tblInd w:w="120" w:type="dxa"/>
        <w:tblCellMar>
          <w:top w:w="0" w:type="dxa"/>
          <w:left w:w="0" w:type="dxa"/>
          <w:bottom w:w="0" w:type="dxa"/>
          <w:right w:w="0" w:type="dxa"/>
        </w:tblCellMar>
      </w:tblPr>
      <w:tr>
        <w:trPr>
          <w:trHeight w:val="192"/>
        </w:trPr>
        <w:tc>
          <w:tcPr>
            <w:tcW w:w="1160" w:type="dxa"/>
            <w:vAlign w:val="bottom"/>
            <w:tcBorders>
              <w:bottom w:val="single" w:sz="8" w:color="CCEEFF"/>
            </w:tcBorders>
            <w:shd w:val="clear" w:color="auto" w:fill="CCEEFF"/>
          </w:tcPr>
          <w:p>
            <w:pPr>
              <w:ind w:left="40"/>
              <w:spacing w:after="0" w:line="193" w:lineRule="exact"/>
              <w:rPr>
                <w:sz w:val="20"/>
                <w:szCs w:val="20"/>
                <w:color w:val="auto"/>
              </w:rPr>
            </w:pPr>
            <w:r>
              <w:rPr>
                <w:rFonts w:ascii="Arial" w:cs="Arial" w:eastAsia="Arial" w:hAnsi="Arial"/>
                <w:sz w:val="17"/>
                <w:szCs w:val="17"/>
                <w:color w:val="auto"/>
              </w:rPr>
              <w:t>4.1</w:t>
            </w:r>
          </w:p>
        </w:tc>
        <w:tc>
          <w:tcPr>
            <w:tcW w:w="9820" w:type="dxa"/>
            <w:vAlign w:val="bottom"/>
            <w:tcBorders>
              <w:bottom w:val="single" w:sz="8" w:color="0000FF"/>
            </w:tcBorders>
            <w:gridSpan w:val="8"/>
            <w:shd w:val="clear" w:color="auto" w:fill="CCEEFF"/>
          </w:tcPr>
          <w:p>
            <w:pPr>
              <w:spacing w:after="0" w:line="193" w:lineRule="exact"/>
              <w:rPr>
                <w:rFonts w:ascii="Arial" w:cs="Arial" w:eastAsia="Arial" w:hAnsi="Arial"/>
                <w:sz w:val="17"/>
                <w:szCs w:val="17"/>
                <w:color w:val="0000FF"/>
                <w:w w:val="95"/>
              </w:rPr>
            </w:pPr>
            <w:hyperlink r:id="rId94">
              <w:r>
                <w:rPr>
                  <w:rFonts w:ascii="Arial" w:cs="Arial" w:eastAsia="Arial" w:hAnsi="Arial"/>
                  <w:sz w:val="17"/>
                  <w:szCs w:val="17"/>
                  <w:color w:val="0000FF"/>
                  <w:w w:val="95"/>
                </w:rPr>
                <w:t xml:space="preserve">Specimen certificate for shares of common stock, par value </w:t>
              </w:r>
              <w:r>
                <w:rPr>
                  <w:rFonts w:ascii="Arial" w:cs="Arial" w:eastAsia="Arial" w:hAnsi="Arial"/>
                  <w:sz w:val="17"/>
                  <w:szCs w:val="17"/>
                  <w:u w:val="single" w:color="auto"/>
                  <w:color w:val="0000FF"/>
                  <w:w w:val="95"/>
                </w:rPr>
                <w:t>$</w:t>
              </w:r>
              <w:r>
                <w:rPr>
                  <w:rFonts w:ascii="Arial" w:cs="Arial" w:eastAsia="Arial" w:hAnsi="Arial"/>
                  <w:sz w:val="17"/>
                  <w:szCs w:val="17"/>
                  <w:color w:val="0000FF"/>
                  <w:w w:val="95"/>
                </w:rPr>
                <w:t>0.01 per share, of the Company (incorporated by reference to Exhibit 4.1 to</w:t>
              </w:r>
            </w:hyperlink>
          </w:p>
        </w:tc>
        <w:tc>
          <w:tcPr>
            <w:tcW w:w="100" w:type="dxa"/>
            <w:vAlign w:val="bottom"/>
            <w:tcBorders>
              <w:bottom w:val="single" w:sz="8" w:color="CCEEFF"/>
            </w:tcBorders>
            <w:gridSpan w:val="5"/>
            <w:shd w:val="clear" w:color="auto" w:fill="CCEEFF"/>
          </w:tcPr>
          <w:p>
            <w:pPr>
              <w:spacing w:after="0"/>
              <w:rPr>
                <w:sz w:val="16"/>
                <w:szCs w:val="16"/>
                <w:color w:val="auto"/>
              </w:rPr>
            </w:pPr>
          </w:p>
        </w:tc>
      </w:tr>
      <w:tr>
        <w:trPr>
          <w:trHeight w:val="183"/>
        </w:trPr>
        <w:tc>
          <w:tcPr>
            <w:tcW w:w="1160" w:type="dxa"/>
            <w:vAlign w:val="bottom"/>
            <w:shd w:val="clear" w:color="auto" w:fill="CCEEFF"/>
          </w:tcPr>
          <w:p>
            <w:pPr>
              <w:spacing w:after="0"/>
              <w:rPr>
                <w:sz w:val="15"/>
                <w:szCs w:val="15"/>
                <w:color w:val="auto"/>
              </w:rPr>
            </w:pPr>
          </w:p>
        </w:tc>
        <w:tc>
          <w:tcPr>
            <w:tcW w:w="9920" w:type="dxa"/>
            <w:vAlign w:val="bottom"/>
            <w:gridSpan w:val="13"/>
            <w:shd w:val="clear" w:color="auto" w:fill="CCEEFF"/>
          </w:tcPr>
          <w:p>
            <w:pPr>
              <w:spacing w:after="0" w:line="183" w:lineRule="exact"/>
              <w:rPr>
                <w:rFonts w:ascii="Arial" w:cs="Arial" w:eastAsia="Arial" w:hAnsi="Arial"/>
                <w:sz w:val="17"/>
                <w:szCs w:val="17"/>
                <w:color w:val="0000FF"/>
                <w:w w:val="93"/>
              </w:rPr>
            </w:pPr>
            <w:hyperlink r:id="rId94">
              <w:r>
                <w:rPr>
                  <w:rFonts w:ascii="Arial" w:cs="Arial" w:eastAsia="Arial" w:hAnsi="Arial"/>
                  <w:sz w:val="17"/>
                  <w:szCs w:val="17"/>
                  <w:color w:val="0000FF"/>
                  <w:w w:val="93"/>
                </w:rPr>
                <w:t>Amendment No. 4 to the Registration Statement on Form S-1, File No. 333-179502, filed by the Company with the SEC on August 20, 2012).</w:t>
              </w:r>
            </w:hyperlink>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2420" w:type="dxa"/>
            <w:vAlign w:val="bottom"/>
            <w:tcBorders>
              <w:top w:val="single" w:sz="8" w:color="0000FF"/>
            </w:tcBorders>
            <w:shd w:val="clear" w:color="auto" w:fill="CCEEFF"/>
          </w:tcPr>
          <w:p>
            <w:pPr>
              <w:spacing w:after="0"/>
              <w:rPr>
                <w:sz w:val="4"/>
                <w:szCs w:val="4"/>
                <w:color w:val="auto"/>
              </w:rPr>
            </w:pPr>
          </w:p>
        </w:tc>
        <w:tc>
          <w:tcPr>
            <w:tcW w:w="1400" w:type="dxa"/>
            <w:vAlign w:val="bottom"/>
            <w:tcBorders>
              <w:top w:val="single" w:sz="8" w:color="0000FF"/>
            </w:tcBorders>
            <w:shd w:val="clear" w:color="auto" w:fill="CCEEFF"/>
          </w:tcPr>
          <w:p>
            <w:pPr>
              <w:spacing w:after="0"/>
              <w:rPr>
                <w:sz w:val="4"/>
                <w:szCs w:val="4"/>
                <w:color w:val="auto"/>
              </w:rPr>
            </w:pPr>
          </w:p>
        </w:tc>
        <w:tc>
          <w:tcPr>
            <w:tcW w:w="28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76"/>
        </w:trPr>
        <w:tc>
          <w:tcPr>
            <w:tcW w:w="1160" w:type="dxa"/>
            <w:vAlign w:val="bottom"/>
          </w:tcPr>
          <w:p>
            <w:pPr>
              <w:ind w:left="40"/>
              <w:spacing w:after="0" w:line="176" w:lineRule="exact"/>
              <w:rPr>
                <w:sz w:val="20"/>
                <w:szCs w:val="20"/>
                <w:color w:val="auto"/>
              </w:rPr>
            </w:pPr>
            <w:r>
              <w:rPr>
                <w:rFonts w:ascii="Arial" w:cs="Arial" w:eastAsia="Arial" w:hAnsi="Arial"/>
                <w:sz w:val="17"/>
                <w:szCs w:val="17"/>
                <w:color w:val="auto"/>
              </w:rPr>
              <w:t>4.2</w:t>
            </w:r>
          </w:p>
        </w:tc>
        <w:tc>
          <w:tcPr>
            <w:tcW w:w="9920" w:type="dxa"/>
            <w:vAlign w:val="bottom"/>
            <w:gridSpan w:val="13"/>
          </w:tcPr>
          <w:p>
            <w:pPr>
              <w:spacing w:after="0" w:line="176" w:lineRule="exact"/>
              <w:rPr>
                <w:rFonts w:ascii="Arial" w:cs="Arial" w:eastAsia="Arial" w:hAnsi="Arial"/>
                <w:sz w:val="17"/>
                <w:szCs w:val="17"/>
                <w:color w:val="0000FF"/>
                <w:w w:val="96"/>
              </w:rPr>
            </w:pPr>
            <w:hyperlink r:id="rId95">
              <w:r>
                <w:rPr>
                  <w:rFonts w:ascii="Arial" w:cs="Arial" w:eastAsia="Arial" w:hAnsi="Arial"/>
                  <w:sz w:val="17"/>
                  <w:szCs w:val="17"/>
                  <w:color w:val="0000FF"/>
                  <w:w w:val="96"/>
                </w:rPr>
                <w:t>Registration Rights Agreement, dated as of February 26, 2021, by and among the Company, Guidon Operating LLC and Guidon Energy</w:t>
              </w:r>
            </w:hyperlink>
          </w:p>
        </w:tc>
      </w:tr>
      <w:tr>
        <w:trPr>
          <w:trHeight w:val="142"/>
        </w:trPr>
        <w:tc>
          <w:tcPr>
            <w:tcW w:w="1160" w:type="dxa"/>
            <w:vAlign w:val="bottom"/>
          </w:tcPr>
          <w:p>
            <w:pPr>
              <w:spacing w:after="0"/>
              <w:rPr>
                <w:sz w:val="12"/>
                <w:szCs w:val="12"/>
                <w:color w:val="auto"/>
              </w:rPr>
            </w:pPr>
          </w:p>
        </w:tc>
        <w:tc>
          <w:tcPr>
            <w:tcW w:w="99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Holdings LP (incorporated by reference to Exhibit 4.3 to the Company’s Registration Statement on Form S-3, File No. 333-255731, filed by</w:t>
              </w:r>
            </w:hyperlink>
          </w:p>
        </w:tc>
        <w:tc>
          <w:tcPr>
            <w:tcW w:w="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988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the Company with the SEC on May 3, 2021.</w:t>
              </w:r>
            </w:hyperlink>
          </w:p>
        </w:tc>
        <w:tc>
          <w:tcPr>
            <w:tcW w:w="40" w:type="dxa"/>
            <w:vAlign w:val="bottom"/>
            <w:gridSpan w:val="2"/>
          </w:tcPr>
          <w:p>
            <w:pPr>
              <w:spacing w:after="0"/>
              <w:rPr>
                <w:sz w:val="12"/>
                <w:szCs w:val="12"/>
                <w:color w:val="auto"/>
              </w:rPr>
            </w:pPr>
          </w:p>
        </w:tc>
      </w:tr>
      <w:tr>
        <w:trPr>
          <w:trHeight w:val="21"/>
        </w:trPr>
        <w:tc>
          <w:tcPr>
            <w:tcW w:w="116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60" w:type="dxa"/>
            <w:vAlign w:val="bottom"/>
            <w:shd w:val="clear" w:color="auto" w:fill="CCEEFF"/>
          </w:tcPr>
          <w:p>
            <w:pPr>
              <w:ind w:left="40"/>
              <w:spacing w:after="0" w:line="176" w:lineRule="exact"/>
              <w:rPr>
                <w:sz w:val="20"/>
                <w:szCs w:val="20"/>
                <w:color w:val="auto"/>
              </w:rPr>
            </w:pPr>
            <w:r>
              <w:rPr>
                <w:rFonts w:ascii="Arial" w:cs="Arial" w:eastAsia="Arial" w:hAnsi="Arial"/>
                <w:sz w:val="17"/>
                <w:szCs w:val="17"/>
                <w:color w:val="auto"/>
              </w:rPr>
              <w:t>4.3</w:t>
            </w:r>
          </w:p>
        </w:tc>
        <w:tc>
          <w:tcPr>
            <w:tcW w:w="9920" w:type="dxa"/>
            <w:vAlign w:val="bottom"/>
            <w:gridSpan w:val="13"/>
            <w:shd w:val="clear" w:color="auto" w:fill="CCEEFF"/>
          </w:tcPr>
          <w:p>
            <w:pPr>
              <w:spacing w:after="0" w:line="176" w:lineRule="exact"/>
              <w:rPr>
                <w:rFonts w:ascii="Arial" w:cs="Arial" w:eastAsia="Arial" w:hAnsi="Arial"/>
                <w:sz w:val="17"/>
                <w:szCs w:val="17"/>
                <w:color w:val="0000FF"/>
                <w:w w:val="93"/>
              </w:rPr>
            </w:pPr>
            <w:hyperlink r:id="rId96">
              <w:r>
                <w:rPr>
                  <w:rFonts w:ascii="Arial" w:cs="Arial" w:eastAsia="Arial" w:hAnsi="Arial"/>
                  <w:sz w:val="17"/>
                  <w:szCs w:val="17"/>
                  <w:color w:val="0000FF"/>
                  <w:w w:val="93"/>
                </w:rPr>
                <w:t>Letter Agreement, dated as of April 27, 2021, by and among the Company, Guidon Operating LLC and Guidon Energy Holdings LP relating to</w:t>
              </w:r>
            </w:hyperlink>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10"/>
            <w:shd w:val="clear" w:color="auto" w:fill="CCEEFF"/>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the Registration Rights Agreement referenced as Exhibit 4.2 hereto (incorporated by reference to Exhibit 4.4 to the Company’s Registration</w:t>
              </w:r>
            </w:hyperlink>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9"/>
            <w:shd w:val="clear" w:color="auto" w:fill="CCEEFF"/>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Statement on Form S-3, File No. 333-255731, filed by the Company with the SEC on May 3, 2021).</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42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60" w:type="dxa"/>
            <w:vAlign w:val="bottom"/>
          </w:tcPr>
          <w:p>
            <w:pPr>
              <w:ind w:left="40"/>
              <w:spacing w:after="0" w:line="189" w:lineRule="exact"/>
              <w:rPr>
                <w:sz w:val="20"/>
                <w:szCs w:val="20"/>
                <w:color w:val="auto"/>
              </w:rPr>
            </w:pPr>
            <w:r>
              <w:rPr>
                <w:rFonts w:ascii="Arial" w:cs="Arial" w:eastAsia="Arial" w:hAnsi="Arial"/>
                <w:sz w:val="17"/>
                <w:szCs w:val="17"/>
                <w:color w:val="auto"/>
              </w:rPr>
              <w:t>10.1</w:t>
            </w:r>
          </w:p>
        </w:tc>
        <w:tc>
          <w:tcPr>
            <w:tcW w:w="9820" w:type="dxa"/>
            <w:vAlign w:val="bottom"/>
            <w:tcBorders>
              <w:bottom w:val="single" w:sz="8" w:color="0000FF"/>
            </w:tcBorders>
            <w:gridSpan w:val="8"/>
          </w:tcPr>
          <w:p>
            <w:pPr>
              <w:spacing w:after="0" w:line="189" w:lineRule="exact"/>
              <w:rPr>
                <w:rFonts w:ascii="Arial" w:cs="Arial" w:eastAsia="Arial" w:hAnsi="Arial"/>
                <w:sz w:val="17"/>
                <w:szCs w:val="17"/>
                <w:color w:val="0000FF"/>
                <w:w w:val="92"/>
              </w:rPr>
            </w:pPr>
            <w:hyperlink r:id="rId97">
              <w:r>
                <w:rPr>
                  <w:rFonts w:ascii="Arial" w:cs="Arial" w:eastAsia="Arial" w:hAnsi="Arial"/>
                  <w:sz w:val="17"/>
                  <w:szCs w:val="17"/>
                  <w:color w:val="0000FF"/>
                  <w:w w:val="92"/>
                </w:rPr>
                <w:t>Twelfth Amendment to Second Amended and Restated Credit Agreement and First Amendment to Second Amended and Restated Guaranty</w:t>
              </w:r>
            </w:hyperlink>
          </w:p>
        </w:tc>
        <w:tc>
          <w:tcPr>
            <w:tcW w:w="100" w:type="dxa"/>
            <w:vAlign w:val="bottom"/>
            <w:gridSpan w:val="5"/>
          </w:tcPr>
          <w:p>
            <w:pPr>
              <w:spacing w:after="0"/>
              <w:rPr>
                <w:sz w:val="16"/>
                <w:szCs w:val="16"/>
                <w:color w:val="auto"/>
              </w:rPr>
            </w:pPr>
          </w:p>
        </w:tc>
      </w:tr>
      <w:tr>
        <w:trPr>
          <w:trHeight w:val="183"/>
        </w:trPr>
        <w:tc>
          <w:tcPr>
            <w:tcW w:w="1160" w:type="dxa"/>
            <w:vAlign w:val="bottom"/>
          </w:tcPr>
          <w:p>
            <w:pPr>
              <w:spacing w:after="0"/>
              <w:rPr>
                <w:sz w:val="15"/>
                <w:szCs w:val="15"/>
                <w:color w:val="auto"/>
              </w:rPr>
            </w:pPr>
          </w:p>
        </w:tc>
        <w:tc>
          <w:tcPr>
            <w:tcW w:w="9820" w:type="dxa"/>
            <w:vAlign w:val="bottom"/>
            <w:tcBorders>
              <w:bottom w:val="single" w:sz="8" w:color="0000FF"/>
            </w:tcBorders>
            <w:gridSpan w:val="8"/>
          </w:tcPr>
          <w:p>
            <w:pPr>
              <w:spacing w:after="0" w:line="183" w:lineRule="exact"/>
              <w:rPr>
                <w:rFonts w:ascii="Arial" w:cs="Arial" w:eastAsia="Arial" w:hAnsi="Arial"/>
                <w:sz w:val="17"/>
                <w:szCs w:val="17"/>
                <w:color w:val="0000FF"/>
                <w:w w:val="92"/>
              </w:rPr>
            </w:pPr>
            <w:hyperlink r:id="rId97">
              <w:r>
                <w:rPr>
                  <w:rFonts w:ascii="Arial" w:cs="Arial" w:eastAsia="Arial" w:hAnsi="Arial"/>
                  <w:sz w:val="17"/>
                  <w:szCs w:val="17"/>
                  <w:color w:val="0000FF"/>
                  <w:w w:val="92"/>
                </w:rPr>
                <w:t>Agreement, dated as of June 2, 2021, between Diamondback Energy, Inc., as parent guarantor, Diamondback O&amp;G LLC, as borrower, Wells</w:t>
              </w:r>
            </w:hyperlink>
          </w:p>
        </w:tc>
        <w:tc>
          <w:tcPr>
            <w:tcW w:w="10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9800" w:type="dxa"/>
            <w:vAlign w:val="bottom"/>
            <w:tcBorders>
              <w:bottom w:val="single" w:sz="8" w:color="0000FF"/>
            </w:tcBorders>
            <w:gridSpan w:val="7"/>
          </w:tcPr>
          <w:p>
            <w:pPr>
              <w:spacing w:after="0" w:line="183" w:lineRule="exact"/>
              <w:rPr>
                <w:rFonts w:ascii="Arial" w:cs="Arial" w:eastAsia="Arial" w:hAnsi="Arial"/>
                <w:sz w:val="17"/>
                <w:szCs w:val="17"/>
                <w:color w:val="0000FF"/>
                <w:w w:val="91"/>
              </w:rPr>
            </w:pPr>
            <w:hyperlink r:id="rId97">
              <w:r>
                <w:rPr>
                  <w:rFonts w:ascii="Arial" w:cs="Arial" w:eastAsia="Arial" w:hAnsi="Arial"/>
                  <w:sz w:val="17"/>
                  <w:szCs w:val="17"/>
                  <w:color w:val="0000FF"/>
                  <w:w w:val="91"/>
                </w:rPr>
                <w:t>Fargo Bank, National Association, as administrative agent, and the lenders party thereto (incorporated by reference to Exhibit 10.1 to the Form</w:t>
              </w:r>
            </w:hyperlink>
          </w:p>
        </w:tc>
        <w:tc>
          <w:tcPr>
            <w:tcW w:w="12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9920" w:type="dxa"/>
            <w:vAlign w:val="bottom"/>
            <w:gridSpan w:val="13"/>
          </w:tcPr>
          <w:p>
            <w:pPr>
              <w:spacing w:after="0" w:line="183" w:lineRule="exact"/>
              <w:rPr>
                <w:rFonts w:ascii="Arial" w:cs="Arial" w:eastAsia="Arial" w:hAnsi="Arial"/>
                <w:sz w:val="17"/>
                <w:szCs w:val="17"/>
                <w:color w:val="0000FF"/>
              </w:rPr>
            </w:pPr>
            <w:hyperlink r:id="rId97">
              <w:r>
                <w:rPr>
                  <w:rFonts w:ascii="Arial" w:cs="Arial" w:eastAsia="Arial" w:hAnsi="Arial"/>
                  <w:sz w:val="17"/>
                  <w:szCs w:val="17"/>
                  <w:color w:val="0000FF"/>
                </w:rPr>
                <w:t>8-K, File No. 001-35700, filed by the Company with the SEC on June 8, 2021).</w:t>
              </w:r>
            </w:hyperlink>
          </w:p>
        </w:tc>
      </w:tr>
      <w:tr>
        <w:trPr>
          <w:trHeight w:val="48"/>
        </w:trPr>
        <w:tc>
          <w:tcPr>
            <w:tcW w:w="11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420" w:type="dxa"/>
            <w:vAlign w:val="bottom"/>
            <w:tcBorders>
              <w:top w:val="single" w:sz="8" w:color="0000FF"/>
            </w:tcBorders>
          </w:tcPr>
          <w:p>
            <w:pPr>
              <w:spacing w:after="0"/>
              <w:rPr>
                <w:sz w:val="4"/>
                <w:szCs w:val="4"/>
                <w:color w:val="auto"/>
              </w:rPr>
            </w:pPr>
          </w:p>
        </w:tc>
        <w:tc>
          <w:tcPr>
            <w:tcW w:w="14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10.2*</w:t>
            </w:r>
          </w:p>
        </w:tc>
        <w:tc>
          <w:tcPr>
            <w:tcW w:w="9920" w:type="dxa"/>
            <w:vAlign w:val="bottom"/>
            <w:tcBorders>
              <w:bottom w:val="single" w:sz="8" w:color="0000FF"/>
            </w:tcBorders>
            <w:gridSpan w:val="13"/>
            <w:shd w:val="clear" w:color="auto" w:fill="CCEEFF"/>
          </w:tcPr>
          <w:p>
            <w:pPr>
              <w:spacing w:after="0" w:line="189" w:lineRule="exact"/>
              <w:rPr>
                <w:rFonts w:ascii="Arial" w:cs="Arial" w:eastAsia="Arial" w:hAnsi="Arial"/>
                <w:sz w:val="17"/>
                <w:szCs w:val="17"/>
                <w:color w:val="0000FF"/>
                <w:w w:val="92"/>
              </w:rPr>
            </w:pPr>
            <w:hyperlink w:anchor="page60">
              <w:r>
                <w:rPr>
                  <w:rFonts w:ascii="Arial" w:cs="Arial" w:eastAsia="Arial" w:hAnsi="Arial"/>
                  <w:sz w:val="17"/>
                  <w:szCs w:val="17"/>
                  <w:color w:val="0000FF"/>
                  <w:w w:val="92"/>
                </w:rPr>
                <w:t>Successor Borrower Joinder Agreement, dated as of June 30, 2021, entered into on June 30, 2021, by and among Diamondback E&amp;P LLC, as</w:t>
              </w:r>
            </w:hyperlink>
          </w:p>
        </w:tc>
      </w:tr>
      <w:tr>
        <w:trPr>
          <w:trHeight w:val="183"/>
        </w:trPr>
        <w:tc>
          <w:tcPr>
            <w:tcW w:w="1160" w:type="dxa"/>
            <w:vAlign w:val="bottom"/>
            <w:shd w:val="clear" w:color="auto" w:fill="CCEEFF"/>
          </w:tcPr>
          <w:p>
            <w:pPr>
              <w:spacing w:after="0"/>
              <w:rPr>
                <w:sz w:val="15"/>
                <w:szCs w:val="15"/>
                <w:color w:val="auto"/>
              </w:rPr>
            </w:pPr>
          </w:p>
        </w:tc>
        <w:tc>
          <w:tcPr>
            <w:tcW w:w="9920" w:type="dxa"/>
            <w:vAlign w:val="bottom"/>
            <w:gridSpan w:val="13"/>
            <w:shd w:val="clear" w:color="auto" w:fill="CCEEFF"/>
          </w:tcPr>
          <w:p>
            <w:pPr>
              <w:spacing w:after="0" w:line="183" w:lineRule="exact"/>
              <w:rPr>
                <w:rFonts w:ascii="Arial" w:cs="Arial" w:eastAsia="Arial" w:hAnsi="Arial"/>
                <w:sz w:val="17"/>
                <w:szCs w:val="17"/>
                <w:color w:val="0000FF"/>
                <w:w w:val="93"/>
              </w:rPr>
            </w:pPr>
            <w:hyperlink w:anchor="page60">
              <w:r>
                <w:rPr>
                  <w:rFonts w:ascii="Arial" w:cs="Arial" w:eastAsia="Arial" w:hAnsi="Arial"/>
                  <w:sz w:val="17"/>
                  <w:szCs w:val="17"/>
                  <w:color w:val="0000FF"/>
                  <w:w w:val="93"/>
                </w:rPr>
                <w:t>successor borrower, Diamondback Energy, Inc., as parent guarantor, and Wells Fargo Bank, National Association, as administrative agent for</w:t>
              </w:r>
            </w:hyperlink>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9820" w:type="dxa"/>
            <w:vAlign w:val="bottom"/>
            <w:tcBorders>
              <w:top w:val="single" w:sz="8" w:color="0000FF"/>
            </w:tcBorders>
            <w:gridSpan w:val="8"/>
            <w:shd w:val="clear" w:color="auto" w:fill="CCEEFF"/>
          </w:tcPr>
          <w:p>
            <w:pPr>
              <w:spacing w:after="0" w:line="183" w:lineRule="exact"/>
              <w:rPr>
                <w:rFonts w:ascii="Arial" w:cs="Arial" w:eastAsia="Arial" w:hAnsi="Arial"/>
                <w:sz w:val="17"/>
                <w:szCs w:val="17"/>
                <w:color w:val="0000FF"/>
              </w:rPr>
            </w:pPr>
            <w:hyperlink w:anchor="page60">
              <w:r>
                <w:rPr>
                  <w:rFonts w:ascii="Arial" w:cs="Arial" w:eastAsia="Arial" w:hAnsi="Arial"/>
                  <w:sz w:val="17"/>
                  <w:szCs w:val="17"/>
                  <w:color w:val="0000FF"/>
                </w:rPr>
                <w:t>the lenders</w:t>
              </w:r>
              <w:r>
                <w:rPr>
                  <w:rFonts w:ascii="Arial" w:cs="Arial" w:eastAsia="Arial" w:hAnsi="Arial"/>
                  <w:sz w:val="17"/>
                  <w:szCs w:val="17"/>
                  <w:color w:val="000000"/>
                </w:rPr>
                <w:t>.</w:t>
              </w:r>
            </w:hyperlink>
          </w:p>
        </w:tc>
        <w:tc>
          <w:tcPr>
            <w:tcW w:w="100" w:type="dxa"/>
            <w:vAlign w:val="bottom"/>
            <w:tcBorders>
              <w:top w:val="single" w:sz="8" w:color="CCEEFF"/>
            </w:tcBorders>
            <w:gridSpan w:val="5"/>
            <w:shd w:val="clear" w:color="auto" w:fill="CCEEFF"/>
          </w:tcPr>
          <w:p>
            <w:pPr>
              <w:spacing w:after="0"/>
              <w:rPr>
                <w:sz w:val="15"/>
                <w:szCs w:val="15"/>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160" w:type="dxa"/>
            <w:vAlign w:val="bottom"/>
          </w:tcPr>
          <w:p>
            <w:pPr>
              <w:ind w:left="40"/>
              <w:spacing w:after="0" w:line="189" w:lineRule="exact"/>
              <w:rPr>
                <w:sz w:val="20"/>
                <w:szCs w:val="20"/>
                <w:color w:val="auto"/>
              </w:rPr>
            </w:pPr>
            <w:r>
              <w:rPr>
                <w:rFonts w:ascii="Arial" w:cs="Arial" w:eastAsia="Arial" w:hAnsi="Arial"/>
                <w:sz w:val="17"/>
                <w:szCs w:val="17"/>
                <w:color w:val="auto"/>
              </w:rPr>
              <w:t>10.3*</w:t>
            </w:r>
          </w:p>
        </w:tc>
        <w:tc>
          <w:tcPr>
            <w:tcW w:w="9920" w:type="dxa"/>
            <w:vAlign w:val="bottom"/>
            <w:tcBorders>
              <w:bottom w:val="single" w:sz="8" w:color="0000FF"/>
            </w:tcBorders>
            <w:gridSpan w:val="13"/>
          </w:tcPr>
          <w:p>
            <w:pPr>
              <w:spacing w:after="0" w:line="189" w:lineRule="exact"/>
              <w:rPr>
                <w:rFonts w:ascii="Arial" w:cs="Arial" w:eastAsia="Arial" w:hAnsi="Arial"/>
                <w:sz w:val="17"/>
                <w:szCs w:val="17"/>
                <w:color w:val="0000FF"/>
                <w:w w:val="94"/>
              </w:rPr>
            </w:pPr>
            <w:hyperlink w:anchor="page67">
              <w:r>
                <w:rPr>
                  <w:rFonts w:ascii="Arial" w:cs="Arial" w:eastAsia="Arial" w:hAnsi="Arial"/>
                  <w:sz w:val="17"/>
                  <w:szCs w:val="17"/>
                  <w:color w:val="0000FF"/>
                  <w:w w:val="94"/>
                </w:rPr>
                <w:t>Fourth Supplemental Indenture, dated as of June 30, 2021, among Diamondback E&amp;P LLC, as successor by merger to Diamondback O&amp;G</w:t>
              </w:r>
            </w:hyperlink>
          </w:p>
        </w:tc>
      </w:tr>
      <w:tr>
        <w:trPr>
          <w:trHeight w:val="183"/>
        </w:trPr>
        <w:tc>
          <w:tcPr>
            <w:tcW w:w="1160" w:type="dxa"/>
            <w:vAlign w:val="bottom"/>
          </w:tcPr>
          <w:p>
            <w:pPr>
              <w:spacing w:after="0"/>
              <w:rPr>
                <w:sz w:val="15"/>
                <w:szCs w:val="15"/>
                <w:color w:val="auto"/>
              </w:rPr>
            </w:pPr>
          </w:p>
        </w:tc>
        <w:tc>
          <w:tcPr>
            <w:tcW w:w="9920" w:type="dxa"/>
            <w:vAlign w:val="bottom"/>
            <w:tcBorders>
              <w:bottom w:val="single" w:sz="8" w:color="0000FF"/>
            </w:tcBorders>
            <w:gridSpan w:val="13"/>
          </w:tcPr>
          <w:p>
            <w:pPr>
              <w:spacing w:after="0" w:line="183" w:lineRule="exact"/>
              <w:rPr>
                <w:rFonts w:ascii="Arial" w:cs="Arial" w:eastAsia="Arial" w:hAnsi="Arial"/>
                <w:sz w:val="17"/>
                <w:szCs w:val="17"/>
                <w:color w:val="0000FF"/>
                <w:w w:val="98"/>
              </w:rPr>
            </w:pPr>
            <w:hyperlink w:anchor="page67">
              <w:r>
                <w:rPr>
                  <w:rFonts w:ascii="Arial" w:cs="Arial" w:eastAsia="Arial" w:hAnsi="Arial"/>
                  <w:sz w:val="17"/>
                  <w:szCs w:val="17"/>
                  <w:color w:val="0000FF"/>
                  <w:w w:val="98"/>
                </w:rPr>
                <w:t>LLC, each a subsidiary of the Company, the Company and Wells Fargo Bank, National Association, as trustee under the indenture, as</w:t>
              </w:r>
            </w:hyperlink>
          </w:p>
        </w:tc>
      </w:tr>
      <w:tr>
        <w:trPr>
          <w:trHeight w:val="183"/>
        </w:trPr>
        <w:tc>
          <w:tcPr>
            <w:tcW w:w="1160" w:type="dxa"/>
            <w:vAlign w:val="bottom"/>
          </w:tcPr>
          <w:p>
            <w:pPr>
              <w:spacing w:after="0"/>
              <w:rPr>
                <w:sz w:val="15"/>
                <w:szCs w:val="15"/>
                <w:color w:val="auto"/>
              </w:rPr>
            </w:pPr>
          </w:p>
        </w:tc>
        <w:tc>
          <w:tcPr>
            <w:tcW w:w="9920" w:type="dxa"/>
            <w:vAlign w:val="bottom"/>
            <w:tcBorders>
              <w:bottom w:val="single" w:sz="8" w:color="0000FF"/>
            </w:tcBorders>
            <w:gridSpan w:val="13"/>
          </w:tcPr>
          <w:p>
            <w:pPr>
              <w:spacing w:after="0" w:line="183" w:lineRule="exact"/>
              <w:rPr>
                <w:rFonts w:ascii="Arial" w:cs="Arial" w:eastAsia="Arial" w:hAnsi="Arial"/>
                <w:sz w:val="17"/>
                <w:szCs w:val="17"/>
                <w:color w:val="0000FF"/>
                <w:w w:val="94"/>
              </w:rPr>
            </w:pPr>
            <w:hyperlink w:anchor="page67">
              <w:r>
                <w:rPr>
                  <w:rFonts w:ascii="Arial" w:cs="Arial" w:eastAsia="Arial" w:hAnsi="Arial"/>
                  <w:sz w:val="17"/>
                  <w:szCs w:val="17"/>
                  <w:color w:val="0000FF"/>
                  <w:w w:val="94"/>
                </w:rPr>
                <w:t>supplemented by several supplements, relating, as applicable, to the Company’s 2.875% Senior Notes due 2024, 3.250% Senior Notes due</w:t>
              </w:r>
            </w:hyperlink>
          </w:p>
        </w:tc>
      </w:tr>
      <w:tr>
        <w:trPr>
          <w:trHeight w:val="183"/>
        </w:trPr>
        <w:tc>
          <w:tcPr>
            <w:tcW w:w="1160" w:type="dxa"/>
            <w:vAlign w:val="bottom"/>
          </w:tcPr>
          <w:p>
            <w:pPr>
              <w:spacing w:after="0"/>
              <w:rPr>
                <w:sz w:val="15"/>
                <w:szCs w:val="15"/>
                <w:color w:val="auto"/>
              </w:rPr>
            </w:pPr>
          </w:p>
        </w:tc>
        <w:tc>
          <w:tcPr>
            <w:tcW w:w="9920" w:type="dxa"/>
            <w:vAlign w:val="bottom"/>
            <w:gridSpan w:val="13"/>
          </w:tcPr>
          <w:p>
            <w:pPr>
              <w:spacing w:after="0" w:line="183" w:lineRule="exact"/>
              <w:rPr>
                <w:rFonts w:ascii="Arial" w:cs="Arial" w:eastAsia="Arial" w:hAnsi="Arial"/>
                <w:sz w:val="17"/>
                <w:szCs w:val="17"/>
                <w:color w:val="0000FF"/>
                <w:w w:val="93"/>
              </w:rPr>
            </w:pPr>
            <w:hyperlink w:anchor="page67">
              <w:r>
                <w:rPr>
                  <w:rFonts w:ascii="Arial" w:cs="Arial" w:eastAsia="Arial" w:hAnsi="Arial"/>
                  <w:sz w:val="17"/>
                  <w:szCs w:val="17"/>
                  <w:color w:val="0000FF"/>
                  <w:w w:val="93"/>
                </w:rPr>
                <w:t>2026, 3.500% Senior Notes due 2029, 4.750% Senior Notes due 2025, 0.900% Senior Notes due 2023, 3.125% Senior Notes due 2031 and</w:t>
              </w:r>
            </w:hyperlink>
          </w:p>
        </w:tc>
      </w:tr>
      <w:tr>
        <w:trPr>
          <w:trHeight w:val="183"/>
        </w:trPr>
        <w:tc>
          <w:tcPr>
            <w:tcW w:w="1160" w:type="dxa"/>
            <w:vAlign w:val="bottom"/>
          </w:tcPr>
          <w:p>
            <w:pPr>
              <w:spacing w:after="0"/>
              <w:rPr>
                <w:sz w:val="15"/>
                <w:szCs w:val="15"/>
                <w:color w:val="auto"/>
              </w:rPr>
            </w:pPr>
          </w:p>
        </w:tc>
        <w:tc>
          <w:tcPr>
            <w:tcW w:w="9820" w:type="dxa"/>
            <w:vAlign w:val="bottom"/>
            <w:tcBorders>
              <w:top w:val="single" w:sz="8" w:color="0000FF"/>
            </w:tcBorders>
            <w:gridSpan w:val="8"/>
          </w:tcPr>
          <w:p>
            <w:pPr>
              <w:spacing w:after="0" w:line="183" w:lineRule="exact"/>
              <w:rPr>
                <w:rFonts w:ascii="Arial" w:cs="Arial" w:eastAsia="Arial" w:hAnsi="Arial"/>
                <w:sz w:val="17"/>
                <w:szCs w:val="17"/>
                <w:color w:val="0000FF"/>
              </w:rPr>
            </w:pPr>
            <w:hyperlink w:anchor="page67">
              <w:r>
                <w:rPr>
                  <w:rFonts w:ascii="Arial" w:cs="Arial" w:eastAsia="Arial" w:hAnsi="Arial"/>
                  <w:sz w:val="17"/>
                  <w:szCs w:val="17"/>
                  <w:color w:val="0000FF"/>
                </w:rPr>
                <w:t>4.</w:t>
              </w:r>
              <w:r>
                <w:rPr>
                  <w:rFonts w:ascii="Arial" w:cs="Arial" w:eastAsia="Arial" w:hAnsi="Arial"/>
                  <w:sz w:val="17"/>
                  <w:szCs w:val="17"/>
                  <w:u w:val="single" w:color="auto"/>
                  <w:color w:val="0000FF"/>
                </w:rPr>
                <w:t>400%</w:t>
              </w:r>
              <w:r>
                <w:rPr>
                  <w:rFonts w:ascii="Arial" w:cs="Arial" w:eastAsia="Arial" w:hAnsi="Arial"/>
                  <w:sz w:val="17"/>
                  <w:szCs w:val="17"/>
                  <w:color w:val="0000FF"/>
                </w:rPr>
                <w:t xml:space="preserve"> Senior Notes due 2051.</w:t>
              </w:r>
            </w:hyperlink>
          </w:p>
        </w:tc>
        <w:tc>
          <w:tcPr>
            <w:tcW w:w="100" w:type="dxa"/>
            <w:vAlign w:val="bottom"/>
            <w:gridSpan w:val="5"/>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0" w:lineRule="exact"/>
        <w:rPr>
          <w:sz w:val="20"/>
          <w:szCs w:val="20"/>
          <w:color w:val="auto"/>
        </w:rPr>
      </w:pPr>
    </w:p>
    <w:p>
      <w:pPr>
        <w:sectPr>
          <w:pgSz w:w="11900" w:h="16838" w:orient="portrait"/>
          <w:cols w:equalWidth="0" w:num="1">
            <w:col w:w="11140"/>
          </w:cols>
          <w:pgMar w:left="320" w:top="122" w:right="43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10.4*</w:t>
      </w:r>
    </w:p>
    <w:p>
      <w:pPr>
        <w:spacing w:after="0" w:line="200" w:lineRule="exact"/>
        <w:rPr>
          <w:sz w:val="20"/>
          <w:szCs w:val="20"/>
          <w:color w:val="auto"/>
        </w:rPr>
      </w:pPr>
    </w:p>
    <w:p>
      <w:pPr>
        <w:spacing w:after="0" w:line="26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br w:type="column"/>
      </w:r>
    </w:p>
    <w:p>
      <w:pPr>
        <w:jc w:val="both"/>
        <w:ind w:right="20"/>
        <w:spacing w:after="0" w:line="261" w:lineRule="auto"/>
        <w:rPr>
          <w:rFonts w:ascii="Arial" w:cs="Arial" w:eastAsia="Arial" w:hAnsi="Arial"/>
          <w:sz w:val="17"/>
          <w:szCs w:val="17"/>
          <w:u w:val="single" w:color="auto"/>
          <w:color w:val="0000FF"/>
        </w:rPr>
      </w:pPr>
      <w:hyperlink w:anchor="page72">
        <w:r>
          <w:rPr>
            <w:rFonts w:ascii="Arial" w:cs="Arial" w:eastAsia="Arial" w:hAnsi="Arial"/>
            <w:sz w:val="17"/>
            <w:szCs w:val="17"/>
            <w:u w:val="single" w:color="auto"/>
            <w:color w:val="0000FF"/>
          </w:rPr>
          <w:t>First Supplemental Indenture, dated as of June 30, 2021, between Diamondback E&amp;P LLC, as successor by merger to Energen, and The Bank</w:t>
        </w:r>
      </w:hyperlink>
      <w:r>
        <w:rPr>
          <w:rFonts w:ascii="Arial" w:cs="Arial" w:eastAsia="Arial" w:hAnsi="Arial"/>
          <w:sz w:val="17"/>
          <w:szCs w:val="17"/>
          <w:u w:val="single" w:color="auto"/>
          <w:color w:val="0000FF"/>
        </w:rPr>
        <w:t xml:space="preserve"> </w:t>
      </w:r>
      <w:hyperlink w:anchor="page72">
        <w:r>
          <w:rPr>
            <w:rFonts w:ascii="Arial" w:cs="Arial" w:eastAsia="Arial" w:hAnsi="Arial"/>
            <w:sz w:val="17"/>
            <w:szCs w:val="17"/>
            <w:u w:val="single" w:color="auto"/>
            <w:color w:val="0000FF"/>
          </w:rPr>
          <w:t>of New York Mellon Trust Company, N.A., successor in interest to The Bank of New York, as trustee under the indenture relating to Energen’s</w:t>
        </w:r>
      </w:hyperlink>
      <w:r>
        <w:rPr>
          <w:rFonts w:ascii="Arial" w:cs="Arial" w:eastAsia="Arial" w:hAnsi="Arial"/>
          <w:sz w:val="17"/>
          <w:szCs w:val="17"/>
          <w:u w:val="single" w:color="auto"/>
          <w:color w:val="0000FF"/>
        </w:rPr>
        <w:t xml:space="preserve"> </w:t>
      </w:r>
      <w:hyperlink w:anchor="page72">
        <w:r>
          <w:rPr>
            <w:rFonts w:ascii="Arial" w:cs="Arial" w:eastAsia="Arial" w:hAnsi="Arial"/>
            <w:sz w:val="17"/>
            <w:szCs w:val="17"/>
            <w:u w:val="single" w:color="auto"/>
            <w:color w:val="0000FF"/>
          </w:rPr>
          <w:t>notes.</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-738505</wp:posOffset>
            </wp:positionH>
            <wp:positionV relativeFrom="paragraph">
              <wp:posOffset>-410210</wp:posOffset>
            </wp:positionV>
            <wp:extent cx="7003415" cy="419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003415" cy="419735"/>
                    </a:xfrm>
                    <a:prstGeom prst="rect">
                      <a:avLst/>
                    </a:prstGeom>
                    <a:noFill/>
                  </pic:spPr>
                </pic:pic>
              </a:graphicData>
            </a:graphic>
          </wp:anchor>
        </w:drawing>
      </w:r>
    </w:p>
    <w:p>
      <w:pPr>
        <w:spacing w:after="0" w:line="4" w:lineRule="exact"/>
        <w:rPr>
          <w:rFonts w:ascii="Arial" w:cs="Arial" w:eastAsia="Arial" w:hAnsi="Arial"/>
          <w:sz w:val="17"/>
          <w:szCs w:val="17"/>
          <w:u w:val="single" w:color="auto"/>
          <w:color w:val="0000FF"/>
        </w:rPr>
      </w:pPr>
    </w:p>
    <w:p>
      <w:pPr>
        <w:jc w:val="both"/>
        <w:ind w:right="20"/>
        <w:spacing w:after="0" w:line="261" w:lineRule="auto"/>
        <w:rPr>
          <w:rFonts w:ascii="Arial" w:cs="Arial" w:eastAsia="Arial" w:hAnsi="Arial"/>
          <w:sz w:val="17"/>
          <w:szCs w:val="17"/>
          <w:u w:val="single" w:color="auto"/>
          <w:color w:val="0000FF"/>
        </w:rPr>
      </w:pPr>
      <w:hyperlink w:anchor="page80">
        <w:r>
          <w:rPr>
            <w:rFonts w:ascii="Arial" w:cs="Arial" w:eastAsia="Arial" w:hAnsi="Arial"/>
            <w:sz w:val="17"/>
            <w:szCs w:val="17"/>
            <w:u w:val="single" w:color="auto"/>
            <w:color w:val="0000FF"/>
          </w:rPr>
          <w:t>Fourth Supplemental Indenture, dated as of June 30, 2021, among Diamondback E&amp;P LLC, as successor in interest to Diamondback O&amp;G</w:t>
        </w:r>
      </w:hyperlink>
      <w:r>
        <w:rPr>
          <w:rFonts w:ascii="Arial" w:cs="Arial" w:eastAsia="Arial" w:hAnsi="Arial"/>
          <w:sz w:val="17"/>
          <w:szCs w:val="17"/>
          <w:u w:val="single" w:color="auto"/>
          <w:color w:val="0000FF"/>
        </w:rPr>
        <w:t xml:space="preserve"> </w:t>
      </w:r>
      <w:hyperlink w:anchor="page80">
        <w:r>
          <w:rPr>
            <w:rFonts w:ascii="Arial" w:cs="Arial" w:eastAsia="Arial" w:hAnsi="Arial"/>
            <w:sz w:val="17"/>
            <w:szCs w:val="17"/>
            <w:u w:val="single" w:color="auto"/>
            <w:color w:val="0000FF"/>
          </w:rPr>
          <w:t>LLC, each a subsidiary of the Company, the Company and Wells Fargo Bank, National Association, as trustee under the indenture relating to</w:t>
        </w:r>
      </w:hyperlink>
      <w:r>
        <w:rPr>
          <w:rFonts w:ascii="Arial" w:cs="Arial" w:eastAsia="Arial" w:hAnsi="Arial"/>
          <w:sz w:val="17"/>
          <w:szCs w:val="17"/>
          <w:u w:val="single" w:color="auto"/>
          <w:color w:val="0000FF"/>
        </w:rPr>
        <w:t xml:space="preserve"> </w:t>
      </w:r>
      <w:hyperlink w:anchor="page80">
        <w:r>
          <w:rPr>
            <w:rFonts w:ascii="Arial" w:cs="Arial" w:eastAsia="Arial" w:hAnsi="Arial"/>
            <w:sz w:val="17"/>
            <w:szCs w:val="17"/>
            <w:u w:val="single" w:color="auto"/>
            <w:color w:val="0000FF"/>
          </w:rPr>
          <w:t>the Company’s 5.375% Senior Notes due 2025.</w:t>
        </w:r>
      </w:hyperlink>
    </w:p>
    <w:p>
      <w:pPr>
        <w:spacing w:after="0" w:line="8" w:lineRule="exact"/>
        <w:rPr>
          <w:rFonts w:ascii="Arial" w:cs="Arial" w:eastAsia="Arial" w:hAnsi="Arial"/>
          <w:sz w:val="17"/>
          <w:szCs w:val="17"/>
          <w:u w:val="single" w:color="auto"/>
          <w:color w:val="0000FF"/>
        </w:rPr>
      </w:pPr>
    </w:p>
    <w:p>
      <w:pPr>
        <w:sectPr>
          <w:pgSz w:w="11900" w:h="16838" w:orient="portrait"/>
          <w:cols w:equalWidth="0" w:num="2">
            <w:col w:w="560" w:space="720"/>
            <w:col w:w="9860"/>
          </w:cols>
          <w:pgMar w:left="320" w:top="122" w:right="439" w:bottom="1440" w:gutter="0" w:footer="0" w:header="0"/>
          <w:type w:val="continuous"/>
        </w:sectPr>
      </w:pPr>
    </w:p>
    <w:tbl>
      <w:tblPr>
        <w:tblLayout w:type="fixed"/>
        <w:tblInd w:w="120" w:type="dxa"/>
        <w:tblCellMar>
          <w:top w:w="0" w:type="dxa"/>
          <w:left w:w="0" w:type="dxa"/>
          <w:bottom w:w="0" w:type="dxa"/>
          <w:right w:w="0" w:type="dxa"/>
        </w:tblCellMar>
      </w:tblPr>
      <w:tr>
        <w:trPr>
          <w:trHeight w:val="195"/>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10.6</w:t>
            </w:r>
          </w:p>
        </w:tc>
        <w:tc>
          <w:tcPr>
            <w:tcW w:w="9840" w:type="dxa"/>
            <w:vAlign w:val="bottom"/>
            <w:tcBorders>
              <w:bottom w:val="single" w:sz="8" w:color="0000FF"/>
            </w:tcBorders>
            <w:gridSpan w:val="5"/>
            <w:shd w:val="clear" w:color="auto" w:fill="CCEEFF"/>
          </w:tcPr>
          <w:p>
            <w:pPr>
              <w:spacing w:after="0"/>
              <w:rPr>
                <w:rFonts w:ascii="Arial" w:cs="Arial" w:eastAsia="Arial" w:hAnsi="Arial"/>
                <w:sz w:val="17"/>
                <w:szCs w:val="17"/>
                <w:color w:val="0000FF"/>
                <w:w w:val="96"/>
              </w:rPr>
            </w:pPr>
            <w:hyperlink r:id="rId99">
              <w:r>
                <w:rPr>
                  <w:rFonts w:ascii="Arial" w:cs="Arial" w:eastAsia="Arial" w:hAnsi="Arial"/>
                  <w:sz w:val="17"/>
                  <w:szCs w:val="17"/>
                  <w:color w:val="0000FF"/>
                  <w:w w:val="96"/>
                </w:rPr>
                <w:t>Seventh Amendment to Amended and Restated Senior Secured Revolving Credit Agreement and Second Amendment to Guaranty and</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3"/>
        </w:trPr>
        <w:tc>
          <w:tcPr>
            <w:tcW w:w="116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FF"/>
            </w:tcBorders>
            <w:gridSpan w:val="5"/>
            <w:shd w:val="clear" w:color="auto" w:fill="CCEEFF"/>
          </w:tcPr>
          <w:p>
            <w:pPr>
              <w:spacing w:after="0" w:line="183" w:lineRule="exact"/>
              <w:rPr>
                <w:rFonts w:ascii="Arial" w:cs="Arial" w:eastAsia="Arial" w:hAnsi="Arial"/>
                <w:sz w:val="17"/>
                <w:szCs w:val="17"/>
                <w:color w:val="0000FF"/>
                <w:w w:val="92"/>
              </w:rPr>
            </w:pPr>
            <w:hyperlink r:id="rId99">
              <w:r>
                <w:rPr>
                  <w:rFonts w:ascii="Arial" w:cs="Arial" w:eastAsia="Arial" w:hAnsi="Arial"/>
                  <w:sz w:val="17"/>
                  <w:szCs w:val="17"/>
                  <w:color w:val="0000FF"/>
                  <w:w w:val="92"/>
                </w:rPr>
                <w:t>Collateral Agreement, dated as of June 2, 2021, by and among Viper Energy Partners LLC, as borrower, Viper Energy Partners LP, as parent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83"/>
        </w:trPr>
        <w:tc>
          <w:tcPr>
            <w:tcW w:w="1160" w:type="dxa"/>
            <w:vAlign w:val="bottom"/>
            <w:tcBorders>
              <w:bottom w:val="single" w:sz="8" w:color="CCEEFF"/>
            </w:tcBorders>
            <w:shd w:val="clear" w:color="auto" w:fill="CCEEFF"/>
          </w:tcPr>
          <w:p>
            <w:pPr>
              <w:spacing w:after="0"/>
              <w:rPr>
                <w:sz w:val="15"/>
                <w:szCs w:val="15"/>
                <w:color w:val="auto"/>
              </w:rPr>
            </w:pPr>
          </w:p>
        </w:tc>
        <w:tc>
          <w:tcPr>
            <w:tcW w:w="9840" w:type="dxa"/>
            <w:vAlign w:val="bottom"/>
            <w:tcBorders>
              <w:bottom w:val="single" w:sz="8" w:color="0000FF"/>
            </w:tcBorders>
            <w:gridSpan w:val="5"/>
            <w:shd w:val="clear" w:color="auto" w:fill="CCEEFF"/>
          </w:tcPr>
          <w:p>
            <w:pPr>
              <w:spacing w:after="0" w:line="183" w:lineRule="exact"/>
              <w:rPr>
                <w:rFonts w:ascii="Arial" w:cs="Arial" w:eastAsia="Arial" w:hAnsi="Arial"/>
                <w:sz w:val="17"/>
                <w:szCs w:val="17"/>
                <w:color w:val="0000FF"/>
                <w:w w:val="91"/>
              </w:rPr>
            </w:pPr>
            <w:hyperlink r:id="rId99">
              <w:r>
                <w:rPr>
                  <w:rFonts w:ascii="Arial" w:cs="Arial" w:eastAsia="Arial" w:hAnsi="Arial"/>
                  <w:sz w:val="17"/>
                  <w:szCs w:val="17"/>
                  <w:color w:val="0000FF"/>
                  <w:w w:val="91"/>
                </w:rPr>
                <w:t>guarantor, Wells Fargo Bank, National Association, as administrative agent, and the lenders party thereto (incorporated by reference to Exhibit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30"/>
        </w:trPr>
        <w:tc>
          <w:tcPr>
            <w:tcW w:w="1160" w:type="dxa"/>
            <w:vAlign w:val="bottom"/>
            <w:tcBorders>
              <w:bottom w:val="single" w:sz="8" w:color="CCEEFF"/>
            </w:tcBorders>
            <w:shd w:val="clear" w:color="auto" w:fill="CCEEFF"/>
          </w:tcPr>
          <w:p>
            <w:pPr>
              <w:spacing w:after="0"/>
              <w:rPr>
                <w:sz w:val="20"/>
                <w:szCs w:val="20"/>
                <w:color w:val="auto"/>
              </w:rPr>
            </w:pPr>
          </w:p>
        </w:tc>
        <w:tc>
          <w:tcPr>
            <w:tcW w:w="7480" w:type="dxa"/>
            <w:vAlign w:val="bottom"/>
            <w:tcBorders>
              <w:bottom w:val="single" w:sz="8" w:color="0000FF"/>
            </w:tcBorders>
            <w:gridSpan w:val="3"/>
            <w:shd w:val="clear" w:color="auto" w:fill="CCEEFF"/>
          </w:tcPr>
          <w:p>
            <w:pPr>
              <w:spacing w:after="0" w:line="183" w:lineRule="exact"/>
              <w:rPr>
                <w:rFonts w:ascii="Arial" w:cs="Arial" w:eastAsia="Arial" w:hAnsi="Arial"/>
                <w:sz w:val="17"/>
                <w:szCs w:val="17"/>
                <w:color w:val="0000FF"/>
                <w:w w:val="92"/>
              </w:rPr>
            </w:pPr>
            <w:hyperlink r:id="rId99">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w:t>
              </w:r>
              <w:r>
                <w:rPr>
                  <w:rFonts w:ascii="Arial" w:cs="Arial" w:eastAsia="Arial" w:hAnsi="Arial"/>
                  <w:sz w:val="17"/>
                  <w:szCs w:val="17"/>
                  <w:color w:val="0000FF"/>
                  <w:w w:val="92"/>
                </w:rPr>
                <w:t xml:space="preserve"> to the Form 8-K, File No. 001-36505, filed by Viper Energy Partners LP with the SEC on June 8, 2021).</w:t>
              </w:r>
            </w:hyperlink>
          </w:p>
        </w:tc>
        <w:tc>
          <w:tcPr>
            <w:tcW w:w="2380" w:type="dxa"/>
            <w:vAlign w:val="bottom"/>
            <w:tcBorders>
              <w:bottom w:val="single" w:sz="8" w:color="CCEEFF"/>
            </w:tcBorders>
            <w:gridSpan w:val="3"/>
            <w:shd w:val="clear" w:color="auto" w:fill="CCEEFF"/>
          </w:tcPr>
          <w:p>
            <w:pPr>
              <w:spacing w:after="0"/>
              <w:rPr>
                <w:sz w:val="20"/>
                <w:szCs w:val="20"/>
                <w:color w:val="auto"/>
              </w:rPr>
            </w:pPr>
          </w:p>
        </w:tc>
      </w:tr>
      <w:tr>
        <w:trPr>
          <w:trHeight w:val="189"/>
        </w:trPr>
        <w:tc>
          <w:tcPr>
            <w:tcW w:w="1160" w:type="dxa"/>
            <w:vAlign w:val="bottom"/>
          </w:tcPr>
          <w:p>
            <w:pPr>
              <w:ind w:left="40"/>
              <w:spacing w:after="0" w:line="189" w:lineRule="exact"/>
              <w:rPr>
                <w:sz w:val="20"/>
                <w:szCs w:val="20"/>
                <w:color w:val="auto"/>
              </w:rPr>
            </w:pPr>
            <w:r>
              <w:rPr>
                <w:rFonts w:ascii="Arial" w:cs="Arial" w:eastAsia="Arial" w:hAnsi="Arial"/>
                <w:sz w:val="17"/>
                <w:szCs w:val="17"/>
                <w:color w:val="auto"/>
              </w:rPr>
              <w:t>22.1*</w:t>
            </w:r>
          </w:p>
        </w:tc>
        <w:tc>
          <w:tcPr>
            <w:tcW w:w="9860" w:type="dxa"/>
            <w:vAlign w:val="bottom"/>
            <w:gridSpan w:val="6"/>
          </w:tcPr>
          <w:p>
            <w:pPr>
              <w:spacing w:after="0" w:line="189" w:lineRule="exact"/>
              <w:rPr>
                <w:rFonts w:ascii="Arial" w:cs="Arial" w:eastAsia="Arial" w:hAnsi="Arial"/>
                <w:sz w:val="17"/>
                <w:szCs w:val="17"/>
                <w:color w:val="0000FF"/>
              </w:rPr>
            </w:pPr>
            <w:hyperlink w:anchor="page84">
              <w:r>
                <w:rPr>
                  <w:rFonts w:ascii="Arial" w:cs="Arial" w:eastAsia="Arial" w:hAnsi="Arial"/>
                  <w:sz w:val="17"/>
                  <w:szCs w:val="17"/>
                  <w:color w:val="0000FF"/>
                </w:rPr>
                <w:t>List of Issuers and Guarantor Subsidiaries.</w:t>
              </w:r>
            </w:hyperlink>
          </w:p>
        </w:tc>
      </w:tr>
      <w:tr>
        <w:trPr>
          <w:trHeight w:val="48"/>
        </w:trPr>
        <w:tc>
          <w:tcPr>
            <w:tcW w:w="116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2060" w:type="dxa"/>
            <w:vAlign w:val="bottom"/>
            <w:tcBorders>
              <w:top w:val="single" w:sz="8" w:color="0000FF"/>
            </w:tcBorders>
          </w:tcPr>
          <w:p>
            <w:pPr>
              <w:spacing w:after="0"/>
              <w:rPr>
                <w:sz w:val="4"/>
                <w:szCs w:val="4"/>
                <w:color w:val="auto"/>
              </w:rPr>
            </w:pPr>
          </w:p>
        </w:tc>
        <w:tc>
          <w:tcPr>
            <w:tcW w:w="456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1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31.1*</w:t>
            </w:r>
          </w:p>
        </w:tc>
        <w:tc>
          <w:tcPr>
            <w:tcW w:w="9860" w:type="dxa"/>
            <w:vAlign w:val="bottom"/>
            <w:gridSpan w:val="6"/>
            <w:shd w:val="clear" w:color="auto" w:fill="CCEEFF"/>
          </w:tcPr>
          <w:p>
            <w:pPr>
              <w:spacing w:after="0" w:line="189" w:lineRule="exact"/>
              <w:rPr>
                <w:rFonts w:ascii="Arial" w:cs="Arial" w:eastAsia="Arial" w:hAnsi="Arial"/>
                <w:sz w:val="17"/>
                <w:szCs w:val="17"/>
                <w:color w:val="0000FF"/>
                <w:w w:val="93"/>
              </w:rPr>
            </w:pPr>
            <w:hyperlink w:anchor="page85">
              <w:r>
                <w:rPr>
                  <w:rFonts w:ascii="Arial" w:cs="Arial" w:eastAsia="Arial" w:hAnsi="Arial"/>
                  <w:sz w:val="17"/>
                  <w:szCs w:val="17"/>
                  <w:color w:val="0000FF"/>
                  <w:w w:val="93"/>
                </w:rPr>
                <w:t>Certification of Chief Executive Officer of the Registrant pursuant to Rule 13a-14(a) promulgated under the Securities Exchange Act of 1934,</w:t>
              </w:r>
            </w:hyperlink>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9780" w:type="dxa"/>
            <w:vAlign w:val="bottom"/>
            <w:tcBorders>
              <w:top w:val="single" w:sz="8" w:color="0000FF"/>
            </w:tcBorders>
            <w:gridSpan w:val="4"/>
            <w:shd w:val="clear" w:color="auto" w:fill="CCEEFF"/>
          </w:tcPr>
          <w:p>
            <w:pPr>
              <w:spacing w:after="0" w:line="183" w:lineRule="exact"/>
              <w:rPr>
                <w:rFonts w:ascii="Arial" w:cs="Arial" w:eastAsia="Arial" w:hAnsi="Arial"/>
                <w:sz w:val="17"/>
                <w:szCs w:val="17"/>
                <w:color w:val="0000FF"/>
              </w:rPr>
            </w:pPr>
            <w:hyperlink w:anchor="page85">
              <w:r>
                <w:rPr>
                  <w:rFonts w:ascii="Arial" w:cs="Arial" w:eastAsia="Arial" w:hAnsi="Arial"/>
                  <w:sz w:val="17"/>
                  <w:szCs w:val="17"/>
                  <w:color w:val="0000FF"/>
                </w:rPr>
                <w:t>as amended.</w:t>
              </w:r>
            </w:hyperlink>
          </w:p>
        </w:tc>
        <w:tc>
          <w:tcPr>
            <w:tcW w:w="8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456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 w:lineRule="exact"/>
        <w:rPr>
          <w:sz w:val="20"/>
          <w:szCs w:val="20"/>
          <w:color w:val="auto"/>
        </w:rPr>
      </w:pPr>
    </w:p>
    <w:p>
      <w:pPr>
        <w:sectPr>
          <w:pgSz w:w="11900" w:h="16838" w:orient="portrait"/>
          <w:cols w:equalWidth="0" w:num="1">
            <w:col w:w="11140"/>
          </w:cols>
          <w:pgMar w:left="320" w:top="122" w:right="439" w:bottom="1440" w:gutter="0" w:footer="0" w:header="0"/>
          <w:type w:val="continuous"/>
        </w:sectPr>
      </w:pPr>
    </w:p>
    <w:p>
      <w:pPr>
        <w:ind w:left="160"/>
        <w:spacing w:after="0"/>
        <w:rPr>
          <w:sz w:val="20"/>
          <w:szCs w:val="20"/>
          <w:color w:val="auto"/>
        </w:rPr>
      </w:pPr>
      <w:r>
        <w:rPr>
          <w:rFonts w:ascii="Arial" w:cs="Arial" w:eastAsia="Arial" w:hAnsi="Arial"/>
          <w:sz w:val="17"/>
          <w:szCs w:val="17"/>
          <w:color w:val="auto"/>
        </w:rPr>
        <w:t>31.2*</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br w:type="column"/>
      </w:r>
    </w:p>
    <w:p>
      <w:pPr>
        <w:ind w:right="60"/>
        <w:spacing w:after="0" w:line="274" w:lineRule="auto"/>
        <w:rPr>
          <w:rFonts w:ascii="Arial" w:cs="Arial" w:eastAsia="Arial" w:hAnsi="Arial"/>
          <w:sz w:val="17"/>
          <w:szCs w:val="17"/>
          <w:u w:val="single" w:color="auto"/>
          <w:color w:val="0000FF"/>
        </w:rPr>
      </w:pPr>
      <w:hyperlink w:anchor="page86">
        <w:r>
          <w:rPr>
            <w:rFonts w:ascii="Arial" w:cs="Arial" w:eastAsia="Arial" w:hAnsi="Arial"/>
            <w:sz w:val="17"/>
            <w:szCs w:val="17"/>
            <w:u w:val="single" w:color="auto"/>
            <w:color w:val="0000FF"/>
          </w:rPr>
          <w:t>Certification of Chief Financial Officer of the Registrant pursuant to Rule 13a-14(a) promulgated under the Securities Exchange Act of 1934,</w:t>
        </w:r>
      </w:hyperlink>
      <w:r>
        <w:rPr>
          <w:rFonts w:ascii="Arial" w:cs="Arial" w:eastAsia="Arial" w:hAnsi="Arial"/>
          <w:sz w:val="17"/>
          <w:szCs w:val="17"/>
          <w:u w:val="single" w:color="auto"/>
          <w:color w:val="0000FF"/>
        </w:rPr>
        <w:t xml:space="preserve"> </w:t>
      </w:r>
      <w:hyperlink w:anchor="page86">
        <w:r>
          <w:rPr>
            <w:rFonts w:ascii="Arial" w:cs="Arial" w:eastAsia="Arial" w:hAnsi="Arial"/>
            <w:sz w:val="17"/>
            <w:szCs w:val="17"/>
            <w:u w:val="single" w:color="auto"/>
            <w:color w:val="0000FF"/>
          </w:rPr>
          <w:t>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1905</wp:posOffset>
            </wp:positionV>
            <wp:extent cx="7003415" cy="291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003415" cy="291465"/>
                    </a:xfrm>
                    <a:prstGeom prst="rect">
                      <a:avLst/>
                    </a:prstGeom>
                    <a:noFill/>
                  </pic:spPr>
                </pic:pic>
              </a:graphicData>
            </a:graphic>
          </wp:anchor>
        </w:drawing>
      </w:r>
    </w:p>
    <w:p>
      <w:pPr>
        <w:ind w:right="60"/>
        <w:spacing w:after="0" w:line="274" w:lineRule="auto"/>
        <w:rPr>
          <w:rFonts w:ascii="Arial" w:cs="Arial" w:eastAsia="Arial" w:hAnsi="Arial"/>
          <w:sz w:val="17"/>
          <w:szCs w:val="17"/>
          <w:u w:val="single" w:color="auto"/>
          <w:color w:val="0000FF"/>
        </w:rPr>
      </w:pPr>
      <w:hyperlink w:anchor="page87">
        <w:r>
          <w:rPr>
            <w:rFonts w:ascii="Arial" w:cs="Arial" w:eastAsia="Arial" w:hAnsi="Arial"/>
            <w:sz w:val="17"/>
            <w:szCs w:val="17"/>
            <w:u w:val="single" w:color="auto"/>
            <w:color w:val="0000FF"/>
          </w:rPr>
          <w:t>Certification of Chief Executive Officer of the Registrant pursuant to Rule 13a-14(b) promulgated under the Securities Exchange Act of 1934,</w:t>
        </w:r>
      </w:hyperlink>
      <w:r>
        <w:rPr>
          <w:rFonts w:ascii="Arial" w:cs="Arial" w:eastAsia="Arial" w:hAnsi="Arial"/>
          <w:sz w:val="17"/>
          <w:szCs w:val="17"/>
          <w:u w:val="single" w:color="auto"/>
          <w:color w:val="0000FF"/>
        </w:rPr>
        <w:t xml:space="preserve"> </w:t>
      </w:r>
      <w:hyperlink w:anchor="page87">
        <w:r>
          <w:rPr>
            <w:rFonts w:ascii="Arial" w:cs="Arial" w:eastAsia="Arial" w:hAnsi="Arial"/>
            <w:sz w:val="17"/>
            <w:szCs w:val="17"/>
            <w:u w:val="single" w:color="auto"/>
            <w:color w:val="0000FF"/>
          </w:rPr>
          <w:t>as amended, and Section 1350 of Chapter 63 of Title 18 of the United States Code.</w:t>
        </w:r>
      </w:hyperlink>
    </w:p>
    <w:p>
      <w:pPr>
        <w:spacing w:after="0" w:line="200" w:lineRule="exact"/>
        <w:rPr>
          <w:sz w:val="20"/>
          <w:szCs w:val="20"/>
          <w:color w:val="auto"/>
        </w:rPr>
      </w:pPr>
    </w:p>
    <w:p>
      <w:pPr>
        <w:sectPr>
          <w:pgSz w:w="11900" w:h="16838" w:orient="portrait"/>
          <w:cols w:equalWidth="0" w:num="2">
            <w:col w:w="640" w:space="640"/>
            <w:col w:w="9860"/>
          </w:cols>
          <w:pgMar w:left="320" w:top="122" w:right="439" w:bottom="1440" w:gutter="0" w:footer="0" w:header="0"/>
          <w:type w:val="continuous"/>
        </w:sectPr>
      </w:pPr>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Exhibit</w:t>
      </w:r>
    </w:p>
    <w:p>
      <w:pPr>
        <w:ind w:left="160"/>
        <w:spacing w:after="0"/>
        <w:tabs>
          <w:tab w:leader="none" w:pos="1260" w:val="left"/>
        </w:tabs>
        <w:rPr>
          <w:sz w:val="20"/>
          <w:szCs w:val="20"/>
          <w:color w:val="auto"/>
        </w:rPr>
      </w:pPr>
      <w:r>
        <w:rPr>
          <w:rFonts w:ascii="Arial" w:cs="Arial" w:eastAsia="Arial" w:hAnsi="Arial"/>
          <w:sz w:val="17"/>
          <w:szCs w:val="17"/>
          <w:b w:val="1"/>
          <w:bCs w:val="1"/>
          <w:color w:val="auto"/>
        </w:rPr>
        <w:t>Number</w:t>
      </w:r>
      <w:r>
        <w:rPr>
          <w:sz w:val="20"/>
          <w:szCs w:val="20"/>
          <w:color w:val="auto"/>
        </w:rPr>
        <w:tab/>
      </w:r>
      <w:r>
        <w:rPr>
          <w:rFonts w:ascii="Arial" w:cs="Arial" w:eastAsia="Arial" w:hAnsi="Arial"/>
          <w:sz w:val="17"/>
          <w:szCs w:val="17"/>
          <w:b w:val="1"/>
          <w:bCs w:val="1"/>
          <w:color w:val="auto"/>
        </w:rPr>
        <w:t>Description</w:t>
      </w:r>
    </w:p>
    <w:p>
      <w:pPr>
        <w:spacing w:after="0" w:line="115" w:lineRule="exact"/>
        <w:rPr>
          <w:sz w:val="20"/>
          <w:szCs w:val="20"/>
          <w:color w:val="auto"/>
        </w:rPr>
      </w:pPr>
    </w:p>
    <w:p>
      <w:pPr>
        <w:ind w:left="1280" w:right="100" w:hanging="1120"/>
        <w:spacing w:after="0" w:line="274" w:lineRule="auto"/>
        <w:tabs>
          <w:tab w:leader="none" w:pos="1260" w:val="left"/>
        </w:tabs>
        <w:rPr>
          <w:rFonts w:ascii="Arial" w:cs="Arial" w:eastAsia="Arial" w:hAnsi="Arial"/>
          <w:sz w:val="17"/>
          <w:szCs w:val="17"/>
          <w:u w:val="single" w:color="auto"/>
          <w:color w:val="0000FF"/>
        </w:rPr>
      </w:pPr>
      <w:r>
        <w:rPr>
          <w:rFonts w:ascii="Arial" w:cs="Arial" w:eastAsia="Arial" w:hAnsi="Arial"/>
          <w:sz w:val="17"/>
          <w:szCs w:val="17"/>
          <w:color w:val="auto"/>
        </w:rPr>
        <w:t>32.2**</w:t>
      </w:r>
      <w:r>
        <w:rPr>
          <w:sz w:val="20"/>
          <w:szCs w:val="20"/>
          <w:color w:val="auto"/>
        </w:rPr>
        <w:tab/>
      </w:r>
      <w:hyperlink w:anchor="page88">
        <w:r>
          <w:rPr>
            <w:rFonts w:ascii="Arial" w:cs="Arial" w:eastAsia="Arial" w:hAnsi="Arial"/>
            <w:sz w:val="17"/>
            <w:szCs w:val="17"/>
            <w:u w:val="single" w:color="auto"/>
            <w:color w:val="0000FF"/>
          </w:rPr>
          <w:t>Certification of Chief Financial Officer of the Registrant pursuant to Rule 13a-14(b) promulgated under the Securities Exchange Act of 1934,</w:t>
        </w:r>
      </w:hyperlink>
      <w:r>
        <w:rPr>
          <w:rFonts w:ascii="Arial" w:cs="Arial" w:eastAsia="Arial" w:hAnsi="Arial"/>
          <w:sz w:val="17"/>
          <w:szCs w:val="17"/>
          <w:u w:val="single" w:color="auto"/>
          <w:color w:val="0000FF"/>
        </w:rPr>
        <w:t xml:space="preserve"> </w:t>
      </w:r>
      <w:hyperlink w:anchor="page88">
        <w:r>
          <w:rPr>
            <w:rFonts w:ascii="Arial" w:cs="Arial" w:eastAsia="Arial" w:hAnsi="Arial"/>
            <w:sz w:val="17"/>
            <w:szCs w:val="17"/>
            <w:u w:val="single" w:color="auto"/>
            <w:color w:val="0000FF"/>
          </w:rPr>
          <w:t>as amended, and Section 1350 of Chapter 63 of Title 18 of the United States Code.</w:t>
        </w:r>
      </w:hyperlink>
    </w:p>
    <w:p>
      <w:pPr>
        <w:spacing w:after="0" w:line="13" w:lineRule="exact"/>
        <w:rPr>
          <w:sz w:val="20"/>
          <w:szCs w:val="20"/>
          <w:color w:val="auto"/>
        </w:rPr>
      </w:pPr>
    </w:p>
    <w:p>
      <w:pPr>
        <w:jc w:val="both"/>
        <w:ind w:left="1240" w:right="60" w:hanging="1072"/>
        <w:spacing w:after="0" w:line="215" w:lineRule="auto"/>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following financial information from the Company’s Quarterly Report on Form 10-Q for the quarter ended June 30, 2021,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-441325</wp:posOffset>
            </wp:positionV>
            <wp:extent cx="7003415" cy="445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003415" cy="44577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p>
      <w:pPr>
        <w:spacing w:after="0" w:line="2"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p>
      <w:pPr>
        <w:spacing w:after="0" w:line="155" w:lineRule="exact"/>
        <w:rPr>
          <w:sz w:val="20"/>
          <w:szCs w:val="20"/>
          <w:color w:val="auto"/>
        </w:rPr>
      </w:pPr>
    </w:p>
    <w:p>
      <w:pPr>
        <w:sectPr>
          <w:pgSz w:w="11900" w:h="16838" w:orient="portrait"/>
          <w:cols w:equalWidth="0" w:num="2">
            <w:col w:w="560" w:space="720"/>
            <w:col w:w="9900"/>
          </w:cols>
          <w:pgMar w:left="320" w:top="122" w:right="39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w:t>
      </w:r>
    </w:p>
    <w:p>
      <w:pPr>
        <w:sectPr>
          <w:pgSz w:w="11900" w:h="16838" w:orient="portrait"/>
          <w:cols w:equalWidth="0" w:num="1">
            <w:col w:w="11180"/>
          </w:cols>
          <w:pgMar w:left="320" w:top="122" w:right="399" w:bottom="1440" w:gutter="0" w:footer="0" w:header="0"/>
          <w:type w:val="continuous"/>
        </w:sectPr>
      </w:pPr>
    </w:p>
    <w:p>
      <w:pPr>
        <w:spacing w:after="0" w:line="150" w:lineRule="exact"/>
        <w:rPr>
          <w:sz w:val="20"/>
          <w:szCs w:val="20"/>
          <w:color w:val="auto"/>
        </w:rPr>
      </w:pPr>
    </w:p>
    <w:p>
      <w:pPr>
        <w:ind w:left="540" w:hanging="474"/>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29" w:lineRule="exact"/>
        <w:rPr>
          <w:sz w:val="20"/>
          <w:szCs w:val="20"/>
          <w:color w:val="auto"/>
        </w:rPr>
      </w:pPr>
    </w:p>
    <w:p>
      <w:pPr>
        <w:jc w:val="both"/>
        <w:ind w:left="540" w:hanging="474"/>
        <w:spacing w:after="0" w:line="221"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DIAMONDBACK ENERGY, INC.</w:t>
            </w:r>
          </w:p>
        </w:tc>
      </w:tr>
      <w:tr>
        <w:trPr>
          <w:trHeight w:val="50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360"/>
              <w:spacing w:after="0"/>
              <w:rPr>
                <w:sz w:val="20"/>
                <w:szCs w:val="20"/>
                <w:color w:val="auto"/>
              </w:rPr>
            </w:pPr>
            <w:r>
              <w:rPr>
                <w:rFonts w:ascii="Arial" w:cs="Arial" w:eastAsia="Arial" w:hAnsi="Arial"/>
                <w:sz w:val="18"/>
                <w:szCs w:val="18"/>
                <w:color w:val="auto"/>
              </w:rPr>
              <w:t>August 5, 2021</w:t>
            </w:r>
          </w:p>
        </w:tc>
        <w:tc>
          <w:tcPr>
            <w:tcW w:w="43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Travis D. Stice</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Travis D. Stice</w:t>
            </w:r>
          </w:p>
        </w:tc>
      </w:tr>
      <w:tr>
        <w:trPr>
          <w:trHeight w:val="230"/>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Chief Executive Officer</w:t>
            </w:r>
          </w:p>
        </w:tc>
      </w:tr>
      <w:tr>
        <w:trPr>
          <w:trHeight w:val="230"/>
        </w:trPr>
        <w:tc>
          <w:tcPr>
            <w:tcW w:w="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360"/>
              <w:spacing w:after="0"/>
              <w:rPr>
                <w:sz w:val="20"/>
                <w:szCs w:val="20"/>
                <w:color w:val="auto"/>
              </w:rPr>
            </w:pPr>
            <w:r>
              <w:rPr>
                <w:rFonts w:ascii="Arial" w:cs="Arial" w:eastAsia="Arial" w:hAnsi="Arial"/>
                <w:sz w:val="18"/>
                <w:szCs w:val="18"/>
                <w:color w:val="auto"/>
              </w:rPr>
              <w:t>August 5, 2021</w:t>
            </w:r>
          </w:p>
        </w:tc>
        <w:tc>
          <w:tcPr>
            <w:tcW w:w="43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/s/ Kaes Van’t Hof</w:t>
            </w:r>
          </w:p>
        </w:tc>
      </w:tr>
      <w:tr>
        <w:trPr>
          <w:trHeight w:val="222"/>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Kaes Van’t Hof</w:t>
            </w:r>
          </w:p>
        </w:tc>
      </w:tr>
      <w:tr>
        <w:trPr>
          <w:trHeight w:val="229"/>
        </w:trPr>
        <w:tc>
          <w:tcPr>
            <w:tcW w:w="7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r>
      <w:tr>
        <w:trPr>
          <w:trHeight w:val="230"/>
        </w:trPr>
        <w:tc>
          <w:tcPr>
            <w:tcW w:w="7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380" w:type="dxa"/>
            <w:vAlign w:val="bottom"/>
          </w:tcPr>
          <w:p>
            <w:pPr>
              <w:ind w:left="6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SUCCESSOR BORROWER JOINDER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SUCCESSOR BORROWER JOINDER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this June 30, 2021, by and among DIAMONDBACK E&amp;P LLC, a Delaware limited liability company (the “</w:t>
      </w:r>
      <w:r>
        <w:rPr>
          <w:rFonts w:ascii="Arial" w:cs="Arial" w:eastAsia="Arial" w:hAnsi="Arial"/>
          <w:sz w:val="22"/>
          <w:szCs w:val="22"/>
          <w:b w:val="1"/>
          <w:bCs w:val="1"/>
          <w:i w:val="1"/>
          <w:iCs w:val="1"/>
          <w:color w:val="auto"/>
        </w:rPr>
        <w:t>Successor Borrower</w:t>
      </w:r>
      <w:r>
        <w:rPr>
          <w:rFonts w:ascii="Arial" w:cs="Arial" w:eastAsia="Arial" w:hAnsi="Arial"/>
          <w:sz w:val="22"/>
          <w:szCs w:val="22"/>
          <w:color w:val="auto"/>
        </w:rPr>
        <w:t>”), DIAMONDBACK ENERGY, INC., a Delaware corporation (the “</w:t>
      </w:r>
      <w:r>
        <w:rPr>
          <w:rFonts w:ascii="Arial" w:cs="Arial" w:eastAsia="Arial" w:hAnsi="Arial"/>
          <w:sz w:val="22"/>
          <w:szCs w:val="22"/>
          <w:b w:val="1"/>
          <w:bCs w:val="1"/>
          <w:i w:val="1"/>
          <w:iCs w:val="1"/>
          <w:color w:val="auto"/>
        </w:rPr>
        <w:t>Parent Guarantor</w:t>
      </w:r>
      <w:r>
        <w:rPr>
          <w:rFonts w:ascii="Arial" w:cs="Arial" w:eastAsia="Arial" w:hAnsi="Arial"/>
          <w:sz w:val="22"/>
          <w:szCs w:val="22"/>
          <w:color w:val="auto"/>
        </w:rPr>
        <w:t>”), and WELLS FARGO BANK, NATIONAL ASSOCIATION, as Administrative Agent (in such capacity, the “</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 for the Lenders under the Credit Agreement (as hereinafter defined).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22"/>
          <w:szCs w:val="22"/>
          <w:color w:val="auto"/>
        </w:rPr>
        <w:t>WHEREAS, Diamondback O&amp;G LLC, a Delaware limited liability company (the “</w:t>
      </w:r>
      <w:r>
        <w:rPr>
          <w:rFonts w:ascii="Arial" w:cs="Arial" w:eastAsia="Arial" w:hAnsi="Arial"/>
          <w:sz w:val="22"/>
          <w:szCs w:val="22"/>
          <w:b w:val="1"/>
          <w:bCs w:val="1"/>
          <w:i w:val="1"/>
          <w:iCs w:val="1"/>
          <w:color w:val="auto"/>
        </w:rPr>
        <w:t>Predecessor Borrower</w:t>
      </w:r>
      <w:r>
        <w:rPr>
          <w:rFonts w:ascii="Arial" w:cs="Arial" w:eastAsia="Arial" w:hAnsi="Arial"/>
          <w:sz w:val="22"/>
          <w:szCs w:val="22"/>
          <w:color w:val="auto"/>
        </w:rPr>
        <w:t>”), the Parent Guarantor, the Lenders and the Administrative Agent, have entered into that certain Second Amended and Restated Credit Agreement, dated as of November 1, 2013 (as amended, supplemented, restated or otherwise modified from time to time, the “</w:t>
      </w:r>
      <w:r>
        <w:rPr>
          <w:rFonts w:ascii="Arial" w:cs="Arial" w:eastAsia="Arial" w:hAnsi="Arial"/>
          <w:sz w:val="22"/>
          <w:szCs w:val="22"/>
          <w:b w:val="1"/>
          <w:bCs w:val="1"/>
          <w:i w:val="1"/>
          <w:iCs w:val="1"/>
          <w:color w:val="auto"/>
        </w:rPr>
        <w:t>Credit Agreement</w:t>
      </w:r>
      <w:r>
        <w:rPr>
          <w:rFonts w:ascii="Arial" w:cs="Arial" w:eastAsia="Arial" w:hAnsi="Arial"/>
          <w:sz w:val="22"/>
          <w:szCs w:val="22"/>
          <w:color w:val="auto"/>
        </w:rPr>
        <w:t>”; each capitalized term used herein but not otherwise defined herein shall have the meaning given such term in the Credit Agreement);</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WHEREAS, in connection with the Credit Agreement, the Predecessor Borrower and the Parent Guarantor have entered into that certain Second Amended and Restated Guaranty Agreement, dated as of November 20, 2019 (as amended, supplemented, restated or otherwise modified from time to time, the “</w:t>
      </w:r>
      <w:r>
        <w:rPr>
          <w:rFonts w:ascii="Arial" w:cs="Arial" w:eastAsia="Arial" w:hAnsi="Arial"/>
          <w:sz w:val="21"/>
          <w:szCs w:val="21"/>
          <w:b w:val="1"/>
          <w:bCs w:val="1"/>
          <w:i w:val="1"/>
          <w:iCs w:val="1"/>
          <w:color w:val="auto"/>
        </w:rPr>
        <w:t>Guaranty Agreement</w:t>
      </w:r>
      <w:r>
        <w:rPr>
          <w:rFonts w:ascii="Arial" w:cs="Arial" w:eastAsia="Arial" w:hAnsi="Arial"/>
          <w:sz w:val="21"/>
          <w:szCs w:val="21"/>
          <w:color w:val="auto"/>
        </w:rPr>
        <w:t>”), in favor of the Administrative Agent for the benefit of the Guaranteed Parties (as defined in the Guaranty Agreement);</w:t>
      </w:r>
    </w:p>
    <w:p>
      <w:pPr>
        <w:spacing w:after="0" w:line="175" w:lineRule="exact"/>
        <w:rPr>
          <w:sz w:val="20"/>
          <w:szCs w:val="20"/>
          <w:color w:val="auto"/>
        </w:rPr>
      </w:pPr>
    </w:p>
    <w:p>
      <w:pPr>
        <w:jc w:val="both"/>
        <w:ind w:left="80" w:firstLine="648"/>
        <w:spacing w:after="0" w:line="248" w:lineRule="auto"/>
        <w:rPr>
          <w:sz w:val="20"/>
          <w:szCs w:val="20"/>
          <w:color w:val="auto"/>
        </w:rPr>
      </w:pPr>
      <w:r>
        <w:rPr>
          <w:rFonts w:ascii="Arial" w:cs="Arial" w:eastAsia="Arial" w:hAnsi="Arial"/>
          <w:sz w:val="22"/>
          <w:szCs w:val="22"/>
          <w:color w:val="auto"/>
        </w:rPr>
        <w:t>WHEREAS, the Successor Borrower and the Predecessor Borrower have entered into that certain Plan and Agreement of Merger Merging Diamondback O&amp;G LLC, a Delaware limited liability company with and into Diamondback E&amp;P LLC, a Delaware limited liability company, dated as of the date hereof (the “</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pursuant to which, among other things, the Predecessor Borrower is merging with and into the Successor Borrower, with the Successor Borrower as the sole surviving entity (such merger, the “</w:t>
      </w:r>
      <w:r>
        <w:rPr>
          <w:rFonts w:ascii="Arial" w:cs="Arial" w:eastAsia="Arial" w:hAnsi="Arial"/>
          <w:sz w:val="22"/>
          <w:szCs w:val="22"/>
          <w:b w:val="1"/>
          <w:bCs w:val="1"/>
          <w:i w:val="1"/>
          <w:iCs w:val="1"/>
          <w:color w:val="auto"/>
        </w:rPr>
        <w:t>Merger</w:t>
      </w:r>
      <w:r>
        <w:rPr>
          <w:rFonts w:ascii="Arial" w:cs="Arial" w:eastAsia="Arial" w:hAnsi="Arial"/>
          <w:sz w:val="22"/>
          <w:szCs w:val="22"/>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Successor Borrower is a direct wholly-owned Subsidiary of the Parent Guarantor;</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pursuant to Section 9.05(c) of the Credit Agreement, the Loan Parties are permitted to consummate the Merger as part of the Permitted Borrower Changeover Transaction, subject to, among other terms and conditions, the Successor Borrower assuming all the obligations (including, without limitation, all of the Indebtedness) of the Predecessor Borrower as the Borrower under the Credit Agreement, the Guaranty Agreement, and the other Loan Documents; and</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Successor Borrower has agreed to execute and deliver this Agreement in order to comply with the requirements of Section 9.05(c) of the Credit Agreement (including those set forth in the definition of the Permitted Borrower Changeover Transaction) and succeed to, and be substituted for, the Predecessor Borrower as the Borrower under the Credit Agreement.</w:t>
      </w:r>
    </w:p>
    <w:p>
      <w:pPr>
        <w:sectPr>
          <w:pgSz w:w="11900" w:h="16838" w:orient="portrait"/>
          <w:cols w:equalWidth="0" w:num="1">
            <w:col w:w="11240"/>
          </w:cols>
          <w:pgMar w:left="320" w:top="12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u w:val="single" w:color="auto"/>
          <w:color w:val="auto"/>
        </w:rPr>
        <w:t>AGREEMENTS</w:t>
      </w:r>
      <w:r>
        <w:rPr>
          <w:rFonts w:ascii="Arial" w:cs="Arial" w:eastAsia="Arial" w:hAnsi="Arial"/>
          <w:sz w:val="22"/>
          <w:szCs w:val="22"/>
          <w:b w:val="1"/>
          <w:bCs w:val="1"/>
          <w:color w:val="auto"/>
        </w:rPr>
        <w: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order to comply with the Credit Agreement, the Successor Borrower and the Administrative Agent hereby agree as follows:</w:t>
      </w:r>
    </w:p>
    <w:p>
      <w:pPr>
        <w:spacing w:after="0" w:line="169" w:lineRule="exact"/>
        <w:rPr>
          <w:sz w:val="20"/>
          <w:szCs w:val="20"/>
          <w:color w:val="auto"/>
        </w:rPr>
      </w:pPr>
    </w:p>
    <w:p>
      <w:pPr>
        <w:jc w:val="both"/>
        <w:ind w:firstLine="656"/>
        <w:spacing w:after="0" w:line="287" w:lineRule="auto"/>
        <w:tabs>
          <w:tab w:leader="none" w:pos="1066" w:val="left"/>
        </w:tabs>
        <w:numPr>
          <w:ilvl w:val="0"/>
          <w:numId w:val="28"/>
        </w:numPr>
        <w:rPr>
          <w:rFonts w:ascii="Arial" w:cs="Arial" w:eastAsia="Arial" w:hAnsi="Arial"/>
          <w:sz w:val="19"/>
          <w:szCs w:val="19"/>
          <w:color w:val="auto"/>
        </w:rPr>
      </w:pPr>
      <w:r>
        <w:rPr>
          <w:rFonts w:ascii="Arial" w:cs="Arial" w:eastAsia="Arial" w:hAnsi="Arial"/>
          <w:sz w:val="19"/>
          <w:szCs w:val="19"/>
          <w:b w:val="1"/>
          <w:bCs w:val="1"/>
          <w:u w:val="single" w:color="auto"/>
          <w:color w:val="auto"/>
        </w:rPr>
        <w:t>Joinder</w:t>
      </w:r>
      <w:r>
        <w:rPr>
          <w:rFonts w:ascii="Arial" w:cs="Arial" w:eastAsia="Arial" w:hAnsi="Arial"/>
          <w:sz w:val="19"/>
          <w:szCs w:val="19"/>
          <w:color w:val="auto"/>
        </w:rPr>
        <w:t>. The Successor Borrower hereby irrevocably, absolutely and unconditionally becomes a party to the Credit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as the Borrower thereunder with the same force and effect as if originally named therein as the Borrower, and agrees to comply with and be bound by the terms, conditions, covenants, obligations, liabilities and undertakings of the Borrower or to which the Borrower is subject under the Credit Agreement and under each other Loan Document to which the Borrower is required to be bound under the Credit Agreement as if such Successor Borrower was an original signatory thereto. The Successor Borrower hereby assumes and agrees to pay and perform all Indebtedness of the Borrower under the Credit Agreement and each of the other Loan Documents. In addition, and without limiting the foregoing, the Successor Borrower hereby irrevocably, absolutely, and unconditionally becomes a party to the Guaranty Agreement and each Note as the Borrower thereunder with the same force and effect as if originally named therein as the Borrower, and agrees to comply with and be bound by the terms, conditions, covenants, obligations, liabilities and undertakings of the Borrower or to which the Borrower is subject under the Guaranty Agreement and each Note, as applicable, as if such Successor Borrower was an original signatory thereto. On and after the effectiveness of this Agreement, each reference to the “Borrower” in the Credit Agreement, the Guaranty Agreement, each Note, and each other Loan Document shall be deemed to refer to the Successor Borrower.</w:t>
      </w:r>
    </w:p>
    <w:p>
      <w:pPr>
        <w:spacing w:after="0" w:line="153" w:lineRule="exact"/>
        <w:rPr>
          <w:rFonts w:ascii="Arial" w:cs="Arial" w:eastAsia="Arial" w:hAnsi="Arial"/>
          <w:sz w:val="19"/>
          <w:szCs w:val="19"/>
          <w:color w:val="auto"/>
        </w:rPr>
      </w:pPr>
    </w:p>
    <w:p>
      <w:pPr>
        <w:ind w:firstLine="656"/>
        <w:spacing w:after="0" w:line="269" w:lineRule="auto"/>
        <w:tabs>
          <w:tab w:leader="none" w:pos="1053"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Conditions Precedent</w:t>
      </w:r>
      <w:r>
        <w:rPr>
          <w:rFonts w:ascii="Arial" w:cs="Arial" w:eastAsia="Arial" w:hAnsi="Arial"/>
          <w:sz w:val="22"/>
          <w:szCs w:val="22"/>
          <w:color w:val="auto"/>
        </w:rPr>
        <w:t>. This Agreement shall become effective on the date when each of the following conditions is</w:t>
      </w:r>
      <w:r>
        <w:rPr>
          <w:rFonts w:ascii="Arial" w:cs="Arial" w:eastAsia="Arial" w:hAnsi="Arial"/>
          <w:sz w:val="22"/>
          <w:szCs w:val="22"/>
          <w:b w:val="1"/>
          <w:bCs w:val="1"/>
          <w:color w:val="auto"/>
        </w:rPr>
        <w:t xml:space="preserve"> </w:t>
      </w:r>
      <w:r>
        <w:rPr>
          <w:rFonts w:ascii="Arial" w:cs="Arial" w:eastAsia="Arial" w:hAnsi="Arial"/>
          <w:sz w:val="22"/>
          <w:szCs w:val="22"/>
          <w:color w:val="auto"/>
        </w:rPr>
        <w:t>satisfied (or waived in accordance with Section 12.02 of the Credit Agreement):</w:t>
      </w:r>
    </w:p>
    <w:p>
      <w:pPr>
        <w:spacing w:after="0" w:line="167" w:lineRule="exact"/>
        <w:rPr>
          <w:rFonts w:ascii="Arial" w:cs="Arial" w:eastAsia="Arial" w:hAnsi="Arial"/>
          <w:sz w:val="22"/>
          <w:szCs w:val="22"/>
          <w:color w:val="auto"/>
        </w:rPr>
      </w:pPr>
    </w:p>
    <w:p>
      <w:pPr>
        <w:ind w:left="660" w:firstLine="644"/>
        <w:spacing w:after="0" w:line="263" w:lineRule="auto"/>
        <w:tabs>
          <w:tab w:leader="none" w:pos="1922"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the Successor Borrower and the Parent Guarantor counterparts of this Agreement signed on behalf of each such Person.</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790" w:val="left"/>
        </w:tabs>
        <w:numPr>
          <w:ilvl w:val="1"/>
          <w:numId w:val="28"/>
        </w:numPr>
        <w:rPr>
          <w:rFonts w:ascii="Arial" w:cs="Arial" w:eastAsia="Arial" w:hAnsi="Arial"/>
          <w:sz w:val="22"/>
          <w:szCs w:val="22"/>
          <w:color w:val="auto"/>
        </w:rPr>
      </w:pPr>
      <w:r>
        <w:rPr>
          <w:rFonts w:ascii="Arial" w:cs="Arial" w:eastAsia="Arial" w:hAnsi="Arial"/>
          <w:sz w:val="22"/>
          <w:szCs w:val="22"/>
          <w:color w:val="auto"/>
        </w:rPr>
        <w:t>To the extent reasonably requested by a Lender or the Administrative Agent three (3) Business Days prior to the date hereof, all documentation and other information for purposes of compliance with applicable “know-your-customer” and Anti-Money Laundering Laws, including the USA PATRIOT Act, and the Beneficial Ownership Regulation.</w:t>
      </w:r>
    </w:p>
    <w:p>
      <w:pPr>
        <w:spacing w:after="0" w:line="187" w:lineRule="exact"/>
        <w:rPr>
          <w:rFonts w:ascii="Arial" w:cs="Arial" w:eastAsia="Arial" w:hAnsi="Arial"/>
          <w:sz w:val="22"/>
          <w:szCs w:val="22"/>
          <w:color w:val="auto"/>
        </w:rPr>
      </w:pPr>
    </w:p>
    <w:p>
      <w:pPr>
        <w:ind w:left="660" w:firstLine="644"/>
        <w:spacing w:after="0" w:line="343" w:lineRule="auto"/>
        <w:tabs>
          <w:tab w:leader="none" w:pos="1825"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Administrative Agent shall have received a favorable written opinion of Akin Gump Strauss Hauer &amp; Feld LLP, counsel to the Successor Borrower, in form and substance reasonably satisfactory to Administrative Agent.</w:t>
      </w:r>
    </w:p>
    <w:p>
      <w:pPr>
        <w:spacing w:after="0" w:line="104" w:lineRule="exact"/>
        <w:rPr>
          <w:rFonts w:ascii="Arial" w:cs="Arial" w:eastAsia="Arial" w:hAnsi="Arial"/>
          <w:sz w:val="19"/>
          <w:szCs w:val="19"/>
          <w:color w:val="auto"/>
        </w:rPr>
      </w:pPr>
    </w:p>
    <w:p>
      <w:pPr>
        <w:jc w:val="both"/>
        <w:ind w:left="660" w:firstLine="644"/>
        <w:spacing w:after="0" w:line="271" w:lineRule="auto"/>
        <w:tabs>
          <w:tab w:leader="none" w:pos="1946" w:val="left"/>
        </w:tabs>
        <w:numPr>
          <w:ilvl w:val="1"/>
          <w:numId w:val="28"/>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a Responsible Officer of the Successor Borrower (i) attaching resolutions of the sole member of the Successor Borrower with respect to the authorization of the Successor Borrower to execute and deliver this Agreement and the other Loan Documents to which</w:t>
      </w:r>
    </w:p>
    <w:p>
      <w:pPr>
        <w:sectPr>
          <w:pgSz w:w="11900" w:h="16838" w:orient="portrait"/>
          <w:cols w:equalWidth="0" w:num="1">
            <w:col w:w="11240"/>
          </w:cols>
          <w:pgMar w:left="320" w:top="1422" w:right="339" w:bottom="1440" w:gutter="0" w:footer="0" w:header="0"/>
        </w:sectPr>
      </w:pPr>
    </w:p>
    <w:bookmarkStart w:id="61" w:name="page62"/>
    <w:bookmarkEnd w:id="61"/>
    <w:p>
      <w:pPr>
        <w:jc w:val="both"/>
        <w:ind w:left="4"/>
        <w:spacing w:after="0" w:line="258" w:lineRule="auto"/>
        <w:rPr>
          <w:sz w:val="20"/>
          <w:szCs w:val="20"/>
          <w:color w:val="auto"/>
        </w:rPr>
      </w:pPr>
      <w:r>
        <w:rPr>
          <w:rFonts w:ascii="Arial" w:cs="Arial" w:eastAsia="Arial" w:hAnsi="Arial"/>
          <w:sz w:val="21"/>
          <w:szCs w:val="21"/>
          <w:color w:val="auto"/>
        </w:rPr>
        <w:t>it is a party and to enter into the transactions contemplated in those documents, (ii) setting forth the officers of the Successor Borrower (a) who are authorized to sign this Agreement and the other Loan Documents to which each of the Successor Borrower is a party and (b) who will, until replaced by another officer or officers duly authorized for that purpose, act as such party’s representative for the purposes of signing documents and giving notices and other communications in connection with this Agreement, the other Loan Documents, and the transactions contemplated hereby, (iii) setting forth specimen signatures of such authorized officers, and (iv) attaching the limited liability company agreement, the certificate formation or other applicable organizational documents of the Successor Borrower, which shall be certified thereby as being true and complete as of the date of such certificate. The Administrative Agent and the Lenders may conclusively rely on such certificate until the Administrative Agent receives notice in writing from the Successor Borrower to the contrary.</w:t>
      </w:r>
    </w:p>
    <w:p>
      <w:pPr>
        <w:spacing w:after="0" w:line="185" w:lineRule="exact"/>
        <w:rPr>
          <w:sz w:val="20"/>
          <w:szCs w:val="20"/>
          <w:color w:val="auto"/>
        </w:rPr>
      </w:pPr>
    </w:p>
    <w:p>
      <w:pPr>
        <w:jc w:val="both"/>
        <w:ind w:left="4" w:firstLine="644"/>
        <w:spacing w:after="0" w:line="265" w:lineRule="auto"/>
        <w:tabs>
          <w:tab w:leader="none" w:pos="1281" w:val="left"/>
        </w:tabs>
        <w:numPr>
          <w:ilvl w:val="1"/>
          <w:numId w:val="29"/>
        </w:numPr>
        <w:rPr>
          <w:rFonts w:ascii="Arial" w:cs="Arial" w:eastAsia="Arial" w:hAnsi="Arial"/>
          <w:sz w:val="21"/>
          <w:szCs w:val="21"/>
          <w:color w:val="auto"/>
        </w:rPr>
      </w:pPr>
      <w:r>
        <w:rPr>
          <w:rFonts w:ascii="Arial" w:cs="Arial" w:eastAsia="Arial" w:hAnsi="Arial"/>
          <w:sz w:val="21"/>
          <w:szCs w:val="21"/>
          <w:color w:val="auto"/>
        </w:rPr>
        <w:t>The Administrative Agent shall have received a certificate of a Responsible Officer of the Successor Borrower and the Parent Guarantor attaching the Merger Agreement and certifying that such is a true, correct and complete copy thereof (including all exhibits, schedules, annexes and other attachments thereto, all amendments, waivers, modifications and consents related thereto, and all other agreements related thereto).</w:t>
      </w:r>
    </w:p>
    <w:p>
      <w:pPr>
        <w:spacing w:after="0" w:line="175" w:lineRule="exact"/>
        <w:rPr>
          <w:rFonts w:ascii="Arial" w:cs="Arial" w:eastAsia="Arial" w:hAnsi="Arial"/>
          <w:sz w:val="21"/>
          <w:szCs w:val="21"/>
          <w:color w:val="auto"/>
        </w:rPr>
      </w:pPr>
    </w:p>
    <w:p>
      <w:pPr>
        <w:ind w:left="4" w:right="20" w:firstLine="644"/>
        <w:spacing w:after="0" w:line="263" w:lineRule="auto"/>
        <w:tabs>
          <w:tab w:leader="none" w:pos="1124"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Administrative Agent shall have received an executed Note for each Lender that has a requested a new Note to be executed and delivered from the Successor Borrower prior to the date hereof.</w:t>
      </w:r>
    </w:p>
    <w:p>
      <w:pPr>
        <w:spacing w:after="0" w:line="168" w:lineRule="exact"/>
        <w:rPr>
          <w:rFonts w:ascii="Arial" w:cs="Arial" w:eastAsia="Arial" w:hAnsi="Arial"/>
          <w:sz w:val="22"/>
          <w:szCs w:val="22"/>
          <w:color w:val="auto"/>
        </w:rPr>
      </w:pPr>
    </w:p>
    <w:p>
      <w:pPr>
        <w:ind w:left="384" w:hanging="384"/>
        <w:spacing w:after="0"/>
        <w:tabs>
          <w:tab w:leader="none" w:pos="384" w:val="left"/>
        </w:tabs>
        <w:numPr>
          <w:ilvl w:val="0"/>
          <w:numId w:val="30"/>
        </w:numPr>
        <w:rPr>
          <w:rFonts w:ascii="Arial" w:cs="Arial" w:eastAsia="Arial" w:hAnsi="Arial"/>
          <w:sz w:val="22"/>
          <w:szCs w:val="22"/>
          <w:color w:val="auto"/>
        </w:rPr>
      </w:pPr>
      <w:r>
        <w:rPr>
          <w:rFonts w:ascii="Arial" w:cs="Arial" w:eastAsia="Arial" w:hAnsi="Arial"/>
          <w:sz w:val="22"/>
          <w:szCs w:val="22"/>
          <w:b w:val="1"/>
          <w:bCs w:val="1"/>
          <w:u w:val="single" w:color="auto"/>
          <w:color w:val="auto"/>
        </w:rPr>
        <w:t>Ratification and Affirmation; Representations and Warranties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4" w:firstLine="644"/>
        <w:spacing w:after="0" w:line="292" w:lineRule="auto"/>
        <w:tabs>
          <w:tab w:leader="none" w:pos="1224" w:val="left"/>
        </w:tabs>
        <w:numPr>
          <w:ilvl w:val="1"/>
          <w:numId w:val="30"/>
        </w:numPr>
        <w:rPr>
          <w:rFonts w:ascii="Arial" w:cs="Arial" w:eastAsia="Arial" w:hAnsi="Arial"/>
          <w:sz w:val="19"/>
          <w:szCs w:val="19"/>
          <w:color w:val="auto"/>
        </w:rPr>
      </w:pPr>
      <w:r>
        <w:rPr>
          <w:rFonts w:ascii="Arial" w:cs="Arial" w:eastAsia="Arial" w:hAnsi="Arial"/>
          <w:sz w:val="19"/>
          <w:szCs w:val="19"/>
          <w:color w:val="auto"/>
        </w:rPr>
        <w:t>Each of the Parent Guarantor and the Successor Borrower hereby (1) ratifies and affirms its obligations under, and acknowledges its continued liability under, each Loan Document (including, without limitation, the joinder and assumption of all obligations and liabilities (including, without limitation, all of the Indebtedness) of the Successor Borrower as, and succession and substitution to, the Borrower under each of the Credit Agreement, the Guaranty Agreement, the Notes, and the other Loan Documents) to which it is a party and agrees that each Loan Document to which it is a party remains in full force and effect as expressly amended hereby and (2) represents and warrants to the Lenders that as of the date hereof, after giving effect to the terms of this Agreement:</w:t>
      </w:r>
    </w:p>
    <w:p>
      <w:pPr>
        <w:spacing w:after="0" w:line="150" w:lineRule="exact"/>
        <w:rPr>
          <w:rFonts w:ascii="Arial" w:cs="Arial" w:eastAsia="Arial" w:hAnsi="Arial"/>
          <w:sz w:val="19"/>
          <w:szCs w:val="19"/>
          <w:color w:val="auto"/>
        </w:rPr>
      </w:pPr>
    </w:p>
    <w:p>
      <w:pPr>
        <w:jc w:val="both"/>
        <w:ind w:left="724" w:firstLine="572"/>
        <w:spacing w:after="0" w:line="297" w:lineRule="auto"/>
        <w:tabs>
          <w:tab w:leader="none" w:pos="1760" w:val="left"/>
        </w:tabs>
        <w:numPr>
          <w:ilvl w:val="2"/>
          <w:numId w:val="30"/>
        </w:numPr>
        <w:rPr>
          <w:rFonts w:ascii="Arial" w:cs="Arial" w:eastAsia="Arial" w:hAnsi="Arial"/>
          <w:sz w:val="19"/>
          <w:szCs w:val="19"/>
          <w:color w:val="auto"/>
        </w:rPr>
      </w:pPr>
      <w:r>
        <w:rPr>
          <w:rFonts w:ascii="Arial" w:cs="Arial" w:eastAsia="Arial" w:hAnsi="Arial"/>
          <w:sz w:val="19"/>
          <w:szCs w:val="19"/>
          <w:color w:val="auto"/>
        </w:rPr>
        <w:t>all of the representations and warranties contained in each Loan Document to which it is a party are true and correct in all material respects (or, if already qualified by materiality, Material Adverse Effect or a similar qualification, true and correct in all respects), except to the extent any such representations and warranties are expressly limited to an earlier date, in which case such representations and warranties shall be true and correct in all material respects (or, if already qualified by materiality, Material Adverse Effect or a</w:t>
      </w:r>
    </w:p>
    <w:p>
      <w:pPr>
        <w:sectPr>
          <w:pgSz w:w="11900" w:h="16838" w:orient="portrait"/>
          <w:cols w:equalWidth="0" w:num="1">
            <w:col w:w="10584"/>
          </w:cols>
          <w:pgMar w:left="976" w:top="1428" w:right="339" w:bottom="1440" w:gutter="0" w:footer="0" w:header="0"/>
        </w:sectPr>
      </w:pPr>
    </w:p>
    <w:bookmarkStart w:id="62" w:name="page63"/>
    <w:bookmarkEnd w:id="62"/>
    <w:p>
      <w:pPr>
        <w:ind w:left="1380"/>
        <w:spacing w:after="0"/>
        <w:rPr>
          <w:sz w:val="20"/>
          <w:szCs w:val="20"/>
          <w:color w:val="auto"/>
        </w:rPr>
      </w:pPr>
      <w:r>
        <w:rPr>
          <w:rFonts w:ascii="Arial" w:cs="Arial" w:eastAsia="Arial" w:hAnsi="Arial"/>
          <w:sz w:val="22"/>
          <w:szCs w:val="22"/>
          <w:color w:val="auto"/>
        </w:rPr>
        <w:t>similar qualification, true and correct in all respects) as of such specified earlier date; and</w:t>
      </w:r>
    </w:p>
    <w:p>
      <w:pPr>
        <w:spacing w:after="0" w:line="220" w:lineRule="exact"/>
        <w:rPr>
          <w:sz w:val="20"/>
          <w:szCs w:val="20"/>
          <w:color w:val="auto"/>
        </w:rPr>
      </w:pPr>
    </w:p>
    <w:p>
      <w:pPr>
        <w:ind w:left="2440" w:hanging="488"/>
        <w:spacing w:after="0"/>
        <w:tabs>
          <w:tab w:leader="none" w:pos="2440" w:val="left"/>
        </w:tabs>
        <w:numPr>
          <w:ilvl w:val="2"/>
          <w:numId w:val="31"/>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w:t>
      </w:r>
    </w:p>
    <w:p>
      <w:pPr>
        <w:spacing w:after="0" w:line="219" w:lineRule="exact"/>
        <w:rPr>
          <w:rFonts w:ascii="Arial" w:cs="Arial" w:eastAsia="Arial" w:hAnsi="Arial"/>
          <w:sz w:val="22"/>
          <w:szCs w:val="22"/>
          <w:color w:val="auto"/>
        </w:rPr>
      </w:pPr>
    </w:p>
    <w:p>
      <w:pPr>
        <w:jc w:val="both"/>
        <w:ind w:left="660" w:firstLine="644"/>
        <w:spacing w:after="0" w:line="263" w:lineRule="auto"/>
        <w:tabs>
          <w:tab w:leader="none" w:pos="1814"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Successor Borrower represents and warrants to the Administrative Agent and the other Secured Parties that this Agreement has been duly authorized, executed and delivered by it and constitutes its legal, valid and binding obligation,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9" w:lineRule="exact"/>
        <w:rPr>
          <w:rFonts w:ascii="Arial" w:cs="Arial" w:eastAsia="Arial" w:hAnsi="Arial"/>
          <w:sz w:val="21"/>
          <w:szCs w:val="21"/>
          <w:color w:val="auto"/>
        </w:rPr>
      </w:pPr>
    </w:p>
    <w:p>
      <w:pPr>
        <w:ind w:left="1060" w:hanging="404"/>
        <w:spacing w:after="0"/>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Loan Document</w:t>
      </w:r>
      <w:r>
        <w:rPr>
          <w:rFonts w:ascii="Arial" w:cs="Arial" w:eastAsia="Arial" w:hAnsi="Arial"/>
          <w:sz w:val="19"/>
          <w:szCs w:val="19"/>
          <w:color w:val="auto"/>
        </w:rPr>
        <w:t>. This Agreement is a Loan Document for all purposes of the Credit Agreement and the other Loan</w:t>
      </w:r>
    </w:p>
    <w:p>
      <w:pPr>
        <w:spacing w:after="0" w:line="6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Documents.</w:t>
      </w:r>
    </w:p>
    <w:p>
      <w:pPr>
        <w:spacing w:after="0" w:line="195" w:lineRule="exact"/>
        <w:rPr>
          <w:rFonts w:ascii="Arial" w:cs="Arial" w:eastAsia="Arial" w:hAnsi="Arial"/>
          <w:sz w:val="19"/>
          <w:szCs w:val="19"/>
          <w:color w:val="auto"/>
        </w:rPr>
      </w:pPr>
    </w:p>
    <w:p>
      <w:pPr>
        <w:jc w:val="both"/>
        <w:ind w:firstLine="656"/>
        <w:spacing w:after="0" w:line="298" w:lineRule="auto"/>
        <w:tabs>
          <w:tab w:leader="none" w:pos="1188"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the Credit Agreement and the other Loan Documents embody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understanding between the Administrative Agent and the Successor Borrower and supersede all prior agreements and understandings between such parties relating to the subject matter hereof and thereof and may not be contradicted by evidence of prior or contemporaneous agreements of the parties. THERE ARE NO UNWRITTEN ORAL AGREEMENTS BETWEEN THE PARTIES. Except as expressly supplemented hereby, the Credit Agreement shall remain in full force and effect.</w:t>
      </w:r>
    </w:p>
    <w:p>
      <w:pPr>
        <w:spacing w:after="0" w:line="142" w:lineRule="exact"/>
        <w:rPr>
          <w:rFonts w:ascii="Arial" w:cs="Arial" w:eastAsia="Arial" w:hAnsi="Arial"/>
          <w:sz w:val="19"/>
          <w:szCs w:val="19"/>
          <w:color w:val="auto"/>
        </w:rPr>
      </w:pPr>
    </w:p>
    <w:p>
      <w:pPr>
        <w:jc w:val="both"/>
        <w:ind w:firstLine="656"/>
        <w:spacing w:after="0" w:line="298" w:lineRule="auto"/>
        <w:tabs>
          <w:tab w:leader="none" w:pos="1053" w:val="left"/>
        </w:tabs>
        <w:numPr>
          <w:ilvl w:val="0"/>
          <w:numId w:val="33"/>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Agreement may be executed by one or more of the parties to this Agreement on any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separate counterparts, and all of said counterparts taken together shall be deemed to constitute one and the same instrument. Delivery of an executed signature page of this Agreement by email or facsimile transmission shall be effective as delivery of a manually executed counterpart hereof. Delivery of an executed signature page to this Agreement by facsimile or other electronic transmission shall be as effective as delivery of a manually signed counterpart of this Agreement.</w:t>
      </w:r>
    </w:p>
    <w:p>
      <w:pPr>
        <w:spacing w:after="0" w:line="142" w:lineRule="exact"/>
        <w:rPr>
          <w:rFonts w:ascii="Arial" w:cs="Arial" w:eastAsia="Arial" w:hAnsi="Arial"/>
          <w:sz w:val="19"/>
          <w:szCs w:val="19"/>
          <w:color w:val="auto"/>
        </w:rPr>
      </w:pPr>
    </w:p>
    <w:p>
      <w:pPr>
        <w:jc w:val="both"/>
        <w:ind w:firstLine="656"/>
        <w:spacing w:after="0" w:line="267" w:lineRule="auto"/>
        <w:tabs>
          <w:tab w:leader="none" w:pos="1066"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Further Assurances</w:t>
      </w:r>
      <w:r>
        <w:rPr>
          <w:rFonts w:ascii="Arial" w:cs="Arial" w:eastAsia="Arial" w:hAnsi="Arial"/>
          <w:sz w:val="21"/>
          <w:szCs w:val="21"/>
          <w:color w:val="auto"/>
        </w:rPr>
        <w:t>. The Successor Borrower agrees to execute, acknowledge, deliver, file and record such further</w:t>
      </w:r>
      <w:r>
        <w:rPr>
          <w:rFonts w:ascii="Arial" w:cs="Arial" w:eastAsia="Arial" w:hAnsi="Arial"/>
          <w:sz w:val="21"/>
          <w:szCs w:val="21"/>
          <w:b w:val="1"/>
          <w:bCs w:val="1"/>
          <w:color w:val="auto"/>
        </w:rPr>
        <w:t xml:space="preserve"> </w:t>
      </w:r>
      <w:r>
        <w:rPr>
          <w:rFonts w:ascii="Arial" w:cs="Arial" w:eastAsia="Arial" w:hAnsi="Arial"/>
          <w:sz w:val="21"/>
          <w:szCs w:val="21"/>
          <w:color w:val="auto"/>
        </w:rPr>
        <w:t>certificated, instruments and documents (including, without limitation, execution and delivery of new Notes by the Successor Borrower upon request of any Lenders), and to do all other acts and things as may be reasonably requested by the Administrative Agent as necessary or advisable to carry out the intents and purposes of this Agreement.</w:t>
      </w:r>
    </w:p>
    <w:p>
      <w:pPr>
        <w:spacing w:after="0" w:line="167" w:lineRule="exact"/>
        <w:rPr>
          <w:rFonts w:ascii="Arial" w:cs="Arial" w:eastAsia="Arial" w:hAnsi="Arial"/>
          <w:sz w:val="21"/>
          <w:szCs w:val="21"/>
          <w:color w:val="auto"/>
        </w:rPr>
      </w:pPr>
    </w:p>
    <w:p>
      <w:pPr>
        <w:ind w:left="1040" w:hanging="384"/>
        <w:spacing w:after="0"/>
        <w:tabs>
          <w:tab w:leader="none" w:pos="1040" w:val="left"/>
        </w:tabs>
        <w:numPr>
          <w:ilvl w:val="0"/>
          <w:numId w:val="33"/>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w:t>
      </w:r>
      <w:r>
        <w:rPr>
          <w:rFonts w:ascii="Arial" w:cs="Arial" w:eastAsia="Arial" w:hAnsi="Arial"/>
          <w:sz w:val="21"/>
          <w:szCs w:val="21"/>
          <w:b w:val="1"/>
          <w:bCs w:val="1"/>
          <w:color w:val="auto"/>
        </w:rPr>
        <w:t xml:space="preserve"> THIS AGREEMENT SHALL BE GOVERNED BY, AND CONSTRUED IN ACCORDANCE</w:t>
      </w:r>
    </w:p>
    <w:p>
      <w:pPr>
        <w:spacing w:after="0" w:line="38"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b w:val="1"/>
          <w:bCs w:val="1"/>
          <w:color w:val="auto"/>
        </w:rPr>
        <w:t>WITH, THE LAWS OF THE STATE OF NEW YORK.</w:t>
      </w:r>
    </w:p>
    <w:p>
      <w:pPr>
        <w:spacing w:after="0" w:line="195" w:lineRule="exact"/>
        <w:rPr>
          <w:rFonts w:ascii="Arial" w:cs="Arial" w:eastAsia="Arial" w:hAnsi="Arial"/>
          <w:sz w:val="21"/>
          <w:szCs w:val="21"/>
          <w:color w:val="auto"/>
        </w:rPr>
      </w:pPr>
    </w:p>
    <w:p>
      <w:pPr>
        <w:jc w:val="both"/>
        <w:ind w:firstLine="656"/>
        <w:spacing w:after="0" w:line="256" w:lineRule="auto"/>
        <w:tabs>
          <w:tab w:leader="none" w:pos="1147" w:val="left"/>
        </w:tabs>
        <w:numPr>
          <w:ilvl w:val="0"/>
          <w:numId w:val="33"/>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All communications and notices hereunder shall (except as otherwise expressly permitted by the Credit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be in writing and given as provided in Section 12.01 of the Credit Agreement. Pursuant to Section 12.01(c) of the Credit Agreement, all notices</w:t>
      </w:r>
    </w:p>
    <w:p>
      <w:pPr>
        <w:sectPr>
          <w:pgSz w:w="11900" w:h="16838" w:orient="portrait"/>
          <w:cols w:equalWidth="0" w:num="1">
            <w:col w:w="11240"/>
          </w:cols>
          <w:pgMar w:left="320" w:top="1428" w:right="339" w:bottom="1440" w:gutter="0" w:footer="0" w:header="0"/>
        </w:sectPr>
      </w:pPr>
    </w:p>
    <w:bookmarkStart w:id="63" w:name="page64"/>
    <w:bookmarkEnd w:id="63"/>
    <w:p>
      <w:pPr>
        <w:spacing w:after="0" w:line="263" w:lineRule="auto"/>
        <w:rPr>
          <w:sz w:val="20"/>
          <w:szCs w:val="20"/>
          <w:color w:val="auto"/>
        </w:rPr>
      </w:pPr>
      <w:r>
        <w:rPr>
          <w:rFonts w:ascii="Arial" w:cs="Arial" w:eastAsia="Arial" w:hAnsi="Arial"/>
          <w:sz w:val="22"/>
          <w:szCs w:val="22"/>
          <w:color w:val="auto"/>
        </w:rPr>
        <w:t>and other communications to the Successor Borrower as the Borrower under the Credit Agreement shall be delivered by hand or overnight courier service, mailed by certified or registered mail or sent by telecopy, as follows:</w:t>
      </w:r>
    </w:p>
    <w:p>
      <w:pPr>
        <w:spacing w:after="0" w:line="17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Diamondback E&amp;P LLC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500 West Texas, Suite 1200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Midland, Texas 79701</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Teresa L. Dick, CFO</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Telecopy: 405-286-5920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tdick@diamondbackenergy.com</w:t>
      </w:r>
    </w:p>
    <w:p>
      <w:pPr>
        <w:spacing w:after="0" w:line="200" w:lineRule="exact"/>
        <w:rPr>
          <w:sz w:val="20"/>
          <w:szCs w:val="20"/>
          <w:color w:val="auto"/>
        </w:rPr>
      </w:pPr>
    </w:p>
    <w:p>
      <w:pPr>
        <w:spacing w:after="0" w:line="239" w:lineRule="exact"/>
        <w:rPr>
          <w:sz w:val="20"/>
          <w:szCs w:val="20"/>
          <w:color w:val="auto"/>
        </w:rPr>
      </w:pPr>
    </w:p>
    <w:p>
      <w:pPr>
        <w:jc w:val="both"/>
        <w:ind w:firstLine="656"/>
        <w:spacing w:after="0" w:line="260" w:lineRule="auto"/>
        <w:tabs>
          <w:tab w:leader="none" w:pos="1201" w:val="left"/>
        </w:tabs>
        <w:numPr>
          <w:ilvl w:val="0"/>
          <w:numId w:val="34"/>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Confirmation; No Waiver</w:t>
      </w:r>
      <w:r>
        <w:rPr>
          <w:rFonts w:ascii="Arial" w:cs="Arial" w:eastAsia="Arial" w:hAnsi="Arial"/>
          <w:sz w:val="21"/>
          <w:szCs w:val="21"/>
          <w:color w:val="auto"/>
        </w:rPr>
        <w:t>. The provisions of the Credit Agreement (as amended by this Agreement solely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substitution and succession of the Successor Borrower as the Borrower) shall remain in full force and effect following the effectiveness of this Agreement. On and after the Amendment Effective Date, each reference in the Loan Documents to “this Agreement”, “hereunder”, “hereof”, or words of like import referring to such Loan Document shall mean and be a reference to such Loan Document, as amended by this Agreement (solely with respect to substitution and succession of the Successor Borrower as the Borrower). The execution, delivery, and effectiveness of this Agreement shall not operate as a waiver of any right, power, or remedy of any Lender or the Administrative Agent under any of the Loan Documents, nor constitute a waiver of any provision of any of the Loan Documents.</w:t>
      </w:r>
    </w:p>
    <w:p>
      <w:pPr>
        <w:spacing w:after="0" w:line="175" w:lineRule="exact"/>
        <w:rPr>
          <w:rFonts w:ascii="Arial" w:cs="Arial" w:eastAsia="Arial" w:hAnsi="Arial"/>
          <w:sz w:val="21"/>
          <w:szCs w:val="21"/>
          <w:color w:val="auto"/>
        </w:rPr>
      </w:pPr>
    </w:p>
    <w:p>
      <w:pPr>
        <w:jc w:val="both"/>
        <w:ind w:firstLine="656"/>
        <w:spacing w:after="0" w:line="267" w:lineRule="auto"/>
        <w:tabs>
          <w:tab w:leader="none" w:pos="1220" w:val="left"/>
        </w:tabs>
        <w:numPr>
          <w:ilvl w:val="0"/>
          <w:numId w:val="34"/>
        </w:numPr>
        <w:rPr>
          <w:rFonts w:ascii="Arial" w:cs="Arial" w:eastAsia="Arial" w:hAnsi="Arial"/>
          <w:sz w:val="21"/>
          <w:szCs w:val="21"/>
          <w:color w:val="auto"/>
        </w:rPr>
      </w:pPr>
      <w:r>
        <w:rPr>
          <w:rFonts w:ascii="Arial" w:cs="Arial" w:eastAsia="Arial" w:hAnsi="Arial"/>
          <w:sz w:val="21"/>
          <w:szCs w:val="21"/>
          <w:b w:val="1"/>
          <w:bCs w:val="1"/>
          <w:u w:val="single" w:color="auto"/>
          <w:color w:val="auto"/>
        </w:rPr>
        <w:t>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In accordance with Section 12.03 of the Credit Agreement, the Successor Borrower agrees to pay or</w:t>
      </w:r>
      <w:r>
        <w:rPr>
          <w:rFonts w:ascii="Arial" w:cs="Arial" w:eastAsia="Arial" w:hAnsi="Arial"/>
          <w:sz w:val="21"/>
          <w:szCs w:val="21"/>
          <w:b w:val="1"/>
          <w:bCs w:val="1"/>
          <w:color w:val="auto"/>
        </w:rPr>
        <w:t xml:space="preserve"> </w:t>
      </w:r>
      <w:r>
        <w:rPr>
          <w:rFonts w:ascii="Arial" w:cs="Arial" w:eastAsia="Arial" w:hAnsi="Arial"/>
          <w:sz w:val="21"/>
          <w:szCs w:val="21"/>
          <w:color w:val="auto"/>
        </w:rPr>
        <w:t>reimburse the Administrative Agent for all of its reasonable out-of-pocket expenses incurred in connection with this Agreement, any other documents prepared in connection herewith and the transactions contemplated hereby, including, without limitation, the reasonable fees, charges and disbursements of counsel to the Administrative Agent.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ectPr>
          <w:pgSz w:w="11900" w:h="16838" w:orient="portrait"/>
          <w:cols w:equalWidth="0" w:num="1">
            <w:col w:w="11240"/>
          </w:cols>
          <w:pgMar w:left="320" w:top="1428" w:right="339" w:bottom="1440" w:gutter="0" w:footer="0" w:header="0"/>
        </w:sectPr>
      </w:pPr>
    </w:p>
    <w:bookmarkStart w:id="64" w:name="page65"/>
    <w:bookmarkEnd w:id="64"/>
    <w:p>
      <w:pPr>
        <w:ind w:firstLine="648"/>
        <w:spacing w:after="0" w:line="263" w:lineRule="auto"/>
        <w:rPr>
          <w:sz w:val="20"/>
          <w:szCs w:val="20"/>
          <w:color w:val="auto"/>
        </w:rPr>
      </w:pPr>
      <w:r>
        <w:rPr>
          <w:rFonts w:ascii="Arial" w:cs="Arial" w:eastAsia="Arial" w:hAnsi="Arial"/>
          <w:sz w:val="22"/>
          <w:szCs w:val="22"/>
          <w:color w:val="auto"/>
        </w:rPr>
        <w:t>IN WITNESS WHEREOF, the Successor Borrower and the Administrative Agent have duly executed this Agreement as of the date first above written.</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DIAMONDBACK E&amp;P LLC,</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as the Successor Borrower</w:t>
      </w:r>
    </w:p>
    <w:p>
      <w:pPr>
        <w:spacing w:after="0" w:line="200" w:lineRule="exact"/>
        <w:rPr>
          <w:sz w:val="20"/>
          <w:szCs w:val="20"/>
          <w:color w:val="auto"/>
        </w:rPr>
      </w:pPr>
    </w:p>
    <w:p>
      <w:pPr>
        <w:spacing w:after="0" w:line="35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Executive Vice President, Chief Accounting Officer, and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Assistant Secretary</w:t>
      </w:r>
    </w:p>
    <w:p>
      <w:pPr>
        <w:spacing w:after="0" w:line="200" w:lineRule="exact"/>
        <w:rPr>
          <w:sz w:val="20"/>
          <w:szCs w:val="20"/>
          <w:color w:val="auto"/>
        </w:rPr>
      </w:pPr>
    </w:p>
    <w:p>
      <w:pPr>
        <w:spacing w:after="0" w:line="347"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DIAMONDBACK ENERGY, INC.,</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as the Parent Guarantor</w:t>
      </w:r>
    </w:p>
    <w:p>
      <w:pPr>
        <w:spacing w:after="0" w:line="200" w:lineRule="exact"/>
        <w:rPr>
          <w:sz w:val="20"/>
          <w:szCs w:val="20"/>
          <w:color w:val="auto"/>
        </w:rPr>
      </w:pPr>
    </w:p>
    <w:p>
      <w:pPr>
        <w:spacing w:after="0" w:line="35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Executive Vice President, Chief Accounting Officer, and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 Borrower Joinder Agreement</w:t>
      </w:r>
    </w:p>
    <w:p>
      <w:pPr>
        <w:sectPr>
          <w:pgSz w:w="11900" w:h="16838" w:orient="portrait"/>
          <w:cols w:equalWidth="0" w:num="1">
            <w:col w:w="11240"/>
          </w:cols>
          <w:pgMar w:left="320" w:top="1428" w:right="339" w:bottom="1440" w:gutter="0" w:footer="0" w:header="0"/>
        </w:sectPr>
      </w:pPr>
    </w:p>
    <w:bookmarkStart w:id="65" w:name="page66"/>
    <w:bookmarkEnd w:id="65"/>
    <w:p>
      <w:pPr>
        <w:spacing w:after="0" w:line="36" w:lineRule="exact"/>
        <w:rPr>
          <w:sz w:val="20"/>
          <w:szCs w:val="20"/>
          <w:color w:val="auto"/>
        </w:rPr>
      </w:pPr>
    </w:p>
    <w:p>
      <w:pPr>
        <w:ind w:left="4000"/>
        <w:spacing w:after="0"/>
        <w:rPr>
          <w:sz w:val="20"/>
          <w:szCs w:val="20"/>
          <w:color w:val="auto"/>
        </w:rPr>
      </w:pPr>
      <w:r>
        <w:rPr>
          <w:rFonts w:ascii="Arial" w:cs="Arial" w:eastAsia="Arial" w:hAnsi="Arial"/>
          <w:sz w:val="21"/>
          <w:szCs w:val="21"/>
          <w:b w:val="1"/>
          <w:bCs w:val="1"/>
          <w:color w:val="auto"/>
        </w:rPr>
        <w:t>WELLS FARGO BANK, NATIONAL</w:t>
      </w:r>
    </w:p>
    <w:p>
      <w:pPr>
        <w:spacing w:after="0" w:line="39"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ASSOCIATION,</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the Administrative Agent</w:t>
      </w:r>
    </w:p>
    <w:p>
      <w:pPr>
        <w:spacing w:after="0" w:line="200" w:lineRule="exact"/>
        <w:rPr>
          <w:sz w:val="20"/>
          <w:szCs w:val="20"/>
          <w:color w:val="auto"/>
        </w:rPr>
      </w:pPr>
    </w:p>
    <w:p>
      <w:pPr>
        <w:spacing w:after="0" w:line="35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Real</w:t>
      </w:r>
    </w:p>
    <w:p>
      <w:pPr>
        <w:spacing w:after="0" w:line="5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 Michael Real</w:t>
      </w:r>
    </w:p>
    <w:p>
      <w:pPr>
        <w:spacing w:after="0" w:line="5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Successor Borrower Joinder Agreement</w:t>
      </w:r>
    </w:p>
    <w:p>
      <w:pPr>
        <w:sectPr>
          <w:pgSz w:w="11900" w:h="16838" w:orient="portrait"/>
          <w:cols w:equalWidth="0" w:num="1">
            <w:col w:w="9019"/>
          </w:cols>
          <w:pgMar w:left="1440" w:top="1440" w:right="1440"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SUPPLEMENTAL INDENTURE</w:t>
      </w:r>
    </w:p>
    <w:p>
      <w:pPr>
        <w:spacing w:after="0" w:line="2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FOURTH SUPPLEMENTAL INDENTURE (this “</w:t>
      </w:r>
      <w:r>
        <w:rPr>
          <w:rFonts w:ascii="Arial" w:cs="Arial" w:eastAsia="Arial" w:hAnsi="Arial"/>
          <w:sz w:val="22"/>
          <w:szCs w:val="22"/>
          <w:i w:val="1"/>
          <w:iCs w:val="1"/>
          <w:color w:val="auto"/>
        </w:rPr>
        <w:t>Supplemental Indenture</w:t>
      </w:r>
      <w:r>
        <w:rPr>
          <w:rFonts w:ascii="Arial" w:cs="Arial" w:eastAsia="Arial" w:hAnsi="Arial"/>
          <w:sz w:val="22"/>
          <w:szCs w:val="22"/>
          <w:color w:val="auto"/>
        </w:rPr>
        <w:t>”), dated as of June 30, 2021, among Diamondback E&amp;P LLC, a Delaware limited liability company (the “</w:t>
      </w:r>
      <w:r>
        <w:rPr>
          <w:rFonts w:ascii="Arial" w:cs="Arial" w:eastAsia="Arial" w:hAnsi="Arial"/>
          <w:sz w:val="22"/>
          <w:szCs w:val="22"/>
          <w:i w:val="1"/>
          <w:iCs w:val="1"/>
          <w:color w:val="auto"/>
        </w:rPr>
        <w:t>Guaranteeing Subsidiary</w:t>
      </w:r>
      <w:r>
        <w:rPr>
          <w:rFonts w:ascii="Arial" w:cs="Arial" w:eastAsia="Arial" w:hAnsi="Arial"/>
          <w:sz w:val="22"/>
          <w:szCs w:val="22"/>
          <w:color w:val="auto"/>
        </w:rPr>
        <w:t>”), as successor by merger to Diamondback O&amp;G LLC, a Delaware limited liability company (“</w:t>
      </w:r>
      <w:r>
        <w:rPr>
          <w:rFonts w:ascii="Arial" w:cs="Arial" w:eastAsia="Arial" w:hAnsi="Arial"/>
          <w:sz w:val="22"/>
          <w:szCs w:val="22"/>
          <w:i w:val="1"/>
          <w:iCs w:val="1"/>
          <w:color w:val="auto"/>
        </w:rPr>
        <w:t>O&amp;G</w:t>
      </w:r>
      <w:r>
        <w:rPr>
          <w:rFonts w:ascii="Arial" w:cs="Arial" w:eastAsia="Arial" w:hAnsi="Arial"/>
          <w:sz w:val="22"/>
          <w:szCs w:val="22"/>
          <w:color w:val="auto"/>
        </w:rPr>
        <w:t>”), each a subsidiary of Diamondback Energy, Inc.,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the Company and Wells Fargo Bank, National Association, as trustee under the Indenture referred to below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WHEREAS, the Company has heretofore executed and delivered to the Trustee an Indenture, dated as of December 5, 2019 (the “</w:t>
      </w:r>
      <w:r>
        <w:rPr>
          <w:rFonts w:ascii="Arial" w:cs="Arial" w:eastAsia="Arial" w:hAnsi="Arial"/>
          <w:sz w:val="19"/>
          <w:szCs w:val="19"/>
          <w:i w:val="1"/>
          <w:iCs w:val="1"/>
          <w:color w:val="auto"/>
        </w:rPr>
        <w:t>Base Indenture</w:t>
      </w:r>
      <w:r>
        <w:rPr>
          <w:rFonts w:ascii="Arial" w:cs="Arial" w:eastAsia="Arial" w:hAnsi="Arial"/>
          <w:sz w:val="19"/>
          <w:szCs w:val="19"/>
          <w:color w:val="auto"/>
        </w:rPr>
        <w:t>”), as supplemented by (i) that certain First Supplemental Indenture (the “</w:t>
      </w:r>
      <w:r>
        <w:rPr>
          <w:rFonts w:ascii="Arial" w:cs="Arial" w:eastAsia="Arial" w:hAnsi="Arial"/>
          <w:sz w:val="19"/>
          <w:szCs w:val="19"/>
          <w:i w:val="1"/>
          <w:iCs w:val="1"/>
          <w:color w:val="auto"/>
        </w:rPr>
        <w:t>First Supplemental</w:t>
      </w:r>
      <w:r>
        <w:rPr>
          <w:rFonts w:ascii="Arial" w:cs="Arial" w:eastAsia="Arial" w:hAnsi="Arial"/>
          <w:sz w:val="19"/>
          <w:szCs w:val="19"/>
          <w:color w:val="auto"/>
        </w:rPr>
        <w:t xml:space="preserve"> </w:t>
      </w:r>
      <w:r>
        <w:rPr>
          <w:rFonts w:ascii="Arial" w:cs="Arial" w:eastAsia="Arial" w:hAnsi="Arial"/>
          <w:sz w:val="19"/>
          <w:szCs w:val="19"/>
          <w:i w:val="1"/>
          <w:iCs w:val="1"/>
          <w:color w:val="auto"/>
        </w:rPr>
        <w:t>Indenture</w:t>
      </w:r>
      <w:r>
        <w:rPr>
          <w:rFonts w:ascii="Arial" w:cs="Arial" w:eastAsia="Arial" w:hAnsi="Arial"/>
          <w:sz w:val="19"/>
          <w:szCs w:val="19"/>
          <w:color w:val="auto"/>
        </w:rPr>
        <w:t>”), dated as of December 5, 2019, pursuant to which the Company’s (a) 2.875% Senior Notes due 2024 (the “</w:t>
      </w:r>
      <w:r>
        <w:rPr>
          <w:rFonts w:ascii="Arial" w:cs="Arial" w:eastAsia="Arial" w:hAnsi="Arial"/>
          <w:sz w:val="19"/>
          <w:szCs w:val="19"/>
          <w:i w:val="1"/>
          <w:iCs w:val="1"/>
          <w:color w:val="auto"/>
        </w:rPr>
        <w:t>2.875% Notes</w:t>
      </w:r>
      <w:r>
        <w:rPr>
          <w:rFonts w:ascii="Arial" w:cs="Arial" w:eastAsia="Arial" w:hAnsi="Arial"/>
          <w:sz w:val="19"/>
          <w:szCs w:val="19"/>
          <w:color w:val="auto"/>
        </w:rPr>
        <w:t>”), (b) 3.250% Senior Notes due 2026 (the “</w:t>
      </w:r>
      <w:r>
        <w:rPr>
          <w:rFonts w:ascii="Arial" w:cs="Arial" w:eastAsia="Arial" w:hAnsi="Arial"/>
          <w:sz w:val="19"/>
          <w:szCs w:val="19"/>
          <w:i w:val="1"/>
          <w:iCs w:val="1"/>
          <w:color w:val="auto"/>
        </w:rPr>
        <w:t>3.250% Notes</w:t>
      </w:r>
      <w:r>
        <w:rPr>
          <w:rFonts w:ascii="Arial" w:cs="Arial" w:eastAsia="Arial" w:hAnsi="Arial"/>
          <w:sz w:val="19"/>
          <w:szCs w:val="19"/>
          <w:color w:val="auto"/>
        </w:rPr>
        <w:t>”), and (c) 3.500% Senior Notes due 2029 (the “</w:t>
      </w:r>
      <w:r>
        <w:rPr>
          <w:rFonts w:ascii="Arial" w:cs="Arial" w:eastAsia="Arial" w:hAnsi="Arial"/>
          <w:sz w:val="19"/>
          <w:szCs w:val="19"/>
          <w:i w:val="1"/>
          <w:iCs w:val="1"/>
          <w:color w:val="auto"/>
        </w:rPr>
        <w:t>3.500% Notes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were issued (as so supplemented the “</w:t>
      </w:r>
      <w:r>
        <w:rPr>
          <w:rFonts w:ascii="Arial" w:cs="Arial" w:eastAsia="Arial" w:hAnsi="Arial"/>
          <w:sz w:val="19"/>
          <w:szCs w:val="19"/>
          <w:i w:val="1"/>
          <w:iCs w:val="1"/>
          <w:color w:val="auto"/>
        </w:rPr>
        <w:t>First Indenture</w:t>
      </w:r>
      <w:r>
        <w:rPr>
          <w:rFonts w:ascii="Arial" w:cs="Arial" w:eastAsia="Arial" w:hAnsi="Arial"/>
          <w:sz w:val="19"/>
          <w:szCs w:val="19"/>
          <w:color w:val="auto"/>
        </w:rPr>
        <w:t>”), (ii) that certain Second Supplemental Indenture (the “</w:t>
      </w:r>
      <w:r>
        <w:rPr>
          <w:rFonts w:ascii="Arial" w:cs="Arial" w:eastAsia="Arial" w:hAnsi="Arial"/>
          <w:sz w:val="19"/>
          <w:szCs w:val="19"/>
          <w:i w:val="1"/>
          <w:iCs w:val="1"/>
          <w:color w:val="auto"/>
        </w:rPr>
        <w:t>Second</w:t>
      </w:r>
      <w:r>
        <w:rPr>
          <w:rFonts w:ascii="Arial" w:cs="Arial" w:eastAsia="Arial" w:hAnsi="Arial"/>
          <w:sz w:val="19"/>
          <w:szCs w:val="19"/>
          <w:color w:val="auto"/>
        </w:rPr>
        <w:t xml:space="preserve">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May 26, 2020, pursuant to which the Company’s 4.750% Senior Notes due 2025 (the</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4.750% Notes</w:t>
      </w:r>
      <w:r>
        <w:rPr>
          <w:rFonts w:ascii="Arial" w:cs="Arial" w:eastAsia="Arial" w:hAnsi="Arial"/>
          <w:sz w:val="19"/>
          <w:szCs w:val="19"/>
          <w:color w:val="auto"/>
        </w:rPr>
        <w:t>”) were issued (as so supplemented the “</w:t>
      </w:r>
      <w:r>
        <w:rPr>
          <w:rFonts w:ascii="Arial" w:cs="Arial" w:eastAsia="Arial" w:hAnsi="Arial"/>
          <w:sz w:val="19"/>
          <w:szCs w:val="19"/>
          <w:i w:val="1"/>
          <w:iCs w:val="1"/>
          <w:color w:val="auto"/>
        </w:rPr>
        <w:t>Second Indenture</w:t>
      </w:r>
      <w:r>
        <w:rPr>
          <w:rFonts w:ascii="Arial" w:cs="Arial" w:eastAsia="Arial" w:hAnsi="Arial"/>
          <w:sz w:val="19"/>
          <w:szCs w:val="19"/>
          <w:color w:val="auto"/>
        </w:rPr>
        <w:t>”), and (iii) that certain Third Supplemental Indenture (the “</w:t>
      </w:r>
      <w:r>
        <w:rPr>
          <w:rFonts w:ascii="Arial" w:cs="Arial" w:eastAsia="Arial" w:hAnsi="Arial"/>
          <w:sz w:val="19"/>
          <w:szCs w:val="19"/>
          <w:i w:val="1"/>
          <w:iCs w:val="1"/>
          <w:color w:val="auto"/>
        </w:rPr>
        <w:t>Third Supplemental Indenture</w:t>
      </w:r>
      <w:r>
        <w:rPr>
          <w:rFonts w:ascii="Arial" w:cs="Arial" w:eastAsia="Arial" w:hAnsi="Arial"/>
          <w:sz w:val="19"/>
          <w:szCs w:val="19"/>
          <w:color w:val="auto"/>
        </w:rPr>
        <w:t>” and together with the First Supplemental Indenture and the Second Supplemental Indenture, the “</w:t>
      </w:r>
      <w:r>
        <w:rPr>
          <w:rFonts w:ascii="Arial" w:cs="Arial" w:eastAsia="Arial" w:hAnsi="Arial"/>
          <w:sz w:val="19"/>
          <w:szCs w:val="19"/>
          <w:i w:val="1"/>
          <w:iCs w:val="1"/>
          <w:color w:val="auto"/>
        </w:rPr>
        <w:t>Existing Supplemental Indentures</w:t>
      </w:r>
      <w:r>
        <w:rPr>
          <w:rFonts w:ascii="Arial" w:cs="Arial" w:eastAsia="Arial" w:hAnsi="Arial"/>
          <w:sz w:val="19"/>
          <w:szCs w:val="19"/>
          <w:color w:val="auto"/>
        </w:rPr>
        <w:t>”), dated as of March 24, 2021, pursuant to which the Company’s (a) 0.900% Senior Notes due 2023 (the “</w:t>
      </w:r>
      <w:r>
        <w:rPr>
          <w:rFonts w:ascii="Arial" w:cs="Arial" w:eastAsia="Arial" w:hAnsi="Arial"/>
          <w:sz w:val="19"/>
          <w:szCs w:val="19"/>
          <w:i w:val="1"/>
          <w:iCs w:val="1"/>
          <w:color w:val="auto"/>
        </w:rPr>
        <w:t>0.900% Notes</w:t>
      </w:r>
      <w:r>
        <w:rPr>
          <w:rFonts w:ascii="Arial" w:cs="Arial" w:eastAsia="Arial" w:hAnsi="Arial"/>
          <w:sz w:val="19"/>
          <w:szCs w:val="19"/>
          <w:color w:val="auto"/>
        </w:rPr>
        <w:t>”), (b) 3.125% Senior Notes due 2031 (the “</w:t>
      </w:r>
      <w:r>
        <w:rPr>
          <w:rFonts w:ascii="Arial" w:cs="Arial" w:eastAsia="Arial" w:hAnsi="Arial"/>
          <w:sz w:val="19"/>
          <w:szCs w:val="19"/>
          <w:i w:val="1"/>
          <w:iCs w:val="1"/>
          <w:color w:val="auto"/>
        </w:rPr>
        <w:t>3.125% Notes</w:t>
      </w:r>
      <w:r>
        <w:rPr>
          <w:rFonts w:ascii="Arial" w:cs="Arial" w:eastAsia="Arial" w:hAnsi="Arial"/>
          <w:sz w:val="19"/>
          <w:szCs w:val="19"/>
          <w:color w:val="auto"/>
        </w:rPr>
        <w:t>”), and (c) 4.400% Senior Notes due 2051 (together with the 2.875% Notes, 3.250% Notes, 3.500% Notes, 4.750% Notes, 0.900% Notes, and 3.125% Notes, the “</w:t>
      </w:r>
      <w:r>
        <w:rPr>
          <w:rFonts w:ascii="Arial" w:cs="Arial" w:eastAsia="Arial" w:hAnsi="Arial"/>
          <w:sz w:val="19"/>
          <w:szCs w:val="19"/>
          <w:i w:val="1"/>
          <w:iCs w:val="1"/>
          <w:color w:val="auto"/>
        </w:rPr>
        <w:t>Notes</w:t>
      </w:r>
      <w:r>
        <w:rPr>
          <w:rFonts w:ascii="Arial" w:cs="Arial" w:eastAsia="Arial" w:hAnsi="Arial"/>
          <w:sz w:val="19"/>
          <w:szCs w:val="19"/>
          <w:color w:val="auto"/>
        </w:rPr>
        <w:t>” or each, a “</w:t>
      </w:r>
      <w:r>
        <w:rPr>
          <w:rFonts w:ascii="Arial" w:cs="Arial" w:eastAsia="Arial" w:hAnsi="Arial"/>
          <w:sz w:val="19"/>
          <w:szCs w:val="19"/>
          <w:i w:val="1"/>
          <w:iCs w:val="1"/>
          <w:color w:val="auto"/>
        </w:rPr>
        <w:t>Note</w:t>
      </w:r>
      <w:r>
        <w:rPr>
          <w:rFonts w:ascii="Arial" w:cs="Arial" w:eastAsia="Arial" w:hAnsi="Arial"/>
          <w:sz w:val="19"/>
          <w:szCs w:val="19"/>
          <w:color w:val="auto"/>
        </w:rPr>
        <w:t>”) were issued (as so supplemented the “</w:t>
      </w:r>
      <w:r>
        <w:rPr>
          <w:rFonts w:ascii="Arial" w:cs="Arial" w:eastAsia="Arial" w:hAnsi="Arial"/>
          <w:sz w:val="19"/>
          <w:szCs w:val="19"/>
          <w:i w:val="1"/>
          <w:iCs w:val="1"/>
          <w:color w:val="auto"/>
        </w:rPr>
        <w:t>Third Indenture</w:t>
      </w:r>
      <w:r>
        <w:rPr>
          <w:rFonts w:ascii="Arial" w:cs="Arial" w:eastAsia="Arial" w:hAnsi="Arial"/>
          <w:sz w:val="19"/>
          <w:szCs w:val="19"/>
          <w:color w:val="auto"/>
        </w:rPr>
        <w:t>” and, together with the First Indenture and Second Indenture, the “</w:t>
      </w:r>
      <w:r>
        <w:rPr>
          <w:rFonts w:ascii="Arial" w:cs="Arial" w:eastAsia="Arial" w:hAnsi="Arial"/>
          <w:sz w:val="19"/>
          <w:szCs w:val="19"/>
          <w:i w:val="1"/>
          <w:iCs w:val="1"/>
          <w:color w:val="auto"/>
        </w:rPr>
        <w:t>Indentures</w:t>
      </w:r>
      <w:r>
        <w:rPr>
          <w:rFonts w:ascii="Arial" w:cs="Arial" w:eastAsia="Arial" w:hAnsi="Arial"/>
          <w:sz w:val="19"/>
          <w:szCs w:val="19"/>
          <w:color w:val="auto"/>
        </w:rPr>
        <w:t>” and each, an “</w:t>
      </w:r>
      <w:r>
        <w:rPr>
          <w:rFonts w:ascii="Arial" w:cs="Arial" w:eastAsia="Arial" w:hAnsi="Arial"/>
          <w:sz w:val="19"/>
          <w:szCs w:val="19"/>
          <w:i w:val="1"/>
          <w:iCs w:val="1"/>
          <w:color w:val="auto"/>
        </w:rPr>
        <w:t>Indenture</w:t>
      </w:r>
      <w:r>
        <w:rPr>
          <w:rFonts w:ascii="Arial" w:cs="Arial" w:eastAsia="Arial" w:hAnsi="Arial"/>
          <w:sz w:val="19"/>
          <w:szCs w:val="19"/>
          <w:color w:val="auto"/>
        </w:rPr>
        <w: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pursuant to each Existing Supplemental Indenture, O&amp;G is a party to each of the Indentures, and pursuant thereto has issued Guarantees of the Notes (the “</w:t>
      </w:r>
      <w:r>
        <w:rPr>
          <w:rFonts w:ascii="Arial" w:cs="Arial" w:eastAsia="Arial" w:hAnsi="Arial"/>
          <w:sz w:val="22"/>
          <w:szCs w:val="22"/>
          <w:i w:val="1"/>
          <w:iCs w:val="1"/>
          <w:color w:val="auto"/>
        </w:rPr>
        <w:t>Guarantees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WHEREAS, pursuant to Section 1401 of the Base Indenture, O&amp;G, in its capacity as a Guarantor under the Indentures, is permitted to merge with or into another Person that is an Affiliate of the Company (other than the Company or a Guarantor) if (1) the surviving entity (the “</w:t>
      </w:r>
      <w:r>
        <w:rPr>
          <w:rFonts w:ascii="Arial" w:cs="Arial" w:eastAsia="Arial" w:hAnsi="Arial"/>
          <w:sz w:val="19"/>
          <w:szCs w:val="19"/>
          <w:i w:val="1"/>
          <w:iCs w:val="1"/>
          <w:color w:val="auto"/>
        </w:rPr>
        <w:t>Successor Guarantor</w:t>
      </w:r>
      <w:r>
        <w:rPr>
          <w:rFonts w:ascii="Arial" w:cs="Arial" w:eastAsia="Arial" w:hAnsi="Arial"/>
          <w:sz w:val="19"/>
          <w:szCs w:val="19"/>
          <w:color w:val="auto"/>
        </w:rPr>
        <w:t>”) shall be a corporation, limited liability company, partnership, trust or other entity organized and validly existing under the laws of the United States, any State thereof or the District of Columbia, (2) the Successor Guarantor (if not the predecessor Guarantor) shall expressly assume, by supplemental indenture, executed and delivered to the Trustee, in a form reasonably satisfactory to the Trustee, the performance or observance of every covenant of the applicable Indenture and any Guarantees on the part of such Guarantor to be performed or observed, (3) immediately after giving effect to such transaction, no Event of Default, and no event that, after notice or lapse of time or both, would become an Event of Default, shall have occurred and be continuing, and (4) such Guarantor has delivered to the Trustee a Guarantor’s Officers’ Certificate and an Opinion of Counsel, each stating that such merger and supplemental</w:t>
      </w:r>
    </w:p>
    <w:p>
      <w:pPr>
        <w:sectPr>
          <w:pgSz w:w="11900" w:h="16838" w:orient="portrait"/>
          <w:cols w:equalWidth="0" w:num="1">
            <w:col w:w="11240"/>
          </w:cols>
          <w:pgMar w:left="320" w:top="126" w:right="339" w:bottom="1440" w:gutter="0" w:footer="0" w:header="0"/>
        </w:sectPr>
      </w:pPr>
    </w:p>
    <w:bookmarkStart w:id="67" w:name="page68"/>
    <w:bookmarkEnd w:id="67"/>
    <w:p>
      <w:pPr>
        <w:jc w:val="both"/>
        <w:ind w:right="20"/>
        <w:spacing w:after="0" w:line="263" w:lineRule="auto"/>
        <w:rPr>
          <w:sz w:val="20"/>
          <w:szCs w:val="20"/>
          <w:color w:val="auto"/>
        </w:rPr>
      </w:pPr>
      <w:r>
        <w:rPr>
          <w:rFonts w:ascii="Arial" w:cs="Arial" w:eastAsia="Arial" w:hAnsi="Arial"/>
          <w:sz w:val="22"/>
          <w:szCs w:val="22"/>
          <w:color w:val="auto"/>
        </w:rPr>
        <w:t>indenture comply with Article XIV of the Base Indenture and that all conditions precedent provided for in the applicable Indenture relating to such transaction have been complied with;</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WHEREAS, as of the date hereof, O&amp;G is merging with and into the Guaranteeing Subsidiary, with the Guaranteeing Subsidiary as the surviving Person (the “</w:t>
      </w:r>
      <w:r>
        <w:rPr>
          <w:rFonts w:ascii="Arial" w:cs="Arial" w:eastAsia="Arial" w:hAnsi="Arial"/>
          <w:sz w:val="22"/>
          <w:szCs w:val="22"/>
          <w:i w:val="1"/>
          <w:iCs w:val="1"/>
          <w:color w:val="auto"/>
        </w:rPr>
        <w:t>Merger</w:t>
      </w:r>
      <w:r>
        <w:rPr>
          <w:rFonts w:ascii="Arial" w:cs="Arial" w:eastAsia="Arial" w:hAnsi="Arial"/>
          <w:sz w:val="22"/>
          <w:szCs w:val="22"/>
          <w:color w:val="auto"/>
        </w:rPr>
        <w:t>”) and the Guaranteeing Subsidiary will thereafter succeed to and be substituted for, and may exercise every right and power of, O&amp;G under the Indentures and with the same effect as if the Guaranteeing Subsidiary had been named as a Guarantor in the Indentures;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Guaranteeing Subsidiary is a limited liability company organized and validly existing under the laws of the State of Delaware;</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pursuant to this Supplemental Indenture, the Guaranteeing Subsidiary, as the Person surviving the Merger, agrees to expressly assume the performance or observance of every covenant of the Indentures and any Guarantees on the part of O&amp;G to be performed or observed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w:t>
      </w:r>
    </w:p>
    <w:p>
      <w:pPr>
        <w:spacing w:after="0" w:line="1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immediately after giving effect to the Merger, no Event of Default, and no event that, after notice or lapse of time or both, would become an Event of Default, shall have occurred and be continuing;</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Guaranteeing Subsidiary (as successor by merger to O&amp;G) is delivering to the Trustee a Guarantor’s Officers’ Certificate and an Opinion of Counsel, each stating that the Merger and this Supplemental Indenture comply with Article XIV of the Base Indenture and that all conditions precedent provided for in each Indenture relating to such transaction have been complied with; and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pursuant to Section 8.1(4) of each Existing Supplemental Indenture, the Trustee is authorized to execute and deliver this Supplemental Indenture without the consent of any Holder of Notes.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the Trustee and the other parties hereto mutually covenant and agree for the equal and ratable benefit of the Holders of the Notes as follows:</w:t>
      </w:r>
    </w:p>
    <w:p>
      <w:pPr>
        <w:spacing w:after="0" w:line="185" w:lineRule="exact"/>
        <w:rPr>
          <w:sz w:val="20"/>
          <w:szCs w:val="20"/>
          <w:color w:val="auto"/>
        </w:rPr>
      </w:pPr>
    </w:p>
    <w:p>
      <w:pPr>
        <w:ind w:firstLine="656"/>
        <w:spacing w:after="0" w:line="263" w:lineRule="auto"/>
        <w:tabs>
          <w:tab w:leader="none" w:pos="1053" w:val="left"/>
        </w:tabs>
        <w:numPr>
          <w:ilvl w:val="0"/>
          <w:numId w:val="35"/>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Indentures.</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161" w:val="left"/>
        </w:tabs>
        <w:numPr>
          <w:ilvl w:val="0"/>
          <w:numId w:val="35"/>
        </w:numPr>
        <w:rPr>
          <w:rFonts w:ascii="Arial" w:cs="Arial" w:eastAsia="Arial" w:hAnsi="Arial"/>
          <w:sz w:val="22"/>
          <w:szCs w:val="22"/>
          <w:color w:val="auto"/>
        </w:rPr>
      </w:pPr>
      <w:r>
        <w:rPr>
          <w:rFonts w:ascii="Arial" w:cs="Arial" w:eastAsia="Arial" w:hAnsi="Arial"/>
          <w:sz w:val="22"/>
          <w:szCs w:val="22"/>
          <w:color w:val="auto"/>
        </w:rPr>
        <w:t>AGREEMENT TO GUARANTEE. Subject to Article XIV of the Base Indenture, the Guaranteeing Subsidiary hereby assumes the performance and observance of every covenant of the Indentures and the Guarantees on the part of O&amp;G to be performed and observed and fully and unconditionally guarantees to each Holder of a Note, and to the Trustee on behalf of such Holder: (1) the due and punctual payment of the principal of, and premium, if any, and interest, if any, on such Note when and as the same shall become due and payable, whether at the Stated Maturity, by declaration of acceleration, call for redemption or otherwise,</w:t>
      </w:r>
    </w:p>
    <w:p>
      <w:pPr>
        <w:sectPr>
          <w:pgSz w:w="11900" w:h="16838" w:orient="portrait"/>
          <w:cols w:equalWidth="0" w:num="1">
            <w:col w:w="11240"/>
          </w:cols>
          <w:pgMar w:left="320" w:top="1428" w:right="339" w:bottom="1440" w:gutter="0" w:footer="0" w:header="0"/>
        </w:sectPr>
      </w:pPr>
    </w:p>
    <w:bookmarkStart w:id="68" w:name="page69"/>
    <w:bookmarkEnd w:id="68"/>
    <w:p>
      <w:pPr>
        <w:jc w:val="both"/>
        <w:spacing w:after="0" w:line="250" w:lineRule="auto"/>
        <w:rPr>
          <w:sz w:val="20"/>
          <w:szCs w:val="20"/>
          <w:color w:val="auto"/>
        </w:rPr>
      </w:pPr>
      <w:r>
        <w:rPr>
          <w:rFonts w:ascii="Arial" w:cs="Arial" w:eastAsia="Arial" w:hAnsi="Arial"/>
          <w:sz w:val="22"/>
          <w:szCs w:val="22"/>
          <w:color w:val="auto"/>
        </w:rPr>
        <w:t>in accordance with the terms of such Note and of the applicable Indenture; and (2) in case of the failure of the Company punctually to make any such payment, to cause such payment to be made punctually when and as the same shall become due and payable, whether at the Stated Maturity or by acceleration, call for redemption or otherwise, and as if such payment were made by the Company.</w:t>
      </w:r>
    </w:p>
    <w:p>
      <w:pPr>
        <w:spacing w:after="0" w:line="188" w:lineRule="exact"/>
        <w:rPr>
          <w:sz w:val="20"/>
          <w:szCs w:val="20"/>
          <w:color w:val="auto"/>
        </w:rPr>
      </w:pPr>
    </w:p>
    <w:p>
      <w:pPr>
        <w:jc w:val="both"/>
        <w:ind w:firstLine="656"/>
        <w:spacing w:after="0" w:line="247" w:lineRule="auto"/>
        <w:tabs>
          <w:tab w:leader="none" w:pos="1134"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 RECOURSE AGAINST OTHERS. No past, present or future director, officer, employee, manager, member, partner, incorporator or stockholder of the Company or a Subsidiary Guarantor, including the Guaranteeing Subsidiary, as such, will have any liability for any obligations of the Company or a Subsidiary Guarantor, respectively, under the Notes or the Indentures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92" w:lineRule="exact"/>
        <w:rPr>
          <w:rFonts w:ascii="Arial" w:cs="Arial" w:eastAsia="Arial" w:hAnsi="Arial"/>
          <w:sz w:val="22"/>
          <w:szCs w:val="22"/>
          <w:color w:val="auto"/>
        </w:rPr>
      </w:pPr>
    </w:p>
    <w:p>
      <w:pPr>
        <w:ind w:firstLine="656"/>
        <w:spacing w:after="0" w:line="263" w:lineRule="auto"/>
        <w:tabs>
          <w:tab w:leader="none" w:pos="1089" w:val="left"/>
        </w:tabs>
        <w:numPr>
          <w:ilvl w:val="0"/>
          <w:numId w:val="36"/>
        </w:numPr>
        <w:rPr>
          <w:rFonts w:ascii="Arial" w:cs="Arial" w:eastAsia="Arial" w:hAnsi="Arial"/>
          <w:sz w:val="22"/>
          <w:szCs w:val="22"/>
          <w:color w:val="auto"/>
        </w:rPr>
      </w:pPr>
      <w:r>
        <w:rPr>
          <w:rFonts w:ascii="Arial" w:cs="Arial" w:eastAsia="Arial" w:hAnsi="Arial"/>
          <w:sz w:val="22"/>
          <w:szCs w:val="22"/>
          <w:color w:val="auto"/>
        </w:rPr>
        <w:t>GOVERNING LAW. THIS SUPPLEMENTAL INDENTURE SHALL BE GOVERNED BY, AND CONSTRUED IN ACCORDANCE WITH, THE LAWS OF THE STATE OF NEW YORK.</w:t>
      </w:r>
    </w:p>
    <w:p>
      <w:pPr>
        <w:spacing w:after="0" w:line="174" w:lineRule="exact"/>
        <w:rPr>
          <w:rFonts w:ascii="Arial" w:cs="Arial" w:eastAsia="Arial" w:hAnsi="Arial"/>
          <w:sz w:val="22"/>
          <w:szCs w:val="22"/>
          <w:color w:val="auto"/>
        </w:rPr>
      </w:pPr>
    </w:p>
    <w:p>
      <w:pPr>
        <w:jc w:val="both"/>
        <w:ind w:firstLine="656"/>
        <w:spacing w:after="0" w:line="261" w:lineRule="auto"/>
        <w:tabs>
          <w:tab w:leader="none" w:pos="1071" w:val="left"/>
        </w:tabs>
        <w:numPr>
          <w:ilvl w:val="0"/>
          <w:numId w:val="36"/>
        </w:numPr>
        <w:rPr>
          <w:rFonts w:ascii="Arial" w:cs="Arial" w:eastAsia="Arial" w:hAnsi="Arial"/>
          <w:sz w:val="21"/>
          <w:szCs w:val="21"/>
          <w:color w:val="auto"/>
        </w:rPr>
      </w:pPr>
      <w:r>
        <w:rPr>
          <w:rFonts w:ascii="Arial" w:cs="Arial" w:eastAsia="Arial" w:hAnsi="Arial"/>
          <w:sz w:val="21"/>
          <w:szCs w:val="21"/>
          <w:color w:val="auto"/>
        </w:rPr>
        <w:t>MULTIPLE ORIGINALS. The parties may sign any number of copies of this Supplemental Indenture. Each signed copy shall be an original, but all of them together represent the same agreement. One signed copy is enough to prove this Supplemental Indenture. The exchange of copies of this Supplemental Indenture and of signature pages by facsimile or Portable Document Format (“PDF”)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79" w:lineRule="exact"/>
        <w:rPr>
          <w:rFonts w:ascii="Arial" w:cs="Arial" w:eastAsia="Arial" w:hAnsi="Arial"/>
          <w:sz w:val="21"/>
          <w:szCs w:val="21"/>
          <w:color w:val="auto"/>
        </w:rPr>
      </w:pPr>
    </w:p>
    <w:p>
      <w:pPr>
        <w:jc w:val="both"/>
        <w:ind w:firstLine="656"/>
        <w:spacing w:after="0" w:line="253" w:lineRule="auto"/>
        <w:tabs>
          <w:tab w:leader="none" w:pos="1157" w:val="left"/>
        </w:tabs>
        <w:numPr>
          <w:ilvl w:val="0"/>
          <w:numId w:val="36"/>
        </w:numPr>
        <w:rPr>
          <w:rFonts w:ascii="Arial" w:cs="Arial" w:eastAsia="Arial" w:hAnsi="Arial"/>
          <w:sz w:val="22"/>
          <w:szCs w:val="22"/>
          <w:color w:val="auto"/>
        </w:rPr>
      </w:pPr>
      <w:r>
        <w:rPr>
          <w:rFonts w:ascii="Arial" w:cs="Arial" w:eastAsia="Arial" w:hAnsi="Arial"/>
          <w:sz w:val="22"/>
          <w:szCs w:val="22"/>
          <w:color w:val="auto"/>
        </w:rPr>
        <w:t>EFFECT OF HEADINGS. The headings of the Sections of this Supplemental Indenture have been inserted for convenience of reference only, are not intended to be considered a part hereof and shall not modify or restrict any of the terms or provisions hereof.</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067"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to Follow]</w:t>
      </w:r>
    </w:p>
    <w:p>
      <w:pPr>
        <w:sectPr>
          <w:pgSz w:w="11900" w:h="16838" w:orient="portrait"/>
          <w:cols w:equalWidth="0" w:num="1">
            <w:col w:w="11240"/>
          </w:cols>
          <w:pgMar w:left="320" w:top="1428" w:right="339" w:bottom="1440" w:gutter="0" w:footer="0" w:header="0"/>
        </w:sectPr>
      </w:pPr>
    </w:p>
    <w:bookmarkStart w:id="69" w:name="page70"/>
    <w:bookmarkEnd w:id="69"/>
    <w:p>
      <w:pPr>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DIAMONDBACK E&amp;P LLC, as Guaranteeing</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Subsidiary</w:t>
      </w:r>
    </w:p>
    <w:p>
      <w:pPr>
        <w:spacing w:after="0" w:line="200" w:lineRule="exact"/>
        <w:rPr>
          <w:sz w:val="20"/>
          <w:szCs w:val="20"/>
          <w:color w:val="auto"/>
        </w:rPr>
      </w:pPr>
    </w:p>
    <w:p>
      <w:pPr>
        <w:spacing w:after="0" w:line="35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Executive Vice President, Chief Accounting Officer, and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Assistant Secretary</w:t>
      </w:r>
    </w:p>
    <w:p>
      <w:pPr>
        <w:spacing w:after="0" w:line="200" w:lineRule="exact"/>
        <w:rPr>
          <w:sz w:val="20"/>
          <w:szCs w:val="20"/>
          <w:color w:val="auto"/>
        </w:rPr>
      </w:pPr>
    </w:p>
    <w:p>
      <w:pPr>
        <w:spacing w:after="0" w:line="35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DIAMONDBACK ENERGY, INC., as the</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35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Executive Vice President, Chief Accounting Officer, and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Signature Page to Fourth Supplemental Indenture</w:t>
      </w:r>
    </w:p>
    <w:p>
      <w:pPr>
        <w:sectPr>
          <w:pgSz w:w="11900" w:h="16838" w:orient="portrait"/>
          <w:cols w:equalWidth="0" w:num="1">
            <w:col w:w="11160"/>
          </w:cols>
          <w:pgMar w:left="320" w:top="1428" w:right="419" w:bottom="1440" w:gutter="0" w:footer="0" w:header="0"/>
        </w:sectPr>
      </w:pPr>
    </w:p>
    <w:bookmarkStart w:id="70" w:name="page71"/>
    <w:bookmarkEnd w:id="70"/>
    <w:p>
      <w:pPr>
        <w:spacing w:after="0" w:line="3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u w:val="single" w:color="auto"/>
          <w:color w:val="auto"/>
        </w:rPr>
        <w:t>TRUSTEE:</w:t>
      </w:r>
    </w:p>
    <w:p>
      <w:pPr>
        <w:spacing w:after="0" w:line="334" w:lineRule="exact"/>
        <w:rPr>
          <w:sz w:val="20"/>
          <w:szCs w:val="20"/>
          <w:color w:val="auto"/>
        </w:rPr>
      </w:pPr>
    </w:p>
    <w:p>
      <w:pPr>
        <w:ind w:left="4000"/>
        <w:spacing w:after="0"/>
        <w:rPr>
          <w:sz w:val="20"/>
          <w:szCs w:val="20"/>
          <w:color w:val="auto"/>
        </w:rPr>
      </w:pPr>
      <w:r>
        <w:rPr>
          <w:rFonts w:ascii="Arial" w:cs="Arial" w:eastAsia="Arial" w:hAnsi="Arial"/>
          <w:sz w:val="21"/>
          <w:szCs w:val="21"/>
          <w:color w:val="auto"/>
        </w:rPr>
        <w:t>WELLS FARGO BANK, NATIONAL</w:t>
      </w:r>
    </w:p>
    <w:p>
      <w:pPr>
        <w:spacing w:after="0" w:line="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ASSOCIATION, as Trustee</w:t>
      </w:r>
    </w:p>
    <w:p>
      <w:pPr>
        <w:spacing w:after="0" w:line="200" w:lineRule="exact"/>
        <w:rPr>
          <w:sz w:val="20"/>
          <w:szCs w:val="20"/>
          <w:color w:val="auto"/>
        </w:rPr>
      </w:pPr>
    </w:p>
    <w:p>
      <w:pPr>
        <w:spacing w:after="0" w:line="35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Jessica Wuornos</w:t>
      </w:r>
    </w:p>
    <w:p>
      <w:pPr>
        <w:spacing w:after="0" w:line="5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Name: Jessica Wuornos</w:t>
      </w:r>
    </w:p>
    <w:p>
      <w:pPr>
        <w:spacing w:after="0" w:line="5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to Fourth Supplemental Indenture</w:t>
      </w:r>
    </w:p>
    <w:p>
      <w:pPr>
        <w:sectPr>
          <w:pgSz w:w="11900" w:h="16838" w:orient="portrait"/>
          <w:cols w:equalWidth="0" w:num="1">
            <w:col w:w="9019"/>
          </w:cols>
          <w:pgMar w:left="1440" w:top="1440" w:right="1440" w:bottom="1440" w:gutter="0" w:footer="0" w:header="0"/>
        </w:sectPr>
      </w:pPr>
    </w:p>
    <w:bookmarkStart w:id="71" w:name="page72"/>
    <w:bookmarkEnd w:id="71"/>
    <w:p>
      <w:pPr>
        <w:ind w:left="10120"/>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SUPPLEMENTAL INDENTURE</w:t>
      </w:r>
    </w:p>
    <w:p>
      <w:pPr>
        <w:spacing w:after="0" w:line="22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FIRST 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dated as of June 30, 2021, is between Diamondback E&amp;P LLC, a Delaware limited liability company (the “</w:t>
      </w:r>
      <w:r>
        <w:rPr>
          <w:rFonts w:ascii="Arial" w:cs="Arial" w:eastAsia="Arial" w:hAnsi="Arial"/>
          <w:sz w:val="21"/>
          <w:szCs w:val="21"/>
          <w:i w:val="1"/>
          <w:iCs w:val="1"/>
          <w:color w:val="auto"/>
        </w:rPr>
        <w:t>New Issuer</w:t>
      </w:r>
      <w:r>
        <w:rPr>
          <w:rFonts w:ascii="Arial" w:cs="Arial" w:eastAsia="Arial" w:hAnsi="Arial"/>
          <w:sz w:val="21"/>
          <w:szCs w:val="21"/>
          <w:color w:val="auto"/>
        </w:rPr>
        <w:t>”), as successor by merger to Energen Corporation, an Alabama corporation (“</w:t>
      </w:r>
      <w:r>
        <w:rPr>
          <w:rFonts w:ascii="Arial" w:cs="Arial" w:eastAsia="Arial" w:hAnsi="Arial"/>
          <w:sz w:val="21"/>
          <w:szCs w:val="21"/>
          <w:i w:val="1"/>
          <w:iCs w:val="1"/>
          <w:color w:val="auto"/>
        </w:rPr>
        <w:t>Energen</w:t>
      </w:r>
      <w:r>
        <w:rPr>
          <w:rFonts w:ascii="Arial" w:cs="Arial" w:eastAsia="Arial" w:hAnsi="Arial"/>
          <w:sz w:val="21"/>
          <w:szCs w:val="21"/>
          <w:color w:val="auto"/>
        </w:rPr>
        <w:t>”), and The Bank of New York Mellon Trust Company, N.A., successor in interest to The Bank of New York, as trustee under the Indenture referred to below (the “</w:t>
      </w:r>
      <w:r>
        <w:rPr>
          <w:rFonts w:ascii="Arial" w:cs="Arial" w:eastAsia="Arial" w:hAnsi="Arial"/>
          <w:sz w:val="21"/>
          <w:szCs w:val="21"/>
          <w:i w:val="1"/>
          <w:iCs w:val="1"/>
          <w:color w:val="auto"/>
        </w:rPr>
        <w:t>Trustee</w:t>
      </w:r>
      <w:r>
        <w:rPr>
          <w:rFonts w:ascii="Arial" w:cs="Arial" w:eastAsia="Arial" w:hAnsi="Arial"/>
          <w:sz w:val="21"/>
          <w:szCs w:val="21"/>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WHEREAS, Energen, as issuer, has heretofore executed and delivered to the Trustee an Indenture, dated as of September 1, 1996 (the “</w:t>
      </w:r>
      <w:r>
        <w:rPr>
          <w:rFonts w:ascii="Arial" w:cs="Arial" w:eastAsia="Arial" w:hAnsi="Arial"/>
          <w:sz w:val="19"/>
          <w:szCs w:val="19"/>
          <w:i w:val="1"/>
          <w:iCs w:val="1"/>
          <w:color w:val="auto"/>
        </w:rPr>
        <w:t>Base Indenture</w:t>
      </w:r>
      <w:r>
        <w:rPr>
          <w:rFonts w:ascii="Arial" w:cs="Arial" w:eastAsia="Arial" w:hAnsi="Arial"/>
          <w:sz w:val="19"/>
          <w:szCs w:val="19"/>
          <w:color w:val="auto"/>
        </w:rPr>
        <w:t>”), between Energen and the Trustee, as supplemented by (i) that certain Amended and Restated Officers’ Certificate pursuant to Section 301 of the Base Indenture, dated as of February 27, 1998, and that certain Supplemental Company Order – Medium-Term Notes, Series B, dated as of February 27, 1998 (as so supplemented the “</w:t>
      </w:r>
      <w:r>
        <w:rPr>
          <w:rFonts w:ascii="Arial" w:cs="Arial" w:eastAsia="Arial" w:hAnsi="Arial"/>
          <w:sz w:val="19"/>
          <w:szCs w:val="19"/>
          <w:i w:val="1"/>
          <w:iCs w:val="1"/>
          <w:color w:val="auto"/>
        </w:rPr>
        <w:t>7.125% Indenture</w:t>
      </w:r>
      <w:r>
        <w:rPr>
          <w:rFonts w:ascii="Arial" w:cs="Arial" w:eastAsia="Arial" w:hAnsi="Arial"/>
          <w:sz w:val="19"/>
          <w:szCs w:val="19"/>
          <w:color w:val="auto"/>
        </w:rPr>
        <w:t>”), pursuant to which Energen has issued its 7.125% Medium Term Notes, Series B due 2028 (the “</w:t>
      </w:r>
      <w:r>
        <w:rPr>
          <w:rFonts w:ascii="Arial" w:cs="Arial" w:eastAsia="Arial" w:hAnsi="Arial"/>
          <w:sz w:val="19"/>
          <w:szCs w:val="19"/>
          <w:i w:val="1"/>
          <w:iCs w:val="1"/>
          <w:color w:val="auto"/>
        </w:rPr>
        <w:t>7.125% Notes</w:t>
      </w:r>
      <w:r>
        <w:rPr>
          <w:rFonts w:ascii="Arial" w:cs="Arial" w:eastAsia="Arial" w:hAnsi="Arial"/>
          <w:sz w:val="19"/>
          <w:szCs w:val="19"/>
          <w:color w:val="auto"/>
        </w:rPr>
        <w:t>”) and (ii) that certain Officers’ Certificate pursuant to Section 301 of the Base Indenture, dated as of September 13, 1996, that certain Officers’ Certificate pursuant to Section 301 of the Base Indenture, dated as of July 8, 1997, and that certain Pricing Supplement No. 17, dated as of July 23, 1997 (as so supplemented the “</w:t>
      </w:r>
      <w:r>
        <w:rPr>
          <w:rFonts w:ascii="Arial" w:cs="Arial" w:eastAsia="Arial" w:hAnsi="Arial"/>
          <w:sz w:val="19"/>
          <w:szCs w:val="19"/>
          <w:i w:val="1"/>
          <w:iCs w:val="1"/>
          <w:color w:val="auto"/>
        </w:rPr>
        <w:t>7.32% Indenture</w:t>
      </w:r>
      <w:r>
        <w:rPr>
          <w:rFonts w:ascii="Arial" w:cs="Arial" w:eastAsia="Arial" w:hAnsi="Arial"/>
          <w:sz w:val="19"/>
          <w:szCs w:val="19"/>
          <w:color w:val="auto"/>
        </w:rPr>
        <w:t>” and, together with the 7.125% Indenture, the “</w:t>
      </w:r>
      <w:r>
        <w:rPr>
          <w:rFonts w:ascii="Arial" w:cs="Arial" w:eastAsia="Arial" w:hAnsi="Arial"/>
          <w:sz w:val="19"/>
          <w:szCs w:val="19"/>
          <w:i w:val="1"/>
          <w:iCs w:val="1"/>
          <w:color w:val="auto"/>
        </w:rPr>
        <w:t>Indentures</w:t>
      </w:r>
      <w:r>
        <w:rPr>
          <w:rFonts w:ascii="Arial" w:cs="Arial" w:eastAsia="Arial" w:hAnsi="Arial"/>
          <w:sz w:val="19"/>
          <w:szCs w:val="19"/>
          <w:color w:val="auto"/>
        </w:rPr>
        <w:t>” and each, an “</w:t>
      </w:r>
      <w:r>
        <w:rPr>
          <w:rFonts w:ascii="Arial" w:cs="Arial" w:eastAsia="Arial" w:hAnsi="Arial"/>
          <w:sz w:val="19"/>
          <w:szCs w:val="19"/>
          <w:i w:val="1"/>
          <w:iCs w:val="1"/>
          <w:color w:val="auto"/>
        </w:rPr>
        <w:t>Indenture</w:t>
      </w:r>
      <w:r>
        <w:rPr>
          <w:rFonts w:ascii="Arial" w:cs="Arial" w:eastAsia="Arial" w:hAnsi="Arial"/>
          <w:sz w:val="19"/>
          <w:szCs w:val="19"/>
          <w:color w:val="auto"/>
        </w:rPr>
        <w:t>”) pursuant to which Energen has issued its 7.32% Medium Term Notes, Series A due 2022 (together with the 7.125% Notes, the “</w:t>
      </w:r>
      <w:r>
        <w:rPr>
          <w:rFonts w:ascii="Arial" w:cs="Arial" w:eastAsia="Arial" w:hAnsi="Arial"/>
          <w:sz w:val="19"/>
          <w:szCs w:val="19"/>
          <w:i w:val="1"/>
          <w:iCs w:val="1"/>
          <w:color w:val="auto"/>
        </w:rPr>
        <w:t>Notes</w:t>
      </w:r>
      <w:r>
        <w:rPr>
          <w:rFonts w:ascii="Arial" w:cs="Arial" w:eastAsia="Arial" w:hAnsi="Arial"/>
          <w:sz w:val="19"/>
          <w:szCs w:val="19"/>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pursuant to Section 1101 of the Base Indenture, Energen is permitted to merge into any other Corporation if</w:t>
      </w:r>
    </w:p>
    <w:p>
      <w:pPr>
        <w:spacing w:after="0" w:line="56" w:lineRule="exact"/>
        <w:rPr>
          <w:sz w:val="20"/>
          <w:szCs w:val="20"/>
          <w:color w:val="auto"/>
        </w:rPr>
      </w:pPr>
    </w:p>
    <w:p>
      <w:pPr>
        <w:jc w:val="both"/>
        <w:ind w:firstLine="8"/>
        <w:spacing w:after="0" w:line="285" w:lineRule="auto"/>
        <w:tabs>
          <w:tab w:leader="none" w:pos="31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Corporation into which Energen is merged (the “</w:t>
      </w:r>
      <w:r>
        <w:rPr>
          <w:rFonts w:ascii="Arial" w:cs="Arial" w:eastAsia="Arial" w:hAnsi="Arial"/>
          <w:sz w:val="19"/>
          <w:szCs w:val="19"/>
          <w:i w:val="1"/>
          <w:iCs w:val="1"/>
          <w:color w:val="auto"/>
        </w:rPr>
        <w:t>Successor Company</w:t>
      </w:r>
      <w:r>
        <w:rPr>
          <w:rFonts w:ascii="Arial" w:cs="Arial" w:eastAsia="Arial" w:hAnsi="Arial"/>
          <w:sz w:val="19"/>
          <w:szCs w:val="19"/>
          <w:color w:val="auto"/>
        </w:rPr>
        <w:t>”) shall be a Person organized and existing under the laws of the United States of America, any State thereof or the District of Columbia, and shall expressly assume, by an indenture supplemental thereto, executed and delivered to the Trustee, in form satisfactory to the Trustee, the due and punctual payment of the principal of and premium, if any, and interest, if any, on all Outstanding Notes and the performance of every covenant of the Indentures on the part of Energen to be performed or observed, (2) immediately after giving effect to such transaction and treating any indebtedness for borrowed money which becomes an obligation of Energen as a result of the transaction as having been incurred by Energen at the time of such transaction, no Event of Default, and no event which, after notice or lapse of time or both, would become an Event of Default, shall have occurred and be continuing, and (3) the Successor Company shall have delivered to the Trustee an Officers’ Certificate and an Opinion of Counsel, each stating that such merger and such supplemental indenture complies with Article Eleven of the Base Indenture and that all conditions precedent provided for in the Indentures relating to such transactions have been complied with;</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as of the date hereof, Energen is merging with and into the New Issuer, with the New Issuer as the surviving Corporation (the “</w:t>
      </w:r>
      <w:r>
        <w:rPr>
          <w:rFonts w:ascii="Arial" w:cs="Arial" w:eastAsia="Arial" w:hAnsi="Arial"/>
          <w:sz w:val="19"/>
          <w:szCs w:val="19"/>
          <w:i w:val="1"/>
          <w:iCs w:val="1"/>
          <w:color w:val="auto"/>
        </w:rPr>
        <w:t>Merger</w:t>
      </w:r>
      <w:r>
        <w:rPr>
          <w:rFonts w:ascii="Arial" w:cs="Arial" w:eastAsia="Arial" w:hAnsi="Arial"/>
          <w:sz w:val="19"/>
          <w:szCs w:val="19"/>
          <w:color w:val="auto"/>
        </w:rPr>
        <w:t>”) and the New Issuer will thereafter succeed to, and be substituted for, and may exercise every right and power of, Energen under the Indentures with the same effect as if the New Issuer had been named as the “Company” in the</w:t>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9"/>
          <w:szCs w:val="19"/>
          <w:color w:val="auto"/>
        </w:rPr>
        <w:t>Indentures, and thereafter, Energen shall be relieved of all obligations and covenants under the Indentures and the Notes;</w:t>
      </w:r>
    </w:p>
    <w:p>
      <w:pPr>
        <w:spacing w:after="0" w:line="2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the New Issuer, as the Corporation into which Energen is merged is a limited liability company organized and existing under the laws of the State of Delaware and, pursuant to this Supplemental Indenture, shall expressly assume the due and punctual payment of the principal of and premium, if any, and interest, if any, on all Outstanding Notes and the performance of every covenant of the Indentures on the part of Energen to be performed or observed;</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immediately after giving effect to the Merger and treating any indebtedness for borrowed money which becomes an obligation of Energen as a result of the transaction as having been incurred by Energen at the time of such transaction, no Event of Default, and no event which, after notice or lapse of time or both, would become an Event of Default, shall have occurred and be continuing;</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the New Issuer is delivering to the Trustee an Officers’ Certificate and an Opinion of Counsel, each stating that each of the Merger and the Supplemental Indenture complies with Article Eleven of the Base Indenture and that all conditions precedent provided for in the Indentures relating to such transactions have been complied with; and</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pursuant to Section 1201(a) of the Base Indenture, the Trustee is authorized to execute and deliver this Supplemental Indenture without the consent of any Holders.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Issuer and the Trustee mutually covenant and agree for the equal and ratable benefit of the Holders of the Notes as follows:</w:t>
      </w:r>
    </w:p>
    <w:p>
      <w:pPr>
        <w:spacing w:after="0" w:line="185" w:lineRule="exact"/>
        <w:rPr>
          <w:sz w:val="20"/>
          <w:szCs w:val="20"/>
          <w:color w:val="auto"/>
        </w:rPr>
      </w:pPr>
    </w:p>
    <w:p>
      <w:pPr>
        <w:ind w:firstLine="656"/>
        <w:spacing w:after="0" w:line="263" w:lineRule="auto"/>
        <w:tabs>
          <w:tab w:leader="none" w:pos="1053" w:val="left"/>
        </w:tabs>
        <w:numPr>
          <w:ilvl w:val="0"/>
          <w:numId w:val="38"/>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Base Indenture.</w:t>
      </w:r>
    </w:p>
    <w:p>
      <w:pPr>
        <w:spacing w:after="0" w:line="174" w:lineRule="exact"/>
        <w:rPr>
          <w:rFonts w:ascii="Arial" w:cs="Arial" w:eastAsia="Arial" w:hAnsi="Arial"/>
          <w:sz w:val="22"/>
          <w:szCs w:val="22"/>
          <w:color w:val="auto"/>
        </w:rPr>
      </w:pPr>
    </w:p>
    <w:p>
      <w:pPr>
        <w:jc w:val="both"/>
        <w:ind w:firstLine="656"/>
        <w:spacing w:after="0" w:line="260" w:lineRule="auto"/>
        <w:tabs>
          <w:tab w:leader="none" w:pos="1092" w:val="left"/>
        </w:tabs>
        <w:numPr>
          <w:ilvl w:val="0"/>
          <w:numId w:val="38"/>
        </w:numPr>
        <w:rPr>
          <w:rFonts w:ascii="Arial" w:cs="Arial" w:eastAsia="Arial" w:hAnsi="Arial"/>
          <w:sz w:val="21"/>
          <w:szCs w:val="21"/>
          <w:color w:val="auto"/>
        </w:rPr>
      </w:pPr>
      <w:r>
        <w:rPr>
          <w:rFonts w:ascii="Arial" w:cs="Arial" w:eastAsia="Arial" w:hAnsi="Arial"/>
          <w:sz w:val="21"/>
          <w:szCs w:val="21"/>
          <w:color w:val="auto"/>
        </w:rPr>
        <w:t>AGREEMENT TO ASSUME ISSUER OBLIGATIONS. The New Issuer hereby (i) assumes all the obligations of Energen under the Indentures, including the due and punctual payment of the principal of and premium, if any, and interest, if any, on all Outstanding Notes and the performance of every covenant of the Indentures on the part of Energen to be performed or observed and (ii) succeeds to, and shall be substituted for, and may exercise every right and power of, Energen under the Indentures with the same effect as if the New Issuer had been named as the ”Company” in the Indentures. All references to the Issuer or the Company in this Supplemental Indenture, the Base Indenture, the Notes and any relevant Indenture shall henceforth be to the New Issuer, not Energen.</w:t>
      </w:r>
    </w:p>
    <w:p>
      <w:pPr>
        <w:spacing w:after="0" w:line="166" w:lineRule="exact"/>
        <w:rPr>
          <w:rFonts w:ascii="Arial" w:cs="Arial" w:eastAsia="Arial" w:hAnsi="Arial"/>
          <w:sz w:val="21"/>
          <w:szCs w:val="21"/>
          <w:color w:val="auto"/>
        </w:rPr>
      </w:pPr>
    </w:p>
    <w:p>
      <w:pPr>
        <w:jc w:val="both"/>
        <w:ind w:firstLine="656"/>
        <w:spacing w:after="0" w:line="282" w:lineRule="auto"/>
        <w:tabs>
          <w:tab w:leader="none" w:pos="1095" w:val="left"/>
        </w:tabs>
        <w:numPr>
          <w:ilvl w:val="0"/>
          <w:numId w:val="38"/>
        </w:numPr>
        <w:rPr>
          <w:rFonts w:ascii="Arial" w:cs="Arial" w:eastAsia="Arial" w:hAnsi="Arial"/>
          <w:sz w:val="19"/>
          <w:szCs w:val="19"/>
          <w:color w:val="auto"/>
        </w:rPr>
      </w:pPr>
      <w:r>
        <w:rPr>
          <w:rFonts w:ascii="Arial" w:cs="Arial" w:eastAsia="Arial" w:hAnsi="Arial"/>
          <w:sz w:val="19"/>
          <w:szCs w:val="19"/>
          <w:color w:val="auto"/>
        </w:rPr>
        <w:t>LIABILITY SOLELY CORPORATE. No recourse shall be had for the payment of the principal of or premium, if any, or interest, if any, on any Notes, or any part thereof, or for any claim based thereon or otherwise in respect thereof, or of the indebtedness represented thereby, or upon any obligation, covenant or agreement under the Indentures, against any</w:t>
      </w:r>
    </w:p>
    <w:p>
      <w:pPr>
        <w:sectPr>
          <w:pgSz w:w="11900" w:h="16838" w:orient="portrait"/>
          <w:cols w:equalWidth="0" w:num="1">
            <w:col w:w="11240"/>
          </w:cols>
          <w:pgMar w:left="320" w:top="1428" w:right="339" w:bottom="1440" w:gutter="0" w:footer="0" w:header="0"/>
        </w:sectPr>
      </w:pPr>
    </w:p>
    <w:bookmarkStart w:id="73" w:name="page74"/>
    <w:bookmarkEnd w:id="73"/>
    <w:p>
      <w:pPr>
        <w:jc w:val="both"/>
        <w:spacing w:after="0" w:line="258" w:lineRule="auto"/>
        <w:rPr>
          <w:sz w:val="20"/>
          <w:szCs w:val="20"/>
          <w:color w:val="auto"/>
        </w:rPr>
      </w:pPr>
      <w:r>
        <w:rPr>
          <w:rFonts w:ascii="Arial" w:cs="Arial" w:eastAsia="Arial" w:hAnsi="Arial"/>
          <w:sz w:val="19"/>
          <w:szCs w:val="19"/>
          <w:color w:val="auto"/>
        </w:rPr>
        <w:t>incorporator, stockholder, officer or director, as such, past, present or future of the New Issuer or of any predecessor or successor Corporation (either directly or through the New Issuer or a predecessor or successor Corporation), whether by virtue of any constitutional provision, statute or rule of law, or by the enforcement of any assessment or penalty or otherwise; it being expressly agreed and understood that the Indentures and all the Notes are solely corporate obligations, and that no personal liability whatsoever shall attach to, or be incurred by, any incorporator, stockholder, officer or director, past, present or future, of the New Issuer or of any predecessor or successor Corporation, either directly or indirectly through the New Issuer or any predecessor or successor Corporation, because of the indebtedness authorized by the Indentures or under or by reason of any of the obligations, covenants or agreements contained in the Indentures or in any of the Notes or to be implied therefrom, and that any such personal liability was expressly waived and released as a condition of, and as part of the consideration for, the execution of the Indentures and the issuance of the Notes.</w:t>
      </w:r>
    </w:p>
    <w:p>
      <w:pPr>
        <w:spacing w:after="0" w:line="203" w:lineRule="exact"/>
        <w:rPr>
          <w:sz w:val="20"/>
          <w:szCs w:val="20"/>
          <w:color w:val="auto"/>
        </w:rPr>
      </w:pPr>
    </w:p>
    <w:p>
      <w:pPr>
        <w:ind w:right="20" w:firstLine="656"/>
        <w:spacing w:after="0" w:line="263" w:lineRule="auto"/>
        <w:tabs>
          <w:tab w:leader="none" w:pos="1062" w:val="left"/>
        </w:tabs>
        <w:numPr>
          <w:ilvl w:val="0"/>
          <w:numId w:val="39"/>
        </w:numPr>
        <w:rPr>
          <w:rFonts w:ascii="Arial" w:cs="Arial" w:eastAsia="Arial" w:hAnsi="Arial"/>
          <w:sz w:val="22"/>
          <w:szCs w:val="22"/>
          <w:color w:val="auto"/>
        </w:rPr>
      </w:pPr>
      <w:r>
        <w:rPr>
          <w:rFonts w:ascii="Arial" w:cs="Arial" w:eastAsia="Arial" w:hAnsi="Arial"/>
          <w:sz w:val="22"/>
          <w:szCs w:val="22"/>
          <w:color w:val="auto"/>
        </w:rPr>
        <w:t>GOVERNING LAW. This Supplemental Indenture and the Notes shall be governed by and construed in accordance with the laws of the State of New York.</w:t>
      </w:r>
    </w:p>
    <w:p>
      <w:pPr>
        <w:spacing w:after="0" w:line="174" w:lineRule="exact"/>
        <w:rPr>
          <w:rFonts w:ascii="Arial" w:cs="Arial" w:eastAsia="Arial" w:hAnsi="Arial"/>
          <w:sz w:val="22"/>
          <w:szCs w:val="22"/>
          <w:color w:val="auto"/>
        </w:rPr>
      </w:pPr>
    </w:p>
    <w:p>
      <w:pPr>
        <w:jc w:val="both"/>
        <w:ind w:firstLine="656"/>
        <w:spacing w:after="0" w:line="246" w:lineRule="auto"/>
        <w:tabs>
          <w:tab w:leader="none" w:pos="1058" w:val="left"/>
        </w:tabs>
        <w:numPr>
          <w:ilvl w:val="0"/>
          <w:numId w:val="39"/>
        </w:numPr>
        <w:rPr>
          <w:rFonts w:ascii="Arial" w:cs="Arial" w:eastAsia="Arial" w:hAnsi="Arial"/>
          <w:sz w:val="22"/>
          <w:szCs w:val="22"/>
          <w:color w:val="auto"/>
        </w:rPr>
      </w:pPr>
      <w:r>
        <w:rPr>
          <w:rFonts w:ascii="Arial" w:cs="Arial" w:eastAsia="Arial" w:hAnsi="Arial"/>
          <w:sz w:val="22"/>
          <w:szCs w:val="22"/>
          <w:color w:val="auto"/>
        </w:rPr>
        <w:t>COUNTERPARTS. This Supplemental Indenture may be executed in any number of counterparts, each of which so executed shall be deemed to be an original, but all such counterparts shall together constitute but one and the same instrument. Each signed copy shall be an original, but all of them together represent the same agreement. The exchange of copies of this Supplemental Indenture and of signature pages by facsimile or Portable Document Format (“</w:t>
      </w:r>
      <w:r>
        <w:rPr>
          <w:rFonts w:ascii="Arial" w:cs="Arial" w:eastAsia="Arial" w:hAnsi="Arial"/>
          <w:sz w:val="22"/>
          <w:szCs w:val="22"/>
          <w:b w:val="1"/>
          <w:bCs w:val="1"/>
          <w:i w:val="1"/>
          <w:iCs w:val="1"/>
          <w:color w:val="auto"/>
        </w:rPr>
        <w:t>PDF</w:t>
      </w:r>
      <w:r>
        <w:rPr>
          <w:rFonts w:ascii="Arial" w:cs="Arial" w:eastAsia="Arial" w:hAnsi="Arial"/>
          <w:sz w:val="22"/>
          <w:szCs w:val="22"/>
          <w:color w:val="auto"/>
        </w:rPr>
        <w:t>”) transmission shall constitute effective execution and delivery of this Supplemental Indenture as to the parties hereto and may be used in lieu of the original instrument for all purposes. Signatures of the parties hereto transmitted by facsimile or PDF shall be deemed to be their original signatures for all purposes.</w:t>
      </w:r>
    </w:p>
    <w:p>
      <w:pPr>
        <w:spacing w:after="0" w:line="196" w:lineRule="exact"/>
        <w:rPr>
          <w:rFonts w:ascii="Arial" w:cs="Arial" w:eastAsia="Arial" w:hAnsi="Arial"/>
          <w:sz w:val="22"/>
          <w:szCs w:val="22"/>
          <w:color w:val="auto"/>
        </w:rPr>
      </w:pPr>
    </w:p>
    <w:p>
      <w:pPr>
        <w:ind w:left="1040" w:hanging="384"/>
        <w:spacing w:after="0"/>
        <w:tabs>
          <w:tab w:leader="none" w:pos="10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033" w:val="left"/>
        </w:tabs>
        <w:numPr>
          <w:ilvl w:val="0"/>
          <w:numId w:val="39"/>
        </w:numPr>
        <w:rPr>
          <w:rFonts w:ascii="Arial" w:cs="Arial" w:eastAsia="Arial" w:hAnsi="Arial"/>
          <w:sz w:val="22"/>
          <w:szCs w:val="22"/>
          <w:color w:val="auto"/>
        </w:rPr>
      </w:pPr>
      <w:r>
        <w:rPr>
          <w:rFonts w:ascii="Arial" w:cs="Arial" w:eastAsia="Arial" w:hAnsi="Arial"/>
          <w:sz w:val="22"/>
          <w:szCs w:val="22"/>
          <w:color w:val="auto"/>
        </w:rPr>
        <w:t>NOT RESPONSIBLE FOR RECITALS. The recitals contained herein shall be taken as the statements of New Issuer, and the Trustee assumes no responsibility for their correctness. The Trustee makes no representations as to the validity or sufficiency of this Supplemental Indenture.</w:t>
      </w:r>
    </w:p>
    <w:p>
      <w:pPr>
        <w:spacing w:after="0" w:line="185" w:lineRule="exact"/>
        <w:rPr>
          <w:rFonts w:ascii="Arial" w:cs="Arial" w:eastAsia="Arial" w:hAnsi="Arial"/>
          <w:sz w:val="22"/>
          <w:szCs w:val="22"/>
          <w:color w:val="auto"/>
        </w:rPr>
      </w:pPr>
    </w:p>
    <w:p>
      <w:pPr>
        <w:ind w:left="1040" w:hanging="384"/>
        <w:spacing w:after="0"/>
        <w:tabs>
          <w:tab w:leader="none" w:pos="10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RIGHTS OF THE TRUSTEE. Section 903 of the Base Indenture is hereby amended by:</w:t>
      </w:r>
    </w:p>
    <w:p>
      <w:pPr>
        <w:spacing w:after="0" w:line="220" w:lineRule="exact"/>
        <w:rPr>
          <w:sz w:val="20"/>
          <w:szCs w:val="20"/>
          <w:color w:val="auto"/>
        </w:rPr>
      </w:pPr>
    </w:p>
    <w:p>
      <w:pPr>
        <w:ind w:left="1120" w:hanging="464"/>
        <w:spacing w:after="0"/>
        <w:tabs>
          <w:tab w:leader="none" w:pos="11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deleting “and” at the end of section (g);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adding the following as new sections (i), (j) and (k) in alphabetical order therein:</w:t>
      </w:r>
    </w:p>
    <w:p>
      <w:pPr>
        <w:spacing w:after="0" w:line="220" w:lineRule="exact"/>
        <w:rPr>
          <w:sz w:val="20"/>
          <w:szCs w:val="20"/>
          <w:color w:val="auto"/>
        </w:rPr>
      </w:pPr>
    </w:p>
    <w:p>
      <w:pPr>
        <w:jc w:val="both"/>
        <w:ind w:left="1300"/>
        <w:spacing w:after="0" w:line="271" w:lineRule="auto"/>
        <w:rPr>
          <w:sz w:val="20"/>
          <w:szCs w:val="20"/>
          <w:color w:val="auto"/>
        </w:rPr>
      </w:pPr>
      <w:r>
        <w:rPr>
          <w:rFonts w:ascii="Arial" w:cs="Arial" w:eastAsia="Arial" w:hAnsi="Arial"/>
          <w:sz w:val="21"/>
          <w:szCs w:val="21"/>
          <w:color w:val="auto"/>
        </w:rPr>
        <w:t>“(i)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ectPr>
          <w:pgSz w:w="11900" w:h="16838" w:orient="portrait"/>
          <w:cols w:equalWidth="0" w:num="1">
            <w:col w:w="11240"/>
          </w:cols>
          <w:pgMar w:left="320" w:top="1414" w:right="339" w:bottom="1440" w:gutter="0" w:footer="0" w:header="0"/>
        </w:sectPr>
      </w:pPr>
    </w:p>
    <w:bookmarkStart w:id="74" w:name="page75"/>
    <w:bookmarkEnd w:id="74"/>
    <w:p>
      <w:pPr>
        <w:jc w:val="both"/>
        <w:ind w:left="644" w:firstLine="4"/>
        <w:spacing w:after="0" w:line="248" w:lineRule="auto"/>
        <w:tabs>
          <w:tab w:leader="none" w:pos="1163" w:val="left"/>
        </w:tabs>
        <w:numPr>
          <w:ilvl w:val="0"/>
          <w:numId w:val="41"/>
        </w:numPr>
        <w:rPr>
          <w:rFonts w:ascii="Arial" w:cs="Arial" w:eastAsia="Arial" w:hAnsi="Arial"/>
          <w:sz w:val="22"/>
          <w:szCs w:val="22"/>
          <w:color w:val="auto"/>
        </w:rPr>
      </w:pPr>
      <w:r>
        <w:rPr>
          <w:rFonts w:ascii="Arial" w:cs="Arial" w:eastAsia="Arial" w:hAnsi="Arial"/>
          <w:sz w:val="22"/>
          <w:szCs w:val="22"/>
          <w:color w:val="auto"/>
        </w:rPr>
        <w:t>Delivery of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its covenants hereunder (as to which the Trustee is entitled to rely exclusively on Officers’ Certificates); and</w:t>
      </w:r>
    </w:p>
    <w:p>
      <w:pPr>
        <w:spacing w:after="0" w:line="191" w:lineRule="exact"/>
        <w:rPr>
          <w:rFonts w:ascii="Arial" w:cs="Arial" w:eastAsia="Arial" w:hAnsi="Arial"/>
          <w:sz w:val="22"/>
          <w:szCs w:val="22"/>
          <w:color w:val="auto"/>
        </w:rPr>
      </w:pPr>
    </w:p>
    <w:p>
      <w:pPr>
        <w:jc w:val="both"/>
        <w:ind w:left="644" w:firstLine="4"/>
        <w:spacing w:after="0" w:line="271" w:lineRule="auto"/>
        <w:tabs>
          <w:tab w:leader="none" w:pos="1167"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Trustee shall not be deemed to have notice of any default or Event of Default unless written notice of any event which is in fact such a default is received by a Responsible Officer of the Trustee at the Corporate Trust Office of the Trustee, and such notice references the Securities and the Indenture.”</w:t>
      </w:r>
    </w:p>
    <w:p>
      <w:pPr>
        <w:spacing w:after="0" w:line="167" w:lineRule="exact"/>
        <w:rPr>
          <w:sz w:val="20"/>
          <w:szCs w:val="20"/>
          <w:color w:val="auto"/>
        </w:rPr>
      </w:pPr>
    </w:p>
    <w:p>
      <w:pPr>
        <w:ind w:left="-656" w:right="20" w:firstLine="656"/>
        <w:spacing w:after="0" w:line="263" w:lineRule="auto"/>
        <w:tabs>
          <w:tab w:leader="none" w:pos="531" w:val="left"/>
        </w:tabs>
        <w:numPr>
          <w:ilvl w:val="0"/>
          <w:numId w:val="42"/>
        </w:numPr>
        <w:rPr>
          <w:rFonts w:ascii="Arial" w:cs="Arial" w:eastAsia="Arial" w:hAnsi="Arial"/>
          <w:sz w:val="22"/>
          <w:szCs w:val="22"/>
          <w:color w:val="auto"/>
        </w:rPr>
      </w:pPr>
      <w:r>
        <w:rPr>
          <w:rFonts w:ascii="Arial" w:cs="Arial" w:eastAsia="Arial" w:hAnsi="Arial"/>
          <w:sz w:val="22"/>
          <w:szCs w:val="22"/>
          <w:color w:val="auto"/>
        </w:rPr>
        <w:t>AUTHENTICATION OF THE NOTES. Section 202 of the Base Indenture is hereby amended by adding the following at the end of the existing provision:</w:t>
      </w:r>
    </w:p>
    <w:p>
      <w:pPr>
        <w:spacing w:after="0" w:line="175"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“The Trustee may authenticate the Notes by manual, facsimile or electronic signature, provided that any electronic signature is a true representation of the signer’s actual signature.”</w:t>
      </w:r>
    </w:p>
    <w:p>
      <w:pPr>
        <w:spacing w:after="0" w:line="175" w:lineRule="exact"/>
        <w:rPr>
          <w:sz w:val="20"/>
          <w:szCs w:val="20"/>
          <w:color w:val="auto"/>
        </w:rPr>
      </w:pPr>
    </w:p>
    <w:p>
      <w:pPr>
        <w:ind w:left="484" w:hanging="484"/>
        <w:spacing w:after="0"/>
        <w:tabs>
          <w:tab w:leader="none" w:pos="484" w:val="left"/>
        </w:tabs>
        <w:numPr>
          <w:ilvl w:val="0"/>
          <w:numId w:val="43"/>
        </w:numPr>
        <w:rPr>
          <w:rFonts w:ascii="Arial" w:cs="Arial" w:eastAsia="Arial" w:hAnsi="Arial"/>
          <w:sz w:val="21"/>
          <w:szCs w:val="21"/>
          <w:color w:val="auto"/>
        </w:rPr>
      </w:pPr>
      <w:r>
        <w:rPr>
          <w:rFonts w:ascii="Arial" w:cs="Arial" w:eastAsia="Arial" w:hAnsi="Arial"/>
          <w:sz w:val="21"/>
          <w:szCs w:val="21"/>
          <w:color w:val="auto"/>
        </w:rPr>
        <w:t>NOTICES, ETC. TO TRUSTEE AND COMPANY. Section 105 of the Base Indenture is hereby amended by:</w:t>
      </w:r>
    </w:p>
    <w:p>
      <w:pPr>
        <w:spacing w:after="0" w:line="231" w:lineRule="exact"/>
        <w:rPr>
          <w:sz w:val="20"/>
          <w:szCs w:val="20"/>
          <w:color w:val="auto"/>
        </w:rPr>
      </w:pPr>
    </w:p>
    <w:p>
      <w:pPr>
        <w:ind w:left="4"/>
        <w:spacing w:after="0"/>
        <w:tabs>
          <w:tab w:leader="none" w:pos="444"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replacing Section 105(b) in its entirety with the following:</w:t>
      </w:r>
    </w:p>
    <w:p>
      <w:pPr>
        <w:spacing w:after="0" w:line="220" w:lineRule="exact"/>
        <w:rPr>
          <w:sz w:val="20"/>
          <w:szCs w:val="20"/>
          <w:color w:val="auto"/>
        </w:rPr>
      </w:pPr>
    </w:p>
    <w:p>
      <w:pPr>
        <w:jc w:val="both"/>
        <w:ind w:left="644"/>
        <w:spacing w:after="0" w:line="265" w:lineRule="auto"/>
        <w:rPr>
          <w:sz w:val="20"/>
          <w:szCs w:val="20"/>
          <w:color w:val="auto"/>
        </w:rPr>
      </w:pPr>
      <w:r>
        <w:rPr>
          <w:rFonts w:ascii="Arial" w:cs="Arial" w:eastAsia="Arial" w:hAnsi="Arial"/>
          <w:sz w:val="21"/>
          <w:szCs w:val="21"/>
          <w:color w:val="auto"/>
        </w:rPr>
        <w:t>“(b) the Company by the Trustee or by any Holder shall be sufficient for every purpose hereunder (unless otherwise herein expressly provided) if in writing and mailed, first-class postage prepaid, to the Company addressed to the attention of its Treasurer at 500 West Texas, Suite 1200, Midland, Texas 79701 or at any other address previously furnished in writing to the Trustee by the Company.” and</w:t>
      </w:r>
    </w:p>
    <w:p>
      <w:pPr>
        <w:spacing w:after="0" w:line="175" w:lineRule="exact"/>
        <w:rPr>
          <w:sz w:val="20"/>
          <w:szCs w:val="20"/>
          <w:color w:val="auto"/>
        </w:rPr>
      </w:pPr>
    </w:p>
    <w:p>
      <w:pPr>
        <w:ind w:left="464" w:hanging="464"/>
        <w:spacing w:after="0"/>
        <w:tabs>
          <w:tab w:leader="none" w:pos="464" w:val="left"/>
        </w:tabs>
        <w:numPr>
          <w:ilvl w:val="0"/>
          <w:numId w:val="44"/>
        </w:numPr>
        <w:rPr>
          <w:rFonts w:ascii="Arial" w:cs="Arial" w:eastAsia="Arial" w:hAnsi="Arial"/>
          <w:sz w:val="22"/>
          <w:szCs w:val="22"/>
          <w:color w:val="auto"/>
        </w:rPr>
      </w:pPr>
      <w:r>
        <w:rPr>
          <w:rFonts w:ascii="Arial" w:cs="Arial" w:eastAsia="Arial" w:hAnsi="Arial"/>
          <w:sz w:val="22"/>
          <w:szCs w:val="22"/>
          <w:color w:val="auto"/>
        </w:rPr>
        <w:t>adding the following as a new paragraph at the end of the existing provision:</w:t>
      </w:r>
    </w:p>
    <w:p>
      <w:pPr>
        <w:spacing w:after="0" w:line="220" w:lineRule="exact"/>
        <w:rPr>
          <w:sz w:val="20"/>
          <w:szCs w:val="20"/>
          <w:color w:val="auto"/>
        </w:rPr>
      </w:pPr>
    </w:p>
    <w:p>
      <w:pPr>
        <w:jc w:val="both"/>
        <w:ind w:left="644"/>
        <w:spacing w:after="0" w:line="288" w:lineRule="auto"/>
        <w:rPr>
          <w:sz w:val="20"/>
          <w:szCs w:val="20"/>
          <w:color w:val="auto"/>
        </w:rPr>
      </w:pPr>
      <w:r>
        <w:rPr>
          <w:rFonts w:ascii="Arial" w:cs="Arial" w:eastAsia="Arial" w:hAnsi="Arial"/>
          <w:sz w:val="19"/>
          <w:szCs w:val="19"/>
          <w:color w:val="auto"/>
        </w:rPr>
        <w:t>“The Trustee shall have the right to accept and act upon instructions, including funds transfer instructions (“Instructions”) given pursuant to this Indenture and delivered using Electronic Means; provided, however, that the Company shall provide to the Trustee an incumbency certificate listing officers with the authority to provide such Instructions (“Authorized Officers”)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w:t>
      </w:r>
    </w:p>
    <w:p>
      <w:pPr>
        <w:sectPr>
          <w:pgSz w:w="11900" w:h="16838" w:orient="portrait"/>
          <w:cols w:equalWidth="0" w:num="1">
            <w:col w:w="10584"/>
          </w:cols>
          <w:pgMar w:left="976" w:top="1428" w:right="339" w:bottom="1440" w:gutter="0" w:footer="0" w:header="0"/>
        </w:sectPr>
      </w:pPr>
    </w:p>
    <w:bookmarkStart w:id="75" w:name="page76"/>
    <w:bookmarkEnd w:id="75"/>
    <w:p>
      <w:pPr>
        <w:jc w:val="both"/>
        <w:ind w:left="1076"/>
        <w:spacing w:after="0" w:line="284" w:lineRule="auto"/>
        <w:rPr>
          <w:sz w:val="20"/>
          <w:szCs w:val="20"/>
          <w:color w:val="auto"/>
        </w:rPr>
      </w:pPr>
      <w:r>
        <w:rPr>
          <w:rFonts w:ascii="Arial" w:cs="Arial" w:eastAsia="Arial" w:hAnsi="Arial"/>
          <w:sz w:val="19"/>
          <w:szCs w:val="19"/>
          <w:color w:val="auto"/>
        </w:rPr>
        <w:t>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w:t>
      </w:r>
    </w:p>
    <w:p>
      <w:pPr>
        <w:spacing w:after="0" w:line="2" w:lineRule="exact"/>
        <w:rPr>
          <w:sz w:val="20"/>
          <w:szCs w:val="20"/>
          <w:color w:val="auto"/>
        </w:rPr>
      </w:pPr>
    </w:p>
    <w:p>
      <w:pPr>
        <w:jc w:val="both"/>
        <w:ind w:left="1076" w:firstLine="4"/>
        <w:spacing w:after="0" w:line="286" w:lineRule="auto"/>
        <w:tabs>
          <w:tab w:leader="none" w:pos="1436"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"Electronic Means"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63" w:lineRule="exact"/>
        <w:rPr>
          <w:rFonts w:ascii="Arial" w:cs="Arial" w:eastAsia="Arial" w:hAnsi="Arial"/>
          <w:sz w:val="19"/>
          <w:szCs w:val="19"/>
          <w:color w:val="auto"/>
        </w:rPr>
      </w:pPr>
    </w:p>
    <w:p>
      <w:pPr>
        <w:ind w:left="-224" w:firstLine="228"/>
        <w:spacing w:after="0" w:line="263" w:lineRule="auto"/>
        <w:tabs>
          <w:tab w:leader="none" w:pos="478" w:val="left"/>
        </w:tabs>
        <w:numPr>
          <w:ilvl w:val="0"/>
          <w:numId w:val="46"/>
        </w:numPr>
        <w:rPr>
          <w:rFonts w:ascii="Arial" w:cs="Arial" w:eastAsia="Arial" w:hAnsi="Arial"/>
          <w:sz w:val="22"/>
          <w:szCs w:val="22"/>
          <w:color w:val="auto"/>
        </w:rPr>
      </w:pPr>
      <w:r>
        <w:rPr>
          <w:rFonts w:ascii="Arial" w:cs="Arial" w:eastAsia="Arial" w:hAnsi="Arial"/>
          <w:sz w:val="22"/>
          <w:szCs w:val="22"/>
          <w:color w:val="auto"/>
        </w:rPr>
        <w:t>OPINION OF COUNSEL. The definition of “Opinion of Counsel” in the Base Indenture is hereby replaced in its entirety with the following:</w:t>
      </w:r>
    </w:p>
    <w:p>
      <w:pPr>
        <w:spacing w:after="0" w:line="175" w:lineRule="exact"/>
        <w:rPr>
          <w:sz w:val="20"/>
          <w:szCs w:val="20"/>
          <w:color w:val="auto"/>
        </w:rPr>
      </w:pPr>
    </w:p>
    <w:p>
      <w:pPr>
        <w:ind w:left="436" w:right="20"/>
        <w:spacing w:after="0" w:line="263" w:lineRule="auto"/>
        <w:rPr>
          <w:sz w:val="20"/>
          <w:szCs w:val="20"/>
          <w:color w:val="auto"/>
        </w:rPr>
      </w:pPr>
      <w:r>
        <w:rPr>
          <w:rFonts w:ascii="Arial" w:cs="Arial" w:eastAsia="Arial" w:hAnsi="Arial"/>
          <w:sz w:val="22"/>
          <w:szCs w:val="22"/>
          <w:color w:val="auto"/>
        </w:rPr>
        <w:t>“’Opinion of Counsel’ means a written opinion of counsel, who may be counsel for the Company, which opinion shall be acceptable to the Trustee.”</w:t>
      </w:r>
    </w:p>
    <w:p>
      <w:pPr>
        <w:spacing w:after="0" w:line="175" w:lineRule="exact"/>
        <w:rPr>
          <w:sz w:val="20"/>
          <w:szCs w:val="20"/>
          <w:color w:val="auto"/>
        </w:rPr>
      </w:pPr>
    </w:p>
    <w:p>
      <w:pPr>
        <w:ind w:left="496" w:hanging="496"/>
        <w:spacing w:after="0"/>
        <w:tabs>
          <w:tab w:leader="none" w:pos="496" w:val="left"/>
        </w:tabs>
        <w:numPr>
          <w:ilvl w:val="0"/>
          <w:numId w:val="47"/>
        </w:numPr>
        <w:rPr>
          <w:rFonts w:ascii="Arial" w:cs="Arial" w:eastAsia="Arial" w:hAnsi="Arial"/>
          <w:sz w:val="22"/>
          <w:szCs w:val="22"/>
          <w:color w:val="auto"/>
        </w:rPr>
      </w:pPr>
      <w:r>
        <w:rPr>
          <w:rFonts w:ascii="Arial" w:cs="Arial" w:eastAsia="Arial" w:hAnsi="Arial"/>
          <w:sz w:val="22"/>
          <w:szCs w:val="22"/>
          <w:color w:val="auto"/>
        </w:rPr>
        <w:t>OFAC SANCTIONS.</w:t>
      </w:r>
    </w:p>
    <w:p>
      <w:pPr>
        <w:spacing w:after="0" w:line="219" w:lineRule="exact"/>
        <w:rPr>
          <w:rFonts w:ascii="Arial" w:cs="Arial" w:eastAsia="Arial" w:hAnsi="Arial"/>
          <w:sz w:val="22"/>
          <w:szCs w:val="22"/>
          <w:color w:val="auto"/>
        </w:rPr>
      </w:pPr>
    </w:p>
    <w:p>
      <w:pPr>
        <w:jc w:val="both"/>
        <w:ind w:left="-224" w:firstLine="656"/>
        <w:spacing w:after="0" w:line="250" w:lineRule="auto"/>
        <w:tabs>
          <w:tab w:leader="none" w:pos="974"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New Issuer represents that neither it nor any of its Subsidiaries, directors or officers, is the target or subject of any sanctions enforced by the US Government, (including the Office of Foreign Assets Control of the US Department of the Treasury (“</w:t>
      </w:r>
      <w:r>
        <w:rPr>
          <w:rFonts w:ascii="Arial" w:cs="Arial" w:eastAsia="Arial" w:hAnsi="Arial"/>
          <w:sz w:val="22"/>
          <w:szCs w:val="22"/>
          <w:i w:val="1"/>
          <w:iCs w:val="1"/>
          <w:color w:val="auto"/>
        </w:rPr>
        <w:t>OFAC</w:t>
      </w:r>
      <w:r>
        <w:rPr>
          <w:rFonts w:ascii="Arial" w:cs="Arial" w:eastAsia="Arial" w:hAnsi="Arial"/>
          <w:sz w:val="22"/>
          <w:szCs w:val="22"/>
          <w:color w:val="auto"/>
        </w:rPr>
        <w:t>”)), the United Nations Security Council, the European Union, or Her Majesty’s Treasury (collectively “</w:t>
      </w:r>
      <w:r>
        <w:rPr>
          <w:rFonts w:ascii="Arial" w:cs="Arial" w:eastAsia="Arial" w:hAnsi="Arial"/>
          <w:sz w:val="22"/>
          <w:szCs w:val="22"/>
          <w:i w:val="1"/>
          <w:iCs w:val="1"/>
          <w:color w:val="auto"/>
        </w:rPr>
        <w:t>Sanctions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224" w:firstLine="656"/>
        <w:spacing w:after="0" w:line="247" w:lineRule="auto"/>
        <w:tabs>
          <w:tab w:leader="none" w:pos="1015"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New Issuer covenants that neither it nor any of its Subsidiaries, directors or officers will use any part of any proceeds received in connection with issuances of Securities made under this Indenture on or after the date of the First Supplemental Indenture to this Indenture, dated as of June 30, 2021 (such date, the “</w:t>
      </w:r>
      <w:r>
        <w:rPr>
          <w:rFonts w:ascii="Arial" w:cs="Arial" w:eastAsia="Arial" w:hAnsi="Arial"/>
          <w:sz w:val="22"/>
          <w:szCs w:val="22"/>
          <w:i w:val="1"/>
          <w:iCs w:val="1"/>
          <w:color w:val="auto"/>
        </w:rPr>
        <w:t>First Supplemental Indenture Date</w:t>
      </w:r>
      <w:r>
        <w:rPr>
          <w:rFonts w:ascii="Arial" w:cs="Arial" w:eastAsia="Arial" w:hAnsi="Arial"/>
          <w:sz w:val="22"/>
          <w:szCs w:val="22"/>
          <w:color w:val="auto"/>
        </w:rPr>
        <w:t>”) (i) to fund or facilitate any activities of or business with any Person who, at the time of such funding or facilitation, is the subject or target of Sanctions in any manner that will result in a violation of Sanctions by any Person, (ii) to fund or facilitate any activities of or business with any country or</w:t>
      </w:r>
    </w:p>
    <w:p>
      <w:pPr>
        <w:sectPr>
          <w:pgSz w:w="11900" w:h="16838" w:orient="portrait"/>
          <w:cols w:equalWidth="0" w:num="1">
            <w:col w:w="11016"/>
          </w:cols>
          <w:pgMar w:left="544" w:top="1428" w:right="339" w:bottom="1440" w:gutter="0" w:footer="0" w:header="0"/>
        </w:sectPr>
      </w:pPr>
    </w:p>
    <w:bookmarkStart w:id="76" w:name="page77"/>
    <w:bookmarkEnd w:id="76"/>
    <w:p>
      <w:pPr>
        <w:jc w:val="both"/>
        <w:spacing w:after="0" w:line="271" w:lineRule="auto"/>
        <w:rPr>
          <w:sz w:val="20"/>
          <w:szCs w:val="20"/>
          <w:color w:val="auto"/>
        </w:rPr>
      </w:pPr>
      <w:r>
        <w:rPr>
          <w:rFonts w:ascii="Arial" w:cs="Arial" w:eastAsia="Arial" w:hAnsi="Arial"/>
          <w:sz w:val="21"/>
          <w:szCs w:val="21"/>
          <w:color w:val="auto"/>
        </w:rPr>
        <w:t>territory that is the target or subject of comprehensive Sanctions (as of the First Supplemental Indenture Date, such countries and territories being Crimea, Cuba, Iran, North Korea and Syria) in any manner that will result in a violation of Sanctions by any Person, or (iii) in any other manner that will result in a violation of Sanctions by any Person.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[Signatures to Follow]</w:t>
      </w:r>
    </w:p>
    <w:p>
      <w:pPr>
        <w:sectPr>
          <w:pgSz w:w="11900" w:h="16838" w:orient="portrait"/>
          <w:cols w:equalWidth="0" w:num="1">
            <w:col w:w="11240"/>
          </w:cols>
          <w:pgMar w:left="320" w:top="1428" w:right="339" w:bottom="1440" w:gutter="0" w:footer="0" w:header="0"/>
        </w:sectPr>
      </w:pPr>
    </w:p>
    <w:bookmarkStart w:id="77" w:name="page78"/>
    <w:bookmarkEnd w:id="77"/>
    <w:p>
      <w:pPr>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DIAMONDBACK E&amp;P LLC, as the New Issuer</w:t>
      </w:r>
    </w:p>
    <w:p>
      <w:pPr>
        <w:spacing w:after="0" w:line="200" w:lineRule="exact"/>
        <w:rPr>
          <w:sz w:val="20"/>
          <w:szCs w:val="20"/>
          <w:color w:val="auto"/>
        </w:rPr>
      </w:pPr>
    </w:p>
    <w:p>
      <w:pPr>
        <w:spacing w:after="0" w:line="37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Executive Vice President, Chief Accounting</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Officer,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Signature Page to First Supplemental Indenture</w:t>
      </w:r>
    </w:p>
    <w:p>
      <w:pPr>
        <w:sectPr>
          <w:pgSz w:w="11900" w:h="16838" w:orient="portrait"/>
          <w:cols w:equalWidth="0" w:num="1">
            <w:col w:w="11160"/>
          </w:cols>
          <w:pgMar w:left="320" w:top="1428" w:right="419" w:bottom="1440" w:gutter="0" w:footer="0" w:header="0"/>
        </w:sectPr>
      </w:pPr>
    </w:p>
    <w:bookmarkStart w:id="78" w:name="page79"/>
    <w:bookmarkEnd w:id="78"/>
    <w:p>
      <w:pPr>
        <w:spacing w:after="0" w:line="42"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THE BANK OF NEW YORK MELLON TRUST</w:t>
      </w:r>
    </w:p>
    <w:p>
      <w:pPr>
        <w:spacing w:after="0" w:line="3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COMPANY, N.A., as Trustee</w:t>
      </w:r>
    </w:p>
    <w:p>
      <w:pPr>
        <w:spacing w:after="0" w:line="200" w:lineRule="exact"/>
        <w:rPr>
          <w:sz w:val="20"/>
          <w:szCs w:val="20"/>
          <w:color w:val="auto"/>
        </w:rPr>
      </w:pPr>
    </w:p>
    <w:p>
      <w:pPr>
        <w:spacing w:after="0" w:line="35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Manjari Purkayastha</w:t>
      </w:r>
    </w:p>
    <w:p>
      <w:pPr>
        <w:spacing w:after="0" w:line="5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Name: Manjari Purkayastha</w:t>
      </w:r>
    </w:p>
    <w:p>
      <w:pPr>
        <w:spacing w:after="0" w:line="5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Signature Page to First Supplemental Indenture</w:t>
      </w:r>
    </w:p>
    <w:p>
      <w:pPr>
        <w:sectPr>
          <w:pgSz w:w="11900" w:h="16838" w:orient="portrait"/>
          <w:cols w:equalWidth="0" w:num="1">
            <w:col w:w="9019"/>
          </w:cols>
          <w:pgMar w:left="1440" w:top="1440"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FOURTH SUPPLEMENTAL INDENTURE</w:t>
      </w:r>
    </w:p>
    <w:p>
      <w:pPr>
        <w:spacing w:after="0" w:line="2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FOURTH SUPPLEMENTAL INDENTURE (this “</w:t>
      </w:r>
      <w:r>
        <w:rPr>
          <w:rFonts w:ascii="Arial" w:cs="Arial" w:eastAsia="Arial" w:hAnsi="Arial"/>
          <w:sz w:val="22"/>
          <w:szCs w:val="22"/>
          <w:i w:val="1"/>
          <w:iCs w:val="1"/>
          <w:color w:val="auto"/>
        </w:rPr>
        <w:t>Supplemental Indenture</w:t>
      </w:r>
      <w:r>
        <w:rPr>
          <w:rFonts w:ascii="Arial" w:cs="Arial" w:eastAsia="Arial" w:hAnsi="Arial"/>
          <w:sz w:val="22"/>
          <w:szCs w:val="22"/>
          <w:color w:val="auto"/>
        </w:rPr>
        <w:t>”), dated as of June 30, 2021, among Diamondback E&amp;P LLC, a Delaware limited liability company (the “</w:t>
      </w:r>
      <w:r>
        <w:rPr>
          <w:rFonts w:ascii="Arial" w:cs="Arial" w:eastAsia="Arial" w:hAnsi="Arial"/>
          <w:sz w:val="22"/>
          <w:szCs w:val="22"/>
          <w:i w:val="1"/>
          <w:iCs w:val="1"/>
          <w:color w:val="auto"/>
        </w:rPr>
        <w:t>Guaranteeing Subsidiary</w:t>
      </w:r>
      <w:r>
        <w:rPr>
          <w:rFonts w:ascii="Arial" w:cs="Arial" w:eastAsia="Arial" w:hAnsi="Arial"/>
          <w:sz w:val="22"/>
          <w:szCs w:val="22"/>
          <w:color w:val="auto"/>
        </w:rPr>
        <w:t>”), as successor in interest to Diamondback O&amp;G LLC, a Delaware limited liability company (“</w:t>
      </w:r>
      <w:r>
        <w:rPr>
          <w:rFonts w:ascii="Arial" w:cs="Arial" w:eastAsia="Arial" w:hAnsi="Arial"/>
          <w:sz w:val="22"/>
          <w:szCs w:val="22"/>
          <w:i w:val="1"/>
          <w:iCs w:val="1"/>
          <w:color w:val="auto"/>
        </w:rPr>
        <w:t>O&amp;G</w:t>
      </w:r>
      <w:r>
        <w:rPr>
          <w:rFonts w:ascii="Arial" w:cs="Arial" w:eastAsia="Arial" w:hAnsi="Arial"/>
          <w:sz w:val="22"/>
          <w:szCs w:val="22"/>
          <w:color w:val="auto"/>
        </w:rPr>
        <w:t>”), each a subsidiary of Diamondback Energy, Inc., a Delaware corporation (the “</w:t>
      </w:r>
      <w:r>
        <w:rPr>
          <w:rFonts w:ascii="Arial" w:cs="Arial" w:eastAsia="Arial" w:hAnsi="Arial"/>
          <w:sz w:val="22"/>
          <w:szCs w:val="22"/>
          <w:i w:val="1"/>
          <w:iCs w:val="1"/>
          <w:color w:val="auto"/>
        </w:rPr>
        <w:t>Company</w:t>
      </w:r>
      <w:r>
        <w:rPr>
          <w:rFonts w:ascii="Arial" w:cs="Arial" w:eastAsia="Arial" w:hAnsi="Arial"/>
          <w:sz w:val="22"/>
          <w:szCs w:val="22"/>
          <w:color w:val="auto"/>
        </w:rPr>
        <w:t>”), the Company and Wells Fargo Bank, National Association, as trustee under the Indenture referred to below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as issuer, and O&amp;G, as a Guarantor, have heretofore executed and delivered to the Trustee an indenture (as amended, supplemented and otherwise modified to the date hereof, the “</w:t>
      </w:r>
      <w:r>
        <w:rPr>
          <w:rFonts w:ascii="Arial" w:cs="Arial" w:eastAsia="Arial" w:hAnsi="Arial"/>
          <w:sz w:val="22"/>
          <w:szCs w:val="22"/>
          <w:i w:val="1"/>
          <w:iCs w:val="1"/>
          <w:color w:val="auto"/>
        </w:rPr>
        <w:t>Indenture</w:t>
      </w:r>
      <w:r>
        <w:rPr>
          <w:rFonts w:ascii="Arial" w:cs="Arial" w:eastAsia="Arial" w:hAnsi="Arial"/>
          <w:sz w:val="22"/>
          <w:szCs w:val="22"/>
          <w:color w:val="auto"/>
        </w:rPr>
        <w:t>”), dated as of December 20, 2016, providing for the issuance of 5.375% Senior Notes due 2025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pursuant to Section 10.04 of the Indenture, O&amp;G, in its capacity as a Guarantor under the Indenture, is authorized to merge with or into another Person if (1) immediately after giving effect to such transaction or series of transactions, no Default or Event of Default exists and (2) subject to Section 10.05 of the Indenture, the Person surviving any such merger (if other than the Guarantor) unconditionally assumes all the obligations of such Guarantor under its Note Guarantee and the Indenture pursuant to a supplemental indenture substantially in the form of Exhibit F to the Indenture;</w:t>
      </w:r>
    </w:p>
    <w:p>
      <w:pPr>
        <w:spacing w:after="0" w:line="14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WHEREAS, as of the date hereof, O&amp;G is merging with and into the Guaranteeing Subsidiary, with the Guaranteeing Subsidiary as the surviving Person (the “</w:t>
      </w:r>
      <w:r>
        <w:rPr>
          <w:rFonts w:ascii="Arial" w:cs="Arial" w:eastAsia="Arial" w:hAnsi="Arial"/>
          <w:sz w:val="19"/>
          <w:szCs w:val="19"/>
          <w:i w:val="1"/>
          <w:iCs w:val="1"/>
          <w:color w:val="auto"/>
        </w:rPr>
        <w:t>Merger</w:t>
      </w:r>
      <w:r>
        <w:rPr>
          <w:rFonts w:ascii="Arial" w:cs="Arial" w:eastAsia="Arial" w:hAnsi="Arial"/>
          <w:sz w:val="19"/>
          <w:szCs w:val="19"/>
          <w:color w:val="auto"/>
        </w:rPr>
        <w:t>”) and the Guaranteeing Subsidiary will thereafter succeed to and be substituted for O&amp;G with the same effect as if Guaranteeing Subsidiary had been named as a Guarantor in the Indenture;</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immediately after giving effect to the Merger no Default or Event of Default exists and, pursuant to this Supplemental Indenture, the Guaranteeing Subsidiary, as the Person surviving the Merger, agrees to unconditionally assume all the obligations of O&amp;G under the Notes and the Indenture on the terms and conditions set forth herein (the “</w:t>
      </w:r>
      <w:r>
        <w:rPr>
          <w:rFonts w:ascii="Arial" w:cs="Arial" w:eastAsia="Arial" w:hAnsi="Arial"/>
          <w:sz w:val="22"/>
          <w:szCs w:val="22"/>
          <w:i w:val="1"/>
          <w:iCs w:val="1"/>
          <w:color w:val="auto"/>
        </w:rPr>
        <w:t>Note Guarantee</w:t>
      </w:r>
      <w:r>
        <w:rPr>
          <w:rFonts w:ascii="Arial" w:cs="Arial" w:eastAsia="Arial" w:hAnsi="Arial"/>
          <w:sz w:val="22"/>
          <w:szCs w:val="22"/>
          <w:color w:val="auto"/>
        </w:rPr>
        <w:t>”); and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pursuant to Section 9.01(a)(3) of the Indenture, the Trustee is authorized to execute and deliver this Supplemental Indenture without the consent of any Holder of Notes.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the Trustee and the other parties hereto mutually covenant and agree for the equal and ratable benefit of the Holders of the Notes as follows:</w:t>
      </w:r>
    </w:p>
    <w:p>
      <w:pPr>
        <w:spacing w:after="0" w:line="185" w:lineRule="exact"/>
        <w:rPr>
          <w:sz w:val="20"/>
          <w:szCs w:val="20"/>
          <w:color w:val="auto"/>
        </w:rPr>
      </w:pPr>
    </w:p>
    <w:p>
      <w:pPr>
        <w:ind w:firstLine="656"/>
        <w:spacing w:after="0" w:line="263" w:lineRule="auto"/>
        <w:tabs>
          <w:tab w:leader="none" w:pos="1053" w:val="left"/>
        </w:tabs>
        <w:numPr>
          <w:ilvl w:val="0"/>
          <w:numId w:val="48"/>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74" w:lineRule="exact"/>
        <w:rPr>
          <w:rFonts w:ascii="Arial" w:cs="Arial" w:eastAsia="Arial" w:hAnsi="Arial"/>
          <w:sz w:val="22"/>
          <w:szCs w:val="22"/>
          <w:color w:val="auto"/>
        </w:rPr>
      </w:pPr>
    </w:p>
    <w:p>
      <w:pPr>
        <w:ind w:firstLine="656"/>
        <w:spacing w:after="0" w:line="263" w:lineRule="auto"/>
        <w:tabs>
          <w:tab w:leader="none" w:pos="1161" w:val="left"/>
        </w:tabs>
        <w:numPr>
          <w:ilvl w:val="0"/>
          <w:numId w:val="48"/>
        </w:numPr>
        <w:rPr>
          <w:rFonts w:ascii="Arial" w:cs="Arial" w:eastAsia="Arial" w:hAnsi="Arial"/>
          <w:sz w:val="22"/>
          <w:szCs w:val="22"/>
          <w:color w:val="auto"/>
        </w:rPr>
      </w:pPr>
      <w:r>
        <w:rPr>
          <w:rFonts w:ascii="Arial" w:cs="Arial" w:eastAsia="Arial" w:hAnsi="Arial"/>
          <w:sz w:val="22"/>
          <w:szCs w:val="22"/>
          <w:color w:val="auto"/>
        </w:rPr>
        <w:t>AGREEMENT TO GUARANTEE. Subject to Article 10 of the Indenture, the Guaranteeing Subsidiary hereby assumes all the obligations of O&amp;G under O&amp;G’s Note</w:t>
      </w:r>
    </w:p>
    <w:p>
      <w:pPr>
        <w:sectPr>
          <w:pgSz w:w="11900" w:h="16838" w:orient="portrait"/>
          <w:cols w:equalWidth="0" w:num="1">
            <w:col w:w="11240"/>
          </w:cols>
          <w:pgMar w:left="320" w:top="126" w:right="339" w:bottom="1440" w:gutter="0" w:footer="0" w:header="0"/>
        </w:sectPr>
      </w:pPr>
    </w:p>
    <w:bookmarkStart w:id="80" w:name="page81"/>
    <w:bookmarkEnd w:id="80"/>
    <w:p>
      <w:pPr>
        <w:jc w:val="both"/>
        <w:spacing w:after="0" w:line="290" w:lineRule="auto"/>
        <w:rPr>
          <w:sz w:val="20"/>
          <w:szCs w:val="20"/>
          <w:color w:val="auto"/>
        </w:rPr>
      </w:pPr>
      <w:r>
        <w:rPr>
          <w:rFonts w:ascii="Arial" w:cs="Arial" w:eastAsia="Arial" w:hAnsi="Arial"/>
          <w:sz w:val="19"/>
          <w:szCs w:val="19"/>
          <w:color w:val="auto"/>
        </w:rPr>
        <w:t>Guarantee and the Indenture and unconditionally guarantees to each Holder of a Note authenticated and delivered by the Trustee and to the Trustee and its successors and assigns, that: (1) the principal of, premium on, if any, and interest and Special Interest, if any, on, the Notes will be promptly paid in full when due, whether at maturity, by acceleration, redemption or otherwise, and interest on the overdue principal of, premium on, if any, and interest and Special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56" w:lineRule="exact"/>
        <w:rPr>
          <w:sz w:val="20"/>
          <w:szCs w:val="20"/>
          <w:color w:val="auto"/>
        </w:rPr>
      </w:pPr>
    </w:p>
    <w:p>
      <w:pPr>
        <w:jc w:val="both"/>
        <w:ind w:firstLine="656"/>
        <w:spacing w:after="0" w:line="248" w:lineRule="auto"/>
        <w:tabs>
          <w:tab w:leader="none" w:pos="1066"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pacing w:after="0" w:line="191" w:lineRule="exact"/>
        <w:rPr>
          <w:rFonts w:ascii="Arial" w:cs="Arial" w:eastAsia="Arial" w:hAnsi="Arial"/>
          <w:sz w:val="22"/>
          <w:szCs w:val="22"/>
          <w:color w:val="auto"/>
        </w:rPr>
      </w:pPr>
    </w:p>
    <w:p>
      <w:pPr>
        <w:jc w:val="both"/>
        <w:ind w:firstLine="656"/>
        <w:spacing w:after="0" w:line="250" w:lineRule="auto"/>
        <w:tabs>
          <w:tab w:leader="none" w:pos="1086" w:val="left"/>
        </w:tabs>
        <w:numPr>
          <w:ilvl w:val="0"/>
          <w:numId w:val="49"/>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7" w:lineRule="exact"/>
        <w:rPr>
          <w:rFonts w:ascii="Arial" w:cs="Arial" w:eastAsia="Arial" w:hAnsi="Arial"/>
          <w:sz w:val="22"/>
          <w:szCs w:val="22"/>
          <w:color w:val="auto"/>
        </w:rPr>
      </w:pPr>
    </w:p>
    <w:p>
      <w:pPr>
        <w:jc w:val="both"/>
        <w:ind w:firstLine="656"/>
        <w:spacing w:after="0" w:line="247" w:lineRule="auto"/>
        <w:tabs>
          <w:tab w:leader="none" w:pos="1091" w:val="left"/>
        </w:tabs>
        <w:numPr>
          <w:ilvl w:val="0"/>
          <w:numId w:val="49"/>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w:t>
      </w:r>
      <w:r>
        <w:rPr>
          <w:rFonts w:ascii="Arial" w:cs="Arial" w:eastAsia="Arial" w:hAnsi="Arial"/>
          <w:sz w:val="22"/>
          <w:szCs w:val="22"/>
          <w:b w:val="1"/>
          <w:bCs w:val="1"/>
          <w:i w:val="1"/>
          <w:iCs w:val="1"/>
          <w:color w:val="auto"/>
        </w:rPr>
        <w:t>PDF</w:t>
      </w:r>
      <w:r>
        <w:rPr>
          <w:rFonts w:ascii="Arial" w:cs="Arial" w:eastAsia="Arial" w:hAnsi="Arial"/>
          <w:sz w:val="22"/>
          <w:szCs w:val="22"/>
          <w:color w:val="auto"/>
        </w:rPr>
        <w:t>”)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92" w:lineRule="exact"/>
        <w:rPr>
          <w:rFonts w:ascii="Arial" w:cs="Arial" w:eastAsia="Arial" w:hAnsi="Arial"/>
          <w:sz w:val="22"/>
          <w:szCs w:val="22"/>
          <w:color w:val="auto"/>
        </w:rPr>
      </w:pPr>
    </w:p>
    <w:p>
      <w:pPr>
        <w:ind w:left="1040" w:hanging="384"/>
        <w:spacing w:after="0"/>
        <w:tabs>
          <w:tab w:leader="none" w:pos="10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1" w:lineRule="exact"/>
        <w:rPr>
          <w:rFonts w:ascii="Arial" w:cs="Arial" w:eastAsia="Arial" w:hAnsi="Arial"/>
          <w:sz w:val="19"/>
          <w:szCs w:val="19"/>
          <w:color w:val="auto"/>
        </w:rPr>
      </w:pPr>
    </w:p>
    <w:p>
      <w:pPr>
        <w:jc w:val="both"/>
        <w:ind w:firstLine="656"/>
        <w:spacing w:after="0" w:line="253" w:lineRule="auto"/>
        <w:tabs>
          <w:tab w:leader="none" w:pos="1067"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to Follow]</w:t>
      </w:r>
    </w:p>
    <w:p>
      <w:pPr>
        <w:sectPr>
          <w:pgSz w:w="11900" w:h="16838" w:orient="portrait"/>
          <w:cols w:equalWidth="0" w:num="1">
            <w:col w:w="11240"/>
          </w:cols>
          <w:pgMar w:left="320" w:top="1428" w:right="339" w:bottom="1440" w:gutter="0" w:footer="0" w:header="0"/>
        </w:sectPr>
      </w:pPr>
    </w:p>
    <w:bookmarkStart w:id="81" w:name="page82"/>
    <w:bookmarkEnd w:id="81"/>
    <w:p>
      <w:pPr>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120"/>
        <w:spacing w:after="0"/>
        <w:rPr>
          <w:sz w:val="20"/>
          <w:szCs w:val="20"/>
          <w:color w:val="auto"/>
        </w:rPr>
      </w:pPr>
      <w:r>
        <w:rPr>
          <w:rFonts w:ascii="Arial" w:cs="Arial" w:eastAsia="Arial" w:hAnsi="Arial"/>
          <w:sz w:val="22"/>
          <w:szCs w:val="22"/>
          <w:b w:val="1"/>
          <w:bCs w:val="1"/>
          <w:u w:val="single" w:color="auto"/>
          <w:color w:val="auto"/>
        </w:rPr>
        <w:t>GUARANTEEING SUBSIDIARY:</w:t>
      </w:r>
    </w:p>
    <w:p>
      <w:pPr>
        <w:spacing w:after="0" w:line="33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DIAMONDBACK E&amp;P LLC</w:t>
      </w:r>
    </w:p>
    <w:p>
      <w:pPr>
        <w:spacing w:after="0" w:line="200" w:lineRule="exact"/>
        <w:rPr>
          <w:sz w:val="20"/>
          <w:szCs w:val="20"/>
          <w:color w:val="auto"/>
        </w:rPr>
      </w:pPr>
    </w:p>
    <w:p>
      <w:pPr>
        <w:spacing w:after="0" w:line="37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Executive Vice President, Chief Accounting Officer, and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Assistant Secretary</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COMPANY:</w:t>
      </w:r>
    </w:p>
    <w:p>
      <w:pPr>
        <w:spacing w:after="0" w:line="33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DIAMONDBACK ENERGY, INC.</w:t>
      </w:r>
    </w:p>
    <w:p>
      <w:pPr>
        <w:spacing w:after="0" w:line="200" w:lineRule="exact"/>
        <w:rPr>
          <w:sz w:val="20"/>
          <w:szCs w:val="20"/>
          <w:color w:val="auto"/>
        </w:rPr>
      </w:pPr>
    </w:p>
    <w:p>
      <w:pPr>
        <w:spacing w:after="0" w:line="37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Name: Teresa L. Dick</w:t>
      </w:r>
    </w:p>
    <w:p>
      <w:pPr>
        <w:spacing w:after="0" w:line="58"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Executive Vice President, Chief Accounting Officer, and</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6"/>
          <w:szCs w:val="16"/>
          <w:i w:val="1"/>
          <w:iCs w:val="1"/>
          <w:color w:val="auto"/>
        </w:rPr>
        <w:t>Signature Page to Fourth Supplemental Indenture</w:t>
      </w:r>
    </w:p>
    <w:p>
      <w:pPr>
        <w:sectPr>
          <w:pgSz w:w="11900" w:h="16838" w:orient="portrait"/>
          <w:cols w:equalWidth="0" w:num="1">
            <w:col w:w="11100"/>
          </w:cols>
          <w:pgMar w:left="320" w:top="1428" w:right="479" w:bottom="1440" w:gutter="0" w:footer="0" w:header="0"/>
        </w:sectPr>
      </w:pPr>
    </w:p>
    <w:bookmarkStart w:id="82" w:name="page83"/>
    <w:bookmarkEnd w:id="82"/>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TRUSTEE:</w:t>
      </w:r>
    </w:p>
    <w:p>
      <w:pPr>
        <w:spacing w:after="0" w:line="334" w:lineRule="exact"/>
        <w:rPr>
          <w:sz w:val="20"/>
          <w:szCs w:val="20"/>
          <w:color w:val="auto"/>
        </w:rPr>
      </w:pPr>
    </w:p>
    <w:p>
      <w:pPr>
        <w:ind w:left="4040"/>
        <w:spacing w:after="0"/>
        <w:rPr>
          <w:sz w:val="20"/>
          <w:szCs w:val="20"/>
          <w:color w:val="auto"/>
        </w:rPr>
      </w:pPr>
      <w:r>
        <w:rPr>
          <w:rFonts w:ascii="Arial" w:cs="Arial" w:eastAsia="Arial" w:hAnsi="Arial"/>
          <w:sz w:val="21"/>
          <w:szCs w:val="21"/>
          <w:color w:val="auto"/>
        </w:rPr>
        <w:t>WELLS FARGO BANK, NATIONAL</w:t>
      </w:r>
    </w:p>
    <w:p>
      <w:pPr>
        <w:spacing w:after="0" w:line="3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ASSOCIATION, as Trustee</w:t>
      </w:r>
    </w:p>
    <w:p>
      <w:pPr>
        <w:spacing w:after="0" w:line="200" w:lineRule="exact"/>
        <w:rPr>
          <w:sz w:val="20"/>
          <w:szCs w:val="20"/>
          <w:color w:val="auto"/>
        </w:rPr>
      </w:pPr>
    </w:p>
    <w:p>
      <w:pPr>
        <w:spacing w:after="0" w:line="353"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Jessica Wuornos</w:t>
      </w:r>
    </w:p>
    <w:p>
      <w:pPr>
        <w:spacing w:after="0" w:line="5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Name: Jessica Wuornos</w:t>
      </w:r>
    </w:p>
    <w:p>
      <w:pPr>
        <w:spacing w:after="0" w:line="5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to Fourth Supplemental Indenture</w:t>
      </w:r>
    </w:p>
    <w:p>
      <w:pPr>
        <w:sectPr>
          <w:pgSz w:w="11900" w:h="16838" w:orient="portrait"/>
          <w:cols w:equalWidth="0" w:num="1">
            <w:col w:w="9019"/>
          </w:cols>
          <w:pgMar w:left="1440" w:top="1440"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Issuers and Guarantor Subsidiaries</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entities are the issuer and guarantor of Diamondback Energy, Inc.'s Senior Notes: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w:t>
            </w:r>
          </w:p>
        </w:tc>
        <w:tc>
          <w:tcPr>
            <w:tcW w:w="3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Jurisdiction of Organization</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2"/>
              </w:rPr>
              <w:t>Role</w:t>
            </w: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Diamondback Energy, Inc.</w:t>
            </w:r>
          </w:p>
        </w:tc>
        <w:tc>
          <w:tcPr>
            <w:tcW w:w="8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8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Issuer</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Diamondback E&amp;P LLC</w:t>
            </w:r>
          </w:p>
        </w:tc>
        <w:tc>
          <w:tcPr>
            <w:tcW w:w="30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Delaware</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Guarantor</w:t>
            </w:r>
          </w:p>
        </w:tc>
      </w:tr>
    </w:tbl>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60" w:type="dxa"/>
            <w:vAlign w:val="bottom"/>
          </w:tcPr>
          <w:p>
            <w:pPr>
              <w:ind w:left="200"/>
              <w:spacing w:after="0"/>
              <w:rPr>
                <w:sz w:val="20"/>
                <w:szCs w:val="20"/>
                <w:color w:val="auto"/>
              </w:rPr>
            </w:pPr>
            <w:r>
              <w:rPr>
                <w:rFonts w:ascii="Arial" w:cs="Arial" w:eastAsia="Arial" w:hAnsi="Arial"/>
                <w:sz w:val="18"/>
                <w:szCs w:val="18"/>
                <w:color w:val="auto"/>
              </w:rPr>
              <w:t>August 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August 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August 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August 5,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2"/>
    </w:lvl>
  </w:abstractNum>
  <w:abstractNum w:abstractNumId="14">
    <w:nsid w:val="4516DDE9"/>
    <w:multiLevelType w:val="hybridMultilevel"/>
    <w:lvl w:ilvl="0">
      <w:lvlJc w:val="left"/>
      <w:lvlText w:val="(%1)"/>
      <w:numFmt w:val="lowerRoman"/>
      <w:start w:val="2"/>
    </w:lvl>
  </w:abstractNum>
  <w:abstractNum w:abstractNumId="15">
    <w:nsid w:val="3006C83E"/>
    <w:multiLevelType w:val="hybridMultilevel"/>
    <w:lvl w:ilvl="0">
      <w:lvlJc w:val="left"/>
      <w:lvlText w:val="(%1)"/>
      <w:numFmt w:val="lowerRoman"/>
      <w:start w:val="2"/>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lowerRoman"/>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0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1"/>
    </w:lvl>
    <w:lvl w:ilvl="1">
      <w:lvlJc w:val="left"/>
      <w:lvlText w:val="(%2)"/>
      <w:numFmt w:val="lowerLetter"/>
      <w:start w:val="1"/>
    </w:lvl>
  </w:abstractNum>
  <w:abstractNum w:abstractNumId="28">
    <w:nsid w:val="2D517796"/>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9">
    <w:nsid w:val="580BD78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0">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1">
    <w:nsid w:val="3855585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2">
    <w:nsid w:val="70A64E2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3">
    <w:nsid w:val="6A2342EC"/>
    <w:multiLevelType w:val="hybridMultilevel"/>
    <w:lvl w:ilvl="0">
      <w:lvlJc w:val="left"/>
      <w:lvlText w:val="%1."/>
      <w:numFmt w:val="decimal"/>
      <w:start w:val="10"/>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3"/>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4"/>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0"/>
    </w:lvl>
  </w:abstractNum>
  <w:abstractNum w:abstractNumId="41">
    <w:nsid w:val="542289EC"/>
    <w:multiLevelType w:val="hybridMultilevel"/>
    <w:lvl w:ilvl="0">
      <w:lvlJc w:val="left"/>
      <w:lvlText w:val="%1."/>
      <w:numFmt w:val="decimal"/>
      <w:start w:val="9"/>
    </w:lvl>
  </w:abstractNum>
  <w:abstractNum w:abstractNumId="42">
    <w:nsid w:val="6DE91B18"/>
    <w:multiLevelType w:val="hybridMultilevel"/>
    <w:lvl w:ilvl="0">
      <w:lvlJc w:val="left"/>
      <w:lvlText w:val="%1."/>
      <w:numFmt w:val="decimal"/>
      <w:start w:val="10"/>
    </w:lvl>
  </w:abstractNum>
  <w:abstractNum w:abstractNumId="43">
    <w:nsid w:val="38437FDB"/>
    <w:multiLevelType w:val="hybridMultilevel"/>
    <w:lvl w:ilvl="0">
      <w:lvlJc w:val="left"/>
      <w:lvlText w:val="(%1)"/>
      <w:numFmt w:val="lowerLetter"/>
      <w:start w:val="2"/>
    </w:lvl>
  </w:abstractNum>
  <w:abstractNum w:abstractNumId="44">
    <w:nsid w:val="7644A45C"/>
    <w:multiLevelType w:val="hybridMultilevel"/>
    <w:lvl w:ilvl="0">
      <w:lvlJc w:val="left"/>
      <w:lvlText w:val="%1"/>
      <w:numFmt w:val="decimal"/>
      <w:start w:val="1"/>
    </w:lvl>
    <w:lvl w:ilvl="1">
      <w:lvlJc w:val="left"/>
      <w:lvlText w:val="(%2)"/>
      <w:numFmt w:val="lowerRoman"/>
      <w:start w:val="2"/>
    </w:lvl>
  </w:abstractNum>
  <w:abstractNum w:abstractNumId="45">
    <w:nsid w:val="32FFF902"/>
    <w:multiLevelType w:val="hybridMultilevel"/>
    <w:lvl w:ilvl="0">
      <w:lvlJc w:val="left"/>
      <w:lvlText w:val="%1."/>
      <w:numFmt w:val="decimal"/>
      <w:start w:val="11"/>
    </w:lvl>
    <w:lvl w:ilvl="1">
      <w:lvlJc w:val="left"/>
      <w:lvlText w:val="%2"/>
      <w:numFmt w:val="lowerRoman"/>
      <w:start w:val="1"/>
    </w:lvl>
  </w:abstractNum>
  <w:abstractNum w:abstractNumId="46">
    <w:nsid w:val="684A481A"/>
    <w:multiLevelType w:val="hybridMultilevel"/>
    <w:lvl w:ilvl="0">
      <w:lvlJc w:val="left"/>
      <w:lvlText w:val="%1."/>
      <w:numFmt w:val="decimal"/>
      <w:start w:val="12"/>
    </w:lvl>
    <w:lvl w:ilvl="1">
      <w:lvlJc w:val="left"/>
      <w:lvlText w:val="(%2)"/>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3"/>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8" Type="http://schemas.openxmlformats.org/officeDocument/2006/relationships/image" Target="media/image78.png"/><Relationship Id="rId92" Type="http://schemas.openxmlformats.org/officeDocument/2006/relationships/image" Target="media/image79.png"/><Relationship Id="rId98"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7" Type="http://schemas.openxmlformats.org/officeDocument/2006/relationships/hyperlink" Target="https://www.sec.gov/ix?doc=/Archives/edgar/data/1539838/000153983821000015/fang-20201231.htm" TargetMode="External"/><Relationship Id="rId83" Type="http://schemas.openxmlformats.org/officeDocument/2006/relationships/hyperlink" Target="http://www.sec.gov/ix?doc=/Archives/edgar/data/1539838/000153983821000015/fang-20201231.htm" TargetMode="External"/><Relationship Id="rId87" Type="http://schemas.openxmlformats.org/officeDocument/2006/relationships/hyperlink" Target="https://www.sec.gov/ix?doc=/Archives/edgar/data/1539838/000153983821000015/fang-20201231.htm#i4b770a66acfe418cb1b377f3d113fa9f_25" TargetMode="External"/><Relationship Id="rId89" Type="http://schemas.openxmlformats.org/officeDocument/2006/relationships/hyperlink" Target="http://www.sec.gov/Archives/edgar/data/1539838/000153983812000004/exhibit31amendcertofincorp.htm" TargetMode="External"/><Relationship Id="rId90" Type="http://schemas.openxmlformats.org/officeDocument/2006/relationships/hyperlink" Target="http://www.sec.gov/Archives/edgar/data/1539838/000153983816000266/diamondbackex31-12x12x16.htm" TargetMode="External"/><Relationship Id="rId91" Type="http://schemas.openxmlformats.org/officeDocument/2006/relationships/hyperlink" Target="https://www.sec.gov/Archives/edgar/data/1539838/000153983821000095/diamondbackex31-6x2x21.htm" TargetMode="External"/><Relationship Id="rId93" Type="http://schemas.openxmlformats.org/officeDocument/2006/relationships/hyperlink" Target="https://www.sec.gov/Archives/edgar/data/1539838/000153983819000122/diamondbackex31-11x19x.htm" TargetMode="External"/><Relationship Id="rId94" Type="http://schemas.openxmlformats.org/officeDocument/2006/relationships/hyperlink" Target="http://www.sec.gov/Archives/edgar/data/1539838/000119312512360997/d295327dex41.htm" TargetMode="External"/><Relationship Id="rId95" Type="http://schemas.openxmlformats.org/officeDocument/2006/relationships/hyperlink" Target="https://www.sec.gov/Archives/edgar/data/1539838/000119312521148164/d301323dex43.htm" TargetMode="External"/><Relationship Id="rId96" Type="http://schemas.openxmlformats.org/officeDocument/2006/relationships/hyperlink" Target="https://www.sec.gov/Archives/edgar/data/1539838/000119312521148164/d301323dex44.htm" TargetMode="External"/><Relationship Id="rId97" Type="http://schemas.openxmlformats.org/officeDocument/2006/relationships/hyperlink" Target="https://www.sec.gov/Archives/edgar/data/1539838/000153983821000095/diamondback-ex101x6x2x21.htm" TargetMode="External"/><Relationship Id="rId99" Type="http://schemas.openxmlformats.org/officeDocument/2006/relationships/hyperlink" Target="http://www.sec.gov/Archives/edgar/data/1602065/000160206521000022/viperex101-6x2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2021-08-05T16:29:09Z</dcterms:created>
  <dcterms:modified xsi:type="dcterms:W3CDTF">2021-08-05T16:29:09Z</dcterms:modified>
</cp:coreProperties>
</file>