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40" w:before="0" w:after="60"/>
        <w:ind w:left="0" w:right="0" w:firstLine="720"/>
        <w:jc w:val="center"/>
        <w:rPr/>
      </w:pPr>
      <w:r>
        <w:rPr>
          <w:color w:val="000000"/>
        </w:rPr>
        <w:t>    </w:t>
      </w:r>
      <w:r>
        <w:rPr>
          <w:rFonts w:ascii="Times New Roman;serif" w:hAnsi="Times New Roman;serif"/>
          <w:b/>
          <w:color w:val="000000"/>
          <w:sz w:val="18"/>
        </w:rPr>
        <w:t>For the fiscal year ended December 31, 2025</w:t>
      </w:r>
    </w:p>
    <w:p>
      <w:pPr>
        <w:pStyle w:val="TextBody"/>
        <w:bidi w:val="0"/>
        <w:spacing w:lineRule="auto" w:line="240" w:before="0" w:after="60"/>
        <w:ind w:left="0" w:right="0" w:firstLine="720"/>
        <w:jc w:val="center"/>
        <w:rPr>
          <w:rFonts w:ascii="Times New Roman;serif" w:hAnsi="Times New Roman;serif"/>
          <w:b/>
          <w:color w:val="000000"/>
          <w:sz w:val="18"/>
        </w:rPr>
      </w:pPr>
      <w:r>
        <w:rPr>
          <w:rFonts w:ascii="Times New Roman;serif" w:hAnsi="Times New Roman;serif"/>
          <w:b/>
          <w:color w:val="000000"/>
          <w:sz w:val="18"/>
        </w:rPr>
        <w:t>or</w:t>
      </w:r>
    </w:p>
    <w:tbl>
      <w:tblPr>
        <w:tblW w:w="9341" w:type="dxa"/>
        <w:jc w:val="left"/>
        <w:tblInd w:w="0" w:type="dxa"/>
        <w:tblLayout w:type="fixed"/>
        <w:tblCellMar>
          <w:top w:w="28" w:type="dxa"/>
          <w:left w:w="28" w:type="dxa"/>
          <w:bottom w:w="28" w:type="dxa"/>
          <w:right w:w="28" w:type="dxa"/>
        </w:tblCellMar>
      </w:tblPr>
      <w:tblGrid>
        <w:gridCol w:w="124"/>
        <w:gridCol w:w="109"/>
        <w:gridCol w:w="109"/>
        <w:gridCol w:w="2636"/>
        <w:gridCol w:w="2636"/>
        <w:gridCol w:w="3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SECURITIES EXCHANGE ACT OF 1934</w:t>
            </w:r>
          </w:p>
        </w:tc>
      </w:tr>
    </w:tbl>
    <w:p>
      <w:pPr>
        <w:pStyle w:val="TextBody"/>
        <w:bidi w:val="0"/>
        <w:spacing w:lineRule="auto" w:line="240"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Commission file number 001-35700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 w:after="283"/>
        <w:ind w:left="0" w:right="0" w:firstLine="720"/>
        <w:jc w:val="center"/>
        <w:rPr>
          <w:rFonts w:ascii="Times New Roman;serif" w:hAnsi="Times New Roman;serif"/>
          <w:b/>
          <w:color w:val="000000"/>
          <w:sz w:val="40"/>
        </w:rPr>
      </w:pPr>
      <w:r>
        <w:rPr>
          <w:rFonts w:ascii="Times New Roman;serif" w:hAnsi="Times New Roman;serif"/>
          <w:b/>
          <w:color w:val="000000"/>
          <w:sz w:val="40"/>
        </w:rPr>
        <w:t>Diamondback Energy, Inc.</w:t>
      </w:r>
    </w:p>
    <w:p>
      <w:pPr>
        <w:pStyle w:val="TextBody"/>
        <w:bidi w:val="0"/>
        <w:spacing w:lineRule="auto" w:line="240" w:before="60" w:after="283"/>
        <w:ind w:left="0" w:right="0" w:firstLine="7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4" w:type="dxa"/>
        <w:jc w:val="left"/>
        <w:tblInd w:w="0" w:type="dxa"/>
        <w:tblLayout w:type="fixed"/>
        <w:tblCellMar>
          <w:top w:w="28" w:type="dxa"/>
          <w:left w:w="28" w:type="dxa"/>
          <w:bottom w:w="28" w:type="dxa"/>
          <w:right w:w="28" w:type="dxa"/>
        </w:tblCellMar>
      </w:tblPr>
      <w:tblGrid>
        <w:gridCol w:w="540"/>
        <w:gridCol w:w="475"/>
        <w:gridCol w:w="475"/>
        <w:gridCol w:w="475"/>
        <w:gridCol w:w="475"/>
        <w:gridCol w:w="483"/>
        <w:gridCol w:w="109"/>
        <w:gridCol w:w="109"/>
        <w:gridCol w:w="109"/>
        <w:gridCol w:w="799"/>
        <w:gridCol w:w="799"/>
        <w:gridCol w:w="1146"/>
      </w:tblGrid>
      <w:tr>
        <w:trPr/>
        <w:tc>
          <w:tcPr>
            <w:tcW w:w="5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45-4502447</w:t>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Midland,</w:t>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79701</w:t>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40" w:before="20" w:after="283"/>
        <w:ind w:left="0" w:right="0" w:firstLine="720"/>
        <w:jc w:val="center"/>
        <w:rPr/>
      </w:pPr>
      <w:r>
        <w:rPr>
          <w:rFonts w:ascii="Times New Roman;serif" w:hAnsi="Times New Roman;serif"/>
          <w:b/>
          <w:color w:val="000000"/>
          <w:sz w:val="16"/>
        </w:rPr>
        <w:t xml:space="preserve">Registrant’s telephone number, including area code </w:t>
      </w:r>
      <w:r>
        <w:rPr>
          <w:rFonts w:ascii="Times New Roman;serif" w:hAnsi="Times New Roman;serif"/>
          <w:b/>
          <w:color w:val="000000"/>
          <w:sz w:val="20"/>
        </w:rPr>
        <w:t>(</w:t>
      </w:r>
      <w:r>
        <w:rPr>
          <w:rFonts w:ascii="Times New Roman;serif" w:hAnsi="Times New Roman;serif"/>
          <w:b/>
          <w:color w:val="000000"/>
          <w:sz w:val="16"/>
        </w:rPr>
        <w:t>432</w:t>
      </w:r>
      <w:r>
        <w:rPr>
          <w:rFonts w:ascii="Times New Roman;serif" w:hAnsi="Times New Roman;serif"/>
          <w:b/>
          <w:color w:val="000000"/>
          <w:sz w:val="20"/>
        </w:rPr>
        <w:t xml:space="preserve">) </w:t>
      </w:r>
      <w:r>
        <w:rPr>
          <w:rFonts w:ascii="Times New Roman;serif" w:hAnsi="Times New Roman;serif"/>
          <w:b/>
          <w:color w:val="000000"/>
          <w:sz w:val="16"/>
        </w:rPr>
        <w:t>221-7400</w:t>
      </w:r>
    </w:p>
    <w:p>
      <w:pPr>
        <w:pStyle w:val="TextBody"/>
        <w:bidi w:val="0"/>
        <w:spacing w:before="20" w:after="283"/>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95"/>
        <w:gridCol w:w="989"/>
        <w:gridCol w:w="995"/>
        <w:gridCol w:w="443"/>
        <w:gridCol w:w="443"/>
        <w:gridCol w:w="443"/>
        <w:gridCol w:w="452"/>
        <w:gridCol w:w="443"/>
        <w:gridCol w:w="443"/>
        <w:gridCol w:w="443"/>
        <w:gridCol w:w="443"/>
        <w:gridCol w:w="443"/>
        <w:gridCol w:w="846"/>
        <w:gridCol w:w="842"/>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u w:val="single"/>
              </w:rPr>
            </w:pPr>
            <w:r>
              <w:rPr>
                <w:rFonts w:ascii="Times New Roman;serif" w:hAnsi="Times New Roman;serif"/>
                <w:b/>
                <w:color w:val="000000"/>
                <w:sz w:val="15"/>
                <w:u w:val="single"/>
              </w:rPr>
              <w:t>Title of each class</w:t>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Trading Symbol(s)</w:t>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u w:val="single"/>
              </w:rPr>
            </w:pPr>
            <w:r>
              <w:rPr>
                <w:rFonts w:ascii="Times New Roman;serif" w:hAnsi="Times New Roman;serif"/>
                <w:b/>
                <w:color w:val="000000"/>
                <w:sz w:val="15"/>
                <w:u w:val="single"/>
              </w:rPr>
              <w:t>Name of each exchange on which registered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FANG</w:t>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continue"/>
            <w:tcBorders/>
            <w:tcMar>
              <w:top w:w="0" w:type="dxa"/>
              <w:left w:w="0" w:type="dxa"/>
              <w:bottom w:w="0" w:type="dxa"/>
              <w:right w:w="0" w:type="dxa"/>
            </w:tcMar>
            <w:vAlign w:val="center"/>
          </w:tcPr>
          <w:p>
            <w:pPr>
              <w:pStyle w:val="Normal"/>
              <w:bidi w:val="0"/>
              <w:jc w:val="left"/>
              <w:rPr/>
            </w:pPr>
            <w:r>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Securities registered pursuant to Section 12(g) of the Act:</w:t>
            </w:r>
          </w:p>
        </w:tc>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a well-known seasoned issuer, as defined in Rule 405 of the Securities Act. Yes ☒ No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Aggregate market value of the voting and non-voting common equity held by non-affiliates of registrant as of June 30, 2025 was approximately $25.8 billion.</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As of February 20, 2026, 282,078,989 shares of the registrant’s common stock were outstanding.</w:t>
      </w:r>
    </w:p>
    <w:p>
      <w:pPr>
        <w:pStyle w:val="TextBody"/>
        <w:bidi w:val="0"/>
        <w:spacing w:before="0" w:after="0"/>
        <w:jc w:val="center"/>
        <w:rPr/>
      </w:pPr>
      <w:r>
        <w:rPr/>
      </w:r>
    </w:p>
    <w:p>
      <w:pPr>
        <w:pStyle w:val="TextBody"/>
        <w:bidi w:val="0"/>
        <w:spacing w:lineRule="auto" w:line="240"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40" w:before="60" w:after="283"/>
        <w:jc w:val="both"/>
        <w:rPr>
          <w:rFonts w:ascii="Times New Roman;serif" w:hAnsi="Times New Roman;serif"/>
          <w:b w:val="false"/>
          <w:color w:val="000000"/>
          <w:sz w:val="18"/>
        </w:rPr>
      </w:pPr>
      <w:r>
        <w:rPr>
          <w:rFonts w:ascii="Times New Roman;serif" w:hAnsi="Times New Roman;serif"/>
          <w:b w:val="false"/>
          <w:color w:val="000000"/>
          <w:sz w:val="18"/>
        </w:rPr>
        <w:t>Portions of Diamondback Energy, Inc.’s Proxy Statement for the 2026 Annual Meeting of Stockholders are incorporated by reference in Items 10, 11, 12, 13 and 14 of Part III of this Form 10-K.</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03"/>
        <w:gridCol w:w="3073"/>
        <w:gridCol w:w="3086"/>
        <w:gridCol w:w="158"/>
        <w:gridCol w:w="158"/>
        <w:gridCol w:w="227"/>
      </w:tblGrid>
      <w:tr>
        <w:trPr/>
        <w:tc>
          <w:tcPr>
            <w:tcW w:w="3503"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0">
              <w:r>
                <w:rPr>
                  <w:rStyle w:val="InternetLink"/>
                  <w:rFonts w:ascii="Times New Roman;serif" w:hAnsi="Times New Roman;serif"/>
                  <w:b w:val="false"/>
                  <w:color w:val="0000FF"/>
                  <w:sz w:val="20"/>
                  <w:u w:val="single"/>
                </w:rPr>
                <w:t>Glossary of Oil and Natural Gas Terms</w:t>
              </w:r>
            </w:hyperlink>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27ba2a247b584e1aae74c0210baff60c_10">
              <w:r>
                <w:rPr>
                  <w:rStyle w:val="InternetLink"/>
                  <w:rFonts w:ascii="Times New Roman;serif" w:hAnsi="Times New Roman;serif"/>
                  <w:b w:val="false"/>
                  <w:color w:val="0000FF"/>
                  <w:sz w:val="20"/>
                  <w:u w:val="single"/>
                </w:rPr>
                <w:t>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3">
              <w:r>
                <w:rPr>
                  <w:rStyle w:val="InternetLink"/>
                  <w:rFonts w:ascii="Times New Roman;serif" w:hAnsi="Times New Roman;serif"/>
                  <w:b w:val="false"/>
                  <w:color w:val="0000FF"/>
                  <w:sz w:val="20"/>
                  <w:u w:val="single"/>
                </w:rPr>
                <w:t>Glossary of Certain Other Terms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3">
              <w:r>
                <w:rPr>
                  <w:rStyle w:val="InternetLink"/>
                  <w:rFonts w:ascii="Times New Roman;serif" w:hAnsi="Times New Roman;serif"/>
                  <w:b w:val="false"/>
                  <w:color w:val="0000FF"/>
                  <w:sz w:val="20"/>
                  <w:u w:val="single"/>
                </w:rPr>
                <w:t>iv</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6">
              <w:r>
                <w:rPr>
                  <w:rStyle w:val="InternetLink"/>
                  <w:rFonts w:ascii="Times New Roman;serif" w:hAnsi="Times New Roman;serif"/>
                  <w:b w:val="false"/>
                  <w:color w:val="0000FF"/>
                  <w:sz w:val="20"/>
                  <w:u w:val="single"/>
                </w:rPr>
                <w:t>Cautionary Statement Regarding Forward-Looking Statements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6">
              <w:r>
                <w:rPr>
                  <w:rStyle w:val="InternetLink"/>
                  <w:rFonts w:ascii="Times New Roman;serif" w:hAnsi="Times New Roman;serif"/>
                  <w:b w:val="false"/>
                  <w:color w:val="0000FF"/>
                  <w:sz w:val="20"/>
                  <w:u w:val="single"/>
                </w:rPr>
                <w:t>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9">
              <w:r>
                <w:rPr>
                  <w:rStyle w:val="InternetLink"/>
                  <w:rFonts w:ascii="Times New Roman;serif" w:hAnsi="Times New Roman;serif"/>
                  <w:b/>
                  <w:color w:val="0000FF"/>
                  <w:sz w:val="18"/>
                  <w:u w:val="single"/>
                </w:rPr>
                <w:t>PART 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2">
              <w:r>
                <w:rPr>
                  <w:rStyle w:val="InternetLink"/>
                  <w:rFonts w:ascii="Times New Roman;serif" w:hAnsi="Times New Roman;serif"/>
                  <w:b w:val="false"/>
                  <w:color w:val="0000FF"/>
                  <w:sz w:val="20"/>
                  <w:u w:val="single"/>
                </w:rPr>
                <w:t>Items 1 and 2. Business and Properties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2">
              <w:r>
                <w:rPr>
                  <w:rStyle w:val="InternetLink"/>
                  <w:rFonts w:ascii="Times New Roman;serif" w:hAnsi="Times New Roman;serif"/>
                  <w:b w:val="false"/>
                  <w:color w:val="0000FF"/>
                  <w:sz w:val="20"/>
                  <w:u w:val="single"/>
                </w:rPr>
                <w:t>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46">
              <w:r>
                <w:rPr>
                  <w:rStyle w:val="InternetLink"/>
                  <w:rFonts w:ascii="Times New Roman;serif" w:hAnsi="Times New Roman;serif"/>
                  <w:b w:val="false"/>
                  <w:color w:val="0000FF"/>
                  <w:sz w:val="20"/>
                  <w:u w:val="single"/>
                </w:rPr>
                <w:t>Item 1A. Risk Factors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46">
              <w:r>
                <w:rPr>
                  <w:rStyle w:val="InternetLink"/>
                  <w:rFonts w:ascii="Times New Roman;serif" w:hAnsi="Times New Roman;serif"/>
                  <w:b w:val="false"/>
                  <w:color w:val="0000FF"/>
                  <w:sz w:val="20"/>
                  <w:u w:val="single"/>
                </w:rPr>
                <w:t>21</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49">
              <w:r>
                <w:rPr>
                  <w:rStyle w:val="InternetLink"/>
                  <w:rFonts w:ascii="Times New Roman;serif" w:hAnsi="Times New Roman;serif"/>
                  <w:b w:val="false"/>
                  <w:color w:val="0000FF"/>
                  <w:sz w:val="20"/>
                  <w:u w:val="single"/>
                </w:rPr>
                <w:t>Item 1B. Unresolved Staff Comments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49">
              <w:r>
                <w:rPr>
                  <w:rStyle w:val="InternetLink"/>
                  <w:rFonts w:ascii="Times New Roman;serif" w:hAnsi="Times New Roman;serif"/>
                  <w:b w:val="false"/>
                  <w:color w:val="0000FF"/>
                  <w:sz w:val="20"/>
                  <w:u w:val="single"/>
                </w:rPr>
                <w:t>39</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52">
              <w:r>
                <w:rPr>
                  <w:rStyle w:val="InternetLink"/>
                  <w:rFonts w:ascii="Times New Roman;serif" w:hAnsi="Times New Roman;serif"/>
                  <w:b w:val="false"/>
                  <w:color w:val="0000FF"/>
                  <w:sz w:val="20"/>
                  <w:u w:val="single"/>
                </w:rPr>
                <w:t>Item 1C. Cybersecurity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52">
              <w:r>
                <w:rPr>
                  <w:rStyle w:val="InternetLink"/>
                  <w:rFonts w:ascii="Times New Roman;serif" w:hAnsi="Times New Roman;serif"/>
                  <w:b w:val="false"/>
                  <w:color w:val="0000FF"/>
                  <w:sz w:val="20"/>
                  <w:u w:val="single"/>
                </w:rPr>
                <w:t>39</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55">
              <w:r>
                <w:rPr>
                  <w:rStyle w:val="InternetLink"/>
                  <w:rFonts w:ascii="Times New Roman;serif" w:hAnsi="Times New Roman;serif"/>
                  <w:b w:val="false"/>
                  <w:color w:val="0000FF"/>
                  <w:sz w:val="20"/>
                  <w:u w:val="single"/>
                </w:rPr>
                <w:t>Item 3. Legal Proceedings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55">
              <w:r>
                <w:rPr>
                  <w:rStyle w:val="InternetLink"/>
                  <w:rFonts w:ascii="Times New Roman;serif" w:hAnsi="Times New Roman;serif"/>
                  <w:b w:val="false"/>
                  <w:color w:val="0000FF"/>
                  <w:sz w:val="20"/>
                  <w:u w:val="single"/>
                </w:rPr>
                <w:t>40</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58">
              <w:r>
                <w:rPr>
                  <w:rStyle w:val="InternetLink"/>
                  <w:rFonts w:ascii="Times New Roman;serif" w:hAnsi="Times New Roman;serif"/>
                  <w:b w:val="false"/>
                  <w:color w:val="0000FF"/>
                  <w:sz w:val="20"/>
                  <w:u w:val="single"/>
                </w:rPr>
                <w:t>Item 4. 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58">
              <w:r>
                <w:rPr>
                  <w:rStyle w:val="InternetLink"/>
                  <w:rFonts w:ascii="Times New Roman;serif" w:hAnsi="Times New Roman;serif"/>
                  <w:b w:val="false"/>
                  <w:color w:val="0000FF"/>
                  <w:sz w:val="20"/>
                  <w:u w:val="single"/>
                </w:rPr>
                <w:t>40</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61">
              <w:r>
                <w:rPr>
                  <w:rStyle w:val="InternetLink"/>
                  <w:rFonts w:ascii="Times New Roman;serif" w:hAnsi="Times New Roman;serif"/>
                  <w:b/>
                  <w:color w:val="0000FF"/>
                  <w:sz w:val="18"/>
                  <w:u w:val="single"/>
                </w:rPr>
                <w:t>PART 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64">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64">
              <w:r>
                <w:rPr>
                  <w:rStyle w:val="InternetLink"/>
                  <w:rFonts w:ascii="Times New Roman;serif" w:hAnsi="Times New Roman;serif"/>
                  <w:b w:val="false"/>
                  <w:color w:val="0000FF"/>
                  <w:sz w:val="20"/>
                  <w:u w:val="single"/>
                </w:rPr>
                <w:t>41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67">
              <w:r>
                <w:rPr>
                  <w:rStyle w:val="InternetLink"/>
                  <w:rFonts w:ascii="Times New Roman;serif" w:hAnsi="Times New Roman;serif"/>
                  <w:b w:val="false"/>
                  <w:color w:val="000080"/>
                  <w:sz w:val="20"/>
                  <w:u w:val="single"/>
                </w:rPr>
                <w:t>Item 6. [R</w:t>
              </w:r>
            </w:hyperlink>
            <w:hyperlink w:anchor="i27ba2a247b584e1aae74c0210baff60c_67">
              <w:r>
                <w:rPr>
                  <w:rStyle w:val="InternetLink"/>
                  <w:rFonts w:ascii="Times New Roman;serif" w:hAnsi="Times New Roman;serif"/>
                  <w:b w:val="false"/>
                  <w:color w:val="000080"/>
                  <w:sz w:val="20"/>
                  <w:u w:val="single"/>
                </w:rPr>
                <w:t>eserved</w:t>
              </w:r>
            </w:hyperlink>
            <w:hyperlink w:anchor="i27ba2a247b584e1aae74c0210baff60c_67">
              <w:r>
                <w:rPr>
                  <w:rStyle w:val="InternetLink"/>
                  <w:rFonts w:ascii="Times New Roman;serif" w:hAnsi="Times New Roman;serif"/>
                  <w:b w:val="false"/>
                  <w:color w:val="000080"/>
                  <w:sz w:val="20"/>
                  <w:u w:val="single"/>
                </w:rPr>
                <w:t>]</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67">
              <w:r>
                <w:rPr>
                  <w:rStyle w:val="InternetLink"/>
                  <w:rFonts w:ascii="Times New Roman;serif" w:hAnsi="Times New Roman;serif"/>
                  <w:b w:val="false"/>
                  <w:color w:val="0000FF"/>
                  <w:sz w:val="20"/>
                  <w:u w:val="single"/>
                </w:rPr>
                <w:t>42</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70">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70">
              <w:r>
                <w:rPr>
                  <w:rStyle w:val="InternetLink"/>
                  <w:rFonts w:ascii="Times New Roman;serif" w:hAnsi="Times New Roman;serif"/>
                  <w:b w:val="false"/>
                  <w:color w:val="0000FF"/>
                  <w:sz w:val="20"/>
                  <w:u w:val="single"/>
                </w:rPr>
                <w:t>43</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21">
              <w:r>
                <w:rPr>
                  <w:rStyle w:val="InternetLink"/>
                  <w:rFonts w:ascii="Times New Roman;serif" w:hAnsi="Times New Roman;serif"/>
                  <w:b w:val="false"/>
                  <w:color w:val="0000FF"/>
                  <w:sz w:val="20"/>
                  <w:u w:val="single"/>
                </w:rPr>
                <w:t>Item 7A. 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21">
              <w:r>
                <w:rPr>
                  <w:rStyle w:val="InternetLink"/>
                  <w:rFonts w:ascii="Times New Roman;serif" w:hAnsi="Times New Roman;serif"/>
                  <w:b w:val="false"/>
                  <w:color w:val="0000FF"/>
                  <w:sz w:val="20"/>
                  <w:u w:val="single"/>
                </w:rPr>
                <w:t>59</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27">
              <w:r>
                <w:rPr>
                  <w:rStyle w:val="InternetLink"/>
                  <w:rFonts w:ascii="Times New Roman;serif" w:hAnsi="Times New Roman;serif"/>
                  <w:b w:val="false"/>
                  <w:color w:val="0000FF"/>
                  <w:sz w:val="20"/>
                  <w:u w:val="single"/>
                </w:rPr>
                <w:t>Item 8. Financial Statements and Supplementary Data</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27">
              <w:r>
                <w:rPr>
                  <w:rStyle w:val="InternetLink"/>
                  <w:rFonts w:ascii="Times New Roman;serif" w:hAnsi="Times New Roman;serif"/>
                  <w:b w:val="false"/>
                  <w:color w:val="0000FF"/>
                  <w:sz w:val="20"/>
                  <w:u w:val="single"/>
                </w:rPr>
                <w:t>61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08">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08">
              <w:r>
                <w:rPr>
                  <w:rStyle w:val="InternetLink"/>
                  <w:rFonts w:ascii="Times New Roman;serif" w:hAnsi="Times New Roman;serif"/>
                  <w:b w:val="false"/>
                  <w:color w:val="0000FF"/>
                  <w:sz w:val="20"/>
                  <w:u w:val="single"/>
                </w:rPr>
                <w:t>118</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11">
              <w:r>
                <w:rPr>
                  <w:rStyle w:val="InternetLink"/>
                  <w:rFonts w:ascii="Times New Roman;serif" w:hAnsi="Times New Roman;serif"/>
                  <w:b w:val="false"/>
                  <w:color w:val="0000FF"/>
                  <w:sz w:val="20"/>
                  <w:u w:val="single"/>
                </w:rPr>
                <w:t>Item 9A. 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11">
              <w:r>
                <w:rPr>
                  <w:rStyle w:val="InternetLink"/>
                  <w:rFonts w:ascii="Times New Roman;serif" w:hAnsi="Times New Roman;serif"/>
                  <w:b w:val="false"/>
                  <w:color w:val="0000FF"/>
                  <w:sz w:val="20"/>
                  <w:u w:val="single"/>
                </w:rPr>
                <w:t>118</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20">
              <w:r>
                <w:rPr>
                  <w:rStyle w:val="InternetLink"/>
                  <w:rFonts w:ascii="Times New Roman;serif" w:hAnsi="Times New Roman;serif"/>
                  <w:b w:val="false"/>
                  <w:color w:val="0000FF"/>
                  <w:sz w:val="20"/>
                  <w:u w:val="single"/>
                </w:rPr>
                <w:t>Item 9B. 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20">
              <w:r>
                <w:rPr>
                  <w:rStyle w:val="InternetLink"/>
                  <w:rFonts w:ascii="Times New Roman;serif" w:hAnsi="Times New Roman;serif"/>
                  <w:b w:val="false"/>
                  <w:color w:val="0000FF"/>
                  <w:sz w:val="20"/>
                  <w:u w:val="single"/>
                </w:rPr>
                <w:t>121</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26">
              <w:r>
                <w:rPr>
                  <w:rStyle w:val="InternetLink"/>
                  <w:rFonts w:ascii="Times New Roman;serif" w:hAnsi="Times New Roman;serif"/>
                  <w:b w:val="false"/>
                  <w:color w:val="0000FF"/>
                  <w:sz w:val="20"/>
                  <w:u w:val="single"/>
                </w:rPr>
                <w:t>Item 9C. Disclosure Regarding Foreign Jurisdictions that Prevent Inspections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26">
              <w:r>
                <w:rPr>
                  <w:rStyle w:val="InternetLink"/>
                  <w:rFonts w:ascii="Times New Roman;serif" w:hAnsi="Times New Roman;serif"/>
                  <w:b w:val="false"/>
                  <w:color w:val="0000FF"/>
                  <w:sz w:val="20"/>
                  <w:u w:val="single"/>
                </w:rPr>
                <w:t>121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29">
              <w:r>
                <w:rPr>
                  <w:rStyle w:val="InternetLink"/>
                  <w:rFonts w:ascii="Times New Roman;serif" w:hAnsi="Times New Roman;serif"/>
                  <w:b/>
                  <w:color w:val="0000FF"/>
                  <w:sz w:val="18"/>
                  <w:u w:val="single"/>
                </w:rPr>
                <w:t>PART III</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32">
              <w:r>
                <w:rPr>
                  <w:rStyle w:val="InternetLink"/>
                  <w:rFonts w:ascii="Times New Roman;serif" w:hAnsi="Times New Roman;serif"/>
                  <w:b w:val="false"/>
                  <w:color w:val="0000FF"/>
                  <w:sz w:val="20"/>
                  <w:u w:val="single"/>
                </w:rPr>
                <w:t>Item 10. Directors, Executive Officers and Corporate Governance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32">
              <w:r>
                <w:rPr>
                  <w:rStyle w:val="InternetLink"/>
                  <w:rFonts w:ascii="Times New Roman;serif" w:hAnsi="Times New Roman;serif"/>
                  <w:b w:val="false"/>
                  <w:color w:val="0000FF"/>
                  <w:sz w:val="20"/>
                  <w:u w:val="single"/>
                </w:rPr>
                <w:t>121</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35">
              <w:r>
                <w:rPr>
                  <w:rStyle w:val="InternetLink"/>
                  <w:rFonts w:ascii="Times New Roman;serif" w:hAnsi="Times New Roman;serif"/>
                  <w:b w:val="false"/>
                  <w:color w:val="0000FF"/>
                  <w:sz w:val="20"/>
                  <w:u w:val="single"/>
                </w:rPr>
                <w:t>Item 11. Executive Compensation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35">
              <w:r>
                <w:rPr>
                  <w:rStyle w:val="InternetLink"/>
                  <w:rFonts w:ascii="Times New Roman;serif" w:hAnsi="Times New Roman;serif"/>
                  <w:b w:val="false"/>
                  <w:color w:val="0000FF"/>
                  <w:sz w:val="20"/>
                  <w:u w:val="single"/>
                </w:rPr>
                <w:t>121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38">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38">
              <w:r>
                <w:rPr>
                  <w:rStyle w:val="InternetLink"/>
                  <w:rFonts w:ascii="Times New Roman;serif" w:hAnsi="Times New Roman;serif"/>
                  <w:b w:val="false"/>
                  <w:color w:val="0000FF"/>
                  <w:sz w:val="20"/>
                  <w:u w:val="single"/>
                </w:rPr>
                <w:t>121</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41">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41">
              <w:r>
                <w:rPr>
                  <w:rStyle w:val="InternetLink"/>
                  <w:rFonts w:ascii="Times New Roman;serif" w:hAnsi="Times New Roman;serif"/>
                  <w:b w:val="false"/>
                  <w:color w:val="0000FF"/>
                  <w:sz w:val="20"/>
                  <w:u w:val="single"/>
                </w:rPr>
                <w:t>121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44">
              <w:r>
                <w:rPr>
                  <w:rStyle w:val="InternetLink"/>
                  <w:rFonts w:ascii="Times New Roman;serif" w:hAnsi="Times New Roman;serif"/>
                  <w:b w:val="false"/>
                  <w:color w:val="0000FF"/>
                  <w:sz w:val="20"/>
                  <w:u w:val="single"/>
                </w:rPr>
                <w:t>Item 14. Principal Accountant Fees and Services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44">
              <w:r>
                <w:rPr>
                  <w:rStyle w:val="InternetLink"/>
                  <w:rFonts w:ascii="Times New Roman;serif" w:hAnsi="Times New Roman;serif"/>
                  <w:b w:val="false"/>
                  <w:color w:val="0000FF"/>
                  <w:sz w:val="20"/>
                  <w:u w:val="single"/>
                </w:rPr>
                <w:t>121</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47">
              <w:r>
                <w:rPr>
                  <w:rStyle w:val="InternetLink"/>
                  <w:rFonts w:ascii="Times New Roman;serif" w:hAnsi="Times New Roman;serif"/>
                  <w:b/>
                  <w:color w:val="0000FF"/>
                  <w:sz w:val="20"/>
                  <w:u w:val="single"/>
                </w:rPr>
                <w:t>PART IV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50">
              <w:r>
                <w:rPr>
                  <w:rStyle w:val="InternetLink"/>
                  <w:rFonts w:ascii="Times New Roman;serif" w:hAnsi="Times New Roman;serif"/>
                  <w:b w:val="false"/>
                  <w:color w:val="0000FF"/>
                  <w:sz w:val="20"/>
                  <w:u w:val="single"/>
                </w:rPr>
                <w:t>Item 15. Exhibits and Financial Statement Schedules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50">
              <w:r>
                <w:rPr>
                  <w:rStyle w:val="InternetLink"/>
                  <w:rFonts w:ascii="Times New Roman;serif" w:hAnsi="Times New Roman;serif"/>
                  <w:b w:val="false"/>
                  <w:color w:val="0000FF"/>
                  <w:sz w:val="20"/>
                  <w:u w:val="single"/>
                </w:rPr>
                <w:t>121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53">
              <w:r>
                <w:rPr>
                  <w:rStyle w:val="InternetLink"/>
                  <w:rFonts w:ascii="Times New Roman;serif" w:hAnsi="Times New Roman;serif"/>
                  <w:b w:val="false"/>
                  <w:color w:val="0000FF"/>
                  <w:sz w:val="20"/>
                  <w:u w:val="single"/>
                </w:rPr>
                <w:t>Item 16. Form 10-K Summary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53">
              <w:r>
                <w:rPr>
                  <w:rStyle w:val="InternetLink"/>
                  <w:rFonts w:ascii="Times New Roman;serif" w:hAnsi="Times New Roman;serif"/>
                  <w:b w:val="false"/>
                  <w:color w:val="0000FF"/>
                  <w:sz w:val="20"/>
                  <w:u w:val="single"/>
                </w:rPr>
                <w:t>126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56">
              <w:r>
                <w:rPr>
                  <w:rStyle w:val="InternetLink"/>
                  <w:rFonts w:ascii="Times New Roman;serif" w:hAnsi="Times New Roman;serif"/>
                  <w:b w:val="false"/>
                  <w:color w:val="0000FF"/>
                  <w:sz w:val="20"/>
                  <w:u w:val="single"/>
                </w:rPr>
                <w:t>Signatures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56">
              <w:r>
                <w:rPr>
                  <w:rStyle w:val="InternetLink"/>
                  <w:rFonts w:ascii="Times New Roman;serif" w:hAnsi="Times New Roman;serif"/>
                  <w:b w:val="false"/>
                  <w:color w:val="0000FF"/>
                  <w:sz w:val="20"/>
                  <w:u w:val="single"/>
                </w:rPr>
                <w:t>127</w:t>
              </w:r>
            </w:hyperlink>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oil and natural gas industry terms used in this Annual Report on Form 10-K, which we refer to as this Annual Report or this report: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93"/>
        <w:gridCol w:w="578"/>
        <w:gridCol w:w="547"/>
        <w:gridCol w:w="2423"/>
        <w:gridCol w:w="2423"/>
        <w:gridCol w:w="3441"/>
      </w:tblGrid>
      <w:tr>
        <w:trPr/>
        <w:tc>
          <w:tcPr>
            <w:tcW w:w="7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3-D seismic</w:t>
            </w:r>
          </w:p>
        </w:tc>
        <w:tc>
          <w:tcPr>
            <w:tcW w:w="8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Geophysical data that depict the subsurface strata in three dimensions. 3-D seismic typically provides a more detailed and accurate interpretation of the subsurface strata than 2-D, or two-dimensional, seismic.</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Houston, Texas.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Midland, Texas.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large depression on the earth’s surface in which sediments accumulate.</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Bbl or barrel</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stock tank barrel, or 42 U.S. gallons liquid volume, used in this report in reference to crude oil or other liquid hydrocarbons.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barrel of crude oil.</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One BO per day.</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barrel of crude oil equivalent, with six thousand cubic feet of natural gas being equivalent to one barrel of oil.</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BOE per day.</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Brent</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major trading classification of light sweet oil that serves as a benchmark price for oil worldwide.</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British Thermal Unit</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quantity of heat required to raise the temperature of one pound of water by one degree Fahrenheit.</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Completion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Condensate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Liquid hydrocarbons associated with the production that is primarily natural gas.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Crude oil</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Liquid hydrocarbons retrieved from geological structures underground to be refined into fuel sources.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acreage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Acreage allocated or assignable to productive wells.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Capital costs incurred in the acquisition, exploitation and exploration of proved oil and natural gas reserves.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Differential</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adjustment to the price of oil or natural gas from an established spot market price to reflect differences in the quality and/or location of oil or natural gas.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Dry hole or dry well</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well found to be incapable of producing hydrocarbons in sufficient quantities such that proceeds from the sale of such production exceed production expenses and taxes.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Ultimate Recovery or EUR</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Estimated ultimate recovery is the sum of reserves remaining as of a given date and cumulative production as of that date.</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Exploitation</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development or other project which may target proven or unproven reserves (such as probable or possible reserves), but which generally has a lower risk than that associated with exploration projects.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Field</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area consisting of either a single reservoir or multiple reservoirs, all grouped on or related to the same individual geological structural feature and/or stratigraphic condition.</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Finding and development costs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Capital costs incurred in the acquisition, exploitation and exploration of proved oil and natural gas reserves divided by proved reserve additions and revisions to proved reserves.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Formation</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layer of rock which has distinct characteristics that differ from nearby rock. </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Fracturing</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creating and preserving a fracture or system of fractures in a reservoir rock typically by injecting a fluid under pressure through a wellbore and into the targeted formation.</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acres or gross wells</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total acres or wells, as the case may be, in which a working interest is owned.</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Henry Hub</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futures on the NYMEX.</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drilling</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drilling technique used in certain formations where a well is drilled vertically to a certain depth and then drilled at a right angle within a specified interval.</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wells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Wells drilled directionally horizontal to allow for development of structures not reachable through traditional vertical drilling mechanisms.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HSC Hub</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the Houston Ship Channel area.</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MBbls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barrels of crude oil and other liquid hydrocarbons.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One thousand BOE, determined using a ratio of six Mcf of natural gas to one Bbl of crude oil, condensate or natural gas liquids.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MBOE/d</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BOE per day.</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Mcf</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cubic feet of natural gas.</w:t>
            </w:r>
          </w:p>
        </w:tc>
      </w:tr>
      <w:tr>
        <w:trPr/>
        <w:tc>
          <w:tcPr>
            <w:tcW w:w="1918" w:type="dxa"/>
            <w:gridSpan w:val="3"/>
            <w:tcBorders/>
            <w:vAlign w:val="center"/>
          </w:tcPr>
          <w:p>
            <w:pPr>
              <w:pStyle w:val="TableContents"/>
              <w:bidi w:val="0"/>
              <w:spacing w:before="0" w:after="283"/>
              <w:jc w:val="left"/>
              <w:rPr>
                <w:sz w:val="4"/>
                <w:szCs w:val="4"/>
              </w:rPr>
            </w:pPr>
            <w:r>
              <w:rPr>
                <w:sz w:val="4"/>
                <w:szCs w:val="4"/>
              </w:rPr>
            </w:r>
          </w:p>
        </w:tc>
        <w:tc>
          <w:tcPr>
            <w:tcW w:w="8287" w:type="dxa"/>
            <w:gridSpan w:val="3"/>
            <w:tcBorders/>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Mineral interests</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interests in ownership of the resource and mineral rights, giving an owner the right to profit from the extracted resources.</w:t>
            </w:r>
          </w:p>
        </w:tc>
      </w:tr>
      <w:tr>
        <w:trPr/>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MMBtu</w:t>
            </w:r>
          </w:p>
        </w:tc>
        <w:tc>
          <w:tcPr>
            <w:tcW w:w="82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million British Thermal Units.</w:t>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MMcf</w:t>
            </w:r>
          </w:p>
        </w:tc>
        <w:tc>
          <w:tcPr>
            <w:tcW w:w="8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Million cubic feet of natural gas.</w:t>
            </w:r>
          </w:p>
        </w:tc>
      </w:tr>
      <w:tr>
        <w:trPr/>
        <w:tc>
          <w:tcPr>
            <w:tcW w:w="1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7"/>
        <w:gridCol w:w="240"/>
        <w:gridCol w:w="242"/>
        <w:gridCol w:w="2889"/>
        <w:gridCol w:w="2487"/>
        <w:gridCol w:w="3540"/>
      </w:tblGrid>
      <w:tr>
        <w:trPr/>
        <w:tc>
          <w:tcPr>
            <w:tcW w:w="8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acres or net wells</w:t>
            </w:r>
          </w:p>
        </w:tc>
        <w:tc>
          <w:tcPr>
            <w:tcW w:w="8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sum of the fractional working interest owned in gross acres.</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mineral acres</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portion of total mineral rights a person or entity owns in a tract of land, calculated by multiplying the gross royalty acres in such tract by such person or entity’s fractional ownership interest.</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interest</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owner’s interest in the revenues of a well after deducting proceeds allocated to royalty, overriding interests and other burdens.</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royalty acres</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Net mineral acres multiplied by the average lease royalty interest and other burdens.</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Tracts of land consisting of properties to be developed for oil and natural gas resource extraction.</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individual or company responsible for the exploration and/or production of an oil or natural gas well or lease.</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Plugging and abandonment</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Refers to the sealing off of fluids in the reservoir penetrated by a well so that the fluids from one reservoir will not escape into another or to the surface. Regulations of all states require plugging of abandoned wells.</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Productive well</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well that is found to be mechanically capable of producing hydrocarbons in sufficient quantities such that proceeds from the sale of the production exceed production expenses and taxes.</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Prospect</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specific geographic area which, based on supporting geological, geophysical or other data and also preliminary economic analysis using reasonably anticipated prices and costs, is deemed to have potential for the discovery of commercially recoverable hydrocarbons.</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Proved developed reserves</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Reserves that can be expected to be recovered through existing wells with existing equipment and operating methods.</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Proved reserves</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Proved undeveloped reserves or PUDs</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Proved reserves that are expected to be recovered from new wells on undrilled acreage or from existing wells where a relatively major expenditure is required for recompletion.</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Recompletion</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re-entering an existing wellbore that is either producing or not producing and completing new reservoirs in an attempt to establish or increase existing production.</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Reserves</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Reservoir</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Resource play</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set of discovered or prospective oil and/or natural gas accumulations sharing similar geologic, geographic and temporal properties, such as source rock, reservoir structure, timing, trapping mechanism and hydrocarbon type.</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interest</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interest that gives an owner the right to receive a portion of the resources or revenues without having to carry any costs of development, which may be subject to expiration.</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Spacing</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distance between wells producing from the same reservoir. Spacing is often expressed in terms of acres (e.g., 40-acre spacing) and is often established by regulatory agencies.</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Standardized measure</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present value of estimated future net revenue to be generated from the production of proved reserves, determined in accordance with the rules and regulations of the SEC (using prices and costs in effect as of the date of estimation), less future development, production and income tax expenses, and discounted at 10% per annum to reflect the timing of future net revenue.</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Tight formation</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formation with low permeability that produces natural gas with very low flow rates for long periods of time.</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Undeveloped acreage</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Lease acreage on which wells have not been drilled or completed to a point that would permit the production of economic quantities of oil and natural gas regardless of whether such acreage contains proved reserves.</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Waha Hub</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western Texas and New Mexico.</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Wellbore</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hole drilled by the bit that is equipped for oil or natural gas production on a completed well.</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Working interest</w:t>
            </w:r>
          </w:p>
        </w:tc>
        <w:tc>
          <w:tcPr>
            <w:tcW w:w="8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WTI</w:t>
            </w:r>
          </w:p>
        </w:tc>
        <w:tc>
          <w:tcPr>
            <w:tcW w:w="8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West Texas Intermediate, a light sweet blend of oil produced from fields in western Texas and is a grade of oil that serves as a benchmark for oil on the NYMEX.</w:t>
            </w:r>
          </w:p>
        </w:tc>
      </w:tr>
      <w:tr>
        <w:trPr/>
        <w:tc>
          <w:tcPr>
            <w:tcW w:w="12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89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Cushing, Oklahoma.</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other terms that are used in this Annual Report: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42"/>
        <w:gridCol w:w="336"/>
        <w:gridCol w:w="337"/>
        <w:gridCol w:w="2965"/>
        <w:gridCol w:w="2444"/>
        <w:gridCol w:w="3481"/>
      </w:tblGrid>
      <w:tr>
        <w:trPr/>
        <w:tc>
          <w:tcPr>
            <w:tcW w:w="64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8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non-GAAP financial measure calculated as cash flow from operating activities before changes in working capital in excess of cash capital expenditures and further adjusted for the tax impact from divestitures, merger and transaction expenses, costs of early terminations of derivatives and settlements of any treasury locks.</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2024 Notes</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outstanding senior notes issued by Diamondback Energy, Inc. under indentures where Diamondback E&amp;P is the sole guarantor, consisting of the 5.200% Senior Notes due 2027, 5.150% Senior Notes due 2030, 5.400% Senior Notes due 2034, 5.750% Senior Notes due 2054 and 5.900% Senior Notes due 2064.</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Diamondback Energy, Inc., a Delaware corporation, together with its subsidiaries.</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Diamondback E&amp;P</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Diamondback E&amp;P LLC, a Delaware limited liability company and a wholly owned subsidiary of the Company.</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Dodd-Frank Act</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Dodd-Frank Wall Street Reform and Consumer Protection Act (HR 4173).</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Endeavor Acquisition</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acquisition of Endeavor Parent, LLC.</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EPA</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United States Environmental Protection Agency.</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Plan</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Company’s 2021 Amended and Restated Equity Incentive Plan.</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Securities Exchange Act of 1934, as amended.</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FERC</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Federal Energy Regulatory Commission.</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Accounting principles generally accepted in the United States.</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Nasdaq</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NYMEX</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New York Mercantile Exchange.</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OPEC</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Organization of the Petroleum Exporting Countries.</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OSHA</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Federal Occupational Safety and Health Act.</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Rattler</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Rattler Midstream LP, a Delaware limited partnership and a wholly owned subsidiary of the Company since 2022.</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Rattler LLC</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Rattler Midstream Operating LLC, a Delaware limited liability company and a wholly owned subsidiary of the Company since 2022.</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Ryder Scott</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Ryder Scott Company, L.P.</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Securities and Exchange Commission.</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 Prices</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Unweighted arithmetic average of the first-day-of-the-month price for each month during the 12-month period prior to the ending date of the period covered by this report.</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Act</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Securities Act of 1933, as amended.</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Tranche A Loans</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term loan credit agreement with Diamondback Energy, Inc., as guarantor, with Diamondback E&amp;P, as borrower, and Citibank, N.A., as administrative agent.</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Guaranteed Senior Notes</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outstanding senior notes issued by Diamondback Energy, Inc. under indentures where Diamondback E&amp;P is the sole guarantor, consisting of the April 2024 Notes, 3.250% Senior Notes due 2026, 3.500% Senior Notes due 2029, 3.125% Senior Notes due 2031, 6.250% Senior Notes due 2033, 5.550% Senior Notes due 2035, 4.400% Senior Notes due 2051, 4.250% Senior Notes due 2052, and 6.250% Senior Notes due 2053.</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secured overnight financing rate.</w:t>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TSR</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Total stockholder return of the Company’s common stock.</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Viper</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 New Viper following the Sitio Acquisition, (ii) Former Viper prior to the Sitio Acquisition but after the Viper Conversion, and (iii) Viper Energy Partners LP prior to the Viper Conversion (each term as defined in Note 1—Description of the Business and Basis of Presentation in Item 8. Financial Statements and Supplementary Data of this report). </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Viper LLC</w:t>
            </w:r>
          </w:p>
        </w:tc>
        <w:tc>
          <w:tcPr>
            <w:tcW w:w="8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Prior to December 23, 2025, Viper Energy Partners LLC, a Delaware limited liability company and a subsidiary of Viper Energy, Inc. and after December 23, 2025, VNOM Holding Company LLC, a Delaware limited liability company and a consolidated subsidiary of Viper Energy, Inc.</w:t>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Viper Notes</w:t>
            </w:r>
          </w:p>
        </w:tc>
        <w:tc>
          <w:tcPr>
            <w:tcW w:w="8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senior notes issued by Viper Energy, Inc. under indentures where Viper Energy Partners, LLC and other subsidiaries were guarantors, consisting of the 5.375% Senior Notes due 2027 and the 7.375% Senior Notes due 2031, and which were redeemed on November 1, 2025 and July 23, 2025, respectively. </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Wells Fargo</w:t>
            </w:r>
          </w:p>
        </w:tc>
        <w:tc>
          <w:tcPr>
            <w:tcW w:w="88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Wells Fargo Bank, National Association.</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8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CAUTIONARY STATEMENT REGARDING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recently completed Double Eagle Acquisition and Viper’s Sitio Acquisition (in each case, as defined below) discussed in this report and other acquisitions or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geopolitics and market conditions, including changes in supply and demand levels for oil, natural gas, and natural gas liquids, and the resulting impact on the price for those commodities;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actions taken by the members of OPEC and its non-OPEC allies (“OPEC+”) affecting the production and pricing of oil, as well as other domestic and global political, economic, or diplomatic developments;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general economic, business or industry conditions, including changes in foreign currency exchange rates, interest rates, inflation rates and instability in the financial sector;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physical and transition risks relating to climate change, changing political and social perspectives on climate change and other ESG (as defined below) factors, and risks from our publicly disclosed targets related to sustainability and emissions reduction initiatives;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challenges in developing our existing leasehold acreage and finding, developing or acquiring additional reserves;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restrictions on the use of water, including limits on the use of produced water and a moratorium on new produced water disposal well permits recently imposed by the Texas Railroad Commission in an effort to control induced seismicity in the Permian Basin;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significant declines in prices for oil, natural gas, or natural gas liquids, which could require recognition of significant impairment charges;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conditions in the capital, financial and credit markets, including the availability and pricing of capital for acquisitions, exploration and development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challenges with employee retention and an increasingly competitive labor market;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availability or cost of rigs, equipment, raw materials, supplies and oilfield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lack of, or disruption in, access to adequate and reliable electrical power, internet and telecommunication infrastructure, information and computer systems, transportation, processing, storage and other facilities for our oil, natural gas, and natural gas liquids;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inability to keep pace with technological developments in our industry;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to meet our obligations under our oil purchase contracts;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loss of one or more customers or their inability to meet their obligations;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geographical concentration of our primary operations;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risks from our return of capital commitment, and uncertainties over our future dividends and share repurchases;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difficulty in obtaining necessary approvals and permits;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severe weather conditions and natural disasters;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financial strength of counterparties to our credit facilities and hedging contracts;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substantial indebtedness and restrictions to our operating and financial flexibility;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our credit rating;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to identify, complete and successfully integrate acquisitions, including the recently completed Double Eagle Acquisition and Viper’s Sitio Acquisition (each as defined below);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Endeavor equityholders’ ability to significantly influence our business and potential conflicts of interest;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and factors discussed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Except as noted, in this Annual Report on Form 10-K, we refer to Diamondback, together with its consolidated subsidiaries, as “we,” “us,” “our,” or “the Company.” This Annual Report includes certain terms commonly used in the oil and natural gas industry, which are defined above in the “Glossary of Oil and Natural Gas Terms.”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ITEMS 1 and 2. BUSINESS AND PROPERTIES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independent oil and natural gas company focused on the acquisition, development, exploration and exploitation of unconventional, onshore oil and natural gas reserves primarily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one reportable segment, the upstream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our total acreage position in the Permian Basin was approximately 1,097,846 gross (869,036 net) acres, which consisted primarily of 982,692 gross (774,645 net) acres in the Midland Basin and 115,154 gross (94,391 net) acres in the Delaware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our publicly traded subsidiary, Viper, owns mineral interests primarily in the Permian Basin. At December 31, 2025, we owned approximately 42% of Viper’s outstanding shares of common stock on a fully diluted basis, after giving effect to the outstanding TWR Class B Option (as defined and discussed in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estimated proved oil and natural gas reserves were 3,617,856 MBOE (which includes estimated reserves of 406,035 MBOE attributable to the mineral interests owned by Viper). As of December 31, 2025, approximately 70% are classified as proved developed producing. Proved undeveloped, or PUD, reserves included in this estimate are from 1,351 gross (1,244 net) horizontal well locations in which we have a working interest. As of December 31, 2025, our estimated proved reserves were approximately 49% oil, 24% natural gas and 27% natural gas liquids.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our wholly owned subsidiary Endeavor Energy Resources, LP (“EER LP”) divested all of the issued and outstanding equity interests in 1979 Royalties, LP and 1979 Royalties GP, LLC (collectively, the “Endeavor Subsidiaries”) to Viper and Viper LLC in exchange for consideration consisting of (i) $873 million in cash including customary post-closing adjustments, and (ii) the issuance of 69.63 million Viper LLC units and an equal number of shares of Viper’s Class B common stock (the “2025 Drop Down”).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Double Eagle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April 1, 2025, we completed our acquisition of all of the issued and outstanding interests of DE Permian, LLC, DE IV Combo, LLC and DE IV Operating, LLC, each of which were wholly owned subsidiaries of Double Eagle IV Midco, LLC (the “Double Eagle Acquisition”) for consideration of $3.1 billion in cash and approximately 6.84 million shares of the Company’s common stock, including transaction costs and subject to certain customary post-closing adjustments. The Double Eagle Acquisition consists of approximately 67,700 gross (40,000 net) acres, which are primarily located in the Midland Basin, and approximately 407 gross (342 net) horizontal locations in primary development targets. We funded the cash portion of the Double Eagle Acquisition through a combination of proceeds from the 2035 Notes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 proceeds from the 2025 Term Loan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 xml:space="preserve">in Item 8. Financial Statements and Supplementary Data of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borrowings under our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Non-Core Asset 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year ended December 31, 2025, we divested approximately $1.7 billion in non-core assets, including our 27.5% equity interest in EPIC Crude Holdings, LP (“EPIC”) and our subsidiary, Environmental Disposal Systems, LLC, (“EDS”) which operated water assets acquired in the Endeavor Acquisition as discussed in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Viper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Non-Permian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Viper divested all of its non-Permian assets, including those acquired from Sitio Royalties Corp. (“Sitio”), to an affiliate of GRP Energy Capital LLC and Warwick Capital Partners LLP for net cash proceeds of approximately $617 million, subject to customary post-closing adjustments (the “Viper Non-Permian Divestiture”). The divested properties consisted of approximately 9,400 net royalty acres in the Denver-Julesburg, Eagle Ford and Williston basins with current production of approximately 4,750 BO/d.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Viper and Viper LLC completed a series of transactions in which Viper Energy, Inc. (formerly known as New Cobra Pubco, Inc., “New Viper”) acquired Sitio, Sitio Royalties Operating Partnership, LP (“Sitio OpCo”) and their respective subsidiaries, pursuant to the Agreement and Plan of Merger, dated June 2, 2025, by and among VNOM Sub, Inc. (formerly known as Viper Energy Inc., “Former Viper”), Viper LLC, Sitio, Sitio OpCo, New Viper, Cobra Merger Sub, Inc. and Scorpion Merger Sub, Inc. (the “Sitio Acquisition”). The Sitio Acquisition was an all-equity transaction valued at approximately $4.0 billion, including customary transaction costs and post-closing adjustments and the partial retirement of Sitio’s net debt of approximately $1.2 billion. 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for additional discussion of our acquisitions and divestitures during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Strategy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strategy includes the following: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Exercise capital discipline. </w:t>
      </w:r>
      <w:r>
        <w:rPr>
          <w:rFonts w:ascii="Times New Roman;serif" w:hAnsi="Times New Roman;serif"/>
          <w:b w:val="false"/>
          <w:color w:val="000000"/>
          <w:sz w:val="20"/>
        </w:rPr>
        <w:t>During 2025, we continued building on our execution track record, generating free cash flow while keeping capital costs under control. Our efficiency gains, particularly in the Midland Basin drilling and completion programs, enabled us to mitigate certain inflationary pressures on variable well costs, which led to a total cash capital expenditure amount of $3.5 billion, consistent with our guidance presented in November 2025. We expect to continue to exercise capital discipline, with a focus on capital efficiency over volume growth and plan to spend between $3.60 billion and $3.90 billion in cash capital expenditures in 2026.</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Focus on low cost development and continuous operational improvement.</w:t>
      </w:r>
      <w:r>
        <w:rPr>
          <w:color w:val="000000"/>
        </w:rPr>
        <w:t xml:space="preserve"> </w:t>
      </w:r>
      <w:r>
        <w:rPr>
          <w:rFonts w:ascii="Times New Roman;serif" w:hAnsi="Times New Roman;serif"/>
          <w:b w:val="false"/>
          <w:color w:val="000000"/>
          <w:sz w:val="20"/>
        </w:rPr>
        <w:t>Our acreage position is generally in contiguous blocks, which allows us to develop this acreage efficiently with a “manufacturing” strategy that takes advantage of economies of scale and uses centralized production and fluid handling facilities. We are the operator of approximately 97% of our acreage, which allows us to efficiently manage our operating costs, pace of development activities and the gathering and marketing of our production. Our average 79% working interest in our acreage allows us to realize the majority of the benefits of these activities and cost efficiencies.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Continue to deliver on our capital return program. </w:t>
      </w:r>
      <w:r>
        <w:rPr>
          <w:rFonts w:ascii="Times New Roman;serif" w:hAnsi="Times New Roman;serif"/>
          <w:b w:val="false"/>
          <w:color w:val="000000"/>
          <w:sz w:val="20"/>
        </w:rPr>
        <w:t>We expect to be in a position to continue to deliver on our capital return program, through which we intend to return at least 50% of our quarterly Adjusted Free Cash Flow to our stockholders. Our capital return program is currently focused on a sustainable and growing base dividend and opportunistic stock repurchases. The remainder of our Adjusted Free Cash Flow will be used primarily to reduce debt.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Leverage our experience operating in the Permian Basin.</w:t>
      </w:r>
      <w:r>
        <w:rPr>
          <w:color w:val="000000"/>
        </w:rPr>
        <w:t xml:space="preserve"> </w:t>
      </w:r>
      <w:r>
        <w:rPr>
          <w:rFonts w:ascii="Times New Roman;serif" w:hAnsi="Times New Roman;serif"/>
          <w:b w:val="false"/>
          <w:color w:val="000000"/>
          <w:sz w:val="20"/>
        </w:rPr>
        <w:t xml:space="preserve">Our executive team, which has significant experience in the Permian Basin, intends to continue to seek ways to maximize hydrocarbon recovery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optimizing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top operators in the area in an effort to benchmark our performance and adopt best practices compared to our peers. The successful execution of the Endeavor Acquisition and the Double Eagle Acquisition have further strengthened our existing operating experience and delivered certain operational synergies ahead of schedule.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Pursue strategic acquisitions with substantial resource potential.</w:t>
      </w:r>
      <w:r>
        <w:rPr>
          <w:color w:val="000000"/>
        </w:rPr>
        <w:t xml:space="preserve"> </w:t>
      </w:r>
      <w:r>
        <w:rPr>
          <w:rFonts w:ascii="Times New Roman;serif" w:hAnsi="Times New Roman;serif"/>
          <w:b w:val="false"/>
          <w:color w:val="000000"/>
          <w:sz w:val="20"/>
        </w:rPr>
        <w:t>We have a proven history of acquiring leasehold positions in the Permian Basin that have substantial oil-weighted resource potential. We believe our executive team, with its extensive experience in the Permian Basin, has a competitive advantage in identifying acquisition targets and a proven ability to evaluate resource potential. We regularly review acquisition opportunities and intend to pursue acquisitions that meet our strategic and financial targets, as evidenced by the Endeavor and Double Eagle acquisitions.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Maintain financial flexibility.</w:t>
      </w:r>
      <w:r>
        <w:rPr>
          <w:color w:val="000000"/>
        </w:rPr>
        <w:t xml:space="preserve"> </w:t>
      </w:r>
      <w:r>
        <w:rPr>
          <w:rFonts w:ascii="Times New Roman;serif" w:hAnsi="Times New Roman;serif"/>
          <w:b w:val="false"/>
          <w:color w:val="000000"/>
          <w:sz w:val="20"/>
        </w:rPr>
        <w:t>We seek to maintain a conservative financial position. As of December 31, 2025, Diamondback had $91 million of standalone cash and cash equivalents and our borrowing base was set at $2.5 billion, which was fully available for future borrowings. As of December 31, 2025, Viper had $13 million of cash and cash equivalents, $105 million in outstanding borrowings and approximately $1.4 billion available for future borrowings under its revolving credit facility. Additionally, we have a target of reducing our net debt (which we define as total debt, excluding debt issuance costs, discounts, premiums and unamortized basis adjustments, less cash and cash equivalents) to $10.0 billion. In 2025, we exceeded our previously announced commitment to sell at least $1.5 billion of our non-core assets, and accelerated debt reduction with the proceeds to help maintain a strong balance sheet.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Deliver on our commitment to environmental, social and governance (“ESG”) performance</w:t>
      </w:r>
      <w:r>
        <w:rPr>
          <w:rFonts w:ascii="Times New Roman;serif" w:hAnsi="Times New Roman;serif"/>
          <w:b w:val="false"/>
          <w:color w:val="000000"/>
          <w:sz w:val="20"/>
        </w:rPr>
        <w:t>. We are committed to the safe and responsible development of our resources in the Permian Basin. Our approach to ESG is evidenced through our commitment to people, safety, environmental responsibility, community and sound governance practices.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Strengths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following strengths will help us achieve our business goals: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Oil rich resource base in one of North America’s leading resource plays.</w:t>
      </w:r>
      <w:r>
        <w:rPr>
          <w:color w:val="000000"/>
        </w:rPr>
        <w:t xml:space="preserve"> </w:t>
      </w:r>
      <w:r>
        <w:rPr>
          <w:rFonts w:ascii="Times New Roman;serif" w:hAnsi="Times New Roman;serif"/>
          <w:b w:val="false"/>
          <w:color w:val="000000"/>
          <w:sz w:val="20"/>
        </w:rPr>
        <w:t>Substantially all of our leasehold acreage is located in one of the most prolific oil plays in North America, the Permian Basin in West Texas. The majority of our current properties are well positioned in the core of the Permian Basin.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Multi-year drilling inventory in one of North America’s leading oil resource plays.</w:t>
      </w:r>
      <w:r>
        <w:rPr>
          <w:color w:val="000000"/>
        </w:rPr>
        <w:t xml:space="preserve"> </w:t>
      </w:r>
      <w:r>
        <w:rPr>
          <w:rFonts w:ascii="Times New Roman;serif" w:hAnsi="Times New Roman;serif"/>
          <w:b w:val="false"/>
          <w:color w:val="000000"/>
          <w:sz w:val="20"/>
        </w:rPr>
        <w:t>We have identified a multi-year inventory of potential drilling locations for our oil-weighted reserves that we believe provides attractive growth and return opportunities. At an assumed economic price of approximately $50.00 per Bbl WTI, we currently have approximately 8,854 gross (6,541 net) identified potential horizontal drilling locations on our acreage, based on our evaluation of applicable geologic and engineering data. These gross identified economic potential horizontal locations have an average lateral length of approximately 10,924 feet, with the actual length depending on lease geometry and other considerations. These locations exist across most of our acreage blocks and in multiple horizons. The ultimate inter-well spacing at these locations may vary due to different factors, which would result in a higher or lower location count. In addition, we have approximately 17,498 square miles of licensed 3-D seismic data covering our acreage. This data facilitates the evaluation of our existing drilling inventory and provides insight into future development activity, including additional horizontal drilling opportunities and strategic leasehold acquisitions. We further enhanced our multi-year inventory through the Endeavor Acquisition and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Experienced, incentivized and proven management team.</w:t>
      </w:r>
      <w:r>
        <w:rPr>
          <w:color w:val="000000"/>
        </w:rPr>
        <w:t xml:space="preserve"> </w:t>
      </w:r>
      <w:r>
        <w:rPr>
          <w:rFonts w:ascii="Times New Roman;serif" w:hAnsi="Times New Roman;serif"/>
          <w:b w:val="false"/>
          <w:color w:val="000000"/>
          <w:sz w:val="20"/>
        </w:rPr>
        <w:t>Our executive team has a proven track record of executing on large-scale development drilling programs and extensive experience in the Permian Basin. Our executive team has significant experience with both drilling and completing horizontal wells in addition to horizontal well reservoir and geologic expertise.</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Favorable operating environment.</w:t>
      </w:r>
      <w:r>
        <w:rPr>
          <w:color w:val="000000"/>
        </w:rPr>
        <w:t xml:space="preserve"> </w:t>
      </w:r>
      <w:r>
        <w:rPr>
          <w:rFonts w:ascii="Times New Roman;serif" w:hAnsi="Times New Roman;serif"/>
          <w:b w:val="false"/>
          <w:color w:val="000000"/>
          <w:sz w:val="20"/>
        </w:rPr>
        <w:t>We have focused our drilling and development operations in the Permian Basin, one of the longest operating hydrocarbon basins in the United States, with a long and well-established production history and developed infrastructure. We believe that the geological and regulatory environment of the Permian Basin is stable and predictable and that we are faced with less operational risks in the Permian Basin when compared to other emerging hydrocarbon basins.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High degree of operational control.</w:t>
      </w:r>
      <w:r>
        <w:rPr>
          <w:color w:val="000000"/>
        </w:rPr>
        <w:t xml:space="preserve"> </w:t>
      </w:r>
      <w:r>
        <w:rPr>
          <w:rFonts w:ascii="Times New Roman;serif" w:hAnsi="Times New Roman;serif"/>
          <w:b w:val="false"/>
          <w:color w:val="000000"/>
          <w:sz w:val="20"/>
        </w:rPr>
        <w:t>We are the operator of approximately 97% of our Permian Basin acreage. This operating control allows us to better execute on our strategies of enhancing returns through operational and cost efficiencies and increasing ultimate hydrocarbon recovery by seeking to continually improve our drilling techniques, completion methodologies and reservoir evaluation processes. We retain the ability to increase or decrease our capital expenditure program based on commodity price outlooks.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Location and Land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Permian Basin covers a significant portion of western Texas and eastern New Mexico and is considered one of the major producing basins in the United States. As of December 31, 2025, our total acreage position in the Permian Basin was approximately 1,097,846 gross (869,036 net) acres, which consisted primarily of 982,692 gross (774,645 net) acres in the Midland Basin and 115,154 gross (94,391 net) acres in the Delaware Basin. In addition, as of December 31, 2025, Viper owned mineral interests underlying approximately 1,986,216 gross (36,004 net) royalty acres in the Delaware Basin and approximately 1,891,742 gross (50,595 net) royalty acres in the Midland Basin. Approximately 35% of these net royalty acres are operated by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been developing multiple pay intervals primarily in the Permian Basin through horizontal drilling and believe that there are opportunities to target additional intervals throughout the stratigraphic column. We believe our significant experience drilling, completing and operating horizontal wells will allow us to efficiently develop our remaining inventory and ultimately target other horizons that have limited development to date. The following table presents horizontal producing wells in which we have a working interest as of December 31, 2025:</w:t>
      </w:r>
    </w:p>
    <w:p>
      <w:pPr>
        <w:pStyle w:val="TextBody"/>
        <w:bidi w:val="0"/>
        <w:spacing w:before="0" w:after="0"/>
        <w:ind w:left="0" w:right="0" w:firstLine="720"/>
        <w:jc w:val="both"/>
        <w:rPr/>
      </w:pPr>
      <w:r>
        <w:rPr/>
      </w:r>
    </w:p>
    <w:tbl>
      <w:tblPr>
        <w:tblW w:w="3180" w:type="dxa"/>
        <w:jc w:val="left"/>
        <w:tblInd w:w="0" w:type="dxa"/>
        <w:tblLayout w:type="fixed"/>
        <w:tblCellMar>
          <w:top w:w="28" w:type="dxa"/>
          <w:left w:w="28" w:type="dxa"/>
          <w:bottom w:w="28" w:type="dxa"/>
          <w:right w:w="28" w:type="dxa"/>
        </w:tblCellMar>
      </w:tblPr>
      <w:tblGrid>
        <w:gridCol w:w="314"/>
        <w:gridCol w:w="276"/>
        <w:gridCol w:w="281"/>
        <w:gridCol w:w="675"/>
        <w:gridCol w:w="675"/>
        <w:gridCol w:w="959"/>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Basin:</w:t>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Horizontal Wells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(1)</w:t>
            </w:r>
          </w:p>
        </w:tc>
        <w:tc>
          <w:tcPr>
            <w:tcW w:w="13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(1)Of these 6,677 total horizontal producing wells, we are the operator of 5,342 wells and have a non-operated working interest in 1,335 additional wells.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Area History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proved reserves are located in the Permian Basin of West Texas, in particular in the Clearfork, Spraberry, Bone Spring, Wolfcamp, Strawn, Atoka, Barnett and Woodford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mid-2010, approximately half of the rigs active in the Permian Basin were drilling wells in the Permian Spraberry, Dean and Wolfcamp formations, which we collectively refer to as the Wolfberry play. Since then, we and most other operators are almost exclusively drilling horizontal wells in the development of unconventional reservoirs in the Permian Basin. As of December 31, 2025, we held working interests in 11,750 gross (9,642 net) producing wells and only royalty interests in 43,912 additional wells.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greater Permian Basin formed as an area of rapid Pennsylvanian-Permian subsidence in response to dynamic structural influence of the Marathon Uplift and Ancestral Rockies. It is one of the most productive sedimentary basins in the U.S., with established oil and natural gas production from several stacked reservoirs of varying age ranges, most notably Permian aged sediments. In particular, the Permian aged Wolfcamp, Spraberry and Bone Spring Formations have been heavily targeted for several decades. First, through vertical commingling of these zones and, more recently, through horizontal exploitation of each individual horizon. Prior to deposition of the Wolfcamp, Spraberry and Bone Spring Formations, the area of the present-day Permian Basin was a continuous sedimentary feature called the Tabosa Basin. During this time, Ordovician, Silurian, Devonian and Mississippian sediments were laid down in a primarily open marine, shelf setting. However, some time frames saw more restrictive settings that led to deposits of organically rich mudstone such as the Devonian Woodford and Mississippian Barnett. These formations are important sources and, more recently, reservoirs within the present-day Greater Permian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Spraberry and Bone Spring Formations were deposited as siliciclastic and carbonate turbidites and debris flows along with pelagic mudstones in a deep-water, basinal environment, while the Wolfcamp reservoirs consist of debris-flow, grain-flow and fine-grained pelagic sediments, which were also deposited in a basinal setting. The best carbonate reservoirs within the Wolfcamp, Spraberry and Bone Spring are generally found in close proximity to the Central Basin Platform, while mudstone reservoirs thicken basin-ward, away from the Central Basin Platform. The mudstone within these reservoirs is organically rich, which when buried to sufficient depth for thermal maturation, became the source of the hydrocarbons found both within the mudstones themselves and in the interbedded conventional clastic and carbonate reservoirs. Due to this complexity, the Wolfcamp, Spraberry and Bone Spring intervals are a hybrid reservoir system that contains characteristics of both unconventional and conventional reservoirs.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successfully developed several hybrid reservoir intervals within the Clearfork, Spraberry/Bone Spring, Wolfcamp, Barnett and Woodford formations since we began horizontal drilling in 2012. The mudstones and some clastics exhibit low permeabilities which necessitate the need for hydraulic fracture stimulation to unlock the vast storage of hydrocarbons in these targets.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possess, or are in the process of acquiring, 3-D seismic data over substantially all of our major asset areas. Our extensive geophysical database currently includes approximately 17,498 square miles of 3-D data. This data will continue to be utilized in the development of our horizontal drilling program and identification of additional resources to be exploited.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 and Future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estimate that our cash capital expenditures in 2026 will be between $3.60 billion and $3.90 billion, including $3.05 billion to $3.27 billion for operated horizontal drilling and completions. During the year ended December 31, 2025, we drilled 463 gross (430 net) and completed 503 gross (476 net) operated horizontal wells and incurred capital expenditures for drilling, completing and equipping wells, infrastructure and midstream additions to oil and natural gas properties of $3.5 billion.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operating 15 drilling rigs and four completion crews at December 31, 2025 and currently intend to operate between 15 and 18 rigs and approximately five completion crews on average in 2026. We will continue monitoring the ongoing commodity price environment and expect to retain the financial flexibility to adjust our drilling and completion plans in response to market conditions.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and Natural Gas Data</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Proved Reserves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and Review of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reserves as of December 31, 2025, 2024 and 2023 are based on reserve estimates prepared by our internal reservoir engineers and audited by Ryder Scott, an independent petroleum engineering firm.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purpose of Ryder Scott’s audits was to provide additional assurance on the reasonableness of internally prepared reserve estimates and covered 100% of our total proved reserves for 2025,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2025 were estimated using a deterministic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(i) performance-based methods, (ii) volumetric-based methods, and (iii) analogy. These methods may be used singularly or in combination by the reserve evaluator in the process of estimating the quantities of reserves. In general, our proved producing reserves attributable to producing wells were estimated by performance methods. These performance methods include, but may not be limited to, decline curve analysis, which utilized extrapolations of available historical production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The analogy method was used where there was inadequate historical performance data to establish a definitive trend and where the use of production performance data as a basis for the reserve estimates was considered to be inappropriate. All proved undeveloped reserves were estimated by the analogy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SEC pricing requirements and forecasts of future production rates. To establish reasonable certainty with respect to our estimated proved reserves, the technologies and economic data used included, but were not limited to, production, downhole completion information, geologic data, and historical well cost and operating expense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process of estimating oil, natural gas and natural gas liquids reserves is complex and requires significant judgment, as discussed in </w:t>
      </w:r>
      <w:hyperlink w:anchor="i27ba2a247b584e1aae74c0210baff60c_46">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 xml:space="preserve">and </w:t>
      </w:r>
      <w:hyperlink w:anchor="i27ba2a247b584e1aae74c0210baff60c_115">
        <w:r>
          <w:rPr>
            <w:rStyle w:val="InternetLink"/>
            <w:rFonts w:ascii="Times New Roman;serif" w:hAnsi="Times New Roman;serif"/>
            <w:b w:val="false"/>
            <w:color w:val="0000FF"/>
            <w:sz w:val="20"/>
            <w:u w:val="single"/>
          </w:rPr>
          <w:t>Item 7. Management’s Discussion and Analysis—Critical Accounting Estimates</w:t>
        </w:r>
      </w:hyperlink>
      <w:r>
        <w:rPr>
          <w:color w:val="000000"/>
        </w:rPr>
        <w:t xml:space="preserve"> </w:t>
      </w:r>
      <w:r>
        <w:rPr>
          <w:rFonts w:ascii="Times New Roman;serif" w:hAnsi="Times New Roman;serif"/>
          <w:b w:val="false"/>
          <w:color w:val="000000"/>
          <w:sz w:val="20"/>
        </w:rPr>
        <w:t>of this report. As a result, we maintain an internal staff of petroleum engineers and geoscience professionals that have an internal control process to ensure the integrity, accuracy and timeliness of the data used to calculate our proved reserves. Our internal technical staff met with our independent reserve auditor periodically during their January 13, 2026 audit of the December 31, 2025 reserve reports to discuss the assumptions and methods used in our proved reserve estimation process. As part of the audit process, we provide historical information to the independent reserve engineers for our properties such as ownership interest, oil and natural gas production, commodity prices and operating and development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Executive Vice President and Chief Engineer is primarily responsible for overseeing the preparation of all our reserve estimates and overseeing communications with our independent reserve auditor. The Executive Vice President and Chief Engineer is a petroleum engineer with over 22 years of reservoir and operations experience and our geoscience staff has an average of approximately 17 years of industry experience per person. Our technical staff uses historical information for our properties such as ownership interest, oil and natural gas production, commodity prices and operating and development costs. Ryder Scott performed an independent analysis during its audit of our estimated reserves for 2025 and any differences were reviewed with our Executive Vice President and Chief Engineer. For 2025, our reserve auditor’s estimates of our proved reserves did not materially differ from our estimates by more than the established audit tolerance guidelines of ten percent.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internal control procedures utilized in the preparation of our proved reserve estimates are intended to ensure reliability of reserve estimations and include the following: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and verification of historical production data, which is based on actual production as reported by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preparation of reserve estimates by the primary reserve engineers or under their direct supervision;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by the primary reserve engineers of all of our reported proved reserves at the close of each quarter, including the review of all significant reserve changes and all new proved undeveloped reserves additions;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of historical realized commodity prices and differentials from index prices compared to the differentials used in the reserves database;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direct reporting responsibilities by our Executive Vice President and Chief Engineer to our Executive Vice President and Chief Operating Officer;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prior to finalizing the reserve report, a review of our preliminary proved reserve estimates by our Chief Executive Officer, Executive Vice President and Chief Financial Officer, Executive Vice President and Chief Operating Officer, Executive Vice President and Chief Engineer and our primary reserves engineers takes place on an annual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 of our proved reserve estimates by our Audit Committee with our executive team and Ryder Scott on an annual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verification of property ownership by our land department;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employee’s compensation is tied to the amount of reserves booked.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estimates and further discussion of our proved developed and proved undeveloped reserves, see Note 18—</w:t>
      </w:r>
      <w:hyperlink w:anchor="i27ba2a247b584e1aae74c0210baff60c_205">
        <w:r>
          <w:rPr>
            <w:rStyle w:val="InternetLink"/>
            <w:rFonts w:ascii="Times New Roman;serif" w:hAnsi="Times New Roman;serif"/>
            <w:b w:val="false"/>
            <w:color w:val="0000FF"/>
            <w:sz w:val="20"/>
            <w:u w:val="single"/>
          </w:rPr>
          <w:t>Supplemental Information on Oil and Natural Gas Operations (Unaudited)</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Potential Drilling Locations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identified a multi-year inventory of potential drilling locations for our oil-weighted reserves that we believe provides attractive growth and return opportunities. At an assumed price of approximately $50.00 per Bbl WTI, we currently have approximately 8,854 gross (6,541 net) identified economic potential horizontal drilling locations on our acreage based on our evaluation of applicable geologic and engineering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number of gross identified economic potential horizontal drilling locations by basin as of December 31, 2025:</w:t>
      </w:r>
    </w:p>
    <w:p>
      <w:pPr>
        <w:pStyle w:val="TextBody"/>
        <w:bidi w:val="0"/>
        <w:spacing w:before="0" w:after="0"/>
        <w:ind w:left="0" w:right="0" w:firstLine="720"/>
        <w:jc w:val="both"/>
        <w:rPr/>
      </w:pPr>
      <w:r>
        <w:rPr/>
      </w:r>
    </w:p>
    <w:tbl>
      <w:tblPr>
        <w:tblW w:w="7439" w:type="dxa"/>
        <w:jc w:val="left"/>
        <w:tblInd w:w="0" w:type="dxa"/>
        <w:tblLayout w:type="fixed"/>
        <w:tblCellMar>
          <w:top w:w="28" w:type="dxa"/>
          <w:left w:w="28" w:type="dxa"/>
          <w:bottom w:w="28" w:type="dxa"/>
          <w:right w:w="28" w:type="dxa"/>
        </w:tblCellMar>
      </w:tblPr>
      <w:tblGrid>
        <w:gridCol w:w="675"/>
        <w:gridCol w:w="590"/>
        <w:gridCol w:w="595"/>
        <w:gridCol w:w="1631"/>
        <w:gridCol w:w="1631"/>
        <w:gridCol w:w="2317"/>
      </w:tblGrid>
      <w:tr>
        <w:trPr/>
        <w:tc>
          <w:tcPr>
            <w:tcW w:w="67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Identified Economic Potential Horizontal Drilling Locations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Midland Basin:</w:t>
            </w:r>
          </w:p>
        </w:tc>
        <w:tc>
          <w:tcPr>
            <w:tcW w:w="5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Lower Spraberry</w:t>
            </w:r>
            <w:r>
              <w:rPr>
                <w:rFonts w:ascii="Times New Roman;serif" w:hAnsi="Times New Roman;serif"/>
                <w:b w:val="false"/>
                <w:color w:val="000000"/>
                <w:sz w:val="13"/>
              </w:rPr>
              <w:t>(1)</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Middle Spraberry</w:t>
            </w:r>
            <w:r>
              <w:rPr>
                <w:rFonts w:ascii="Times New Roman;serif" w:hAnsi="Times New Roman;serif"/>
                <w:b w:val="false"/>
                <w:color w:val="000000"/>
                <w:sz w:val="13"/>
              </w:rPr>
              <w:t>(1)</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Wolfcamp A</w:t>
            </w:r>
            <w:r>
              <w:rPr>
                <w:rFonts w:ascii="Times New Roman;serif" w:hAnsi="Times New Roman;serif"/>
                <w:b w:val="false"/>
                <w:color w:val="000000"/>
                <w:sz w:val="13"/>
              </w:rPr>
              <w:t>(2)</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Wolfcamp B</w:t>
            </w:r>
            <w:r>
              <w:rPr>
                <w:rFonts w:ascii="Times New Roman;serif" w:hAnsi="Times New Roman;serif"/>
                <w:b w:val="false"/>
                <w:color w:val="000000"/>
                <w:sz w:val="13"/>
              </w:rPr>
              <w:t>(2)</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Wolfcamp D</w:t>
            </w:r>
            <w:r>
              <w:rPr>
                <w:rFonts w:ascii="Times New Roman;serif" w:hAnsi="Times New Roman;serif"/>
                <w:b w:val="false"/>
                <w:color w:val="000000"/>
                <w:sz w:val="13"/>
              </w:rPr>
              <w:t>(3)</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Midland Basin</w:t>
            </w:r>
          </w:p>
        </w:tc>
        <w:tc>
          <w:tcPr>
            <w:tcW w:w="5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7,910</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Delaware Basin:</w:t>
            </w:r>
          </w:p>
        </w:tc>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2nd Bone Springs</w:t>
            </w:r>
            <w:r>
              <w:rPr>
                <w:rFonts w:ascii="Times New Roman;serif" w:hAnsi="Times New Roman;serif"/>
                <w:b w:val="false"/>
                <w:color w:val="000000"/>
                <w:sz w:val="13"/>
              </w:rPr>
              <w:t>(3)</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3rd Bone Springs</w:t>
            </w:r>
            <w:r>
              <w:rPr>
                <w:rFonts w:ascii="Times New Roman;serif" w:hAnsi="Times New Roman;serif"/>
                <w:b w:val="false"/>
                <w:color w:val="000000"/>
                <w:sz w:val="13"/>
              </w:rPr>
              <w:t>(3)</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Wolfcamp A</w:t>
            </w:r>
            <w:r>
              <w:rPr>
                <w:rFonts w:ascii="Times New Roman;serif" w:hAnsi="Times New Roman;serif"/>
                <w:b w:val="false"/>
                <w:color w:val="000000"/>
                <w:sz w:val="13"/>
              </w:rPr>
              <w:t>(3)</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Wolfcamp B</w:t>
            </w:r>
            <w:r>
              <w:rPr>
                <w:rFonts w:ascii="Times New Roman;serif" w:hAnsi="Times New Roman;serif"/>
                <w:b w:val="false"/>
                <w:color w:val="000000"/>
                <w:sz w:val="13"/>
              </w:rPr>
              <w:t>(3)</w:t>
            </w:r>
          </w:p>
        </w:tc>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Delaware Basin</w:t>
            </w:r>
          </w:p>
        </w:tc>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5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8,854</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(1)Our current location count is based on 660 foot to 880 foot spacing in Midland, Martin and northeast Andrews counties, depending on the prospect area and 880 foot spacing in all other counties.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(2)Our current location count is based on 880 foot spacing.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(3)Our current location count is based on 880 foot to 1,320 foot spacing.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Oil and Natural Gas Production and Price History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regarding our net production of oil, natural gas and natural gas liquids by basin for the fields containing 15% or more, along with other production from fields containing less than 15%, of our total proved reserves:</w:t>
      </w:r>
    </w:p>
    <w:p>
      <w:pPr>
        <w:pStyle w:val="TextBody"/>
        <w:bidi w:val="0"/>
        <w:spacing w:before="0" w:after="0"/>
        <w:ind w:left="0" w:right="0" w:firstLine="720"/>
        <w:jc w:val="both"/>
        <w:rPr/>
      </w:pPr>
      <w:r>
        <w:rPr/>
      </w:r>
    </w:p>
    <w:tbl>
      <w:tblPr>
        <w:tblW w:w="7924" w:type="dxa"/>
        <w:jc w:val="left"/>
        <w:tblInd w:w="0" w:type="dxa"/>
        <w:tblLayout w:type="fixed"/>
        <w:tblCellMar>
          <w:top w:w="28" w:type="dxa"/>
          <w:left w:w="28" w:type="dxa"/>
          <w:bottom w:w="28" w:type="dxa"/>
          <w:right w:w="28" w:type="dxa"/>
        </w:tblCellMar>
      </w:tblPr>
      <w:tblGrid>
        <w:gridCol w:w="917"/>
        <w:gridCol w:w="807"/>
        <w:gridCol w:w="811"/>
        <w:gridCol w:w="414"/>
        <w:gridCol w:w="414"/>
        <w:gridCol w:w="416"/>
        <w:gridCol w:w="109"/>
        <w:gridCol w:w="109"/>
        <w:gridCol w:w="109"/>
        <w:gridCol w:w="434"/>
        <w:gridCol w:w="434"/>
        <w:gridCol w:w="436"/>
        <w:gridCol w:w="109"/>
        <w:gridCol w:w="109"/>
        <w:gridCol w:w="109"/>
        <w:gridCol w:w="308"/>
        <w:gridCol w:w="308"/>
        <w:gridCol w:w="186"/>
        <w:gridCol w:w="109"/>
        <w:gridCol w:w="109"/>
        <w:gridCol w:w="109"/>
        <w:gridCol w:w="413"/>
        <w:gridCol w:w="413"/>
        <w:gridCol w:w="232"/>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2025</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167,183 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181,462 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405,840 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447,855 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80,073 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309,335 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25,692 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336,178 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2024</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104,875 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222,574 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52,349 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275,680 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183,530 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2023</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96,176 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140,721 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57,129 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38,064 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price and cost information for each of the periods indicated:</w:t>
      </w:r>
    </w:p>
    <w:p>
      <w:pPr>
        <w:pStyle w:val="TextBody"/>
        <w:bidi w:val="0"/>
        <w:spacing w:before="0" w:after="0"/>
        <w:ind w:left="0" w:right="0" w:firstLine="720"/>
        <w:jc w:val="both"/>
        <w:rPr/>
      </w:pPr>
      <w:r>
        <w:rPr/>
      </w:r>
    </w:p>
    <w:tbl>
      <w:tblPr>
        <w:tblW w:w="7812" w:type="dxa"/>
        <w:jc w:val="left"/>
        <w:tblInd w:w="0" w:type="dxa"/>
        <w:tblLayout w:type="fixed"/>
        <w:tblCellMar>
          <w:top w:w="28" w:type="dxa"/>
          <w:left w:w="28" w:type="dxa"/>
          <w:bottom w:w="28" w:type="dxa"/>
          <w:right w:w="28" w:type="dxa"/>
        </w:tblCellMar>
      </w:tblPr>
      <w:tblGrid>
        <w:gridCol w:w="1560"/>
        <w:gridCol w:w="1369"/>
        <w:gridCol w:w="1376"/>
        <w:gridCol w:w="211"/>
        <w:gridCol w:w="616"/>
        <w:gridCol w:w="109"/>
        <w:gridCol w:w="109"/>
        <w:gridCol w:w="109"/>
        <w:gridCol w:w="109"/>
        <w:gridCol w:w="211"/>
        <w:gridCol w:w="616"/>
        <w:gridCol w:w="109"/>
        <w:gridCol w:w="109"/>
        <w:gridCol w:w="109"/>
        <w:gridCol w:w="109"/>
        <w:gridCol w:w="211"/>
        <w:gridCol w:w="616"/>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component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Production Costs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(2)Average production costs is comprised of lease operating expenses and gathering, processing and transportation expense.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Wells Drilled and Completed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number of operated horizontal wells drilled and completed during the year ended December 31, 2025:</w:t>
      </w:r>
    </w:p>
    <w:p>
      <w:pPr>
        <w:pStyle w:val="TextBody"/>
        <w:bidi w:val="0"/>
        <w:spacing w:before="0" w:after="0"/>
        <w:ind w:left="0" w:right="0" w:firstLine="720"/>
        <w:jc w:val="both"/>
        <w:rPr/>
      </w:pPr>
      <w:r>
        <w:rPr/>
      </w:r>
    </w:p>
    <w:tbl>
      <w:tblPr>
        <w:tblW w:w="4897" w:type="dxa"/>
        <w:jc w:val="left"/>
        <w:tblInd w:w="0" w:type="dxa"/>
        <w:tblLayout w:type="fixed"/>
        <w:tblCellMar>
          <w:top w:w="28" w:type="dxa"/>
          <w:left w:w="28" w:type="dxa"/>
          <w:bottom w:w="28" w:type="dxa"/>
          <w:right w:w="28" w:type="dxa"/>
        </w:tblCellMar>
      </w:tblPr>
      <w:tblGrid>
        <w:gridCol w:w="497"/>
        <w:gridCol w:w="439"/>
        <w:gridCol w:w="443"/>
        <w:gridCol w:w="233"/>
        <w:gridCol w:w="233"/>
        <w:gridCol w:w="186"/>
        <w:gridCol w:w="109"/>
        <w:gridCol w:w="109"/>
        <w:gridCol w:w="109"/>
        <w:gridCol w:w="233"/>
        <w:gridCol w:w="233"/>
        <w:gridCol w:w="126"/>
        <w:gridCol w:w="109"/>
        <w:gridCol w:w="109"/>
        <w:gridCol w:w="109"/>
        <w:gridCol w:w="233"/>
        <w:gridCol w:w="233"/>
        <w:gridCol w:w="186"/>
        <w:gridCol w:w="109"/>
        <w:gridCol w:w="109"/>
        <w:gridCol w:w="109"/>
        <w:gridCol w:w="233"/>
        <w:gridCol w:w="233"/>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2866" w:type="dxa"/>
            <w:gridSpan w:val="18"/>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Completed</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Basin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operated the following wells in the Permian Basin:</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Vertical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Horizontal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Productive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owned an interest in a total of 55,662 gross productive wells with an average unweighted 82% working interest in 11,750 gross (9,642 net) wells and an average 2.0% royalty interest in 43,912 additional wells. Through our subsidiary, Viper, we own an average 2.2% net revenue interest in 43,355 of the total 55,662 gross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productive wells by basin as of December 31, 2025:</w:t>
      </w:r>
    </w:p>
    <w:p>
      <w:pPr>
        <w:pStyle w:val="TextBody"/>
        <w:bidi w:val="0"/>
        <w:spacing w:before="0" w:after="0"/>
        <w:ind w:left="0" w:right="0" w:firstLine="720"/>
        <w:jc w:val="both"/>
        <w:rPr/>
      </w:pPr>
      <w:r>
        <w:rPr/>
      </w:r>
    </w:p>
    <w:tbl>
      <w:tblPr>
        <w:tblW w:w="9087" w:type="dxa"/>
        <w:jc w:val="left"/>
        <w:tblInd w:w="0" w:type="dxa"/>
        <w:tblLayout w:type="fixed"/>
        <w:tblCellMar>
          <w:top w:w="28" w:type="dxa"/>
          <w:left w:w="28" w:type="dxa"/>
          <w:bottom w:w="28" w:type="dxa"/>
          <w:right w:w="28" w:type="dxa"/>
        </w:tblCellMar>
      </w:tblPr>
      <w:tblGrid>
        <w:gridCol w:w="811"/>
        <w:gridCol w:w="619"/>
        <w:gridCol w:w="625"/>
        <w:gridCol w:w="360"/>
        <w:gridCol w:w="361"/>
        <w:gridCol w:w="111"/>
        <w:gridCol w:w="109"/>
        <w:gridCol w:w="109"/>
        <w:gridCol w:w="109"/>
        <w:gridCol w:w="349"/>
        <w:gridCol w:w="349"/>
        <w:gridCol w:w="351"/>
        <w:gridCol w:w="109"/>
        <w:gridCol w:w="109"/>
        <w:gridCol w:w="109"/>
        <w:gridCol w:w="360"/>
        <w:gridCol w:w="361"/>
        <w:gridCol w:w="171"/>
        <w:gridCol w:w="109"/>
        <w:gridCol w:w="109"/>
        <w:gridCol w:w="109"/>
        <w:gridCol w:w="308"/>
        <w:gridCol w:w="308"/>
        <w:gridCol w:w="111"/>
        <w:gridCol w:w="109"/>
        <w:gridCol w:w="109"/>
        <w:gridCol w:w="109"/>
        <w:gridCol w:w="349"/>
        <w:gridCol w:w="349"/>
        <w:gridCol w:w="351"/>
        <w:gridCol w:w="109"/>
        <w:gridCol w:w="109"/>
        <w:gridCol w:w="109"/>
        <w:gridCol w:w="308"/>
        <w:gridCol w:w="308"/>
        <w:gridCol w:w="232"/>
      </w:tblGrid>
      <w:tr>
        <w:trPr/>
        <w:tc>
          <w:tcPr>
            <w:tcW w:w="81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Wells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30,353 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Basin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Denver-Julesburg Basin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productive wells</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51,044 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55,662 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9,642 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Drilling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with respect to the number of wells drilled during the periods indicated by basin.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pStyle w:val="TextBody"/>
        <w:bidi w:val="0"/>
        <w:spacing w:before="0" w:after="0"/>
        <w:ind w:left="0" w:right="0" w:firstLine="720"/>
        <w:jc w:val="both"/>
        <w:rPr/>
      </w:pPr>
      <w:r>
        <w:rPr/>
      </w:r>
    </w:p>
    <w:tbl>
      <w:tblPr>
        <w:tblW w:w="6707" w:type="dxa"/>
        <w:jc w:val="left"/>
        <w:tblInd w:w="0" w:type="dxa"/>
        <w:tblLayout w:type="fixed"/>
        <w:tblCellMar>
          <w:top w:w="28" w:type="dxa"/>
          <w:left w:w="28" w:type="dxa"/>
          <w:bottom w:w="28" w:type="dxa"/>
          <w:right w:w="28" w:type="dxa"/>
        </w:tblCellMar>
      </w:tblPr>
      <w:tblGrid>
        <w:gridCol w:w="429"/>
        <w:gridCol w:w="377"/>
        <w:gridCol w:w="379"/>
        <w:gridCol w:w="233"/>
        <w:gridCol w:w="233"/>
        <w:gridCol w:w="186"/>
        <w:gridCol w:w="138"/>
        <w:gridCol w:w="138"/>
        <w:gridCol w:w="138"/>
        <w:gridCol w:w="240"/>
        <w:gridCol w:w="226"/>
        <w:gridCol w:w="138"/>
        <w:gridCol w:w="109"/>
        <w:gridCol w:w="109"/>
        <w:gridCol w:w="109"/>
        <w:gridCol w:w="203"/>
        <w:gridCol w:w="203"/>
        <w:gridCol w:w="186"/>
        <w:gridCol w:w="145"/>
        <w:gridCol w:w="145"/>
        <w:gridCol w:w="145"/>
        <w:gridCol w:w="220"/>
        <w:gridCol w:w="186"/>
        <w:gridCol w:w="145"/>
        <w:gridCol w:w="109"/>
        <w:gridCol w:w="109"/>
        <w:gridCol w:w="109"/>
        <w:gridCol w:w="233"/>
        <w:gridCol w:w="233"/>
        <w:gridCol w:w="186"/>
        <w:gridCol w:w="109"/>
        <w:gridCol w:w="109"/>
        <w:gridCol w:w="109"/>
        <w:gridCol w:w="233"/>
        <w:gridCol w:w="233"/>
        <w:gridCol w:w="17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Development:</w:t>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Exploratory:</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6707" w:type="dxa"/>
        <w:jc w:val="left"/>
        <w:tblInd w:w="0" w:type="dxa"/>
        <w:tblLayout w:type="fixed"/>
        <w:tblCellMar>
          <w:top w:w="28" w:type="dxa"/>
          <w:left w:w="28" w:type="dxa"/>
          <w:bottom w:w="28" w:type="dxa"/>
          <w:right w:w="28" w:type="dxa"/>
        </w:tblCellMar>
      </w:tblPr>
      <w:tblGrid>
        <w:gridCol w:w="429"/>
        <w:gridCol w:w="377"/>
        <w:gridCol w:w="379"/>
        <w:gridCol w:w="233"/>
        <w:gridCol w:w="233"/>
        <w:gridCol w:w="186"/>
        <w:gridCol w:w="138"/>
        <w:gridCol w:w="138"/>
        <w:gridCol w:w="138"/>
        <w:gridCol w:w="240"/>
        <w:gridCol w:w="226"/>
        <w:gridCol w:w="138"/>
        <w:gridCol w:w="109"/>
        <w:gridCol w:w="109"/>
        <w:gridCol w:w="109"/>
        <w:gridCol w:w="203"/>
        <w:gridCol w:w="203"/>
        <w:gridCol w:w="186"/>
        <w:gridCol w:w="145"/>
        <w:gridCol w:w="145"/>
        <w:gridCol w:w="145"/>
        <w:gridCol w:w="220"/>
        <w:gridCol w:w="186"/>
        <w:gridCol w:w="145"/>
        <w:gridCol w:w="109"/>
        <w:gridCol w:w="109"/>
        <w:gridCol w:w="109"/>
        <w:gridCol w:w="233"/>
        <w:gridCol w:w="233"/>
        <w:gridCol w:w="186"/>
        <w:gridCol w:w="109"/>
        <w:gridCol w:w="109"/>
        <w:gridCol w:w="109"/>
        <w:gridCol w:w="233"/>
        <w:gridCol w:w="233"/>
        <w:gridCol w:w="17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Development:</w:t>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Exploratory:</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7143" w:type="dxa"/>
        <w:jc w:val="left"/>
        <w:tblInd w:w="0" w:type="dxa"/>
        <w:tblLayout w:type="fixed"/>
        <w:tblCellMar>
          <w:top w:w="28" w:type="dxa"/>
          <w:left w:w="28" w:type="dxa"/>
          <w:bottom w:w="28" w:type="dxa"/>
          <w:right w:w="28" w:type="dxa"/>
        </w:tblCellMar>
      </w:tblPr>
      <w:tblGrid>
        <w:gridCol w:w="429"/>
        <w:gridCol w:w="377"/>
        <w:gridCol w:w="379"/>
        <w:gridCol w:w="233"/>
        <w:gridCol w:w="233"/>
        <w:gridCol w:w="186"/>
        <w:gridCol w:w="138"/>
        <w:gridCol w:w="138"/>
        <w:gridCol w:w="138"/>
        <w:gridCol w:w="240"/>
        <w:gridCol w:w="226"/>
        <w:gridCol w:w="138"/>
        <w:gridCol w:w="109"/>
        <w:gridCol w:w="109"/>
        <w:gridCol w:w="109"/>
        <w:gridCol w:w="203"/>
        <w:gridCol w:w="203"/>
        <w:gridCol w:w="186"/>
        <w:gridCol w:w="145"/>
        <w:gridCol w:w="145"/>
        <w:gridCol w:w="145"/>
        <w:gridCol w:w="220"/>
        <w:gridCol w:w="186"/>
        <w:gridCol w:w="145"/>
        <w:gridCol w:w="109"/>
        <w:gridCol w:w="109"/>
        <w:gridCol w:w="109"/>
        <w:gridCol w:w="109"/>
        <w:gridCol w:w="109"/>
        <w:gridCol w:w="109"/>
        <w:gridCol w:w="109"/>
        <w:gridCol w:w="233"/>
        <w:gridCol w:w="233"/>
        <w:gridCol w:w="186"/>
        <w:gridCol w:w="109"/>
        <w:gridCol w:w="109"/>
        <w:gridCol w:w="109"/>
        <w:gridCol w:w="233"/>
        <w:gridCol w:w="233"/>
        <w:gridCol w:w="17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c>
          <w:tcPr>
            <w:tcW w:w="1729" w:type="dxa"/>
            <w:gridSpan w:val="10"/>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968" w:type="dxa"/>
            <w:gridSpan w:val="6"/>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Development:</w:t>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Exploratory:</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22 gross (21 net) operated wells in the process of drilling and 312 gross (290 net) wells in the process of completion or waiting on completion.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605" cy="14605"/>
                <wp:effectExtent l="0" t="0" r="0" b="0"/>
                <wp:wrapNone/>
                <wp:docPr id="17" name="Frame1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Acreage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December 31, 2025 relating to our leasehold acreage in the Permian Basin:</w:t>
      </w:r>
    </w:p>
    <w:p>
      <w:pPr>
        <w:pStyle w:val="TextBody"/>
        <w:bidi w:val="0"/>
        <w:spacing w:before="0" w:after="0"/>
        <w:ind w:left="0" w:right="0" w:firstLine="720"/>
        <w:jc w:val="both"/>
        <w:rPr/>
      </w:pPr>
      <w:r>
        <w:rPr/>
      </w:r>
    </w:p>
    <w:tbl>
      <w:tblPr>
        <w:tblW w:w="9393" w:type="dxa"/>
        <w:jc w:val="left"/>
        <w:tblInd w:w="0" w:type="dxa"/>
        <w:tblLayout w:type="fixed"/>
        <w:tblCellMar>
          <w:top w:w="28" w:type="dxa"/>
          <w:left w:w="28" w:type="dxa"/>
          <w:bottom w:w="28" w:type="dxa"/>
          <w:right w:w="28" w:type="dxa"/>
        </w:tblCellMar>
      </w:tblPr>
      <w:tblGrid>
        <w:gridCol w:w="314"/>
        <w:gridCol w:w="276"/>
        <w:gridCol w:w="281"/>
        <w:gridCol w:w="413"/>
        <w:gridCol w:w="413"/>
        <w:gridCol w:w="190"/>
        <w:gridCol w:w="190"/>
        <w:gridCol w:w="190"/>
        <w:gridCol w:w="190"/>
        <w:gridCol w:w="488"/>
        <w:gridCol w:w="338"/>
        <w:gridCol w:w="190"/>
        <w:gridCol w:w="109"/>
        <w:gridCol w:w="109"/>
        <w:gridCol w:w="109"/>
        <w:gridCol w:w="413"/>
        <w:gridCol w:w="413"/>
        <w:gridCol w:w="196"/>
        <w:gridCol w:w="196"/>
        <w:gridCol w:w="196"/>
        <w:gridCol w:w="196"/>
        <w:gridCol w:w="417"/>
        <w:gridCol w:w="409"/>
        <w:gridCol w:w="202"/>
        <w:gridCol w:w="109"/>
        <w:gridCol w:w="109"/>
        <w:gridCol w:w="109"/>
        <w:gridCol w:w="488"/>
        <w:gridCol w:w="488"/>
        <w:gridCol w:w="186"/>
        <w:gridCol w:w="145"/>
        <w:gridCol w:w="145"/>
        <w:gridCol w:w="145"/>
        <w:gridCol w:w="448"/>
        <w:gridCol w:w="378"/>
        <w:gridCol w:w="205"/>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Developed Acreage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Undeveloped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Acreage</w:t>
            </w:r>
            <w:r>
              <w:rPr>
                <w:rFonts w:ascii="Times New Roman;serif" w:hAnsi="Times New Roman;serif"/>
                <w:b/>
                <w:color w:val="000000"/>
                <w:sz w:val="12"/>
              </w:rPr>
              <w:t>(2)</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Basin:</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506,360 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402,952 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476,332 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371,693 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982,692 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774,645 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575,580 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460,752 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522,266 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408,284 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1,097,846 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869,036 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(1)Does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(2)Does not include Viper’s mineral interests but does include leasehold acres that we own underlying our mineral interests.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Undeveloped Acreage Expirations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following gross and net undeveloped acres are set to expire over the next five years based on their contractual lease maturities unless (i) production is established within the spacing units covering the acreage or (ii) the lease is renewed or extended under continuous drilling provisions prior to the contractual expiration dates.</w:t>
      </w:r>
    </w:p>
    <w:p>
      <w:pPr>
        <w:pStyle w:val="TextBody"/>
        <w:bidi w:val="0"/>
        <w:spacing w:before="0" w:after="0"/>
        <w:ind w:left="0" w:right="0" w:firstLine="720"/>
        <w:jc w:val="both"/>
        <w:rPr/>
      </w:pPr>
      <w:r>
        <w:rPr/>
      </w:r>
    </w:p>
    <w:tbl>
      <w:tblPr>
        <w:tblW w:w="8495" w:type="dxa"/>
        <w:jc w:val="left"/>
        <w:tblInd w:w="0" w:type="dxa"/>
        <w:tblLayout w:type="fixed"/>
        <w:tblCellMar>
          <w:top w:w="28" w:type="dxa"/>
          <w:left w:w="28" w:type="dxa"/>
          <w:bottom w:w="28" w:type="dxa"/>
          <w:right w:w="28" w:type="dxa"/>
        </w:tblCellMar>
      </w:tblPr>
      <w:tblGrid>
        <w:gridCol w:w="201"/>
        <w:gridCol w:w="176"/>
        <w:gridCol w:w="179"/>
        <w:gridCol w:w="360"/>
        <w:gridCol w:w="361"/>
        <w:gridCol w:w="186"/>
        <w:gridCol w:w="109"/>
        <w:gridCol w:w="109"/>
        <w:gridCol w:w="109"/>
        <w:gridCol w:w="360"/>
        <w:gridCol w:w="361"/>
        <w:gridCol w:w="126"/>
        <w:gridCol w:w="109"/>
        <w:gridCol w:w="109"/>
        <w:gridCol w:w="109"/>
        <w:gridCol w:w="233"/>
        <w:gridCol w:w="233"/>
        <w:gridCol w:w="201"/>
        <w:gridCol w:w="109"/>
        <w:gridCol w:w="109"/>
        <w:gridCol w:w="109"/>
        <w:gridCol w:w="233"/>
        <w:gridCol w:w="233"/>
        <w:gridCol w:w="126"/>
        <w:gridCol w:w="109"/>
        <w:gridCol w:w="109"/>
        <w:gridCol w:w="109"/>
        <w:gridCol w:w="109"/>
        <w:gridCol w:w="109"/>
        <w:gridCol w:w="109"/>
        <w:gridCol w:w="109"/>
        <w:gridCol w:w="170"/>
        <w:gridCol w:w="170"/>
        <w:gridCol w:w="171"/>
        <w:gridCol w:w="109"/>
        <w:gridCol w:w="360"/>
        <w:gridCol w:w="361"/>
        <w:gridCol w:w="186"/>
        <w:gridCol w:w="109"/>
        <w:gridCol w:w="109"/>
        <w:gridCol w:w="109"/>
        <w:gridCol w:w="360"/>
        <w:gridCol w:w="361"/>
        <w:gridCol w:w="126"/>
        <w:gridCol w:w="109"/>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2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Acres Expiring</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71" w:type="dxa"/>
            <w:gridSpan w:val="14"/>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655" w:type="dxa"/>
            <w:gridSpan w:val="10"/>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79,191 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62,686 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79,599 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63,009 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Title to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drilling of an oil or natural gas well, it is the normal practice in our industry for the person or company acting as the operator of the well to obtain a preliminary title review to ensure there are no obvious defects in title to the well. To the extent title opinions or other investigations reflect title defects impacting the development or operation of a producing property, we are typically responsible for curing any title defects at our expense. We generally will not commence drilling operations on a property until we have cured any material title defects.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an updated title review,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Marketing and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typically sell production to a relatively small number of customers, as is customary in the exploration, development and production business. For the years ended December 31, 2025, 2024 and 2023 four purchasers each accounted for more than 10% of our revenue. We do not require collateral and do not believe the loss of any single purchaser would materially impact our operating results, as crude oil and natural gas are fungible products with well-established markets and numerous purchasers. For additional information regarding our customer concentrations, see Note 3—</w:t>
      </w:r>
      <w:hyperlink w:anchor="i27ba2a247b584e1aae74c0210baff60c_157">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Delivery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Certain of our firm sales agreements include delivery commitments that specify the delivery of a fixed and determinable quantity of oil. We expect our production and reserves will continue to be the primary means of fulfilling our future commitments. However, these contracts provide the options of delivering third-party volumes or paying a monetary shortfall penalty if production is inadequate to satisfy our commitment. In 2023, we began purchasing third-party volumes to fulfill certain delivery commitments. For additional information regarding commitments, see Note 15—</w:t>
      </w:r>
      <w:hyperlink w:anchor="i27ba2a247b584e1aae74c0210baff60c_196">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intensely competitive and we compete with other companies that may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Further, oil and natural gas compete with other forms of energy available to customers, primarily based on price. These alternate forms of energy include electricity, coal, fuel oils and nuclear energy.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and Natural Gas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15% to 35%, resulting in a net revenue interest to us generally ranging from 65% to 85%.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 Nature of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demand for oil increases during the summer months and decreases during the winter months while natural gas decreases during the summer months and increases during the winter months. Certain natural gas buyers utilize natural gas storage facilities and purchase some of their anticipated winter requirements during the summer, which can lessen seasonal demand fluctuations. In our exploration and production business,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operations such as ours are subject to various types of legislation, regulation and other legal requirements. Federal and state legislation and regulation affecting the oil and natural gas industry is evolving. Some of these requirements carry substantial penalties for failure to comply. The regulatory burden on the oil and natural gas industry increases our cost of doing business and, consequently, affects our profitability.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Environmental Matters.</w:t>
      </w:r>
      <w:r>
        <w:rPr>
          <w:color w:val="000000"/>
        </w:rPr>
        <w:t xml:space="preserve"> </w:t>
      </w:r>
      <w:r>
        <w:rPr>
          <w:rFonts w:ascii="Times New Roman;serif" w:hAnsi="Times New Roman;serif"/>
          <w:b w:val="false"/>
          <w:color w:val="000000"/>
          <w:sz w:val="20"/>
        </w:rPr>
        <w:t xml:space="preserve">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injury and property damage allegedly caused by the release of hazardous substances, hydrocarbons or other waste products into the environment. Changes in environmental laws and regulations occur frequently, and may result in more stringent and costly pollution control or waste handling, storage, transport, disposal or cleanup requirements that could materially and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 Further, on January 20, 2025, President Trump issued a series of executive orders and memoranda signaling a shift in environmental and energy policy in the United States, including the revocation of several Biden administration-era executive orders related to public health, the environment, climate change and climate-related financial risks. President Trump also declared a “national energy emergency,” directing agencies to expedite conventional energy projects. While the Trump Administration’s changes to the environmental regulatory landscape in the United States continue to develop, it is possible that additional changes in the future could impact our results of operations and those of our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Waste Handling.</w:t>
      </w:r>
      <w:r>
        <w:rPr>
          <w:color w:val="000000"/>
        </w:rPr>
        <w:t xml:space="preserve"> </w:t>
      </w:r>
      <w:r>
        <w:rPr>
          <w:rFonts w:ascii="Times New Roman;serif" w:hAnsi="Times New Roman;serif"/>
          <w:b w:val="false"/>
          <w:color w:val="000000"/>
          <w:sz w:val="20"/>
        </w:rPr>
        <w:t>The Resource Conservation and Recovery Act, or the RCRA,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Any changes in such laws and regulations could have a material adverse effect on our capital expenditures and operating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Remediation of Hazardous Substances.</w:t>
      </w:r>
      <w:r>
        <w:rPr>
          <w:color w:val="000000"/>
        </w:rPr>
        <w:t xml:space="preserve"> </w:t>
      </w:r>
      <w:r>
        <w:rPr>
          <w:rFonts w:ascii="Times New Roman;serif" w:hAnsi="Times New Roman;serif"/>
          <w:b w:val="false"/>
          <w:color w:val="000000"/>
          <w:sz w:val="20"/>
        </w:rPr>
        <w:t>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Additionally, emerging contaminants, like per- and polyfluoroalkyl substances (“PFAS”) such as perfluorooctanesulfonic acid and perfluorooctanoic acid compounds, have become subject to CERCLA regulation in addition to existing federal and state chemicals regulation, and PFAS have recently been regulated under the Toxic Substances Control Act (“TSCA”). Other emerging contaminants could also become subject to regulation under CERCLA, TSCA or comparable state laws. Governmental agencies or third parties may seek to hold us responsible under CERCLA and comparable state statutes for all or part of the costs to clean up sites at which such “hazardous substances” have been released. We cannot provide any assurance that the costs and liabilities associated with the future imposition of such remedial or regulatory compliance obligations upon us would not have a material adverse effect on our operations or financial position.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Water Discharges. </w:t>
      </w:r>
      <w:r>
        <w:rPr>
          <w:rFonts w:ascii="Times New Roman;serif" w:hAnsi="Times New Roman;serif"/>
          <w:b w:val="false"/>
          <w:color w:val="000000"/>
          <w:sz w:val="20"/>
        </w:rPr>
        <w:t xml:space="preserve">The Federal Water Pollution Control Act of 1972, as amended, also known as the “Clean Water Act,” or the CWA, the Safe Drinking Water Act, the Oil Pollution Act of 1990,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scope of waters regulated under the CWA has fluctuated in recent years due to notable rulemaking efforts and judicial challenges. On January 18, 2023, the EPA and the U.S. Army Corps of Engineers, or the Corps, jointly promulgated final rules expanding the scope of waters protected under the CWA. However, on May 25, 2023, the United States Supreme Court issued an opinion substantially narrowing the scope of “waters of the United States” protected by the CWA. On September 8, 2023, the EPA and the Corps published a final rule conforming their regulations to the decision. Later, on March 12, 2025, the EPA issued guidance narrowing the definition of “wetland” from the Biden-era definition in order to align that definition with the Supreme Court’s May 25, 2023 decision. These recent actions have provided some clarity. However, to the extent the EPA and the Corps broadly interpret their jurisdiction and expand the range of properties subject to the CWA’s jurisdiction, we or third-party operators could face increased costs and delays with respect to obtaining permits for dredge and fill activities in wetland areas.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On March 12, 2025, the EPA announced that it is re-evaluating the existing regulations on oil and gas wastewater, including exploring opportunities for discharge from centralized wastewater treatment facilities.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Non-compliance with the CWA or the OPA may result in substantial administrative, civil and criminal penalties, as well as injunctive obligations. We believe we are in material compliance with the requirements of each of these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Air Emissions.</w:t>
      </w:r>
      <w:r>
        <w:rPr>
          <w:color w:val="000000"/>
        </w:rPr>
        <w:t xml:space="preserve"> </w:t>
      </w:r>
      <w:r>
        <w:rPr>
          <w:rFonts w:ascii="Times New Roman;serif" w:hAnsi="Times New Roman;serif"/>
          <w:b w:val="false"/>
          <w:color w:val="000000"/>
          <w:sz w:val="20"/>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if they are under common control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Climate Change. </w:t>
      </w:r>
      <w:r>
        <w:rPr>
          <w:rFonts w:ascii="Times New Roman;serif" w:hAnsi="Times New Roman;serif"/>
          <w:b w:val="false"/>
          <w:color w:val="000000"/>
          <w:sz w:val="20"/>
        </w:rPr>
        <w:t xml:space="preserve">In recent years, federal, state and local governments have taken steps to reduce emissions of greenhouse gases (including carbon dioxide, methane and other gases). Such rules and regulations have been proposed, amended and challenged, and finalized, and compliance deadlines have been extended or regulations rescinded. For example, the Infrastructure Investment and Jobs Act of 2021 and the Inflation Reduction Act of 2022, or the IRA, include billions of dollars in incentives for the development of renewable energy and supporting infrastructure. In March 2024, the EPA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published a final rule in the Federal Register to establish comprehensive standards of performance and emission guidelines for methane and volatile organic compound emissions from new and existing operations in the oil and gas sector, including the exploration and production, transmission, processing, and storage segments. On November 26, 2025, the EPA issued an interim final rule to extend certain compliance deadlines from the March 2024 final rule. These incentives and regulations, if implemented, may encourage the transition of the economy away from the use of fossil fuels toward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“waste emissions charge” on the emission of methane that exceeds an applicable waste emissions threshold from sources required to report their greenhouse gas emissions to the EPA, including those sources in offshore and onshore petroleum and natural gas production and gathering and boosting source categories. On November 18, 2024, the EPA published a final rule on the methane emissions charge, which became effective on January 17, 2025. Twenty-three states filed a lawsuit challenging the CAA amendment, and the One Big Beautiful Bill Act, passed July 4, 2025, suspends the “waste emissions charge” from future implementation. The current U.S. presidential administration has also expressed an intention to scale back various other climate regulations launched under previous administrations. On February 12, 2026, the EPA issued a final rule eliminating the 2009 greenhouse gas endangerment finding, which underpins U.S. federal regulation of greenhouses gas emissions under the Clean Air Act. The final rule is expected to be subject to extensive litigation and the impact of such scaling back is difficult to predict at this time. Despite this shift, numerous proposals have been and continue to be made at the international, regional and state levels of government that are intended to limit emissions of greenhouse gases by enforceable requirements and voluntary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EPA has also finalized a series of greenhouse gas monitoring, reporting and emissions control rules for the oil and natural gas industry. On November 26, 2025, the EPA issued an interim final rule to extend certain compliance deadlines from the March 2024 final rule. Additionally, several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domestic regulation of greenhouse gases, there continues to be international interest in a global framework for greenhouse gas reductions. However, on January 20, 2025, President Trump issued an executive order directing the United States Ambassador to the United Nations to immediately withdraw from the Paris Agreement and revoke the U.S. International Climate Finance Plan, and on January 27, 2025, the United States’ Acting Ambassador to the United Nations submitted a notification of withdrawal from the Paris Agreement. The withdrawal became effective on January 27,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Regulation of Hydraulic Fracturing. </w:t>
      </w:r>
      <w:r>
        <w:rPr>
          <w:rFonts w:ascii="Times New Roman;serif" w:hAnsi="Times New Roman;serif"/>
          <w:b w:val="false"/>
          <w:color w:val="000000"/>
          <w:sz w:val="20"/>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8, 2024, the EPA published a final rule to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On December 1, 2025, the EPA published a final rule extending several compliance deadlines in the March 2024 final rule. This final rule was promptly challenged in federal court by environmental groups. While there is uncertainty regarding the scope and extent of EPA’s regulation of air emissions from hydraulic fracturing operations, any future laws and their implementing regulations may require us to obtain pre-approval for the expansion or modification of existing facilities or the construction of new facilities expected to produce air emissions. Additionally, in the future, the EPA may impose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stringent air permit requirements, or mandate the use of specific equipment or technologies to control emissions, which may increase our compliance or operating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monitoring and reporting requirements for any new disposal well permitted in the Permian Basin. These restrictions on use of produced water, a moratorium on new produced water disposal wells, and additional monitoring and reporting requirements could result in increased operating costs, requiring us or our service providers to truck produced water, recycle it or pump it through the pipeline network or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and completion activity in the affected parts of the Permian Basin less economical and adversely impact our business,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17, 2024, the Texas Railroad Commission adopted a significant overhaul of its rules regulating oil and gas waste management facilities in Texas. The new rules went into effect on July 1, 2025. The new rules, found in 16 TAC Chapter 4, cover waste from oil and gas operations, such as rock and other material pulled up from the ground during drilling, as well as waste from other operations. The rules impose requirements related to waste management practices and production methods, such as recycling produced water. The rules also update requirements on the design, construction, operation, monitoring, and closure of waste management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Endangered Species. </w:t>
      </w:r>
      <w:r>
        <w:rPr>
          <w:rFonts w:ascii="Times New Roman;serif" w:hAnsi="Times New Roman;serif"/>
          <w:b w:val="false"/>
          <w:color w:val="000000"/>
          <w:sz w:val="20"/>
        </w:rPr>
        <w:t xml:space="preserve">The federal Endangered Species Act, or ESA, and analogous state laws restrict activities that may affect listed endangered or threatened species or their habitats. If endangered species, such as the lesser prairie chicken or dunes sagebrush lizard, are located in areas where we operate, our operations or any work performed related to them could be prohibited or delayed, or expensive mitigation could be required. While some of our operations may be located in areas that are designated as habitats for endangered or threatened species, we believe that we are in compliance with the ESA.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However, the designation of previously unprotected species as threatened or endangered in areas where we operate could result in the imposition of restrictions on our operations and consequently have a material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Other Regulation of the Oil and Natural Gas Industry. </w:t>
      </w:r>
      <w:r>
        <w:rPr>
          <w:rFonts w:ascii="Times New Roman;serif" w:hAnsi="Times New Roman;serif"/>
          <w:b w:val="false"/>
          <w:color w:val="000000"/>
          <w:sz w:val="20"/>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availability, terms and cost of transportation of oil and natural gas significantly affect its marketability and sale. The interstate transportation and sale for resale of natural gas, and the interstate transportation of oil, is subject to federal regulation, including regulation of the terms, conditions and rates for interstate transportation, storage and various other matters, primarily by FERC. Oil and natural gas pipelines are also subject to extensive safety regulation by the Pipeline and Hazardous Materials Safety Administration, a part of the U.S. Department of Transportation, and state regulatory agencies. Federal and state regulations govern the price and terms for access to oil and natural gas pipeline transportation. FERC regulation of interstate oil and natural gas transmission in some circumstances may also affect the intrastate transportation of oil and natural gas, which is predominantly state-regulated.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Drilling and Production.</w:t>
      </w:r>
      <w:r>
        <w:rPr>
          <w:color w:val="000000"/>
        </w:rPr>
        <w:t xml:space="preserve"> </w:t>
      </w:r>
      <w:r>
        <w:rPr>
          <w:rFonts w:ascii="Times New Roman;serif" w:hAnsi="Times New Roman;serif"/>
          <w:b w:val="false"/>
          <w:color w:val="000000"/>
          <w:sz w:val="20"/>
        </w:rPr>
        <w:t>Our operations are subject to various types of regulation at the federal, state and local level. These types of regulation 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Natural Gas Sales.</w:t>
      </w:r>
      <w:r>
        <w:rPr>
          <w:color w:val="000000"/>
        </w:rPr>
        <w:t xml:space="preserve"> </w:t>
      </w:r>
      <w:r>
        <w:rPr>
          <w:rFonts w:ascii="Times New Roman;serif" w:hAnsi="Times New Roman;serif"/>
          <w:b w:val="false"/>
          <w:color w:val="000000"/>
          <w:sz w:val="20"/>
        </w:rPr>
        <w:t xml:space="preserve">Historically, federal legislation and regulatory controls have affected the price of the natural gas we produce and the manner in which we market our production. FERC has jurisdiction over the transportation and sale for resale of natural gas in interstate commerce under the Natural Gas Act of 1938 and the Natural Gas Policy Act of 1978. Beginning with that legislation in 1978 and continuing with the Wellhead Decontrol Act of 1989,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the ability to assess substantial civil penalties for violations. We are subject to that FERC authority and related policies.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Oil Sales and Transportation.</w:t>
      </w:r>
      <w:r>
        <w:rPr>
          <w:color w:val="000000"/>
        </w:rPr>
        <w:t xml:space="preserve"> </w:t>
      </w:r>
      <w:r>
        <w:rPr>
          <w:rFonts w:ascii="Times New Roman;serif" w:hAnsi="Times New Roman;serif"/>
          <w:b w:val="false"/>
          <w:color w:val="000000"/>
          <w:sz w:val="20"/>
        </w:rPr>
        <w:t>Sales of crude oil, condensate and natural gas liquids are not currently regulated and are made at negotiated prices. Nevertheless, the U.S. Congress could reenact price controls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crude oil sales are affected by the availability, terms and cost of transportation. The transportation of oil (including other liquid hydrocarbons) in common carrier pipelines is also subject to rate regulation. FERC regulates interstate oil pipeline transportation rates under the Interstate Commerce Act. We are subject to such regulation when we provide such interstate transportation of oil in our midstream operations, and we have a tariff on file with FERC for that purpose.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interstate and intrastate common carrier oil pipelines, including ours and those on which we transport oil,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Safety and Maintenance Regulation.</w:t>
      </w:r>
      <w:r>
        <w:rPr>
          <w:color w:val="000000"/>
        </w:rPr>
        <w:t xml:space="preserve"> </w:t>
      </w:r>
      <w:r>
        <w:rPr>
          <w:rFonts w:ascii="Times New Roman;serif" w:hAnsi="Times New Roman;serif"/>
          <w:b w:val="false"/>
          <w:color w:val="000000"/>
          <w:sz w:val="20"/>
        </w:rPr>
        <w:t>In our midstream operations, we are subject to regulation by the U.S. Department of Transportation, or DOT, under the Hazardous Liquids Pipeline Safety Act of 1979, or HLPSA, and comparable state statutes with respect to design, installation, testing, construction, operation, replacement and management of pipeline facilities. HLPSA covers petroleum and petroleum products, including natural gas liquids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subject to the Pipeline Safety Improvement Act of 2002. The Pipeline Safety Improvement Act establishes mandatory inspections for all United States crude oil 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 The PHMSA regulations also provide for the inspection and testing of pipelines and the correction of anomalies, and require that pipeline operation and maintenance personnel meet certain qualifications and that pipeline operators develop comprehensive spill response plans and spill response training for pipeline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Pipeline Safety and Job Creation Act, enacted in 2011, the Protecting our Infrastructure of Pipelines and Enhancing Safety Act of 2016, and the Protecting Our Infrastructure of Pipelines and Enhancing Safety Act of 2020, also known as the PIPES Act, amended the HLPSA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$272,926 and $2,729,245,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Also, on November 15, 2021, PHMSA published a final rule extending reporting requirements to all onshore gas gathering operators and establishing a set of minimum safety requirements for certain gas gathering pipelines with large diameters and high operating pressures, and, on August 24, 2022, PHMSA published a final rule strengthening integrity management requirements for onshore 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transmission lines, bolstering corrosion control standards and repair criteria, and imposing new requirements for inspections after extreme weather events. In October 2024, PHMSA issued a notice of proposed rulemaking recommending modernizing and simplifying the hazardous material regulations, enhancing safety standards across rail, highway, and vessel transportation while also providing annual cost savings for businesses and consumers. Following the change in Presidential Administration, PHMSA in January 2025 extended the public comment period for the rulemaking until April 28, 2025, but has not otherwise acted on that proposed rulemaking. In May 2025, PHMSA issued two Advance Notices of Proposed Rulemaking (“ANPRM”) seeking public comment on updates to its safety regulations for pipelines and LNG facilities aimed at implementing the President’s “Unleashing American Energy” Executive Order. In June 2025, PHMSA issued another ANPRM to solicit stakeholder feedback on whether to repeal or amend any requirements in its pipeline safety regulations to eliminate undue burdens on the identification, development, and use of domestic energy resources and to improve government efficiency.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ultimate impact of those efforts of the Trump Administration remains to be seen. If safety standards were to become more stringent in the future, it could cause us, like other similarly situated pipeline operators, to install new or modified safety controls, pursue additional capital projects or conduct maintenance programs on an accelerated or expanded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for any violations could have an adverse impact on our business, financial condition, results of operation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States are largely preempted by federal law from regulating pipeline safety but may assume responsibility for enforcing intrastate pipeline regulations at least as stringent as the federal standards, and many states have been certified by PHMSA to assume responsibility to enforce the federal standards. For example, on December 17, 2019, the Texas Railroad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applicable pipeline safety and pollution control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PHMSA regulation, we are subject to the requirements of OSHA and comparable state statutes, whose purpose is to protect the health and safety of workers.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Rattler LLC and the entities in which it owns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State Regulation. </w:t>
      </w:r>
      <w:r>
        <w:rPr>
          <w:rFonts w:ascii="Times New Roman;serif" w:hAnsi="Times New Roman;serif"/>
          <w:b w:val="false"/>
          <w:color w:val="000000"/>
          <w:sz w:val="20"/>
        </w:rPr>
        <w:t>Texas regulates the drilling for, and the production, gathering and sale of, oil and natural gas, including imposing severance taxes and requirements for obtaining drilling permits.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Operational Hazards and Insurance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control of well protection for all wells, comprehensive general liability, commercial automobile, workers compensation, pollution liability (claims made coverage with a policy retroactive date and occurrence-based coverage for sudden, accidental releases), excess umbrella liability and other coverage.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insurance is subject to certain exclusions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w:t>
      </w:r>
      <w:hyperlink w:anchor="i27ba2a247b584e1aae74c0210baff60c_46">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of this report for additional information regarding operating hazard and uninsured risks.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we also require our third-party vendors to sign master service agreements in which they agree to indemnify us for property damage and injuries and deaths of the service provider’s employees as well as contractors and subcontractors hired by the service provider.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built a culture grounded upon the solid foundation of our core values—leadership, integrity, excellence, people and teamwork—which guide how we operate across the organization. We set high expectations for all of our employees in terms of how they operate and interact, in the office, in the field and in the community. We challenge them to identify new ways to foster a better future for themselves and for our organization. Our board of directors, through its Safety, Sustainability and Corporate Responsibility Committee (the “SS&amp;CR Committee”), provides an important oversight of our human capital management strategy, including on issues of diversity, equity and inclusion. The SS&amp;CR Committee receives regular updates from our executive leadership, senior management and third-party consultants on human capital trends and other key human capital matters impacting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ended the year 2025 with 1,762 full-time employees. None of our full-time employees are represented by labor unions or covered by any collective bargaining agreements. In addition, we engage independent contractors and consultants in land, technical, regulatory and other disciplines to support our full-time employees.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Equal Opportunity, Recruiting and Retention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Equal employment opportunity is a core principle of our organization. We are committed to attracting and retaining top talent and fostering a respectful work environment. Our employment decisions are guided by merit, qualifications, competencies and demonstrated contributions in compliance with all applicable laws. We value the diverse perspectives, experiences and ideas contributed by employees from a wide range of ethnic, cultural and ideological backgrounds. As of December 31, 2025, approximately 25% of our employees are women and 40% self-identify as ethnic minorities. To further support transparency around our workforce demographics, we disclosed our 2024 Equal Employment Opportunity data in our 2025 Corporate Sustainability Report.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we expanded our recruitment efforts, with a particular focus on college recruitment and internship programs. We collaborated with several student organizations to reinforce this inclusive initiative, which will continue in the future. Our focus on military recruiting and partnerships with two-year technical schools for technical talent remain a priority for field operations. In addition, we have focused on recruiting experienced hires to target and retain top industry talent. In 2025, our total attrition rate was approximately 19%, which includes our remaining Endeavor Energy Resources integration efforts and asset divestitures. Excluding these factors, our adjusted attrition rate was approximately 8%. We believe our ability to retain talent is supported by our corporate culture, which emphasizes diversity and inclusion, teamwork and a strong commitment to employee development and career advancement.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Health and Safety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Protecting employees, the public and the environment is a top priority in our operations and in the way we manage our assets. We are focused on minimizing the risk of workplace incidents and preparing for emergencies. We also strive to comply with all applicable health, safety and environmental standards,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committed to reduce injuries and fatalities in our business and are focused on safety culture improvements, safety leadership actions and human performance principles. We require our operational employees and independent contractors and their employees to go through orientation and training aligned with the International Association of Oil and Gas Producers Life Saving Rules, a program that also meets the operational safety requirements adopted by the American Petroleum Institute. We also involve employees from all operational levels in our safety program to provide input and suggested improvements to the overall safety program, recommend preventative measures based on reviewing vehicle and personnel incidents, perform safety and environmental audits at operational locations and participate in the audit and oversight of the Diamondback Hazard Communication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inception, we have had no employee work-related fatalities. Our employee OSHA recordable cases, comprising work-related injuries and illnesses that require medical treatment beyond first aid, totaled 11 in 2025, consistent with 11 in 2024. Our employee total recordable incident rate (TRIR) was 0.62 in 2025, down from 0.82 in 2024, and lost-time incident rate was 0.45 in 2025 consistent with 0.45 in 2024. At December 31, 2025, we had a short-term goal of maintaining an employee TRIR of 0.25 or less.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Training and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support employees in pursuing training opportunities to expand their professional skills. Our internal course offerings in 2025 included a wide array of topics in addition to extensive safety and other compliance training sessions. Additionally, our people undergo training and education each year on regulatory compliance, industry standards and innovative opportunities to effectively manage the challenges of developing our resources. We have also implemented development programs that are designed to build leadership capabilities at all levels.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corporate headquarters is located at the Fasken Center in Midland, Texas, and we own office space in Oklahoma City, Oklahoma. We also lease additional office space in Dallas, Texas.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Availability of Company Reports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nature of our business activities subjects us to certain hazards and risks. The following is a summary of the material risks relating to our business activities.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that could adversely affect our business, operations and financial results: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the Oil and Natural Gas Industry and Our Business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Geopolitics and market conditions, and particularly volatility in prices for oil and natural gas, may adversely affect our revenue, cash flows, profitability, growth, production and the present value of our estimated reserves.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commodity price derivatives could result in financial losses, may fail to protect us from declines in commodity prices, prevent us from fully benefiting from commodity price increases and may expose us to other risks, including counterparty credit risk.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U.S. trade policy and the impact of tariffs may have a material adverse impact on our business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relating to the transition to a low carbon economy could impose new costs on our operations that may have a material and adverse effect on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Changing political and social perspectives on climate change and other environmental, social and governance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create risks and uncertainties impacting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targets related to sustainability and emissions reduction initiatives, including our public statements and disclosures regarding them, may expose us to numerous risks.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depends on developing our existing leasehold acreage and finding, developing or acquiring additional reserves.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obtain needed capital or financing on satisfactory terms or at all to fund our acquisitions, exploration or development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successfully identify, complete and integrate pending and future acquisitions of properties or businesses could reduce our earnings.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identified potential drilling locations are susceptible to uncertainties that could materially alter the occurrence or timing of their drilling.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fail to meet our obligations to deliver specified quantities of oil under our oil purchase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one or more of our customers or their inability to meet their obligations may adversely affect our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method of accounting for investments in oil and natural gas properties may result in impairment of asset value.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material inaccuracies in reserve estimates or underlying assumptions will materially affect the quantities and present value of our reserves.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standardized measure of our estimated proved reserves is not necessarily the same as the current market value of our estimated proved reserves.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vulnerable to risks associated with our primary operations concentrated in a single geographic area.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transportation or other facilities, certain of which we do not control, or rigs, equipment, raw materials, supplies, oilfield services or personnel become unavailable or too costly, our operations could be interrupted and our revenues reduced.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Restrictions on our ability to obtain water and dispose of produced water, and additional monitoring and reporting requirements related to existing and new produced water disposal wells in the Permian Basin could adversely impact our business, results of operations and financial condition.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planned exploratory drilling in existing or emerging shale plays is subject to risks associated with drilling and completion techniques.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operations are subject to various governmental laws and regulations which require compliance that can be burdensome and expensive.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 tax legislation may negatively affect our business, results of operations, financial condition and cash flow.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operate in areas of high industry activity, which may affect our ability to hire, train or retain qualified personnel needed to manage and operate our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hazards and uninsured risks may result in substantial losses and could prevent us from realizing profits.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keep pace with technological developments in our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operations depend heavily on electrical power, internet and telecommunication infrastructure and information and computer systems. If any of these systems are compromised or unavailable, our business could be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Legal proceedings brought against us could result in substantial liabilities and materially and adversely impact our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comply with cybersecurity and data privacy laws and regulations could have a material effect on our reputation, results of operations or financial loss.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Following the closing of the Endeavor Acquisition, the Endeavor equityholders have the ability to significantly influence our business, and their interest in our business may be different from that of other stockholders.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substantial level of indebtedness could adversely affect our results of operations, business flexibility and our ability to service our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downgrade in our debt ratings could restrict our access to, and negatively impact the terms of, current or future financings or trade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declaration of dividends and any repurchases of our common stock are each within the discretion of our board of directors, and there is no guarantee that we will pay any dividends on or repurchases of our common stock in the future or at levels anticipated by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change of control could limit our use of net operating losses and certain other tax attributes.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issue preferred stock whose terms could adversely affect the voting power or value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Provisions in our certificate of incorporation and bylaws and Delaware law make it more difficult to effect a change in control of the company, which could adversely affect the price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provision of our certificate of incorporation and bylaws requiring exclusive venue in the Court of Chancery in the State of Delaware for certain types of lawsuits may have the effect of discouraging lawsuits against us and our directors, officers and employees.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the Oil and Natural Gas Industry and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Geopolitics and 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 the domestic and foreign supply of oil and natural gas; the level of prices and expectations about future prices of oil and natural gas; the level of global oil and natural gas exploration and production; the cost of exploring for, developing, producing and delivering oil and natural gas; the price and quantity of foreign imports; political and economic conditions in oil producing countries; regional conflicts and political instability; the continued threat of terrorism, including attacks targeting oil and gas facilities and the impact of military and other action; the ability of members of OPEC+ to agree to and maintain oil price and production controls; speculative trading in crude oil and natural gas derivative contracts; the level of consumer product demand; extreme weather conditions and other natural disasters; risks associated with operating drilling rigs; technological advances affecting energy consumption; the price and availability of alternative fuels; domestic and foreign governmental regulations and taxes; global or national health concerns, including the outbreak of pandemic or contagious disease; the proximity, cost, availability and capacity of oil and natural gas pipelines and other transportation facilities; and overall domestic and global economic conditions. Our results of operations may also be adversely impacted by any future government rule, regulation or order that may impose production limits, as well as pipeline capacity and storage constraints, in the Permian Basin where we operate.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factors and the volatility of the energy markets make it extremely difficult to predict future oil and natural gas price movements with any certainty. From the beginning of 2023 through the end of 2025, WTI prices ranged from $55.27 to $93.68 per Bbl and the Henry Hub price of natural gas ranged from $1.58 to $5.29 per MMBtu. If the prices of oil and natural gas decline, our production, proved reserves and cash flows are likely to be adversely impacted.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commodity price derivatives could result in financial losses, may fail to protect us from declines in commodity prices, prevent us from fully benefiting from commodity price increases and may expose us to other risks, including counterparty 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commodity price derivatives, which have historically included swaps, basis swaps, swaptions, roll hedges, costless collars, puts and basis puts, to reduce price volatility associated with certain of our oil, natural gas and natural gas liquids sales. Currently, we have hedged a portion of our estimated 2026 and 2027 production. To the extent that the prices of oil, natural gas and natural gas liquids remain at current levels or decline further, we may not be able to economically hedge additional future production at the same level as our current commodity price derivatives, and our results of operations and financial condition may be negatively impacted. While these commodity price derivatives are intended to mitigate risk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commodity price volatility, we may be prevented from fully realizing the benefits of increases in the prices of oil, natural gas and natural gas liquids above the price levels of the commodity price derivatives used to manage price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We do not require collateral from our counterparties.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U.S. and non</w:t>
        <w:noBreakHyphen/>
        <w:t>U.S. derivatives reforms (including the Dodd</w:t>
        <w:noBreakHyphen/>
        <w:t>Frank Act) impose clearing, margin and other requirements. While we do not expect material direct effects, our counterparties’ compliance could increase our hedging costs, limit instrument availability, and heighten counterparty credit exposure, leading to greater earnings and cash flow volatility. These regulations could also depress commodity prices, further reducing our revenues.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information regarding our outstanding derivative contracts as of December 31, 2025, see Note 12—</w:t>
      </w:r>
      <w:hyperlink w:anchor="i27ba2a247b584e1aae74c0210baff60c_18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 xml:space="preserve">in Item 8. Financial Statements and Supplementary Data, </w:t>
      </w:r>
      <w:hyperlink w:anchor="i27ba2a247b584e1aae74c0210baff60c_70">
        <w:r>
          <w:rPr>
            <w:rStyle w:val="InternetLink"/>
            <w:rFonts w:ascii="Times New Roman;serif" w:hAnsi="Times New Roman;serif"/>
            <w:b w:val="false"/>
            <w:color w:val="0000FF"/>
            <w:sz w:val="20"/>
            <w:u w:val="single"/>
          </w:rPr>
          <w:t>Item 7. Management’s Discussion and Analysis of Financial Condition and Results of Operations</w:t>
        </w:r>
      </w:hyperlink>
      <w:r>
        <w:rPr>
          <w:color w:val="000000"/>
        </w:rPr>
        <w:t xml:space="preserve"> </w:t>
      </w:r>
      <w:r>
        <w:rPr>
          <w:rFonts w:ascii="Times New Roman;serif" w:hAnsi="Times New Roman;serif"/>
          <w:b w:val="false"/>
          <w:color w:val="000000"/>
          <w:sz w:val="20"/>
        </w:rPr>
        <w:t xml:space="preserve">and </w:t>
      </w:r>
      <w:hyperlink w:anchor="i27ba2a247b584e1aae74c0210baff60c_121">
        <w:r>
          <w:rPr>
            <w:rStyle w:val="InternetLink"/>
            <w:rFonts w:ascii="Times New Roman;serif" w:hAnsi="Times New Roman;serif"/>
            <w:b w:val="false"/>
            <w:color w:val="0000FF"/>
            <w:sz w:val="20"/>
            <w:u w:val="single"/>
          </w:rPr>
          <w:t>Item 7A. Quantitative and Qualitative Disclosures About Market Risk</w:t>
        </w:r>
      </w:hyperlink>
      <w:r>
        <w:rPr>
          <w:color w:val="000000"/>
        </w:rPr>
        <w:t>—</w:t>
      </w:r>
      <w:r>
        <w:rPr>
          <w:rFonts w:ascii="Times New Roman;serif" w:hAnsi="Times New Roman;serif"/>
          <w:b w:val="false"/>
          <w:color w:val="000000"/>
          <w:sz w:val="20"/>
        </w:rPr>
        <w:t>Commodity Price Risk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U.S. trade policy and the impact of tariffs may have a material adverse effect on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and results of operations may be adversely affected by uncertainty and changes in U.S. trade policies, including tariffs, trade agreements or other trade restrictions imposed by the U.S. or other governments. The recent uncertainty over such policies has caused substantial volatility in commodity, capital and financial markets, increased concerns over domestic and global inflation and adversely impacted consumer confidence in the U.S. and worldwide.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Tariffs or other trade restrictions may lead to continuing uncertainty and volatility in U.S. and global financial and economic conditions and commodity markets, declining consumer confidence, significant inflation and diminished expectations for the economy, and ultimately reduced demand for oil and natural gas. Such conditions could have a material adverse impact on our business, results of operations and cash flows. Also, disruptions and volatility in the financial markets may lead to adverse changes in the availability, terms and cost of capital. Such adverse changes could increase our costs of capital and limit our access to external financing sources to fund acquisitions, repurchases of securities or other 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tariffs and trade restrictions can be announced with little or no advance notice. The adoption and expansion of tariffs or other trade restrictions, increasing trade tensions, or other changes in governmental policies related to taxes and tariffs, are difficult to predict, which makes attendant risks difficult to anticipate and mitigate. If we are unable to navigate further changes in U.S. or international trade policy, it could have a material adverse impact on our business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Risks relating to the transition to a low carbon economy could impose new costs on our operations that may have a material and adverse effect on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Governmental and regulatory bodies, investors, consumers, industry and other stakeholders have evolving and varied views on climate change matters in recent years. Such views, together with changes in consumer and industrial/commercial behavior, preferences and attitudes with respect to the generation and consumption of energy, the use of hydrocarbons, and the use of products manufactured with, or powered by, hydrocarbons, may result in: (i) the enactment of new or evolving climate change-related regulations, policies and initiatives by governments, investors, and other companies, including alternative energy or “zero carbon” requirements and fuel or energy conservation measures; (ii) technological advances with respect to the generation, transmission, storage and consumption of energy (including advances in battery technology); (iii) variability in demand from consumers and industry for energy sources other than oil and natural gas (including wind, solar, nuclear, and geothermal sources as well as electric vehicles); and (iv) development of, and variable demand from consumers and industry for, lower-emission products and services (including electric vehicles and renewable residential and commercial power supplies) as well as more efficient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these developments may reduce the demand for products manufactured with (or powered by) hydrocarbons and the demand for, and in turn the prices of, the oil and natural gas that we produce and sell, which would likely have a material adverse impact on us. If any of these developments reduce the desirability of participating in the oilfield services, midstream or downstream portions of the oil and gas industry, then these developments may also reduce the availability to us of necessary third-party services and facilities that we rely on, which could increase our operational costs and adversely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explore for, produce, transport and process oil and natural gas and successfully carry out our business and financial strategy.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enactment of climate change-related regulations, policies and initiatives may also result in increases in our compliance costs and other operating costs and have other adverse effects, such as a greater potential for governmental investigations or litigation. For further discussion regarding the risks to us of climate change-related regulations, policies and initiatives, please see the section entitled </w:t>
      </w:r>
      <w:hyperlink w:anchor="i27ba2a247b584e1aae74c0210baff60c_40">
        <w:r>
          <w:rPr>
            <w:rStyle w:val="InternetLink"/>
            <w:rFonts w:ascii="Times New Roman;serif" w:hAnsi="Times New Roman;serif"/>
            <w:b w:val="false"/>
            <w:color w:val="0000FF"/>
            <w:sz w:val="20"/>
            <w:u w:val="single"/>
          </w:rPr>
          <w:t>Items 1 and 2. Business and Properties—Regulation</w:t>
        </w:r>
      </w:hyperlink>
      <w:r>
        <w:rPr>
          <w:color w:val="000000"/>
        </w:rPr>
        <w:t>—</w:t>
      </w:r>
      <w:r>
        <w:rPr>
          <w:rFonts w:ascii="Times New Roman;serif" w:hAnsi="Times New Roman;serif"/>
          <w:b w:val="false"/>
          <w:color w:val="000000"/>
          <w:sz w:val="20"/>
        </w:rPr>
        <w:t>Climate Change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potentially reducing demand for our oil and natural gas and potentially reducing the availability of oilfield services and midstream and downstream customers, further regulatory or other climate change incentives, to the extent they continue, may create investment and reputational risks associated with the exploration for, and production of, hydrocarbons, which may adversely affect the availability and cost to us of capital. Certain stakeholders and capital providers may seek to restrict or seek to impose stringent conditions with respect to their investment in or financing of certain carbon intensive sectors, which could result in capital being unavailable to us, or only at significantly increased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Changing political and social perspectives on climate change and other environmental, social and governance factors may create risks and uncertainties impacting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meet evolving expectations of stakeholders, including governmental officials, standard setters, investors, employees, and customers, relating to climate change, human capital, and other ESG issues. For example, while some policymakers, including the European Union and the State of California, have adopted disclosure and other requirements relating to ESG matters, other policymakers have sought to constrain companies’ consideration of such matters. Further, shareholders have sought to effect changes to public companies’ businesses or governance to deal with climate change-related issues through shareholder proposals, public campaigns, proxy solicitations or other actions. Any such future actions may result in significant management distraction and potentially significant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whether due to our activities or the activities of the acquired entities or operations prior to their acquisition by us, we could incur substantial legal defense costs and, if any such litigation were adversely determined, we could incur substantial damages.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climate change-related litigation risks could result in unexpected costs, negative sentiments about our company, disruptions in our operations, and increases to our operating expenses, which in turn could have an adverse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targets related to sustainability and emissions reduction initiatives, including our public statements and disclosures regarding them, may expose us to numerous risks.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developed, and will continue to develop, targets related to our ESG initiatives, including our emissions reduction targets and strategy. Statements in this and other reports we file with the SEC and other public statements related to these initiatives reflect our current plans and expectations and are not a guarantee the targets will be achieved or achieved on the currently anticipated timeline. Our ability to achieve our ESG targets, including emissions reductions, is subject to numerous factors and conditions, some of which are outside of our control, and failure to achieve our announced targets or comply with ethical, environmental or other standards, including reporting standards, may expose us to government enforcement actions or private litigation and adversely impact our business. Further, our continuing efforts to research, establish, accomplish and accurately report on these targets may create additional operational risks and expenses and expose us to reputational, legal and other risks.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in response to the evolving regulatory environment and investor expectations, or due to our acquisitions of other companies or assets, we may, periodically, make adjustments to our environmental targets or goals. If we do not, or are perceived to not, adapt or comply with certain investor or stakeholder expectations and standards on ESG matters, we may suffer from reputational damage and our business, financial condition and results of operations could be materially and adversely affected. Any reputational damage associated with ESG factors may also adversely impact our ability to recruit and retain employees and customers.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success depends on developing our existing leasehold acreage and finding, developing or acquiring additional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to maintain the production in paying quantities, and if we are unsuccessful in drilling such wells and maintaining such production, we could lose our rights under such leases. Our future oil and natural gas reserves and production and, therefore, our future cash flow and income are highly dependent on successfully developing our undeveloped leasehold acreage.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Leases on oil and natural gas properties typically have a term of three to five years, after which they expire unless, prior to expiration, production in paying quantities is established within the spacing units covering the undeveloped acres.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Any non-renewal or other loss of leases could materially and adversely affect the growth of our asset basis, cash flows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2-D and 3-D seismic data to identify the presence of oil and natural gas. 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If we are unable to replace our current production, the value of our reserves will decrease, and our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capital intensive. We make and expect to continue to make substantial capital expenditures in our business and operations for the exploration for and development, production and acquisition of oil and natural gas reserves. In 2025, our total cash capital expenditures were approximately $3.5 billion. Our 2026 cash capital budget is currently estimated to be approximately $3.60 billion to $3.90 billion, representing an increase at the midpoint of 6% from our 2025 capital expenditures.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finance our future capital expenditures with cash flow from operations, while future acquisitions may also be funded from operations as well as proceeds from offerings of our debt and equity securities and borrowings under our revolving credit facility. Our cash flow from operations and access to capital are subject to a number of variables, including our proved reserves; the volume of oil and natural gas we are able to produce from existing wells; the prices at which our oil and natural gas are sold; our ability to acquire, locate and produce economically new reserves; and our ability to borrow under our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assure you that our operations and other capital resources will provide cash in sufficient amounts to maintain planned or future levels of capital expenditures. Further, our actual capital expenditures in 2026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sales of assets, offerings of debt or equity securities or other means. We cannot assure you that we will be able to obtain debt or equity financing on terms favorable to us, or at all.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fund our capital requirements or our costs of capital increase,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failure to complete proposed or future infrastructure projects could delay or eliminate potential efficiencies and related cost savings.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approximately 30% of our total estimated proved reserves as of December 31, 2025, were proved undeveloped reserves and may not be ultimately developed or produced.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failure to successfully identify, complete and integrate pending and future acquisitions of properties or businesses could reduce our earnings and slow our growth.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defects or environmental issues,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Environmental or other regulatory issues may arise with respect to acquired entities or operations years after the acquisitions.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Competition for acquisitions may increase the cost of, or cause us to refrain from, completing acquisitions. Our ability to complete acquisitions is dependent upon, among other things, our ability to obtain debt and equity financing and, in some cases, regulatory approvals. If these acquisitions include geographic regions in which we do not currently operate, we could be subject to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have a material adverse effect on our financial condition and results of operations. Our financial position and results of operations may also fluctuate significantly from period to period, based on whether or not significant acquisitions are completed in particular periods.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identified potential drilling locations, which are part of our anticipated future drilling plans, are susceptible to uncertainties that could materially alter the occurrence or timing of their drilling.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Drilling for oil and natural gas often involves unprofitable efforts, not only from dry wells but also from wells that are productive but do not produce sufficient oil or natural gas to return a profit at then realized prices after deducting drilling, operating and other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approximately 8,854 gross (6,541 net) identified economic potential horizontal drilling locations in multiple horizons on our acreage at an assumed price of approximately $50.00 per Bbl WTI. As of December 31, 2025, only 1,351 of our gross identified economic potential horizontal drilling locations in which we have a working interest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unusual or unexpected geological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formations, title problems, facility or equipment malfunctions, unexpected operational events, inclement weather, environmental and other regulatory requirements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as of December 31, 2025, we have identified approximately 1,901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Through December 31, 2025, we are the operator of, have participated in, or have acquired working interest in a total of 6,677 horizontal producing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fail to meet our obligations to deliver specified quantities of oil under our oil purchase contracts, which will result in deficiency payments to the counterparty and may have an adverse effect on our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party to long-term crude oil agreements under which, subject to certain terms and conditions, we are obligated to deliver specified quantities of oil to our counterparties. Our maximum delivery obligation under these agreements varies for different periods and depends in some cases upon certain conditions beyond our control. If production from our Permian Basin acreage decreases due to reduced developmental activities, as a result of the low commodity price environment, production related difficulties or otherwise, we may be unable to meet our obligations under our oil purchase agreements, which may result in deficiency payments to certain counterparties or a default under such agreements and may have an adverse effect on our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loss of one or more of our customers or their inability to meet their obligations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credit risk related to receivables from commodity derivative contracts, our principal exposure to credit risk is through receivables from joint interest owners on properties we operate and receivables from purchasers of our oil and natural gas production.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are also subject to credit risk due to the concentration of our oil and natural gas receivables with several significant customers. See </w:t>
      </w:r>
      <w:hyperlink w:anchor="i27ba2a247b584e1aae74c0210baff60c_37">
        <w:r>
          <w:rPr>
            <w:rStyle w:val="InternetLink"/>
            <w:rFonts w:ascii="Times New Roman;serif" w:hAnsi="Times New Roman;serif"/>
            <w:b w:val="false"/>
            <w:color w:val="0000FF"/>
            <w:sz w:val="20"/>
            <w:u w:val="single"/>
          </w:rPr>
          <w:t>Items 1 and 2. Business and Properties—Marketing and Customers</w:t>
        </w:r>
      </w:hyperlink>
      <w:r>
        <w:rPr>
          <w:color w:val="000000"/>
        </w:rPr>
        <w:t xml:space="preserve"> </w:t>
      </w:r>
      <w:r>
        <w:rPr>
          <w:rFonts w:ascii="Times New Roman;serif" w:hAnsi="Times New Roman;serif"/>
          <w:b w:val="false"/>
          <w:color w:val="000000"/>
          <w:sz w:val="20"/>
        </w:rPr>
        <w:t>of this report for additional information regarding these customers. This concentration of customers may impact our overall credit risk in that these entities may be similarly affected by any adverse changes in economic and other conditions. We do not require our customers to post collateral. Under certain circumstances, the amounts due to them can be offset by any unpaid receivables. The loss of one or more of these customers, our inability to sell our production to other customers on terms we consider acceptable, the inability or failure of our significant customers or joint working interest owners to meet their obligations to us or their insolvency or liquidation may materially adversely affect our financial results.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method of accounting for investments in oil and natural gas properties may result in impairment of asset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An impairment on proved oil and natural gas properties of approximately $3.7 billion was recorded for the year ended December 31, 2025. No impairments were recorded on our proved oil and natural gas properties for the years ended December 31, 2024 and 2023. See </w:t>
      </w:r>
      <w:hyperlink w:anchor="i27ba2a247b584e1aae74c0210baff60c_115">
        <w:r>
          <w:rPr>
            <w:rStyle w:val="InternetLink"/>
            <w:rFonts w:ascii="Times New Roman;serif" w:hAnsi="Times New Roman;serif"/>
            <w:b w:val="false"/>
            <w:color w:val="0000FF"/>
            <w:sz w:val="20"/>
            <w:u w:val="single"/>
          </w:rPr>
          <w:t>Item 7. Management’s Discussion and Analysis of Financial Condition and Results of Operations—Critical Accounting Estimates</w:t>
        </w:r>
      </w:hyperlink>
      <w:r>
        <w:rPr>
          <w:color w:val="000000"/>
        </w:rPr>
        <w:t>—</w:t>
      </w:r>
      <w:r>
        <w:rPr>
          <w:rFonts w:ascii="Times New Roman;serif" w:hAnsi="Times New Roman;serif"/>
          <w:b w:val="false"/>
          <w:color w:val="000000"/>
          <w:sz w:val="20"/>
        </w:rPr>
        <w:t>Oil and Natural Gas Accounting and Reserves of this report. If the prices of oil and natural gas decline, we may be required to further write-down the value of our oil and natural gas properties in the future, which could negatively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estimated reserves and EURs are based on many assumptions that may turn out to be inaccurate. Any material inaccuracies in these reserve estimates or underlying assumptions will materially affect the quantities and present value of our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and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of both our production and our incurrence of costs in connection with the development and production of oil and natural gas properties will affect the timing of actual future net cash flows from proved reserves.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standardized measure of our estimated proved reserves is not necessarily the same as the current market value of our estimated proved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value of future net cash flows from our proved reserves or standardized measure may not represent the current market value of our estimated proved reserves. 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producing properties are located in the Permian Basin of West Texas, making us vulnerable to risks (including weather-related risks) associated with operating in a single geographic area. In addition, we have a large amount of proved reserves attributable to a small number of producing horizons within this area.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producing properties are currently geographically concentrated in the Permian Basin of West Texas. As a result,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and their adverse impact on production volumes, availability of electrical power, road accessibility and transportation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Extreme regional weather events may occur that can affect our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(including potentially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production) to be curtailed or shut in or (in the case of natural gas) flared. Climate change may also increase the frequency and severity of significant weather events over time. Further, any increase in flaring of our natural gas production due to weather-related events or otherwise could make it difficult for us to achieve our publicly-announced sustainability and emissions reduction targets, which could expose us to reputational risks and adversely impact our contractual and other business relationships. Any of the above-referenced events could have a material adverse effect on us and our production volumes (and therefore on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geographic concentration of our producing properties described above, as of December 31, 2025, most of our proved reserves are concentrated in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unavailability, high cost or shortages of rigs, equipment, raw materials, supplies, oilfield services or personnel may restrict our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operators of those rigs may choose to cease providing services to us. Shortages of any of the items referenced above could delay or restrict our exploration and development operations, which in turn could impair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operations are substantially dependent on the availability of water. Restrictions on our ability to obtain water may have an adverse effect on our financial condition,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Also, in 2021, the Texas Legislature directed the Texas Railroad Commission to adopt rules encouraging fluid oil and gas waste recycling. On January 3, 2025, the Commission published final amendments to its water protection rules to, among other things, encourage waste recycling. The revised rules went into effect on July 1, 2025.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 regulatory restrictions on the disposal of produced water and additional monitoring and reporting requirements related to existing and new produced water disposal wells in the Permian Basin to stem rising seismic activity and earthquakes could increase our operating costs and adversely impact our business,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the Texas Railroad Commission curtailed the amount of produced water companies were permitted to inject into some wells near Midland and Odessa in the Permian Basin and has since indefinitely suspended some permits there and expanded the restrictions to other areas. These actions were taken in an effort to control induced seismic activity and recent increases in earthquakes in the Permian Basin, which have been linked by the U.S. and local seismologists to wastewater disposal in oil fields. The Texas Railroad Commission has since adopted rules governing the permitting or re-permitting of wells used to dispose of produced water and other fluids resulting from the production of oil and gas in order to address these seismic activity concerns within the state. Among other things, these rules require companies seeking permits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disposal wells to provide seismic activity data in permit applications, provide for more frequent monitoring and reporting for certain wells and allow the state to modify, suspend or terminate permits on grounds that a disposal well is likely to be, or determined to be, causing seismic activity. These restrictions and additional monitoring and reporting requirements related to existing and new produced water and produced water disposal wells could result in increased operating costs, requiring us or our service providers to truck produced water, recycle it or dispose of it by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activity in the affected parts of the Permian Basin less economical and adversely impact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involve developing and utilizing the latest drilling and completion techniques. Risks that we face while drilling include, but are not limited to, spacing of wells to maximize economic return;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Risks that we face while completing our wells include, but are not limited to, being able to fracture stimulate the planned number of stages; run tools the entire length of the well bore during completion operations; successfully clean out the well bore after completion of the final fracture stimulation stage; and prevent unintentional communication with other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certain of the techniques we are adopting,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Ultimately, the success of these drilling and completion techniques can only be evaluated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marketability of our production is dependent upon transportation and other facilities, certain of which we do not control. If these facilities are unavailable, our operations could be interrupted and our revenues reduced.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marketability of our oil and natural gas production depends in part upon the availability, proximity and capacity of transportation facilities owned by third parties. We do not control third-party transportation facilities and our access to them may be limited or denied. Insufficient production from our wells to support the construction of pipeline facilities by our purchasers or a significant disruption in the availability of our or third-party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operations are subject to various governmental laws and regulations which require compliance that can be burdensome and expensive.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regulatory agencies have imposed price controls and limitations on production by restricting the rate of flow of oil and natural gas wells below actual production capacity to conserve supplies of oil and natural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Further, these laws and regulations imposed strict requirements for water and air pollution control and solid waste management. Significant expenditures may be required to comply with governmental laws and regulations applicable to us. In addition, federal and state legislation and regulatory initiatives relating to hydraulic fracturing could result in increased costs and additional operating restrictions or delays.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threatened or endangered species could prohibit drilling in certain areas or require the implementation of expensive mitigation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Even if federal regulatory burdens temporarily ease, the historic trend of more expansive and stricter environmental legislation and regulations may continue in the long-term, and at the state and local levels. See </w:t>
      </w:r>
      <w:hyperlink w:anchor="i27ba2a247b584e1aae74c0210baff60c_40">
        <w:r>
          <w:rPr>
            <w:rStyle w:val="InternetLink"/>
            <w:rFonts w:ascii="Times New Roman;serif" w:hAnsi="Times New Roman;serif"/>
            <w:b w:val="false"/>
            <w:color w:val="0000FF"/>
            <w:sz w:val="20"/>
            <w:u w:val="single"/>
          </w:rPr>
          <w:t>Items 1 and 2. Business and Properties—Regulation</w:t>
        </w:r>
      </w:hyperlink>
      <w:r>
        <w:rPr>
          <w:color w:val="000000"/>
        </w:rPr>
        <w:t xml:space="preserve"> </w:t>
      </w:r>
      <w:r>
        <w:rPr>
          <w:rFonts w:ascii="Times New Roman;serif" w:hAnsi="Times New Roman;serif"/>
          <w:b w:val="false"/>
          <w:color w:val="000000"/>
          <w:sz w:val="20"/>
        </w:rPr>
        <w:t>of this report for a detailed description of certain laws and regulations that affect us.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 tax legislation may adversely affect our business, results of operations,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From time to time, legislation has been proposed that, if enacted into law, would make significant changes to U.S. federal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2022, the IRA enacted a 15% corporate alternative minimum tax (“CAMT”) on the “adjusted financial statement income” of certain large corporations (generally, corporations reporting more than $1 billion average adjusted pre-tax net income on their consolidated financial statements) for tax years beginning after December 31, 2022. While we are subject to CAMT, we did not incur a CAMT liability for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 was signed into law. Among other provisions, the OBBB provides for immediate expensing of research or experimental expenses, bonus depreciation for qualified tangible property, deductible intangible drilling costs for purposes of the CAMT, and enhancements to limits on business interest expense deductions. The OBBB also imposes limits on deductibility of charitable contributions by corporations. For 2025, the net effect of the OBBB was to accelerate our tax deductions and thus favorably affect our cash flow, but to the extent that our tax deductions may be limited or deferred by the applicable provisions of the OBBB in future periods, the amount and timing of our cash tax obligations may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 Treasury Department, the Internal Revenue Service (“IRS”) and other standard-setting bodies are expected to issue additional guidance on how the CAMT and other provisions of the IRA and OBBB will be applied or otherwise administered, and such guidance may differ from our interpretations. We continue to evaluate the IRA and OBBB and their effect on our financial results and operating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operate in areas of high industry activity, which may affect our ability to hire, train or retain qualified personnel needed to manage and operate our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many key responsibilities within our business have been assigned to a small number of employees. The loss of their services could adversely affect our business. In particular, the loss of the services of one or more members of our executive team could disrupt our operations. We do not have employment agreements with our executives and may not be able to assure their retention. Further, we do not maintain “key person” life insurance policies on any of our employees. As a result, we are not insured against any losses resulting from the death of our key employees.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hazards and uninsured risks may result in substantial losses and could prevent us from realizing profits.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hydraulic fracturing activities are part of our operations, we maintain insurance to protect against claims made for bodily injury and property damage, and that insurance includes coverage for clean-up costs stemming from a sudden and accidental pollution event. However, we may not have coverage if we are unaware of the pollution event and unable to report the “occurrence” to our insurance company within the time frame required under our insurance policy. We have limited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keep pace with technological developments in our industry.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development, deployment and use of artificial intelligence (“AI”) and machine learning in our operations and those of our service providers and partners could introduce new risks, including increased exposure to cybersecurity threats and social engineering, inadvertent disclosure or misuse of confidential, proprietary or personal information, errors, bias or other unexpected outcomes in AI outputs used for operational decision</w:t>
        <w:noBreakHyphen/>
        <w:t>making, and evolving and potentially divergent regulatory requirements that may restrict certain uses of AI or increase compliance costs. AI adoption may require significant investment, specialized talent and access to high</w:t>
        <w:noBreakHyphen/>
        <w:t>quality data, and our competitors may adopt AI more effectively than we do. Failures or limitations in AI tools, misuse by employees or third parties, or disruptions or breaches involving AI</w:t>
        <w:noBreakHyphen/>
        <w:t>enabled systems could adversely affect our business, reputation,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operations depend heavily on electrical power, internet and telecommunication infrastructure and information and computer systems. If any of these systems are compromised or unavailable,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heavily dependent on electrical power, internet and telecommunications infrastructure and our information systems and computer-based programs, including our well operations information, seismic data, electronic data processing 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Rapid growth in AI-related data centers and other high</w:t>
        <w:noBreakHyphen/>
        <w:t>intensity computing is materially increasing regional electricity demand and straining grids, which—together with extreme weather conditions, intermittent renewable generation, and other market constraints—can reduce power availability, increase prices (including scarcity pricing), and cause outages. Reduced power reliability could disrupt our drilling, completion, and production activities; impair midstream operations; hinder remote monitoring and data integrity; and force suspensions or shutdowns or unplanned spending on backup power and communications, any of which could have a material adverse effect on our business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proceedings brought against us could result in substantial liabilities and materially and adversely impact our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Like many oil and gas companies, we are involved in various legal proceedings, including threatened claims, such as contractual, title and royalty disputes. The cost to settle legal proceedings (asserted or unasserted) or satisfy any resulting unfavorable judgment against us in such proceedings could result in a substantial liability or the loss of interests, which could materially and adversely impact our cash flows, operating results and financial condition for the period in which any such effect becomes reasonably estimable. Judgments and estimates to determine accruals or range of losses related to legal proceedings are difficult to predict and could change from one period to the next, and such changes could be material. Current accruals may be insufficient to satisfy any such judgments. Legal proceedings could also result in negative publicity about the Company. Defending these actions, especially purported class actions, can be costly and can distract management and other personnel from their primary responsibilities. In addition, many of our proceedings are in their early stages. Where this is the case, the allegations and damage theories have not been fully developed, and are all subject to inherent uncertainties. As a result, management’s view of the likelihood of a material and adverse financial impact from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proceeding may change in the future. See Note 15—</w:t>
      </w:r>
      <w:hyperlink w:anchor="i27ba2a247b584e1aae74c0210baff60c_196">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comply with cybersecurity and data privacy laws and regulations could have a material adverse effect on our reputation, results of operations or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extensively on information technology systems and infrastructure, including but not limited to, data hosting platforms, real-time data acquisition systems, internally developed and third-party software, cloud services and other internally or externally hosted hardware and software platforms (collectively, “IT Systems”) for operational and other purposes, such as to (i) estimate our oil and natural gas reserves, (ii) process and record financial and operating data, (iii) process and analyze all stages of our business operations, including exploration, drilling, completions, production, transportation, pipelines and other related activities, and (iv) communicate with our employees and vendors, suppliers and other third parties. We own and manage certain IT Systems but also rely on third parties for a range of IT Systems and other products or services. We and certain third-party providers also collect, maintain and/or process proprietary data about our business, such as trade secrets, as well as personally identifiable information about our employees, business partners and others (collectively, “Confidential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experience attempted cyberattacks and other incidents, including phishing attacks and attacks on certain of our third-party providers, and we expect future cyberattacks and incidents to occur in varying degrees. To date, no incidents have materially affected our company, including our business strategy, results of operations or financial condition, but we cannot guarantee that material incidents will not occur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IT Systems and Confidential Information, and that of our vendors, service providers and other third-party providers and business partners, are vulnerable to evolving cybersecurity threats, including, without limitation, denial-of-service attacks; malicious software (e.g., ransomware); the exploitation of known and unknown misconfigurations, “bugs,” and other hardware or software vulnerabilities; data privacy breaches by employees, insiders or others with authorized access; social engineering (e.g. phishing) attacks; attempts to gain unauthorized access to our data and systems; and other electronic or physical security breaches. More recently, advancements in AI pose serious risks for many of the traditional tools used to identify individuals, including voice recognition (whether by machine or the human ear), facial recognition or screening questions to confirm identities. In addition, generative AI systems are increasingly used by malicious actors to create more sophisticated cyber-attacks (i.e., more realistic phishing or other attacks) and to circumvent controls, evade detection and even remove forensic evidence, rendering incident detection and remediation more challenging. These and other threat-related advancements expose us to increasing costs, including costs to deploy additional personnel, protection technologies and policies and procedures, train employees, and engage third-party experts and consultants. There can be no assurance that our cybersecurity risk management program, including our controls or processes, will be fully implemented, complied with or effective in protecting our IT Systems and Confidential Information. Moreover, we do not manage the security controls or processes deployed by our third-party providers, such as cloud services that support our operations, and therefore, successful cyberattacks that disrupt or result in unauthorized access to third-party IT Systems could materially impact our operations and financial results. Similarly, we have acquired and continue to acquire companies that may have cybersecurity vulnerabilities or unsophisticated measures, which exposes us to significant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cybersecurity attack or incident that compromises our Confidential Information or disrupts our normal operations, including our exploration, completion, production and corporate functions, could materially and adversely affect us in a variety of ways, including, but not limited to the following: exploitation of our Confidential Information such as business data, reserves information, strategic information or other sensitive or proprietary information or personal information of our employees, vendors, service providers, royalty and working interest owners, or other third parties; damage to our ability to compete for oil and gas resources or our competitive advantage over other companies; failure to reach the intended target or a drilling incident; loss of production or accidental discharges; supply chain disruptions resulting from attacks on third party providers, vendors or business partners that delay or halt our operations, result in reduced demand for our production or delay or prevent us from transporting and marketing our production, in either case resulting in a loss of revenues; a cybersecurity attack involving commodities exchanges or financial institutions could slow or halt commodities trading, thus preventing us from marketing our production or engaging in hedging activities, resulting in a loss of revenues; a deliberate corruption of our financial or operating data could result in events of non-compliance, which could then lead to regulatory enforcement actions, fines or penalties; a cybersecurity attack on a communications network or power grid, which could cause operational disruptions resulting in a loss of revenues; and a cybersecurity attack on our automated and surveillance systems, which could cause a loss of production and potential environmental hazards. We could also be subject to significant regulatory investigations and enforcement actions, fines and penalties and/or legal claims that result in a material impact to our business, operating results or financial condition.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variety of U.S. federal, state and international laws and regulations govern the collection, use, retention, sharing and security of personal data. All 50 states have enacted legislation on data breach notification requirements and many states continue to enact laws on matters of privacy, data protection and cybersecurity. The existing privacy-related laws and regulations are evolving and subject to potentially differing interpretations. In addition, various U.S. federal, state and foreign legislative and regulatory bodies continue to enact new laws regarding privacy and data protection, as well as expand the scope of existing laws. We cannot predict the impact of any such evolving privacy-related laws on our business, operations or financial condition, but may find it necessary to enhance our existing systems and procedures, which may involve substantial expense or distraction from other aspects of our business. In addition, any violations of applicable privacy-related laws or regulations may require us to address legal claims, sustain monetary penalties or incur other liabilities, as well as cause reputational damage, any of which could adversely impact our business, results of operations or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Following the closing of the Endeavor Acquisition, the Endeavor equityholders have the ability to significantly influence our business, and their interest in our business may be different from that of other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Endeavor’s equityholders held approximately 35.8% of our common stock. Pursuant to an agreement with the Endeavor equityholders, the Company appointed four additional directors to our board of directors of the Company. We will not be permitted to take certain actions without the consent of the holders of a majority of the shares of our common stock held by the Endeavor equityholders. The Endeavor equityholders’ level of ownership and influence may make some transactions (such as those involving mergers, material share issuances or changes in control) more difficult or impossible, which in turn could adversely affect the market price of our shares of common stock or prevent our shareholders from realizing a premium over the market price for their shares of our common stock. The interests of the Endeavor equityholders may conflict with the interests of other stockholders, including that Endeavor equityholders may decide to reduce their investment in us. Such sales of our common stock or the perception that these sales may occur could have the effect of depressing the market price for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substantial indebtedness could adversely affect our results of operations, business flexibility and our ability to service our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a substantial amount of debt to finance our recent acquisitions and for other corporate purposes. Our ability to make scheduled payments of the principal, to pay interest on or to refinance our indebtedness, including our senior notes, depends on our future performance, which is subject to economic, financial, competitive and other factors beyond our control. If we are unable to generate sufficient cash flow to service our debt, we may be required to adopt one or more alternatives, such as reducing or delaying capital expenditures, selling assets, restructuring debt or obtaining additional equity capital on terms that may be onerous or highly dilutive. However, we cannot assure you that alternative financing plans would be consummated on desirable terms or would be adequate to meet any debt service obligations then due.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subsidiaries may be able to incur substantial additional indebtedness in the future under our current debt agreement. Our increased level of debt could have negative consequences on us, including, among other things, (i) requiring us to dedicate a larger portion of cash flow from operations to servicing and repayment of the debt, (ii) reducing funds available for strategic initiatives and opportunities, working capital and other general corporate needs, (iii) limiting our ability to incur additional indebtedness, which could restrict our flexibility to react to changes in our business, our industry and economic conditions, and (iv) placing us at a competitive disadvantage compared to our competitors that have less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our debt instruments contain, and the terms of any future indebtedness may contain, restrictive covenants that limit our ability to, among other things: incur or guarantee additional indebtedness; make certain investments; create liens; sell or transfer assets; issue preferred stock; merge or consolidate with another entity; pay dividends or make other distributions; create unrestricted subsidiaries; and engage in transactions with affiliates. We and our subsidiaries may be prevented from taking advantage of business opportunities that arise because of the limitations imposed on us by the restrictive covenants. If a default occurs under our revolving credit facility, the lenders thereunder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Lastly, our earnings are exposed to interest rate risk associated with borrowings under our and Viper’s revolving credit facilities and under our Term Loan Agreement. The terms of the term loan and revolving credit facilities provide for interest on borrowings at a floating rate equal to an alternate base rate tied to SOFR. SOFR tends to fluctuate based on multiple factors, including general short-term interest rates, rates set by the U.S. Federal Reserve and other central banks and general economic conditions. If interest rates increase, so will our interest costs, which may have a material adverse effect on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downgrade in our debt ratings could restrict our access to, and negatively impact the terms of, current or future financings or trade credit.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declaration of base and variable dividends and any repurchases of our common stock are each within the discretion of our board of directors based upon a review of relevant considerations, and there is no guarantee that we will pay any dividends on or repurchase shares of our common stock in the future or at levels anticipated by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decision to pay any future base and variable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whether base or variable, or declare dividends at rates that are less than currently anticipated, either of which could reduce returns to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our board of directors approved an increase in our common stock repurchase program to acquire up to $8.0 billion. We may be limited in our ability to repurchase shares of our common stock by various governmental laws, rules and regulations which prevent us from purchasing our common stock during periods when we are in possession of material non-public information. Through December 31, 2025, approximately $5.3 billion has been repurchased through the repurchase program. Even though this program is in place, we may not repurchase any shares through the program and any such repurchases are completely within the discretion of our board of directors. In addition, the stock repurchase program has no time limit and may be suspended, modified, or discontinued by the board of directors at any time. Any elimination of, or reduction in, the Company’s base or variable dividend or common stock repurchase program could adversely affect the total return of an investment in and have a material adverse effect on the market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Despite our return of capital commitment to return at least 50% of Adjusted Free Cash Flow to stockholders, the amount of cash available to return to our stockholders, if any, can vary significantly from quarter to quarter for a number of reasons, including commodity prices, liquidity, debt levels, capital resources and other factors. The price of our common stock may deteriorate if we are unable to meet investor expectations with respect to the timing and amount of our return of capital commitment to our shareholders, and such deterioration may be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change of control could limit our use of net operating losses and certain other tax attributes.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Sections 382 and 383 of the Internal Revenue Code of 1986, as amended (the “Code”), a corporation that experiences an “ownership change” (as defined in the Code) may be subject to limitations on its ability to offset taxable income arising after the ownership change with net operating losses (“NOLs”) and other tax attributes (such as tax credits and capital loss carryforwards) generated prior to the ownership change. In general, an ownership change occurs if there is a cumulative increase in the ownership of a corporation’s stock totaling more than 50 percentage points by one or more “5% shareholders” (as defined in the Code) at any time during a rolling three-year period. An ownership change would establish an annual limitation on the amount of a corporation’s pre-change NOLs, tax credits and capital loss carryforwards that could be utilized to offset taxable income in any future taxable year. The amount of the limitation is generally equal to the value of the corporation’s stock immediately prior to the ownership change multiplied by an interest rate, referred to as the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tax-exempt rate, periodically promulgated by the IRS. This limitation, however, may be significantly increased if there is “net unrealized built-in gain” in the assets of the corporation undergoing the ownership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an NOL carryforward of approximately $436 million, capital loss carryforwards of approximately $26 million and tax credits of $4 million for U.S. federal income tax purposes, principally consisting of tax attributes acquired from QEP Resources, Inc. (“QEP”), Sitio and Rattler. As a result of ownership changes for Diamondback Energy, Inc., QEP and Rattler, which occurred in connection with the acquisition of QEP and the Company’s merger with Rattler in 2022, our NOLs and other carryforwards, including those acquired from QEP and Rattler, are subject to an annual limitation under Sections 382 and 383 of the Code. Similarly, as a result of an ownership change for Sitio in connection with Viper’s Sitio Acquisition, carryforwards acquired from Sitio are subject to an annual limitation under Sections 382 and 383 of the Code.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changes in our stock ownership could result in an additional ownership change under Section 382 of the Code. Any such ownership change may limit our ability to offset taxable income arising after such an ownership change with NOLs or other tax attributes generated prior to such an ownership change, possibly substantially.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issue preferred stock whose terms could adversely affect the voting power or value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Provisions in our certificate of incorporation and bylaws and Delaware law make it more difficult to effect a change in control of our company, which could adversely affect the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existence of some provisions in our certificate of incorporation and bylaws could delay or prevent a change in control of our company, even if that change would be beneficial to our stockholders. Our certificate of incorporation and bylaws contain provisions that may make acquiring control of our company difficult, including provisions regulating the ability of our stockholders to nominate directors for election or to bring matters for action at annual meetings of our stockholders; limitations on the ability of our stockholders to call a special meeting and act by written consent; the ability of our board of directors to adopt, amend or repeal bylaws; and the authorization given to our board of directors to issue and set the terms of preferred stock without the approval of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provisions also could discourage proxy contests and make it more difficult for our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provision of our certificate of incorporation and bylaws requiring exclusive venue in the Court of Chancery in the State of Delaware for certain types of lawsuits may have the effect of discouraging lawsuits against us and our directors, officers and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provide that, unless we consent in writing to the selection of an alternative forum, the Court of Chancery of the State of Delaware generally shall be the sole and exclusive forum for (i) any derivative action or proceeding brought on behalf of the Company, (ii) any action asserting a claim of breach of a fiduciary duty owed by any director, officer or employee of the Company to the Company or its stockholders, (iii) any action asserting a claim arising pursuant to any provision of the General Corporation Law of the State of Delaware, our certificate of incorporation or bylaws or (iv) any other action asserting a claim against the Company governed by the internal affairs doctrine. This choice of forum provision does not waive our compliance with our obligations under the federal securities laws and the rules and regulations thereunder. Moreover, the provision does not apply to suits brought to enforce a duty or liability created by the Securities Exchange Act or by the Securities Act of 1933, as amended.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increase costs to bring a claim, discourage claims or limit a stockholder’s ability to bring a claim in a judicial forum that the stockholder finds favorable for disputes with the Company or our directors, officers or employees, which may discourage such lawsuits against the Company and its directors, officers and employees, even though an action, if successful, might benefit our stockholders. Alternatively, if a court were to find the choice of forum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to be inapplicable or unenforceable in an action, we may incur additional costs associated with resolving such matters in other jurisdictions, which could increase our costs of litigation and adversely affect our business and financial condition.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Cybersecurity Risk Management Strategy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threats. We have engaged third-party consultants to conduct penetration testing and risk assessments. Our cybersecurity program is informed by the National Institute of Standards and Technology (“NIST”) Cybersecurity Framework and measured by the Maturity and Risk Assessment Ratings associated with the NIST Cybersecurity Framework and the Capability Maturity Model Integration.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includes: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assessments designed to help identify material cybersecurity risks to our critical systems, information, products, services, and our broader enterprise IT and operational technology, or OT, environments;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security team principally responsible for managing (i) our cybersecurity risk assessment processes, (ii) our security controls, and (iii) our response to cybersecurity incidents;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use of external service providers, where appropriate, to assess, test, train or otherwise assist with aspects of our security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security tools deployed in the IT and OT environments for protection against and monitoring for suspicious activity;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awareness training of our employees, including incident response personnel and senior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tabletop exercises for members of our cybersecurity incident response team and legal department;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cybersecurity incident response plan that includes procedures for responding to cybersecurity incidents;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third-party risk management process for service providers, which may include diligence, assessments and/or contractual requirements, depending on each service provider’s operational criticality and relative risk profile.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cybersecurity governance program is led by the Senior Vice President and Chief Information Officer, with support from the internal information technology department. The Senior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The Senior Vice President and Chief Information Officer and his team, which consists of individuals who hold designations as Certified Information Systems Security Professional (CISSP), Certified Information Systems Auditor (CISA), and CompTIASecurity+, are responsible for leading enterprise-wide cybersecurity strategy, policy, standards, architecture and processes. In addition, our cybersecurity incident response team is responsible for responding to cybersecurity incidents and are guided by our Computer Security Incident Response Plan. Progress and developments in our cybersecurity governance program are communicated to members of the executive team. Our management team takes steps to remain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us; alerts and reports produced by security tools deployed in our IT and OT environments; and through reporting by employees and service providers. 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our risk management strategy and continues to be an area of increasing focus for our board, the audit committee and our management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 receives quarterly updates from our Senior Vice President and Chief Information Officer on the status of our cybersecurity governance program, including as related to new or developing initiatives and any significant security incidents that may occur. Board members also receive presentations on cybersecurity topics from the Senior Vice President and Chief Information Officer as part of the board’s continuing education on topics that impact public companies. Our cybersecurity governance program also includes processes to assess cybersecurity risks related to third-party service providers, suppliers and vendors.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Risks from identified cybersecurity threats have not materially affected, and are not currently anticipated to materially affect, our Company, including our business strategy, results of operations or financial condition. See, however, </w:t>
      </w:r>
      <w:hyperlink w:anchor="i27ba2a247b584e1aae74c0210baff60c_46">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of this report for additional information regarding cybersecurity risks we face and their potentially material impact on our business strategy, results of operations and financial condition.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has elected to use a $1 million threshold for disclosing certain environmental proceedings to which a federal, state or local governmental authority is a party.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For additional information regarding environmental matters, see Note 15—</w:t>
      </w:r>
      <w:hyperlink w:anchor="i27ba2a247b584e1aae74c0210baff60c_196">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Listing and Holders of Record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symbol “FANG”. There were 4,438 holders of record of our common stock on February 20,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2024, our board of directors approved a reduction in our return of capital commitment to our shareholders to at least 50% (down from 75%) of our quarterly Adjusted Free Cash Flow through repurchases under our share repurchase program, base dividends and variable dividends to accelerate the repayment of indebtedness incurred in connection with the Endeavor Acquisition and the Double Eagle Acquisition. Our board of directors intends to continue the payment of dividends to the holders of the Company’s common stock in the future; however, the Company can provide no assurance that dividends will be authorized or declared in the future or as to the amount or type of any future dividends. Our board of directors’ determination with respect to any such dividends, whether base or variable, including the record date, the payment date and the actual amount of the dividend, will depend upon our outlook for commodity prices, our profitability and financial condition, contractual restrictions, restrictions imposed by applicable law and other factors that the board deems relevant at the time of such determination.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the Company issued a total of 105,607 shares of common stock as partial consideration in connection with the acquisition of certain oil and gas leases from the sellers thereof in a private transaction exempt from registration pursuant to Section 4(a)(2) of the Securities Act.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repurchase activity for the three months ended December 31, 2025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69"/>
        <w:gridCol w:w="455"/>
        <w:gridCol w:w="459"/>
        <w:gridCol w:w="109"/>
        <w:gridCol w:w="109"/>
        <w:gridCol w:w="109"/>
        <w:gridCol w:w="481"/>
        <w:gridCol w:w="481"/>
        <w:gridCol w:w="482"/>
        <w:gridCol w:w="109"/>
        <w:gridCol w:w="109"/>
        <w:gridCol w:w="109"/>
        <w:gridCol w:w="283"/>
        <w:gridCol w:w="969"/>
        <w:gridCol w:w="146"/>
        <w:gridCol w:w="109"/>
        <w:gridCol w:w="109"/>
        <w:gridCol w:w="109"/>
        <w:gridCol w:w="689"/>
        <w:gridCol w:w="689"/>
        <w:gridCol w:w="691"/>
        <w:gridCol w:w="109"/>
        <w:gridCol w:w="109"/>
        <w:gridCol w:w="109"/>
        <w:gridCol w:w="513"/>
        <w:gridCol w:w="1504"/>
        <w:gridCol w:w="386"/>
      </w:tblGrid>
      <w:tr>
        <w:trPr/>
        <w:tc>
          <w:tcPr>
            <w:tcW w:w="66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 as Part of Publicly Announced Plan</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w:t>
            </w:r>
            <w:r>
              <w:rPr>
                <w:rFonts w:ascii="Times New Roman;serif" w:hAnsi="Times New Roman;serif"/>
                <w:b/>
                <w:color w:val="000000"/>
                <w:sz w:val="12"/>
              </w:rPr>
              <w:t>(4)(5)</w:t>
            </w:r>
          </w:p>
        </w:tc>
      </w:tr>
      <w:tr>
        <w:trPr/>
        <w:tc>
          <w:tcPr>
            <w:tcW w:w="1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3,301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pPr>
      <w:r>
        <w:rPr>
          <w:rFonts w:ascii="Times New Roman;serif" w:hAnsi="Times New Roman;serif"/>
          <w:b w:val="false"/>
          <w:color w:val="000000"/>
          <w:sz w:val="20"/>
        </w:rPr>
        <w:t>(2)Includes 2.0 million shares repurchased from SGF FANG Holdings, LP (“SGF”) during the fourth quarter of 2025 pursuant to a privately negotiated letter agreement dated November 28, 2025. For further discussion on the repurchase from SGF, see Note 7—</w:t>
      </w:r>
      <w:hyperlink w:anchor="i27ba2a247b584e1aae74c0210baff60c_1995">
        <w:r>
          <w:rPr>
            <w:rStyle w:val="InternetLink"/>
            <w:rFonts w:ascii="Times New Roman;serif" w:hAnsi="Times New Roman;serif"/>
            <w:b w:val="false"/>
            <w:color w:val="0000FF"/>
            <w:sz w:val="20"/>
            <w:u w:val="single"/>
          </w:rPr>
          <w:t>Related Party Transactions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average price paid per share includes any commissions paid to repurchase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 September 2021, our board of directors initiated our stock repurchase program. On July 31, 2025, our board of directors approved a $2.0 billion increase in our common stock repurchase program from $6.0 billion to $8.0 billion,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IRA, which was enacted into law on August 16, 2022, imposed a nondeductible 1% excise tax on the net value of certain stock repurchases made after December 31, 2022. All dollar amounts presented exclude such excise taxes,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and related information should not be deemed “soliciting material” or to be “filed” with the SEC, nor should such information be incorporated by reference into any future filing under the Securities Act of 1933, as amended, or the Securities Exchange Act of 1934, as amended, except to the extent that we specifically incorporate such information by reference into such a filing. The performance graph and information are included for historical comparative purposes only and should not be considered indicative of future stock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performance graph includes a comparison of our cumulative total stockholder return over a five-year period with the cumulative total returns of the Standard &amp; Poor’s 500 Stock Index, or the S&amp;P 500, and the SPDR S&amp;P Oil &amp; Gas Exploration and Production ETF, or XOP. The graph assumes an investment of $100 on December 31, 2020, and that all dividends were reinvested.</w:t>
      </w:r>
    </w:p>
    <w:p>
      <w:pPr>
        <w:pStyle w:val="TextBody"/>
        <w:bidi w:val="0"/>
        <w:spacing w:before="0" w:after="0"/>
        <w:ind w:left="0" w:right="0" w:firstLine="720"/>
        <w:jc w:val="both"/>
        <w:rPr/>
      </w:pPr>
      <w:r>
        <w:rPr/>
      </w:r>
    </w:p>
    <w:p>
      <w:pPr>
        <w:pStyle w:val="TextBody"/>
        <w:bidi w:val="0"/>
        <w:spacing w:before="0" w:after="0"/>
        <w:jc w:val="center"/>
        <w:rPr/>
      </w:pPr>
      <w:r>
        <w:rPr/>
        <w:drawing>
          <wp:inline distT="0" distB="0" distL="0" distR="0">
            <wp:extent cx="5838825" cy="3619500"/>
            <wp:effectExtent l="0" t="0" r="0" b="0"/>
            <wp:docPr id="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p>
      <w:pPr>
        <w:pStyle w:val="TextBody"/>
        <w:bidi w:val="0"/>
        <w:spacing w:before="0" w:after="0"/>
        <w:ind w:left="0" w:right="0" w:firstLine="720"/>
        <w:jc w:val="both"/>
        <w:rPr/>
      </w:pPr>
      <w:r>
        <w:rPr/>
      </w:r>
    </w:p>
    <w:tbl>
      <w:tblPr>
        <w:tblW w:w="8646" w:type="dxa"/>
        <w:jc w:val="left"/>
        <w:tblInd w:w="0" w:type="dxa"/>
        <w:tblLayout w:type="fixed"/>
        <w:tblCellMar>
          <w:top w:w="28" w:type="dxa"/>
          <w:left w:w="28" w:type="dxa"/>
          <w:bottom w:w="28" w:type="dxa"/>
          <w:right w:w="28" w:type="dxa"/>
        </w:tblCellMar>
      </w:tblPr>
      <w:tblGrid>
        <w:gridCol w:w="824"/>
        <w:gridCol w:w="726"/>
        <w:gridCol w:w="730"/>
        <w:gridCol w:w="259"/>
        <w:gridCol w:w="259"/>
        <w:gridCol w:w="263"/>
        <w:gridCol w:w="109"/>
        <w:gridCol w:w="109"/>
        <w:gridCol w:w="109"/>
        <w:gridCol w:w="259"/>
        <w:gridCol w:w="259"/>
        <w:gridCol w:w="263"/>
        <w:gridCol w:w="109"/>
        <w:gridCol w:w="109"/>
        <w:gridCol w:w="109"/>
        <w:gridCol w:w="259"/>
        <w:gridCol w:w="259"/>
        <w:gridCol w:w="263"/>
        <w:gridCol w:w="109"/>
        <w:gridCol w:w="109"/>
        <w:gridCol w:w="109"/>
        <w:gridCol w:w="259"/>
        <w:gridCol w:w="259"/>
        <w:gridCol w:w="263"/>
        <w:gridCol w:w="109"/>
        <w:gridCol w:w="109"/>
        <w:gridCol w:w="109"/>
        <w:gridCol w:w="259"/>
        <w:gridCol w:w="259"/>
        <w:gridCol w:w="263"/>
        <w:gridCol w:w="109"/>
        <w:gridCol w:w="109"/>
        <w:gridCol w:w="109"/>
        <w:gridCol w:w="240"/>
        <w:gridCol w:w="240"/>
        <w:gridCol w:w="346"/>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Calculated Values: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$383.98</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$195.98</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XOP</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$243.04</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following discussion and analysis should be read in conjunction with our consolidated financial statements and notes thereto in </w:t>
      </w:r>
      <w:hyperlink w:anchor="i27ba2a247b584e1aae74c0210baff60c_127">
        <w:r>
          <w:rPr>
            <w:rStyle w:val="InternetLink"/>
            <w:rFonts w:ascii="Times New Roman;serif" w:hAnsi="Times New Roman;serif"/>
            <w:b w:val="false"/>
            <w:i/>
            <w:color w:val="0000FF"/>
            <w:sz w:val="20"/>
            <w:u w:val="single"/>
          </w:rPr>
          <w:t>Item 8. Financial Statements and Supplementary Data</w:t>
        </w:r>
      </w:hyperlink>
      <w:r>
        <w:rPr>
          <w:color w:val="000000"/>
        </w:rPr>
        <w:t xml:space="preserve"> </w:t>
      </w:r>
      <w:r>
        <w:rPr>
          <w:rFonts w:ascii="Times New Roman;serif" w:hAnsi="Times New Roman;serif"/>
          <w:b w:val="false"/>
          <w:i/>
          <w:color w:val="000000"/>
          <w:sz w:val="20"/>
        </w:rPr>
        <w:t xml:space="preserve">of this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discussed further in </w:t>
      </w:r>
      <w:hyperlink w:anchor="i27ba2a247b584e1aae74c0210baff60c_46">
        <w:r>
          <w:rPr>
            <w:rStyle w:val="InternetLink"/>
            <w:rFonts w:ascii="Times New Roman;serif" w:hAnsi="Times New Roman;serif"/>
            <w:b w:val="false"/>
            <w:i/>
            <w:color w:val="0000FF"/>
            <w:sz w:val="20"/>
            <w:u w:val="single"/>
          </w:rPr>
          <w:t>Item 1A. Risk Factors</w:t>
        </w:r>
      </w:hyperlink>
      <w:r>
        <w:rPr>
          <w:color w:val="000000"/>
        </w:rPr>
        <w:t xml:space="preserve"> </w:t>
      </w:r>
      <w:r>
        <w:rPr>
          <w:rFonts w:ascii="Times New Roman;serif" w:hAnsi="Times New Roman;serif"/>
          <w:b w:val="false"/>
          <w:i/>
          <w:color w:val="000000"/>
          <w:sz w:val="20"/>
        </w:rPr>
        <w:t xml:space="preserve">and </w:t>
      </w:r>
      <w:hyperlink w:anchor="i27ba2a247b584e1aae74c0210baff60c_16">
        <w:r>
          <w:rPr>
            <w:rStyle w:val="InternetLink"/>
            <w:rFonts w:ascii="Times New Roman;serif" w:hAnsi="Times New Roman;serif"/>
            <w:b w:val="false"/>
            <w:i/>
            <w:color w:val="0000FF"/>
            <w:sz w:val="20"/>
            <w:u w:val="single"/>
          </w:rPr>
          <w:t>Cautionary Statement Regarding Forward-Looking Statements</w:t>
        </w:r>
      </w:hyperlink>
      <w:r>
        <w:rPr>
          <w:color w:val="000000"/>
        </w:rPr>
        <w:t xml:space="preserve"> </w:t>
      </w:r>
      <w:r>
        <w:rPr>
          <w:rFonts w:ascii="Times New Roman;serif" w:hAnsi="Times New Roman;serif"/>
          <w:b w:val="false"/>
          <w:i/>
          <w:color w:val="000000"/>
          <w:sz w:val="20"/>
        </w:rPr>
        <w:t>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an independent oil and natural gas company focused on the acquisition, development, exploration and exploitation of unconventional, onshore oil and natural gas reserves primarily in the Permian Basin in West Texas. As of December 31, 2025, we have one reportable segment, the upstream segment. See Note 1—</w:t>
      </w:r>
      <w:hyperlink w:anchor="i27ba2a247b584e1aae74c0210baff60c_151">
        <w:r>
          <w:rPr>
            <w:rStyle w:val="InternetLink"/>
            <w:rFonts w:ascii="Times New Roman;serif" w:hAnsi="Times New Roman;serif"/>
            <w:b w:val="false"/>
            <w:color w:val="0000FF"/>
            <w:sz w:val="20"/>
            <w:u w:val="single"/>
          </w:rPr>
          <w:t>Description of the Business and Basis of Presentation</w:t>
        </w:r>
      </w:hyperlink>
      <w:r>
        <w:rPr>
          <w:color w:val="000000"/>
        </w:rPr>
        <w:t xml:space="preserve"> </w:t>
      </w:r>
      <w:r>
        <w:rPr>
          <w:rFonts w:ascii="Times New Roman;serif" w:hAnsi="Times New Roman;serif"/>
          <w:b w:val="false"/>
          <w:color w:val="000000"/>
          <w:sz w:val="20"/>
        </w:rPr>
        <w:t>and Note 17—</w:t>
      </w:r>
      <w:hyperlink w:anchor="i27ba2a247b584e1aae74c0210baff60c_202">
        <w:r>
          <w:rPr>
            <w:rStyle w:val="InternetLink"/>
            <w:rFonts w:ascii="Times New Roman;serif" w:hAnsi="Times New Roman;serif"/>
            <w:b w:val="false"/>
            <w:color w:val="0000FF"/>
            <w:sz w:val="20"/>
            <w:u w:val="single"/>
          </w:rPr>
          <w:t>Segment Information</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Financial and Operating Highlights</w:t>
      </w:r>
    </w:p>
    <w:p>
      <w:pPr>
        <w:pStyle w:val="TextBody"/>
        <w:bidi w:val="0"/>
        <w:spacing w:before="0" w:after="0"/>
        <w:ind w:left="0" w:right="0" w:firstLine="72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Recorded net income of $1.7 billion, which includes impairment of approximately $3.7 billion recorded on our proved oil and natural gas properties during the fourth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cash operating costs were $10.23 per BOE, including lease operating expenses of $5.55 per BOE, cash general and administrative expenses of $0.62 per BOE and production and ad valorem taxes and gathering, processing and transportation expenses of $4.06 per BOE.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Incurred cash capital expenditures, excluding acquisitions, of $3.5 billion.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Paid dividends to stockholders of $1.2 billion during 2025 and declared a base cash dividend payable in the first quarter of 2026 of $1.05 per share of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our common stock repurchase program authorization to $8.0 billion, excluding excise taxes, and repurchased $2.0 billion of our common stock in 2025, leaving approximately $2.7 billion available for future repurchases at December 31,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Issued $1.2 billion aggregate principal amount of 5.550% Senior Notes due April 1, 2035 (the “2035 Notes”) to fund a portion of the cash consideration for the Double Eagle Acquisition.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Repurchased an aggregate of approximately $455 million of our senior notes.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average production was 921.0 MBOE/d.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Drilled 463 gross horizontal wells (including 459 in the Midland Basin and 4 in the Delaware Basin).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Turned 503 gross operated horizontal wells (including 488 in the Midland Basin and 15 in the Delaware Basin) to production.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December 31, 2025, we had approximately 869,036 net acres in the Permian Basin, which primarily consisted of 774,645 net acres in the Midland Basin and 94,391 net acres in the Delaware Basin. As of December 31, 2025, we had an estimated 8,854 gross horizontal locations that we believe to be economic at $50.00 per Bbl WTI. Our publicly traded subsidiary, Viper, also owns mineral interests underlying approximately 36,004 net royalty acres in the Delaware Basin and approximately 50,595 net royalty acres in the Midland Basin. We operate approximately 35% of these net royalty acres.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Transactions and Recent Developments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Acquisition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EPIC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we divested our 27.5% equity interest in EPIC for approximately $504 million in cash and an additional $96 million in contingent consideration (the “EPIC Divestiture”), which resulted in a gain on the sale of equity method investments of approximately $299 million. The gain is included in the caption “Other income (expense), net” on the consolidated statements of operations for the year ended December 31,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Water Assets to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2025, we divested EDS, a subsidiary originally acquired in connection with the Endeavor Acquisition, to our affiliate, Deep Blue Midland Basin LLC (“Deep Blue”), in exchange for upfront net cash proceeds of $694 million, subject to customary post-closing adjustments, and approximately $34 million of additional equity interests issued by Deep Blue as non-cash consideration. This transaction provides for the potential for us to earn up to an additional $200 million. If certain completion thresholds are not met, we could owe up to $150 million in contingent consideration for the years 2026 through 2028. The divestiture resulted in a gain of approximately $168 million, which is included in the caption “Other operating expenses, net” on the consolidated statements of operations for the year ended December 31, 2025. As part of the divestiture, we renewed our 15-year dedication to Deep Blue for its produced water and supply water within a 12-county area of mutual interest in the Midland Basin.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our wholly owned subsidiary, EER LP, divested the Endeavor Subsidiaries to Viper and Viper LLC in exchange for consideration consisting of (i) $873 million in cash including customary post-closing adjustments, and (ii) the issuance of 69.63 million Viper LLC units and an equal number of shares of Viper’s Class B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 2025, we completed the Double Eagle Acquisition for consideration of $3.1 billion in cash and approximately 6.84 million shares of our common stock, including transaction costs and certain customary post-closing adjustments. The Double Eagle Acquisition consisted of approximately 67,700 gross (40,000 net) acres, which are primarily located in the Midland Basin, and approximately 407 gross (342 net) horizontal locations in primary development targets.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Viper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February 9, 2026, Viper completed the Viper Non-Permian Divestiture for net cash proceeds of approximately $617 million, subject to customary post-closing adjustments. The divested properties consisted of approximately 9,400 net royalty acres in the Denver-Julesburg, Eagle Ford and Williston basins with current production of approximately 4,750 BO/d. Proceeds from the Viper Non-Permian Divestiture were used to repay the Viper 2025 Term Loan (as defined below) and to reduce borrowings outstanding on the Viper Revolving Credit Facility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Viper and Viper LLC completed the Sitio Acquisition in an all-equity transaction valued at approximately $4.0 billion, including customary transaction costs and post-closing adjustments and the partial retirement of Sitio’s net debt of approximately $1.2 billion. 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and Note 16—</w:t>
      </w:r>
      <w:hyperlink w:anchor="i27ba2a247b584e1aae74c0210baff60c_199">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the acquisitions and divestitures discussed above.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Capital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Double Eagle Acquisition, Diamondback Energy, Inc., as guarantor, entered into a term loan credit agreement with Diamondback E&amp;P, as borrower, and Bank of America, N.A., as administrative agent (the “2025 Term Loan”). The 2025 Term Loan provided the Company with the ability to borrow up to $1.5 billion, which we drew in a single borrowing to fund a portion of the cash consideration for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2035 Notes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20, 2025, we issued the 2035 Notes for net proceeds of $1.2 billion, after underwriters’ discounts and transaction costs, which we used to fund a portion of the cash consideration for the Double Eagle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Diamondback 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opportunistically repurchased an aggregate principal amount of $455 million of our senior notes in open market transactions for total cash consideration, including accrued interest paid, of approximately $363 million, at an average of 79.3% of par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Viper Capital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Viper 2025 Notes Offering and 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LLC issued $1.6 billion in aggregate principal amount of senior notes consisting of (i) $500 million aggregate principal amount of 4.900% Senior Notes due August 1, 2030 (the “Viper 2030 Notes”), and (ii) $1.1 billion aggregate principal amount of 5.700% Senior Notes due August 1, 2035 (the “Viper 2035 Notes” and together with the Viper 2030 Notes, the “Viper 2025 Notes”). Viper used approximately $824 million of the net proceeds from the issuance of the Viper 2025 Notes to redeem all of Viper’s 7.375% Senior Notes maturing on November 1, 2031 (the “Viper 2031 Notes”), and on November 1, 2025, Viper redeemed all of their 5.375% Senior Notes due 2027 (the “Viper 2027 Notes”), including accrued and unpaid interest through the date of redemption and any redemption premiums. Viper used the remaining net proceeds to partially retire Sitio’s net debt of approximately $1.2 billion including any fees, costs and expenses related to the redemption or repayment of such debt, and for general corporate purposes. On December 23, 2025, Viper Energy Partners LLC converted its legal form (the “Viper LLC Conversion”), in accordance with the applicable laws of the State of Delaware, to a Delaware limited partnership named Viper Energy Partners LP (“Viper LP”), which is now the issuer under the Viper 2025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Viper 2025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Former Viper, as guarantor, Viper LLC, as borrower, and Goldman Sachs Bank USA, as administrative agent, entered into a $500 million term loan credit agreement (the “Viper 2025 Term Loan”), which was fully drawn to partially fund the retirement of Sitio’s net debt. Following the closing of the Sitio Acquisition, New Viper became an additional guarantor of the borrower’s obligations under the Viper 2025 Term Loan. Further, after the Viper LLC Conversion, Viper LP, as successor to Viper Energy Partners LLC, became the borrower with respect to the Viper 2025 Term Loan. The Viper 2025 Term Loan was repaid in full in February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Viper 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2025, Viper completed an underwritten public offering of approximately 28.34 million shares of its Class A common stock, which included approximately 3.70 million shares issued pursuant to an option to purchase additional shares of its Class A common stock granted to the underwriters at a price to the public of $44.50 per share, for total net proceeds to Viper of approximately $1.2 billion, after the underwriters’ discount and transaction costs (the “Viper 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and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the capital transactions above.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Prices for oil, natural gas and natural gas liquids are determined primarily by prevailing market conditions. Regional and worldwide economic activity, changes in trade or other government policies or regulations, including with respect to U.S. energy and monetary policies, tariffs or other trade barriers and any resulting trade tensions, regional conflicts and political instability, extreme weather conditions and other substantially variable factors, influence market conditions for these products. These factors are beyond our control and are difficult to predict. During 2025, 2024 and 2023, WTI prices averaged $64.73, $75.76 and $77.60 per Bbl, respectively, and Henry Hub prices averaged $3.62, $2.41 and $2.66 per MMBtu,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overall decline in SEC Prices through 2025 as compared to 2024, we believe a material non-cash impairment of our assets is reasonably likely to occur in the first quarter of 2026. In addition to commodity prices, our production rates, levels of proved reserves, future development costs, transfers of unevaluated properties, income tax rate assumptions and other factors will determine our actual ceiling test calculation and impairment analysis in future periods. Based on the number of factors that may impact our future estimate of proved reserves, we are currently unable to determine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estimate of the amount or range of amounts of any potential impairment charge in the first quarter of 2026. Impairment charges affect our results of operations but do not reduce our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additional information around risks related to commodity prices, see </w:t>
      </w:r>
      <w:hyperlink w:anchor="i27ba2a247b584e1aae74c0210baff60c_121">
        <w:r>
          <w:rPr>
            <w:rStyle w:val="InternetLink"/>
            <w:rFonts w:ascii="Times New Roman;serif" w:hAnsi="Times New Roman;serif"/>
            <w:b w:val="false"/>
            <w:color w:val="0000FF"/>
            <w:sz w:val="20"/>
            <w:u w:val="single"/>
          </w:rPr>
          <w:t>Item 7A. Quantitative and Qualitative Disclosures About Market Risk—Commodity Price Risk</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capital expenditures for 2025 were consistent with our guidance presented in November 2025. Given the soft outlook for oil prices currently, our 2026 plan is to keep activity and production essentially flat relative to our fourth quarter 2025 levels at approximately 926 MBOE/d to 962 MBOE/d, as adjusted for the impact of the Viper Non-Permian Divestiture. We have currently budgeted 2026 total cash capital spend of $3.60 billion to $3.90 billion, which at the midpoint is an increase of 7% from our 2025 cash capital budget. In 2026, we will continue to target an industry</w:t>
        <w:noBreakHyphen/>
        <w:t>leading breakeven oil price by capturing incremental technical and operational efficiencies, driving higher margins and maximizing Adjusted Free Cash Flow to fund our dividend, opportunistically repurchase shares, and continue strengthening the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approved a return of capital commitment to our shareholders of at least 50% of our quarterly Adjusted Free Cash Flow. We exceeded our commitment to sell at least $1.5 billion of non-core assets during 2025 to help accelerate debt reduction and maintain a strong balance sheet. We also remain focused on our long-term priority to return cash to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we successfully delineated the Barnett/Woodford zone across our Midland Basin acreage, confirming reservoir continuity and improving our development line of sight, which will add meaningful incremental drilling locations to our inventory. As a result, we plan to allocate approximately 3% to 4% of our 2026 total capital budget to further advance the Barnett/Woodford across our acreage.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were operating 15 drilling rigs and four completion crews and currently intend to operate between 15 and 18 drilling rigs and approximately five completion crews in 2026 on average across our current acreage position in the Midland and Delaware Basins.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a discussion of the results of operations for the year ended December 31, 2024 as compared to the year ended December 31, 2023, please refer to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"https://www.sec.gov/ix?doc=/Archives/edgar/data/1539838/000153983825000021/fang-20241231.htm" \l "i053f68c8a5b54cc6914592ae094665f7_49"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II. Item 7. Management’s Discussion and Analysis of Financial Condition and Results of Operations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2024 (filed with the SEC on February 26, 2025), which is incorporated in this report by reference from such prior report on Form 10-K.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historical operating data for the periods indicated:</w:t>
      </w:r>
    </w:p>
    <w:p>
      <w:pPr>
        <w:pStyle w:val="TextBody"/>
        <w:bidi w:val="0"/>
        <w:spacing w:before="0" w:after="0"/>
        <w:ind w:left="0" w:right="0" w:firstLine="720"/>
        <w:jc w:val="both"/>
        <w:rPr/>
      </w:pPr>
      <w:r>
        <w:rPr/>
      </w:r>
    </w:p>
    <w:tbl>
      <w:tblPr>
        <w:tblW w:w="6833" w:type="dxa"/>
        <w:jc w:val="left"/>
        <w:tblInd w:w="0" w:type="dxa"/>
        <w:tblLayout w:type="fixed"/>
        <w:tblCellMar>
          <w:top w:w="28" w:type="dxa"/>
          <w:left w:w="28" w:type="dxa"/>
          <w:bottom w:w="28" w:type="dxa"/>
          <w:right w:w="28" w:type="dxa"/>
        </w:tblCellMar>
      </w:tblPr>
      <w:tblGrid>
        <w:gridCol w:w="1586"/>
        <w:gridCol w:w="1392"/>
        <w:gridCol w:w="1401"/>
        <w:gridCol w:w="211"/>
        <w:gridCol w:w="721"/>
        <w:gridCol w:w="109"/>
        <w:gridCol w:w="109"/>
        <w:gridCol w:w="109"/>
        <w:gridCol w:w="109"/>
        <w:gridCol w:w="211"/>
        <w:gridCol w:w="721"/>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(in millions):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Data. </w:t>
      </w:r>
      <w:r>
        <w:rPr>
          <w:rFonts w:ascii="Times New Roman;serif" w:hAnsi="Times New Roman;serif"/>
          <w:b w:val="false"/>
          <w:color w:val="000000"/>
          <w:sz w:val="20"/>
        </w:rPr>
        <w:t>Substantially all of our revenues are generated through the sale of oil, natural gas and natural gas liquids production. The following table provides information on the mix of our production for the periods indicated:</w:t>
      </w:r>
    </w:p>
    <w:p>
      <w:pPr>
        <w:pStyle w:val="TextBody"/>
        <w:bidi w:val="0"/>
        <w:spacing w:before="0" w:after="0"/>
        <w:ind w:left="0" w:right="0" w:firstLine="720"/>
        <w:jc w:val="both"/>
        <w:rPr/>
      </w:pPr>
      <w:r>
        <w:rPr/>
      </w:r>
    </w:p>
    <w:tbl>
      <w:tblPr>
        <w:tblW w:w="4762" w:type="dxa"/>
        <w:jc w:val="left"/>
        <w:tblInd w:w="0" w:type="dxa"/>
        <w:tblLayout w:type="fixed"/>
        <w:tblCellMar>
          <w:top w:w="28" w:type="dxa"/>
          <w:left w:w="28" w:type="dxa"/>
          <w:bottom w:w="28" w:type="dxa"/>
          <w:right w:w="28" w:type="dxa"/>
        </w:tblCellMar>
      </w:tblPr>
      <w:tblGrid>
        <w:gridCol w:w="857"/>
        <w:gridCol w:w="753"/>
        <w:gridCol w:w="760"/>
        <w:gridCol w:w="232"/>
        <w:gridCol w:w="234"/>
        <w:gridCol w:w="433"/>
        <w:gridCol w:w="174"/>
        <w:gridCol w:w="174"/>
        <w:gridCol w:w="174"/>
        <w:gridCol w:w="232"/>
        <w:gridCol w:w="234"/>
        <w:gridCol w:w="505"/>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See </w:t>
      </w:r>
      <w:hyperlink w:anchor="i27ba2a247b584e1aae74c0210baff60c_22">
        <w:r>
          <w:rPr>
            <w:rStyle w:val="InternetLink"/>
            <w:rFonts w:ascii="Times New Roman;serif" w:hAnsi="Times New Roman;serif"/>
            <w:b w:val="false"/>
            <w:color w:val="0000FF"/>
            <w:sz w:val="20"/>
            <w:u w:val="single"/>
          </w:rPr>
          <w:t>Items 1 and 2. Business and Properties</w:t>
        </w:r>
      </w:hyperlink>
      <w:r>
        <w:rPr>
          <w:color w:val="000000"/>
        </w:rPr>
        <w:t>—</w:t>
      </w:r>
      <w:r>
        <w:rPr>
          <w:rFonts w:ascii="Times New Roman;serif" w:hAnsi="Times New Roman;serif"/>
          <w:b w:val="false"/>
          <w:color w:val="000000"/>
          <w:sz w:val="20"/>
        </w:rPr>
        <w:t>Oil and Natural Gas Data—Oil and Natural Gas Production and Price History of this report for further discussion of production by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Oil, Natural Gas and Natural Gas Liquids Revenues. </w:t>
      </w:r>
      <w:r>
        <w:rPr>
          <w:rFonts w:ascii="Times New Roman;serif" w:hAnsi="Times New Roman;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oil, natural gas and natural gas liquids revenues increased by approximately $3.4 billion, or 33%, to $13.5 billion in 2025 compared to 2024. This net increase consisted of an additional $4.9 billion attributable to the 54% growth in our combined production volumes, partially offset by a net reduction of $1.6 billion primarily due to lower average prices received for our oil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42% of the growth in our combined production volumes is attributable to new wells added between periods, 41% of the increase is attributable to the Endeavor Acquisition and 12% is attributable to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the Endeavor Acquisition and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Net Sales of Purchased Oil</w:t>
      </w:r>
      <w:r>
        <w:rPr>
          <w:rFonts w:ascii="Times New Roman;serif" w:hAnsi="Times New Roman;serif"/>
          <w:b w:val="false"/>
          <w:color w:val="000000"/>
          <w:sz w:val="20"/>
        </w:rPr>
        <w:t>. We enter into purchase transactions with third parties and separate sale transactions with third parties to satisfy certain of our unused oil pipeline capacity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sales of purchased oil from third parties for the periods indicated:</w:t>
      </w:r>
    </w:p>
    <w:p>
      <w:pPr>
        <w:pStyle w:val="TextBody"/>
        <w:bidi w:val="0"/>
        <w:spacing w:before="0" w:after="0"/>
        <w:ind w:left="0" w:right="0" w:firstLine="720"/>
        <w:jc w:val="both"/>
        <w:rPr/>
      </w:pPr>
      <w:r>
        <w:rPr/>
      </w:r>
    </w:p>
    <w:tbl>
      <w:tblPr>
        <w:tblW w:w="4345" w:type="dxa"/>
        <w:jc w:val="left"/>
        <w:tblInd w:w="0" w:type="dxa"/>
        <w:tblLayout w:type="fixed"/>
        <w:tblCellMar>
          <w:top w:w="28" w:type="dxa"/>
          <w:left w:w="28" w:type="dxa"/>
          <w:bottom w:w="28" w:type="dxa"/>
          <w:right w:w="28" w:type="dxa"/>
        </w:tblCellMar>
      </w:tblPr>
      <w:tblGrid>
        <w:gridCol w:w="793"/>
        <w:gridCol w:w="695"/>
        <w:gridCol w:w="702"/>
        <w:gridCol w:w="217"/>
        <w:gridCol w:w="635"/>
        <w:gridCol w:w="112"/>
        <w:gridCol w:w="112"/>
        <w:gridCol w:w="112"/>
        <w:gridCol w:w="112"/>
        <w:gridCol w:w="217"/>
        <w:gridCol w:w="480"/>
        <w:gridCol w:w="158"/>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oil expense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of purchased oil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Revenues.</w:t>
      </w:r>
      <w:r>
        <w:rPr>
          <w:color w:val="000000"/>
        </w:rPr>
        <w:t xml:space="preserve"> </w:t>
      </w:r>
      <w:r>
        <w:rPr>
          <w:rFonts w:ascii="Times New Roman;serif" w:hAnsi="Times New Roman;serif"/>
          <w:b w:val="false"/>
          <w:color w:val="000000"/>
          <w:sz w:val="20"/>
        </w:rPr>
        <w:t>The following table shows the other revenues for the periods indicated:</w:t>
      </w:r>
    </w:p>
    <w:p>
      <w:pPr>
        <w:pStyle w:val="TextBody"/>
        <w:bidi w:val="0"/>
        <w:spacing w:before="0" w:after="0"/>
        <w:ind w:left="0" w:right="0" w:firstLine="720"/>
        <w:jc w:val="both"/>
        <w:rPr/>
      </w:pPr>
      <w:r>
        <w:rPr/>
      </w:r>
    </w:p>
    <w:tbl>
      <w:tblPr>
        <w:tblW w:w="4193" w:type="dxa"/>
        <w:jc w:val="left"/>
        <w:tblInd w:w="0" w:type="dxa"/>
        <w:tblLayout w:type="fixed"/>
        <w:tblCellMar>
          <w:top w:w="28" w:type="dxa"/>
          <w:left w:w="28" w:type="dxa"/>
          <w:bottom w:w="28" w:type="dxa"/>
          <w:right w:w="28" w:type="dxa"/>
        </w:tblCellMar>
      </w:tblPr>
      <w:tblGrid>
        <w:gridCol w:w="738"/>
        <w:gridCol w:w="648"/>
        <w:gridCol w:w="654"/>
        <w:gridCol w:w="262"/>
        <w:gridCol w:w="449"/>
        <w:gridCol w:w="135"/>
        <w:gridCol w:w="135"/>
        <w:gridCol w:w="135"/>
        <w:gridCol w:w="135"/>
        <w:gridCol w:w="262"/>
        <w:gridCol w:w="449"/>
        <w:gridCol w:w="191"/>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operating income increased by $54 million in 2025 compared to 2024 primarily due to (i) a $35 million increase in midstream revenues attributable to assets acquired in the Endeavor Acquisition, and (ii) a $19 million increase in lease bonus income received during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Lease Operating Expenses.</w:t>
      </w:r>
      <w:r>
        <w:rPr>
          <w:color w:val="000000"/>
        </w:rPr>
        <w:t xml:space="preserve"> </w:t>
      </w:r>
      <w:r>
        <w:rPr>
          <w:rFonts w:ascii="Times New Roman;serif" w:hAnsi="Times New Roman;serif"/>
          <w:b w:val="false"/>
          <w:color w:val="000000"/>
          <w:sz w:val="20"/>
        </w:rPr>
        <w:t>The following table shows lease operating expenses for the periods indicated:</w:t>
      </w:r>
    </w:p>
    <w:p>
      <w:pPr>
        <w:pStyle w:val="TextBody"/>
        <w:bidi w:val="0"/>
        <w:spacing w:before="0" w:after="0"/>
        <w:ind w:left="0" w:right="0" w:firstLine="720"/>
        <w:jc w:val="both"/>
        <w:rPr/>
      </w:pPr>
      <w:r>
        <w:rPr/>
      </w:r>
    </w:p>
    <w:tbl>
      <w:tblPr>
        <w:tblW w:w="7634" w:type="dxa"/>
        <w:jc w:val="left"/>
        <w:tblInd w:w="0" w:type="dxa"/>
        <w:tblLayout w:type="fixed"/>
        <w:tblCellMar>
          <w:top w:w="28" w:type="dxa"/>
          <w:left w:w="28" w:type="dxa"/>
          <w:bottom w:w="28" w:type="dxa"/>
          <w:right w:w="28" w:type="dxa"/>
        </w:tblCellMar>
      </w:tblPr>
      <w:tblGrid>
        <w:gridCol w:w="1112"/>
        <w:gridCol w:w="977"/>
        <w:gridCol w:w="985"/>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operating expenses increased by $579 million in 2025 compared to 2024. The increase primarily consists of (i) $368 million of costs associated with operating wells acquired in the Endeavor Acquisition and the Double Eagle Acquisition, (ii) $114 million in additional well workover, artificial lift, maintenance and utility costs, (iii) $66 million of additional costs related to higher legacy production volumes, (iv) $23 million in additional expense due to an increase in our average working interest, and (v) other individually insignificant changes. Currently, we estimate expenditures for lease operating expenses may range between approximately $2.0 billion and $2.2 billion in 2026 at the midpoint of expected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Production and Ad Valorem Tax Expense.</w:t>
      </w:r>
      <w:r>
        <w:rPr>
          <w:color w:val="000000"/>
        </w:rPr>
        <w:t xml:space="preserve"> </w:t>
      </w:r>
      <w:r>
        <w:rPr>
          <w:rFonts w:ascii="Times New Roman;serif" w:hAnsi="Times New Roman;serif"/>
          <w:b w:val="false"/>
          <w:color w:val="000000"/>
          <w:sz w:val="20"/>
        </w:rPr>
        <w:t>The following table shows production and ad valorem tax expense for the periods indicated: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79"/>
        <w:gridCol w:w="443"/>
        <w:gridCol w:w="446"/>
        <w:gridCol w:w="211"/>
        <w:gridCol w:w="466"/>
        <w:gridCol w:w="109"/>
        <w:gridCol w:w="109"/>
        <w:gridCol w:w="109"/>
        <w:gridCol w:w="109"/>
        <w:gridCol w:w="211"/>
        <w:gridCol w:w="511"/>
        <w:gridCol w:w="109"/>
        <w:gridCol w:w="109"/>
        <w:gridCol w:w="109"/>
        <w:gridCol w:w="109"/>
        <w:gridCol w:w="413"/>
        <w:gridCol w:w="413"/>
        <w:gridCol w:w="1031"/>
        <w:gridCol w:w="109"/>
        <w:gridCol w:w="109"/>
        <w:gridCol w:w="109"/>
        <w:gridCol w:w="211"/>
        <w:gridCol w:w="466"/>
        <w:gridCol w:w="109"/>
        <w:gridCol w:w="109"/>
        <w:gridCol w:w="109"/>
        <w:gridCol w:w="109"/>
        <w:gridCol w:w="211"/>
        <w:gridCol w:w="511"/>
        <w:gridCol w:w="109"/>
        <w:gridCol w:w="109"/>
        <w:gridCol w:w="109"/>
        <w:gridCol w:w="109"/>
        <w:gridCol w:w="394"/>
        <w:gridCol w:w="387"/>
        <w:gridCol w:w="1130"/>
      </w:tblGrid>
      <w:tr>
        <w:trPr/>
        <w:tc>
          <w:tcPr>
            <w:tcW w:w="67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and ad valorem taxes are based, among other factors, on property values driven by prior year commodity prices. For 2025 compared to 2024, both production taxes and ad valorem taxes as a percentage of oil, natural gas and natural gas liquids revenues remained relatively flat. Rates per BOE for both production taxes and ad valorem taxes declined primarily due to the increase in production volumes for 2025 compared to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Gathering, Processing and Transportation Expense.</w:t>
      </w:r>
      <w:r>
        <w:rPr>
          <w:color w:val="000000"/>
        </w:rPr>
        <w:t xml:space="preserve"> </w:t>
      </w:r>
      <w:r>
        <w:rPr>
          <w:rFonts w:ascii="Times New Roman;serif" w:hAnsi="Times New Roman;serif"/>
          <w:b w:val="false"/>
          <w:color w:val="000000"/>
          <w:sz w:val="20"/>
        </w:rPr>
        <w:t>The following table shows gathering, processing and transportation expense for the periods indicated:</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Gathering, processing and transportation expense increased by $159 million in 2025 compared to 2024 primarily due to (i) $54 million incurred on additional production acquired in the Endeavor Acquisition, (ii) an additional $44 million in transportation costs incurred to meet our minimum volume commitments on certain pipelines, (iii) $34 million associated with production from new wells completed between 2025 and 2024, (iv) $18 million related to new firm transportation contracts that became effective during 2025, and (v) other individually insignificant changes. Currently, we estimate expenditures for gathering, processing and transportation may range between approximately $507 million and $597 million in 2026 at the midpoint of expected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Depreciation, Depletion, Amortization and Accretion. </w:t>
      </w:r>
      <w:r>
        <w:rPr>
          <w:rFonts w:ascii="Times New Roman;serif" w:hAnsi="Times New Roman;serif"/>
          <w:b w:val="false"/>
          <w:color w:val="000000"/>
          <w:sz w:val="20"/>
        </w:rPr>
        <w:t>The following table shows the components of our depreciation, depletion and amortization expense for the periods indicated:</w:t>
      </w:r>
    </w:p>
    <w:p>
      <w:pPr>
        <w:pStyle w:val="TextBody"/>
        <w:bidi w:val="0"/>
        <w:spacing w:before="0" w:after="0"/>
        <w:ind w:left="0" w:right="0" w:firstLine="720"/>
        <w:jc w:val="both"/>
        <w:rPr/>
      </w:pPr>
      <w:r>
        <w:rPr/>
      </w:r>
    </w:p>
    <w:tbl>
      <w:tblPr>
        <w:tblW w:w="7283" w:type="dxa"/>
        <w:jc w:val="left"/>
        <w:tblInd w:w="0" w:type="dxa"/>
        <w:tblLayout w:type="fixed"/>
        <w:tblCellMar>
          <w:top w:w="28" w:type="dxa"/>
          <w:left w:w="28" w:type="dxa"/>
          <w:bottom w:w="28" w:type="dxa"/>
          <w:right w:w="28" w:type="dxa"/>
        </w:tblCellMar>
      </w:tblPr>
      <w:tblGrid>
        <w:gridCol w:w="1824"/>
        <w:gridCol w:w="1601"/>
        <w:gridCol w:w="1614"/>
        <w:gridCol w:w="211"/>
        <w:gridCol w:w="616"/>
        <w:gridCol w:w="109"/>
        <w:gridCol w:w="109"/>
        <w:gridCol w:w="109"/>
        <w:gridCol w:w="109"/>
        <w:gridCol w:w="211"/>
        <w:gridCol w:w="616"/>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BOE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proved oil and natural gas properties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other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depletion rate per BOE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increase in depletion of proved oil and natural gas properties of $2.1 billion in 2025 as compared to 2024 consists primarily of $1.5 billion from growth in production volumes and $672 million due to an increase in the depletion rate resulting largely from the addition of higher value leasehold costs and proved reserves from the Endeavor Acquisition, the Double Eagle Acquisition and, to a lesser extent, Viper’s Sitio Acquisition and Viper’s Tumbleweed Acquisitions (as defined and discussed in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Impairment of Oil and Natural Gas Properties.</w:t>
      </w:r>
      <w:r>
        <w:rPr>
          <w:color w:val="000000"/>
        </w:rPr>
        <w:t xml:space="preserve"> </w:t>
      </w:r>
      <w:r>
        <w:rPr>
          <w:rFonts w:ascii="Times New Roman;serif" w:hAnsi="Times New Roman;serif"/>
          <w:b w:val="false"/>
          <w:color w:val="000000"/>
          <w:sz w:val="20"/>
        </w:rPr>
        <w:t>The following table shows impairment of oil and natural gas properties for the periods indicated:</w:t>
      </w:r>
    </w:p>
    <w:p>
      <w:pPr>
        <w:pStyle w:val="TextBody"/>
        <w:bidi w:val="0"/>
        <w:spacing w:before="0" w:after="0"/>
        <w:ind w:left="0" w:right="0" w:firstLine="720"/>
        <w:jc w:val="both"/>
        <w:rPr/>
      </w:pPr>
      <w:r>
        <w:rPr/>
      </w:r>
    </w:p>
    <w:tbl>
      <w:tblPr>
        <w:tblW w:w="5815" w:type="dxa"/>
        <w:jc w:val="left"/>
        <w:tblInd w:w="0" w:type="dxa"/>
        <w:tblLayout w:type="fixed"/>
        <w:tblCellMar>
          <w:top w:w="28" w:type="dxa"/>
          <w:left w:w="28" w:type="dxa"/>
          <w:bottom w:w="28" w:type="dxa"/>
          <w:right w:w="28" w:type="dxa"/>
        </w:tblCellMar>
      </w:tblPr>
      <w:tblGrid>
        <w:gridCol w:w="1324"/>
        <w:gridCol w:w="1162"/>
        <w:gridCol w:w="1173"/>
        <w:gridCol w:w="224"/>
        <w:gridCol w:w="654"/>
        <w:gridCol w:w="115"/>
        <w:gridCol w:w="115"/>
        <w:gridCol w:w="115"/>
        <w:gridCol w:w="115"/>
        <w:gridCol w:w="224"/>
        <w:gridCol w:w="431"/>
        <w:gridCol w:w="163"/>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non-cash ceiling test impairment charge of $3.7 billion for the year ended December 31, 2025 primarily resulted from the decline in SEC Prices during 2025. Impairment charges affect our results of operations but do not reduce our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commodity prices, our production rates, levels of proved reserves, future development costs, transfers of unevaluated properties, income tax rate assumptions and other factors will determine our actual ceiling test calculation and impairment analysis in future periods. If the trailing 12-month commodity prices fall as compared to the commodity prices used in prior quarters, we may have material write-downs in subsequent quarters. Given the overall decline in SEC Prices from the first quarter of 2025 through the first two months of 2026, we believe an additional material non-cash impairment of our assets is reasonably likely to occur in the first quarter of 2026; however, based on the number of factors that may impact our future estimate of proved reserves, we are currently unable to determine an estimate of the amount or range of amounts of any potential impairment charge in the first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The following table shows the components of general and administrative expenses for the periods indicated:</w:t>
      </w:r>
    </w:p>
    <w:p>
      <w:pPr>
        <w:pStyle w:val="TextBody"/>
        <w:bidi w:val="0"/>
        <w:spacing w:before="0" w:after="0"/>
        <w:ind w:left="0" w:right="0" w:firstLine="720"/>
        <w:jc w:val="both"/>
        <w:rPr/>
      </w:pPr>
      <w:r>
        <w:rPr/>
      </w:r>
    </w:p>
    <w:tbl>
      <w:tblPr>
        <w:tblW w:w="7800" w:type="dxa"/>
        <w:jc w:val="left"/>
        <w:tblInd w:w="0" w:type="dxa"/>
        <w:tblLayout w:type="fixed"/>
        <w:tblCellMar>
          <w:top w:w="28" w:type="dxa"/>
          <w:left w:w="28" w:type="dxa"/>
          <w:bottom w:w="28" w:type="dxa"/>
          <w:right w:w="28" w:type="dxa"/>
        </w:tblCellMar>
      </w:tblPr>
      <w:tblGrid>
        <w:gridCol w:w="1281"/>
        <w:gridCol w:w="1125"/>
        <w:gridCol w:w="1134"/>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of $59 million in 2025 compared to 2024 was primarily due to a $47 million increase in employee compensation and benefit costs related to increasing headcount largely from the Endeavor Acquisition for the full year of 2025 and other individually insignificant items.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Other Operating Expenses.</w:t>
      </w:r>
      <w:r>
        <w:rPr>
          <w:color w:val="000000"/>
        </w:rPr>
        <w:t xml:space="preserve"> </w:t>
      </w:r>
      <w:r>
        <w:rPr>
          <w:rFonts w:ascii="Times New Roman;serif" w:hAnsi="Times New Roman;serif"/>
          <w:b w:val="false"/>
          <w:color w:val="000000"/>
          <w:sz w:val="20"/>
        </w:rPr>
        <w:t>The following table shows other operating expenses for the periods indicated:</w:t>
      </w:r>
    </w:p>
    <w:p>
      <w:pPr>
        <w:pStyle w:val="TextBody"/>
        <w:bidi w:val="0"/>
        <w:spacing w:before="0" w:after="0"/>
        <w:ind w:left="0" w:right="0" w:firstLine="720"/>
        <w:jc w:val="both"/>
        <w:rPr/>
      </w:pPr>
      <w:r>
        <w:rPr/>
      </w:r>
    </w:p>
    <w:tbl>
      <w:tblPr>
        <w:tblW w:w="4676" w:type="dxa"/>
        <w:jc w:val="left"/>
        <w:tblInd w:w="0" w:type="dxa"/>
        <w:tblLayout w:type="fixed"/>
        <w:tblCellMar>
          <w:top w:w="28" w:type="dxa"/>
          <w:left w:w="28" w:type="dxa"/>
          <w:bottom w:w="28" w:type="dxa"/>
          <w:right w:w="28" w:type="dxa"/>
        </w:tblCellMar>
      </w:tblPr>
      <w:tblGrid>
        <w:gridCol w:w="912"/>
        <w:gridCol w:w="800"/>
        <w:gridCol w:w="807"/>
        <w:gridCol w:w="247"/>
        <w:gridCol w:w="424"/>
        <w:gridCol w:w="128"/>
        <w:gridCol w:w="128"/>
        <w:gridCol w:w="128"/>
        <w:gridCol w:w="128"/>
        <w:gridCol w:w="247"/>
        <w:gridCol w:w="547"/>
        <w:gridCol w:w="180"/>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operating expenses decreased by $329 million in 2025 compared to 2024 primarily due to (i) a $198 million reduction in merger and transaction costs largely due to 2024 including $303 million in costs associated with the Endeavor Acquisition compared to $105 million of costs incurred in 2025 for transactions including the 2025 Drop Down, Viper’s Sitio Acquisition and additional severance and other costs for the Endeavor Acquisition, (ii) a $168 million gain on the sale of our EDS subsidiary during the fourth quarter of 2025, and (iii) other individually insignificant expenses. These decreases were partially offset by a $38 million increase in midstream costs incurred in connection with EDS prior to its sale in the fourth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following table shows the net gain (loss) on derivative instruments and the net cash received (paid) on settlements of derivative instruments for the periods indicated:</w:t>
      </w:r>
    </w:p>
    <w:p>
      <w:pPr>
        <w:pStyle w:val="TextBody"/>
        <w:bidi w:val="0"/>
        <w:spacing w:before="0" w:after="0"/>
        <w:ind w:left="0" w:right="0" w:firstLine="720"/>
        <w:jc w:val="both"/>
        <w:rPr/>
      </w:pPr>
      <w:r>
        <w:rPr/>
      </w:r>
    </w:p>
    <w:tbl>
      <w:tblPr>
        <w:tblW w:w="5608" w:type="dxa"/>
        <w:jc w:val="left"/>
        <w:tblInd w:w="0" w:type="dxa"/>
        <w:tblLayout w:type="fixed"/>
        <w:tblCellMar>
          <w:top w:w="28" w:type="dxa"/>
          <w:left w:w="28" w:type="dxa"/>
          <w:bottom w:w="28" w:type="dxa"/>
          <w:right w:w="28" w:type="dxa"/>
        </w:tblCellMar>
      </w:tblPr>
      <w:tblGrid>
        <w:gridCol w:w="1248"/>
        <w:gridCol w:w="1093"/>
        <w:gridCol w:w="1108"/>
        <w:gridCol w:w="234"/>
        <w:gridCol w:w="518"/>
        <w:gridCol w:w="121"/>
        <w:gridCol w:w="121"/>
        <w:gridCol w:w="121"/>
        <w:gridCol w:w="121"/>
        <w:gridCol w:w="234"/>
        <w:gridCol w:w="518"/>
        <w:gridCol w:w="171"/>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cash received (paid) on settlements</w:t>
            </w:r>
            <w:r>
              <w:rPr>
                <w:rFonts w:ascii="Times New Roman;serif" w:hAnsi="Times New Roman;serif"/>
                <w:b w:val="false"/>
                <w:color w:val="000000"/>
                <w:sz w:val="13"/>
              </w:rPr>
              <w:t>(1)</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cash paid on interest rate swaps terminated prior to their contractual maturity of $67 million for 2025 and $37 million for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gain on derivative instruments for the year ended December 31, 2025, compared to the same period in 2024 primarily reflects (i) a $118 million net gain on natural gas contracts, which was comprised of a $262 million increase in cash received on the settlement of contracts partially offset by a $144 million decrease in the value of our unsettled natural gas contracts primarily due to an increase in market prices for natural gas compared to our contract prices, (ii) an $89 million gain on our interest rate swaps, which was comprised of a $59 million increase in the value of our unsettled interest rate swap contracts primarily due to a decline in expected future interest rates and the early termination of $600 million in notional amount of the interest rate swaps in 2025 and a $30 million net decrease in cash paid for the settlement and early termination of our interest rate derivatives and treasury locks, and (iii)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12—</w:t>
      </w:r>
      <w:hyperlink w:anchor="i27ba2a247b584e1aae74c0210baff60c_18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in Item 8. Financial Statements and Supplementary Data of this report for further details regarding our derivative instruments and interest rate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The following table shows other income and expenses for the periods indicated:</w:t>
      </w:r>
    </w:p>
    <w:p>
      <w:pPr>
        <w:pStyle w:val="TextBody"/>
        <w:bidi w:val="0"/>
        <w:spacing w:before="0" w:after="0"/>
        <w:ind w:left="0" w:right="0" w:firstLine="720"/>
        <w:jc w:val="both"/>
        <w:rPr/>
      </w:pPr>
      <w:r>
        <w:rPr/>
      </w:r>
    </w:p>
    <w:tbl>
      <w:tblPr>
        <w:tblW w:w="5335" w:type="dxa"/>
        <w:jc w:val="left"/>
        <w:tblInd w:w="0" w:type="dxa"/>
        <w:tblLayout w:type="fixed"/>
        <w:tblCellMar>
          <w:top w:w="28" w:type="dxa"/>
          <w:left w:w="28" w:type="dxa"/>
          <w:bottom w:w="28" w:type="dxa"/>
          <w:right w:w="28" w:type="dxa"/>
        </w:tblCellMar>
      </w:tblPr>
      <w:tblGrid>
        <w:gridCol w:w="1151"/>
        <w:gridCol w:w="1010"/>
        <w:gridCol w:w="1018"/>
        <w:gridCol w:w="217"/>
        <w:gridCol w:w="558"/>
        <w:gridCol w:w="112"/>
        <w:gridCol w:w="112"/>
        <w:gridCol w:w="112"/>
        <w:gridCol w:w="112"/>
        <w:gridCol w:w="217"/>
        <w:gridCol w:w="558"/>
        <w:gridCol w:w="158"/>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increased by $109 million in 2025, compared to 2024. This increase primarily consisted of (i) a $131 million reduction in interest income (which reduces interest expense) attributable to holding funds raised for the Endeavor Acquisition in cash in short-term interest bearing accounts during the year ended December 31, 2024, (ii) $111 million of interest expense on the 2025 Term Loan and 2035 Notes, which were both issued in March 2025, (iii) $91 million of additional interest expense on the April 2024 Notes, and (iv) a net $31 million increase related to Viper comprised of additional interest expense on the Viper 2025 Notes and Viper 2025 Term Loan partially offset by a reduction in interest expense attributable to Viper’s redemption of the Viper 2027 Notes and the Viper 2031 Notes. These increases were partially offset by (i) a $237 million increase in capitalized interest costs, which reduces interest expense, (ii) a $24 million reduction in amortization of debt issuance costs primarily related to fully amortizing costs related to our bridge facility in 2024 upon its termination, and (iii) other individually insignificant offsetting changes. Currently, we estimate expenditures for interest expense, net may range between approximately $237 million and $316 million in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 xml:space="preserve">in Item 8. Financial Statements and Supplementary Data of this report for further details regarding outstanding borrowing, interest expense and gain (loss) on extinguishment of debt.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for the year ended December 31, 2025, increased by $354 million compared to the same period in 2024, primarily due to an increase of $363 million in the gain recognized on the sale of various equity method investments in 2025 compared to 2024. This net gain was partially offset by a $30 million decrease in the value of an investment recorded at fair value during 2025, compared to 2024 and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following table shows the provision for (benefit from) income taxes for the periods indicated:</w:t>
      </w:r>
    </w:p>
    <w:p>
      <w:pPr>
        <w:pStyle w:val="TextBody"/>
        <w:bidi w:val="0"/>
        <w:spacing w:before="0" w:after="0"/>
        <w:ind w:left="0" w:right="0" w:firstLine="720"/>
        <w:jc w:val="both"/>
        <w:rPr/>
      </w:pPr>
      <w:r>
        <w:rPr/>
      </w:r>
    </w:p>
    <w:tbl>
      <w:tblPr>
        <w:tblW w:w="5811" w:type="dxa"/>
        <w:jc w:val="left"/>
        <w:tblInd w:w="0" w:type="dxa"/>
        <w:tblLayout w:type="fixed"/>
        <w:tblCellMar>
          <w:top w:w="28" w:type="dxa"/>
          <w:left w:w="28" w:type="dxa"/>
          <w:bottom w:w="28" w:type="dxa"/>
          <w:right w:w="28" w:type="dxa"/>
        </w:tblCellMar>
      </w:tblPr>
      <w:tblGrid>
        <w:gridCol w:w="1243"/>
        <w:gridCol w:w="1091"/>
        <w:gridCol w:w="1101"/>
        <w:gridCol w:w="235"/>
        <w:gridCol w:w="519"/>
        <w:gridCol w:w="121"/>
        <w:gridCol w:w="121"/>
        <w:gridCol w:w="121"/>
        <w:gridCol w:w="121"/>
        <w:gridCol w:w="235"/>
        <w:gridCol w:w="519"/>
        <w:gridCol w:w="121"/>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reduction in our income tax provision for 2025 compared to 2024 was primarily due to the decrease in pre-tax income resulting largely from the non-cash ceiling test impairment recognized in 2025. See Note 11—</w:t>
      </w:r>
      <w:hyperlink w:anchor="i27ba2a247b584e1aae74c0210baff60c_184">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liquidity have included cash flows from operations, proceeds from our public equity offerings, borrowings under our revolving credit facility and term loan agreements, proceeds from the issuance of senior notes and sales of non-core assets. Our primary uses of capital have been for the acquisition, development and exploration of oil and natural gas properties, repayment of debt and returning capital to stockholders. At December 31, 2025, we had approximately $2.6 billion of liquidity consisting of $91 million in standalone cash and cash equivalents and $2.5 billion available under our credit facility. As discussed below, our cash capital budget guidance for 2026 is approximately $3.60 billion to $3.90 billion, which prioritizes free cash flow generation and debt reduction. As of December 31, 2025, we had approximately $763 million of senior notes maturing in the next 12 months.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Future cash flows are subject to a number of variables, including the level of our oil and natural gas production and the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See </w:t>
      </w:r>
      <w:hyperlink w:anchor="i27ba2a247b584e1aae74c0210baff60c_46">
        <w:r>
          <w:rPr>
            <w:rStyle w:val="InternetLink"/>
            <w:rFonts w:ascii="Times New Roman;serif" w:hAnsi="Times New Roman;serif"/>
            <w:b w:val="false"/>
            <w:color w:val="0000FF"/>
            <w:sz w:val="20"/>
            <w:u w:val="single"/>
          </w:rPr>
          <w:t>Item 1A. Risk Factors</w:t>
        </w:r>
      </w:hyperlink>
      <w:r>
        <w:rPr>
          <w:color w:val="000000"/>
        </w:rPr>
        <w:t xml:space="preserve"> </w:t>
      </w:r>
      <w:r>
        <w:rPr>
          <w:rFonts w:ascii="Times New Roman;serif" w:hAnsi="Times New Roman;serif"/>
          <w:b w:val="false"/>
          <w:color w:val="000000"/>
          <w:sz w:val="20"/>
        </w:rPr>
        <w:t>of this report above.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12—</w:t>
      </w:r>
      <w:hyperlink w:anchor="i27ba2a247b584e1aae74c0210baff60c_18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 xml:space="preserve">in Item 8. Financial Statements and Supplementary Data and </w:t>
      </w:r>
      <w:hyperlink w:anchor="i27ba2a247b584e1aae74c0210baff60c_124">
        <w:r>
          <w:rPr>
            <w:rStyle w:val="InternetLink"/>
            <w:rFonts w:ascii="Times New Roman;serif" w:hAnsi="Times New Roman;serif"/>
            <w:b w:val="false"/>
            <w:color w:val="0000FF"/>
            <w:sz w:val="20"/>
            <w:u w:val="single"/>
          </w:rPr>
          <w:t>Item 7A. Quantitative and Qualitative Disclosures About Market Risk</w:t>
        </w:r>
      </w:hyperlink>
      <w:r>
        <w:rPr>
          <w:color w:val="000000"/>
        </w:rPr>
        <w:t>—</w:t>
      </w:r>
      <w:r>
        <w:rPr>
          <w:rFonts w:ascii="Times New Roman;serif" w:hAnsi="Times New Roman;serif"/>
          <w:b w:val="false"/>
          <w:color w:val="000000"/>
          <w:sz w:val="20"/>
        </w:rPr>
        <w:t>Commodity Price Risk of this report.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flows for the years ended December 31, 2025 and 2024 are presented below:</w:t>
      </w:r>
    </w:p>
    <w:p>
      <w:pPr>
        <w:pStyle w:val="TextBody"/>
        <w:bidi w:val="0"/>
        <w:spacing w:before="0" w:after="0"/>
        <w:ind w:left="0" w:right="0" w:firstLine="720"/>
        <w:jc w:val="both"/>
        <w:rPr/>
      </w:pPr>
      <w:r>
        <w:rPr/>
      </w:r>
    </w:p>
    <w:tbl>
      <w:tblPr>
        <w:tblW w:w="6676" w:type="dxa"/>
        <w:jc w:val="left"/>
        <w:tblInd w:w="0" w:type="dxa"/>
        <w:tblLayout w:type="fixed"/>
        <w:tblCellMar>
          <w:top w:w="28" w:type="dxa"/>
          <w:left w:w="28" w:type="dxa"/>
          <w:bottom w:w="28" w:type="dxa"/>
          <w:right w:w="28" w:type="dxa"/>
        </w:tblCellMar>
      </w:tblPr>
      <w:tblGrid>
        <w:gridCol w:w="1524"/>
        <w:gridCol w:w="1340"/>
        <w:gridCol w:w="1350"/>
        <w:gridCol w:w="211"/>
        <w:gridCol w:w="616"/>
        <w:gridCol w:w="109"/>
        <w:gridCol w:w="109"/>
        <w:gridCol w:w="109"/>
        <w:gridCol w:w="109"/>
        <w:gridCol w:w="211"/>
        <w:gridCol w:w="616"/>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cash flow is sensitive to many variables, the most significant of which is the volatility of prices for the oil and natural gas we produce.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increase in operating cash flows for the year ended December 31, 2025 compared to the same period in 2024 primarily resulted from (i) $3.4 billion in additional revenue, excluding sales of purchased oil, and (ii) an increase of $232 million of cash received on settlements of derivatives in 2025 compared to cash paid on settlements of derivatives in 2024, and a reduction of $114 million in cash paid for interest, net of capitalized amounts. These cash inflows were partially offset by (i) higher cash operating expenses, excluding purchased oil expense, of approximately $483 million, (ii) an increase of $629 million in cash paid for taxes, and (iii) fluctuations in other working capital balances due primarily to the timing of when collections were made on accounts receivable and payments were made on accounts payable. See “</w:t>
      </w:r>
      <w:r>
        <w:rPr>
          <w:color w:val="000000"/>
        </w:rPr>
        <w:t>—</w:t>
      </w:r>
      <w:hyperlink w:anchor="i27ba2a247b584e1aae74c0210baff60c_88">
        <w:r>
          <w:rPr>
            <w:rStyle w:val="InternetLink"/>
            <w:rFonts w:ascii="Times New Roman;serif" w:hAnsi="Times New Roman;serif"/>
            <w:b w:val="false"/>
            <w:i/>
            <w:color w:val="0000FF"/>
            <w:sz w:val="20"/>
            <w:u w:val="single"/>
          </w:rPr>
          <w:t>Results of Operations</w:t>
        </w:r>
      </w:hyperlink>
      <w:r>
        <w:rPr>
          <w:color w:val="000000"/>
        </w:rPr>
        <w:t xml:space="preserve">” </w:t>
      </w:r>
      <w:r>
        <w:rPr>
          <w:rFonts w:ascii="Times New Roman;serif" w:hAnsi="Times New Roman;serif"/>
          <w:b w:val="false"/>
          <w:color w:val="000000"/>
          <w:sz w:val="20"/>
        </w:rPr>
        <w:t>for discussion of significant changes in our revenues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majority of our net cash used in investing activities during the year ended December 31, 2025, was for drilling and completion costs in conjunction with our development program as well as the acquisition of properties and equipment for the Double Eagle Acquisition and Viper’s Sitio Acquisition. The majority of our net cash used in investing activities during the year ended December 31, 2024, was for the Endeavor Acquisition. These cash outflows were partially offset by proceeds received from the divestitures of various oil and gas properties and other assets including EDS and the EPIC Divestiture, which are discussed further in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capital expenditures excluding acquisitions and equity method investments (on a cash basis) were as follows for the specified period:</w:t>
      </w:r>
    </w:p>
    <w:p>
      <w:pPr>
        <w:pStyle w:val="TextBody"/>
        <w:bidi w:val="0"/>
        <w:spacing w:before="0" w:after="0"/>
        <w:ind w:left="0" w:right="0" w:firstLine="720"/>
        <w:jc w:val="both"/>
        <w:rPr/>
      </w:pPr>
      <w:r>
        <w:rPr/>
      </w:r>
    </w:p>
    <w:tbl>
      <w:tblPr>
        <w:tblW w:w="9578" w:type="dxa"/>
        <w:jc w:val="left"/>
        <w:tblInd w:w="0" w:type="dxa"/>
        <w:tblLayout w:type="fixed"/>
        <w:tblCellMar>
          <w:top w:w="28" w:type="dxa"/>
          <w:left w:w="28" w:type="dxa"/>
          <w:bottom w:w="28" w:type="dxa"/>
          <w:right w:w="28" w:type="dxa"/>
        </w:tblCellMar>
      </w:tblPr>
      <w:tblGrid>
        <w:gridCol w:w="2604"/>
        <w:gridCol w:w="2283"/>
        <w:gridCol w:w="2297"/>
        <w:gridCol w:w="211"/>
        <w:gridCol w:w="691"/>
        <w:gridCol w:w="109"/>
        <w:gridCol w:w="109"/>
        <w:gridCol w:w="109"/>
        <w:gridCol w:w="109"/>
        <w:gridCol w:w="211"/>
        <w:gridCol w:w="691"/>
        <w:gridCol w:w="154"/>
      </w:tblGrid>
      <w:tr>
        <w:trPr/>
        <w:tc>
          <w:tcPr>
            <w:tcW w:w="2604"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Operated drilling and completion additions to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workovers, non-operated additions to oil and natural gas properties and science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environmental and midstream additions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further discussion regarding our development program, please see </w:t>
      </w:r>
      <w:hyperlink w:anchor="i27ba2a247b584e1aae74c0210baff60c_22">
        <w:r>
          <w:rPr>
            <w:rStyle w:val="InternetLink"/>
            <w:rFonts w:ascii="Times New Roman;serif" w:hAnsi="Times New Roman;serif"/>
            <w:b w:val="false"/>
            <w:color w:val="0000FF"/>
            <w:sz w:val="20"/>
            <w:u w:val="single"/>
          </w:rPr>
          <w:t>Items 1 and 2. Business and Properties</w:t>
        </w:r>
      </w:hyperlink>
      <w:r>
        <w:rPr>
          <w:color w:val="000000"/>
        </w:rPr>
        <w:t>—</w:t>
      </w:r>
      <w:r>
        <w:rPr>
          <w:rFonts w:ascii="Times New Roman;serif" w:hAnsi="Times New Roman;serif"/>
          <w:b w:val="false"/>
          <w:color w:val="000000"/>
          <w:sz w:val="20"/>
        </w:rPr>
        <w:t>Oil and Natural Gas Data—Wells Drilled and Completed in 2025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used in financing activities was primarily attributable to (i) $2.2 billion of repurchases as part of our and Viper’s repurchase programs, (ii) $1.9 billion to repay and retire our Tranche A Loans and partially repay the 2025 Term Loan, (iii) $1.2 billion of dividends paid to stockholders, (iv) $1.2 billion paid for the retirement of certain of our and Viper’s senior notes, (v) $382 million in dividends paid to non-controlling interest, (vi) and various other individually insignificant costs. These cash outflows were partially offset by (i) $2.8 billion of proceeds from the issuance of the 2035 Notes and Viper 2025 Notes, (ii) $2.0 billion of aggregate proceeds from the 2025 Term Loan and the Viper 2025 Term Loan, (iii) $1.2 billion in proceeds from the Viper 2025 Equity Offering, and (iv) $156 million in borrowings on our credit facilities, net of repayments.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year ended December 31, 2024, net cash provided by financing activities was primarily attributable to (i) $5.5 billion of proceeds from the issuance of the April 2024 Notes, (ii) $900 million in borrowings on our Tranche A Loans, net of repayments, (iii) $476 million in proceeds from the Viper 2024 Equity Offering (as defined and discussed in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color w:val="000000"/>
        </w:rPr>
        <w:t xml:space="preserve"> </w:t>
      </w:r>
      <w:r>
        <w:rPr>
          <w:rFonts w:ascii="Times New Roman;serif" w:hAnsi="Times New Roman;serif"/>
          <w:b w:val="false"/>
          <w:color w:val="000000"/>
          <w:sz w:val="20"/>
        </w:rPr>
        <w:t xml:space="preserve">in Item 8. Financial Statements and Supplementary Data of this report), (iv) $451 million in proceeds from the sale of our shares of Viper’s Class A common stock, and (v) $2 million in borrowings on our credit facilities, net of repayments. These cash inflows were partially offset by (i) $1.6 billion of dividends paid to stockholders, (ii) $959 million of repurchases as part of our and Viper’s share repurchase programs, (iii) $227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(iv) $99 million of debt issuance costs primarily associated with the April 2024 Notes and Tranche A Loans, and (v) $39 million in cash paid for tax withholdings on vested employee stock awards.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working capital requirements are primarily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Diamondback’s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maximum credit amount available under our undrawn revolving credit facility was $2.5 billion, which may be increased to a total maximum commitment amount of $2.6 billion and has a maturity date of June 12, 2030.</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Viper’s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Former Viper, as guarantor, entered into a credit agreement with Viper LLC, as borrower, and Wells Fargo, as the administrative agent (the “Viper Revolving Credit Facility”), which matures on June 12, 2030, and provides for a commitment amount of $1.5 billion. As of December 31, 2025, the Viper Revolving Credit Facility had $105 million in outstanding borrowings and $1.4 billion available for future borrowings. Following the Viper LLC Conversion, Viper LP, as successor to Viper Energy Partners LLC, became the borrower with respect to the Viper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discussion of our outstanding debt as of December 31, 2025, see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 Ratings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receive debt ratings from the major ratings agencies in the U.S which impact the interest rates we receive on our variable rate debt and interest rate swaps.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Currently, our credit ratings from the three main credit rating agencies are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Standard and Poor’s Global Ratings Services (BBB);</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Fitch Investor Services (BBB+);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Moody’s Investor Services (Baa2).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rating downgrades may result in additional letters of credit or cash collateral being posted under certain contractual arrangements.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to future operating expenses and working capital commitments discussed in “</w:t>
      </w:r>
      <w:r>
        <w:rPr>
          <w:color w:val="000000"/>
        </w:rPr>
        <w:t>—</w:t>
      </w:r>
      <w:hyperlink w:anchor="i27ba2a247b584e1aae74c0210baff60c_85">
        <w:r>
          <w:rPr>
            <w:rStyle w:val="InternetLink"/>
            <w:rFonts w:ascii="Times New Roman;serif" w:hAnsi="Times New Roman;serif"/>
            <w:b w:val="false"/>
            <w:i/>
            <w:color w:val="0000FF"/>
            <w:sz w:val="20"/>
            <w:u w:val="single"/>
          </w:rPr>
          <w:t>Outlook</w:t>
        </w:r>
      </w:hyperlink>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primary short and long-term liquidity requirements consist primarily of (i) capital expenditures, (ii) payments of principal and interest on our revolving credit facility, 2025 Term Loan and senior notes, (iii) payments of other contractual obligations, and (iv) cash used to pay for dividends and repurchases of securities.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2026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estimate that our 2026 cash capital budget will be $3.60 billion to $3.90 billion, which includes $3.05 billion to $3.27 billion for operated horizontal drilling and completions.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will continue monitoring commodity prices and overall market conditions and can adjust our rig cadence and our capital expenditure budget up or down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Payments of Principal and Interest on Debt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debt, including the debt of Viper, consisted of approximately $13.5 billion in aggregate outstanding principal amount of senior notes, $550 million outstanding under the 2025 Term Loan due in 2027, $500 million outstanding under the Viper 2025 Term Loan due in 2027, which was repaid in February 2026, and $105 million in outstanding borrowings under the Viper Revolving Credit Facility, which was repaid in the first quarter of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have total principal payments due on our outstanding senior notes, including those of Viper, of $763 million in 2026, $850 million in 2027, $73 million in 2028, $915 million in 2029, $1.4 billion in 2030 and $9.6 billion thereafter. Additionally, we expect to incur future cash interest costs on these senior notes of approximately $693 million in 2026, $1.3 billion cumulatively in the years from 2027 through 2028, $1.2 billion cumulatively in the years from 2029 and 2030, and $6.8 billion cumulatively between 2031 and 2064.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 for further details regarding our outstanding borrowing and interest expense.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Contractual Obligations and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At December 31, 2025, our other significant contractual obligations consist primarily of (i) minimum transportation commitments totaling $3.0 billion, (ii) electrical power purchase commitments totaling $495 million, (iii) asset retirement obligations totaling $542 million, (iv) electric fracturing fleet and related power generation services commitments totaling $124 million, (v) compressor rental commitments totaling $90 million, and (vi) minimum purchase commitments for quantities of sand used in our drilling operations totaling $56 million. We expect to make aggregate payments of approximately $586 million for these commitments during 2026. See Note 6—</w:t>
      </w:r>
      <w:hyperlink w:anchor="i27ba2a247b584e1aae74c0210baff60c_169">
        <w:r>
          <w:rPr>
            <w:rStyle w:val="InternetLink"/>
            <w:rFonts w:ascii="Times New Roman;serif" w:hAnsi="Times New Roman;serif"/>
            <w:b w:val="false"/>
            <w:color w:val="000080"/>
            <w:sz w:val="20"/>
            <w:u w:val="single"/>
          </w:rPr>
          <w:t>Asset Retirement Obligatio</w:t>
        </w:r>
      </w:hyperlink>
      <w:hyperlink w:anchor="i27ba2a247b584e1aae74c0210baff60c_169">
        <w:r>
          <w:rPr>
            <w:rStyle w:val="InternetLink"/>
            <w:rFonts w:ascii="Times New Roman;serif" w:hAnsi="Times New Roman;serif"/>
            <w:b w:val="false"/>
            <w:color w:val="000080"/>
            <w:sz w:val="20"/>
            <w:u w:val="single"/>
          </w:rPr>
          <w:t>ns</w:t>
        </w:r>
      </w:hyperlink>
      <w:r>
        <w:rPr>
          <w:color w:val="000000"/>
        </w:rPr>
        <w:t xml:space="preserve"> </w:t>
      </w:r>
      <w:r>
        <w:rPr>
          <w:rFonts w:ascii="Times New Roman;serif" w:hAnsi="Times New Roman;serif"/>
          <w:b w:val="false"/>
          <w:color w:val="000000"/>
          <w:sz w:val="20"/>
        </w:rPr>
        <w:t>and Note 15—</w:t>
      </w:r>
      <w:hyperlink w:anchor="i27ba2a247b584e1aae74c0210baff60c_196">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these and other contractual obligations and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Five Point Energy LLC currently anticipate collectively contributing $500 million in follow-on capital to fund future growth in our Deep Blue Midland Basin LLC joint venture projects and acquisitions.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approved a return of capital commitment of at least 50% of our quarterly Adjusted Free Cash Flow to our stockholders through repurchases under our share repurchase program, base dividends and variable dividends. The remainder of our Adjusted Free Cash Flow will be used primarily to reduce debt. On February 19, 2026, our board of directors declared a base cash dividend for the fourth quarter of 2025 of $1.05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base and variable dividends are at the discretion of our board of directors, and the board of directors may change the dividend amount from time to time based on our outlook for commodity prices, liquidity, debt levels, capital resources, Adjusted Free Cash Flow and other factors. We can provide no assurance that dividends will be authorized or declared in the future or as to the amount and type of any future dividends. Any future dividends, whether base or variable, if declared and paid, will by their nature fluctuate based on our free cash flow, which will depend on a number of factors beyond our control, including 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our board of directors approved an increase in our common stock repurchase program from $6.0 billion to $8.0 billion, excluding the 1% U.S. federal excise tax on certain repurchases of stock by publicly traded U.S. corporations enacted as part of the IRA. Since the inception of the stock repurchase program through February 20, 2026,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have repurchased an aggregate 40.69 million shares of our common stock for a total cost of $5.7 billion, which includes $637 million for the repurchase of 4.0 million shares from SGF, excluding excise tax, leaving approximately $2.3 billion for future repurchases under such stock repurchase program. Subject to regulatory restrictions and other factors discussed elsewhere in this report,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Repurchases may be executed in privately negotiated or open-market transactions, consistent with Rule 10b-18 under the Securities Exchange Act of 1934 and other applicable requirements. All shares repurchased will be retired. See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our stock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 is the sole guarantor under the indentures governing the outstanding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36" w:type="dxa"/>
        <w:jc w:val="left"/>
        <w:tblInd w:w="0" w:type="dxa"/>
        <w:tblLayout w:type="fixed"/>
        <w:tblCellMar>
          <w:top w:w="28" w:type="dxa"/>
          <w:left w:w="28" w:type="dxa"/>
          <w:bottom w:w="28" w:type="dxa"/>
          <w:right w:w="28" w:type="dxa"/>
        </w:tblCellMar>
      </w:tblPr>
      <w:tblGrid>
        <w:gridCol w:w="1749"/>
        <w:gridCol w:w="1538"/>
        <w:gridCol w:w="1542"/>
        <w:gridCol w:w="313"/>
        <w:gridCol w:w="1070"/>
        <w:gridCol w:w="161"/>
        <w:gridCol w:w="109"/>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Summarized Balance Sheets: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accounts payable, non-guarantor subsidiary</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tbl>
      <w:tblPr>
        <w:tblW w:w="5640" w:type="dxa"/>
        <w:jc w:val="left"/>
        <w:tblInd w:w="0" w:type="dxa"/>
        <w:tblLayout w:type="fixed"/>
        <w:tblCellMar>
          <w:top w:w="28" w:type="dxa"/>
          <w:left w:w="28" w:type="dxa"/>
          <w:bottom w:w="28" w:type="dxa"/>
          <w:right w:w="28" w:type="dxa"/>
        </w:tblCellMar>
      </w:tblPr>
      <w:tblGrid>
        <w:gridCol w:w="1114"/>
        <w:gridCol w:w="979"/>
        <w:gridCol w:w="982"/>
        <w:gridCol w:w="512"/>
        <w:gridCol w:w="1679"/>
        <w:gridCol w:w="37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Summarized Statement of Operations:</w:t>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Income (loss) from operations</w:t>
            </w:r>
            <w:r>
              <w:rPr>
                <w:rFonts w:ascii="Times New Roman;serif" w:hAnsi="Times New Roman;serif"/>
                <w:b w:val="false"/>
                <w:color w:val="000000"/>
                <w:sz w:val="13"/>
              </w:rPr>
              <w:t>(1)</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(1)During the year ended December 31, 2025, the Company recorded a significant noncash impairment that is reflected in the summarized results of the guarantor group. This impairment is not indicative of cash flows available for debt service.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is based upon our consolidated financial statements, which have been prepared in accordance with accounting principles generally accepted in the United States.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and the reported amounts of revenues and expenses during the reporting period. We evaluate our estimates and assumptions on a regular basis. 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Any effects on our business, financial position or results of operations resulting from revisions to these estimates are recorded in the period in which the facts that give rise to the revision become known.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the following to be our most critical accounting estimates and have reviewed these critical accounting estimates with the Audit Committee of our board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Oil and Natural Gas Accounting and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our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proved oil and natural gas properties including mineral and royalty interests. As such, we consider the estimation of proved reserves to be a critical accounting estimate.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Company, L.P., independent petroleum engineers, as of December 31, 2025, 2024 and 2023. The process of estimating oil and natural gas reserves is complex, requiring significant decisions in the evaluation of available geological, geophysical, engineering and economic data. Significant inputs included in the calculation of future net cash flows include our estimate of operating and development costs,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reported reserve estimates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Revisions of previous reserve estimates accounted for approximately $4.2 billion, or 143% of the net change in the standardized measure of our total reserves from December 31, 2024 to December 31, 2025. The Company recorded a material impairment during the year ended December 31, 2025 as discussed in Note 5—</w:t>
      </w:r>
      <w:hyperlink w:anchor="i27ba2a247b584e1aae74c0210baff60c_166">
        <w:r>
          <w:rPr>
            <w:rStyle w:val="InternetLink"/>
            <w:rFonts w:ascii="Times New Roman;serif" w:hAnsi="Times New Roman;serif"/>
            <w:b w:val="false"/>
            <w:color w:val="0000FF"/>
            <w:sz w:val="20"/>
            <w:u w:val="single"/>
          </w:rPr>
          <w:t>Property and Equipment</w:t>
        </w:r>
      </w:hyperlink>
      <w:r>
        <w:rPr>
          <w:color w:val="000000"/>
        </w:rPr>
        <w:t xml:space="preserve"> </w:t>
      </w:r>
      <w:r>
        <w:rPr>
          <w:rFonts w:ascii="Times New Roman;serif" w:hAnsi="Times New Roman;serif"/>
          <w:b w:val="false"/>
          <w:color w:val="000000"/>
          <w:sz w:val="20"/>
        </w:rPr>
        <w:t xml:space="preserve">in Item 8. Financial Statements and Supplementary Data of this report. No impairments were recorded for our proved oil and gas properties during the years ended December 31, 2024 and 2023. Based on the historical 12-month average trailing SEC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oil and natural gas throughout 2025 and into 2026, we are currently projecting a material full cost ceiling impairment in the first quarter of 2026. In addition to commodity prices, our production rates, levels of proved reserves, future development costs, transfers of unevaluated properties, income tax rate assumptions and other factors will determine our actual ceiling test calculation and impairment analysis in future periods. Based on the number of factors that may impact our future estimate of proved reserves, we are currently unable to determine an estimate of the amount or range of amounts of any potential impairment charge in the first quarter of 2026. Impairment charges affect our results of operations but do not reduce our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 intent to drill, (ii) remaining lease term, (iii) geological and geophysical evaluations, (iv) drilling results and activity, (v) the assignment of proved reserves, and (vi) the economic viability of development if proved reserves are assigned. At December 31, 2025, our unevaluated properties totaled $23.9 billion, which consisted of 408,284 net undeveloped leasehold acres with approximately 10,902 net acres set to expire in 2026 if no action is taken to develop or extend. We had no significant impairment losses on our unevaluated properties during the year ended December 31, 2025, but any such future impairment could potentially be material to our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business combinations in which it has been determined we are the acquirer using the acquisition method of accounting. Accordingly, identifiable assets acquired and liabilities assumed are recognized at the date of acquisition at their respective estimated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make various assumptions in estimating the fair values of assets acquired and liabilities assumed. Fair value estimates are determined based on information that existed at the time of the acquisition, utilizing expectations and assumptions that would be available to and made by a market participant. When market-observable prices are not available to value assets and liabilities, the Company may use the cost, income, or market valuation approaches depending on the quality of information available to support management’s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most significant assumptions relate to the estimated fair values assigned to proved and unproved oil and natural gas properties. The assumptions made in performing these valuations include future production volumes, future commodity prices and costs, future operating and development activities, projections of oil and gas reserves and a weighted average cost of capital rate. The market-based weighted average cost of capital rate is subjected to additional project-specific risking factors. In addition, when appropriate, we review comparable purchases and sales of natural gas and oil properties within the same regions, and use that data as a proxy for fair market value; for example, the amount a willing buyer and seller would enter into in exchange for such properties. Changes in key assumptions may cause the acquisition accounting to be revised, including the recognition of goodwill or discount on an acquisition. There is no assurance the underlying assumptions or estimates associated with the valuation will occur as initially expected. 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in Item 8. Financial Statements and Supplementary Data of this report for further discussion of the estimated fair value of assets acquired and liabilities assumed in business combinations including any significant changes in these estimates from the date of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Estimated fair values assigned to assets acquired can have a significant effect on results of operations in the future. In addition, differences between the future commodity prices when acquiring assets and the historical 12-month average trailing price to calculate ceiling test impairments of upstream assets may impact net earnings.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income taxes we record requires interpretations of complex rules and regulations of federal, state, and local tax jurisdictions.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Negative evidence may include losses in recent years, if any, or the projection of losses in future periods. The assessment of the realizability of our deferred tax assets, including the assessment of whether a valuation allowance is required, entails that we make estimates of, and assumptions about, future events, including the pattern of reversal of taxable temporary differences and our future income from operations. Estimating future taxable income requires numerous judgments and assumptions, including projections of future operating conditions which may be impacted by volatile future prices for our oil, natural gas and natural gas production, the expected timing and quantity of future production volumes, and the impact of our commodity derivative instruments on our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management’s assessment of all available evidence, both positive and negative, supporting realizability of Viper’s deferred tax assets as required by applicable accounting standards, supported the conclusion that Viper’s deferred tax assets are more likely than not to be realized. The positive evidence assessed included recent cumulative income due in part to commodity prices remaining at a profitable level, acquisitions of additional oil and gas properties, and an expectation of future taxable income based upon recent actual and forecasted production volumes and prices. As of December 31, 2025, Viper had a net deferred tax asset of $33 million. Any changes in the positive or negative evidence evaluated when determining if Viper’s deferred tax assets will be realized, including projected future income, could result in a material change to our consolidated financial statements. As of December 31, 2025, our balance of taxable temporary differences anticipated to reverse within the carryforward period provides significant positive evidence for the determination that our remaining deferred tax assets are more likely than not to be realized.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accruals for deferred tax assets and liabilities are often based on unclear tax positions and assumptions that are subject to a significant amount of judgment by management. These assumptions and judgments are reviewed and adjusted as facts and circumstances change. At December 31, 2025, we had no uncertain tax positions; however, material changes to our income tax accruals may occur in the future based on the progress of ongoing audits, changes in legislation or resolution of pending matters.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27ba2a247b584e1aae74c0210baff60c_154">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in Item 8. Financial Statements and Supplementary Data of this report for recent accounting pronouncements not yet adopted, if 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15—</w:t>
      </w:r>
      <w:hyperlink w:anchor="i27ba2a247b584e1aae74c0210baff60c_196">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in Item 8. Financial Statements and Supplementary Data of this report for a discussion of our significant commitments and contingencies, some of which are not recognized in the consolidated balance sheets under GAAP.</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Both crude oil and natural gas realized prices are also impacted by the quality of the product, supply and demand balances in local physical markets and the availability of transportation to demand centers. Pricing for oil and natural gas production can be volatile and unpredictable. We cannot predict events that may lead to future price volatility and the near-term energy outlook remains subject to heightened levels of uncertainty as discussed in </w:t>
      </w:r>
      <w:hyperlink w:anchor="i27ba2a247b584e1aae74c0210baff60c_46">
        <w:r>
          <w:rPr>
            <w:rStyle w:val="InternetLink"/>
            <w:rFonts w:ascii="Times New Roman;serif" w:hAnsi="Times New Roman;serif"/>
            <w:b w:val="false"/>
            <w:color w:val="000080"/>
            <w:sz w:val="20"/>
            <w:u w:val="single"/>
          </w:rPr>
          <w:t xml:space="preserve">Item </w:t>
        </w:r>
      </w:hyperlink>
      <w:hyperlink w:anchor="i27ba2a247b584e1aae74c0210baff60c_46">
        <w:r>
          <w:rPr>
            <w:rStyle w:val="InternetLink"/>
            <w:rFonts w:ascii="Times New Roman;serif" w:hAnsi="Times New Roman;serif"/>
            <w:b w:val="false"/>
            <w:color w:val="000080"/>
            <w:sz w:val="20"/>
            <w:u w:val="single"/>
          </w:rPr>
          <w:t>1</w:t>
        </w:r>
      </w:hyperlink>
      <w:hyperlink w:anchor="i27ba2a247b584e1aae74c0210baff60c_46">
        <w:r>
          <w:rPr>
            <w:rStyle w:val="InternetLink"/>
            <w:rFonts w:ascii="Times New Roman;serif" w:hAnsi="Times New Roman;serif"/>
            <w:b w:val="false"/>
            <w:color w:val="000080"/>
            <w:sz w:val="20"/>
            <w:u w:val="single"/>
          </w:rPr>
          <w:t>A</w:t>
        </w:r>
      </w:hyperlink>
      <w:hyperlink w:anchor="i27ba2a247b584e1aae74c0210baff60c_46">
        <w:r>
          <w:rPr>
            <w:rStyle w:val="InternetLink"/>
            <w:rFonts w:ascii="Times New Roman;serif" w:hAnsi="Times New Roman;serif"/>
            <w:b w:val="false"/>
            <w:color w:val="000080"/>
            <w:sz w:val="20"/>
            <w:u w:val="single"/>
          </w:rPr>
          <w:t>.</w:t>
        </w:r>
      </w:hyperlink>
      <w:hyperlink w:anchor="i27ba2a247b584e1aae74c0210baff60c_46">
        <w:r>
          <w:rPr>
            <w:rStyle w:val="InternetLink"/>
            <w:rFonts w:ascii="Times New Roman;serif" w:hAnsi="Times New Roman;serif"/>
            <w:b w:val="false"/>
            <w:color w:val="000080"/>
            <w:sz w:val="20"/>
            <w:u w:val="single"/>
          </w:rPr>
          <w:t xml:space="preserve"> </w:t>
        </w:r>
      </w:hyperlink>
      <w:hyperlink w:anchor="i27ba2a247b584e1aae74c0210baff60c_46">
        <w:r>
          <w:rPr>
            <w:rStyle w:val="InternetLink"/>
            <w:rFonts w:ascii="Times New Roman;serif" w:hAnsi="Times New Roman;serif"/>
            <w:b w:val="false"/>
            <w:color w:val="000080"/>
            <w:sz w:val="20"/>
            <w:u w:val="single"/>
          </w:rPr>
          <w:t>Risk Facto</w:t>
        </w:r>
      </w:hyperlink>
      <w:hyperlink w:anchor="i27ba2a247b584e1aae74c0210baff60c_46">
        <w:r>
          <w:rPr>
            <w:rStyle w:val="InternetLink"/>
            <w:rFonts w:ascii="Times New Roman;serif" w:hAnsi="Times New Roman;serif"/>
            <w:b w:val="false"/>
            <w:color w:val="000080"/>
            <w:sz w:val="20"/>
            <w:u w:val="single"/>
          </w:rPr>
          <w:t>rs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derivatives, including swaps, basis swaps, roll swaps, costless collars, puts and basis puts, to reduce price volatility associated with certain of our oil and natural gas sales. At December 31, 2025, we had a net asset derivative position of $198 million related to our commodity price risk derivatives. Utilizing actual derivative contractual volumes under our commodity price derivatives as of December 31, 2025, a 10% increase in forward curves associated with the underlying commodity would have decreased the net asset position by $3 million to $195 million, while a 10% decrease in forward curves associated with the underlying commodity would have increased the net asset position by $60 million to $258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million. However, any cash derivative gain or loss may be substantially offset by a decrease or increase, respectively, in the actual sales value of production covered by the derivative instrument.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information on our open commodity derivative instruments at December 31, 2025, see Note 12—</w:t>
      </w:r>
      <w:hyperlink w:anchor="i27ba2a247b584e1aae74c0210baff60c_18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Counterparty and Customer 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exposures to credit risk are due to the concentration of receivables from the sale of our oil and natural gas production (approximately $1.1 billion at December 31, 2025), and to a lesser extent, receivables resulting from joint interest and other receivables (approximately $258 million at December 31, 2025). Joint interest receivables arise from billings to entities that own partial interests in wells we operate. These entities participate in our wells primarily based on their ownership in leases on which we intend to drill. We have little ability to control whether these entities will participate in our wells. 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market risk exposure related to changes in interest rates on our indebtedness under our revolving credit facilities, 2025 Term Loan, the Viper 2025 Term Loan and changes in the fair value of our fixed rate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Outstanding borrowings under the Credit Agreement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in Item 8. Financial Statements and Supplementary Data of this report), which was undrawn at December 31, 2025, bear interest at a per annum rate elected by Diamondback E&amp;P that is equal to (i) term SOFR or (ii) an alternate base rate (which is equal to the greatest of the prime rate, the Federal Funds effective rate plus 0.50% and 1-month term SOFR plus 1.0%, subject to a 1.0% floor), in each case plus the applicable margin. At December 31, 2025, the applicable margin ranges from 0.000% to 0.750% per annum in the case of the alternate base rate and from 1.000% to 1.750% per annum in the case of term SOFR, in each case based on the pricing level for our revolving credit facility. We are obligated to pay a quarterly commitment fee ranging from 0.100% to 0.250% per year on the unused portion of the commitment for our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outstanding borrowings of $550 million under the 2025 Term Loan bear interest at a per annum rate elected by the Company that is equal to (i) term SOFR plus 0.10% (“Adjusted Term SOFR”) or (ii) an alternate base rate (which is equal to the greatest of (a) the Federal Funds effective rate plus 0.50%, (b) the prime rate, (c) Adjusted Term SOFR plus 1.0%, and (d) 1.0%), in each case plus the applicable margin. The applicable margin ranges from 0.125% to 1.000% per annum in the case of the alternate base rate and from 1.125% to 2.000% per annum in the case of Adjusted Term SOFR, in each case based on the pricing level for the 2025 Term Loan. We are also obligated to pay a commitment fee equal to 0.125% per year on the aggregate principal amount of the commitments for the 2025 Term Loan. During the year ended December 31, 2025, the weighted average interest rate on borrowings under the 2025 Term Loan was 5.64%.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outstanding borrowings of $105 million under the Viper Revolving Credit Facility bear interest at a floating rate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based on the pricing level. The pricing level depends on the rating of Viper’s long-term senior unsecured debt by certain rating agencies. During the year ended December 31, 2025, the weighted average interest rate on borrowings under the Viper Revolving Credit Facility was 6.02%.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outstanding borrowings of $500 million under the Viper 2025 Term Loan bear interest at a per annum rate elected by Viper that is equal to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Viper’s long-term senior unsecured debt by certain ratings agencies. In addition, the fee on undrawn commitments is equal to 0.20% per annum on the aggregate principal amount of such commitments. During the year ended December 31, 2025, the weighted average interest rate on borrowings under the Viper 2025 Term Loan was 5.72%.</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0"/>
        </w:rPr>
        <w:t>Historically, we have at times used interest rate swaps to manage our exposure to (i) interest rate changes on our floating-rate debt, and (ii) fair value changes on our fixed rate debt. At December 31, 2025, we have interest rate swap agreements for an aggregate $300 million notional amount to manage the impact of changes to the fair value of our fixed rate senior notes due to changes in market interest rates through December 2029. We pay an average variable rate of interest for these swaps based on 3-month SOFR plus 2.1865% and receive a fixed interest rate of 3.50% from our counterparties. At December 31, 2025, our receive-fixed, pay-variable interest rate swaps were in a liability position of $27 million, and the weighted average variable rate was 5.79%. For additional information on our interest rate swaps, see Note 12—</w:t>
      </w:r>
      <w:hyperlink w:anchor="i27ba2a247b584e1aae74c0210baff60c_18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in Item 8. Financial Statements and Supplementary Data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70"/>
        <w:gridCol w:w="2895"/>
        <w:gridCol w:w="2785"/>
        <w:gridCol w:w="295"/>
        <w:gridCol w:w="295"/>
        <w:gridCol w:w="4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Documents included in this report: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1. Financial Statements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30">
              <w:r>
                <w:rPr>
                  <w:rStyle w:val="InternetLink"/>
                  <w:rFonts w:ascii="Times New Roman;serif" w:hAnsi="Times New Roman;serif"/>
                  <w:b w:val="false"/>
                  <w:color w:val="0000FF"/>
                  <w:sz w:val="20"/>
                  <w:u w:val="single"/>
                </w:rPr>
                <w:t xml:space="preserve">Report of Independent Registered Public Accounting Firm (PCAOB ID Number </w:t>
              </w:r>
            </w:hyperlink>
            <w:r>
              <w:rPr>
                <w:rFonts w:ascii="Times New Roman;serif" w:hAnsi="Times New Roman;serif"/>
                <w:b w:val="false"/>
                <w:color w:val="661DE8"/>
                <w:sz w:val="20"/>
                <w:u w:val="single"/>
              </w:rPr>
              <w:t>248</w:t>
            </w:r>
            <w:hyperlink w:anchor="i27ba2a247b584e1aae74c0210baff60c_130">
              <w:r>
                <w:rPr>
                  <w:rStyle w:val="InternetLink"/>
                  <w:rFonts w:ascii="Times New Roman;serif" w:hAnsi="Times New Roman;serif"/>
                  <w:b w:val="false"/>
                  <w:color w:val="000080"/>
                  <w:sz w:val="20"/>
                  <w:u w:val="single"/>
                </w:rPr>
                <w:t>)</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30">
              <w:r>
                <w:rPr>
                  <w:rStyle w:val="InternetLink"/>
                  <w:rFonts w:ascii="Times New Roman;serif" w:hAnsi="Times New Roman;serif"/>
                  <w:b w:val="false"/>
                  <w:color w:val="0000FF"/>
                  <w:sz w:val="20"/>
                  <w:u w:val="single"/>
                </w:rPr>
                <w:t>62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39">
              <w:r>
                <w:rPr>
                  <w:rStyle w:val="InternetLink"/>
                  <w:rFonts w:ascii="Times New Roman;serif" w:hAnsi="Times New Roman;serif"/>
                  <w:b w:val="false"/>
                  <w:color w:val="0000FF"/>
                  <w:sz w:val="20"/>
                  <w:u w:val="single"/>
                </w:rPr>
                <w:t>Consolidated Statements of Operations and Comprehensive Income</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39">
              <w:r>
                <w:rPr>
                  <w:rStyle w:val="InternetLink"/>
                  <w:rFonts w:ascii="Times New Roman;serif" w:hAnsi="Times New Roman;serif"/>
                  <w:b w:val="false"/>
                  <w:color w:val="0000FF"/>
                  <w:sz w:val="20"/>
                  <w:u w:val="single"/>
                </w:rPr>
                <w:t>65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36">
              <w:r>
                <w:rPr>
                  <w:rStyle w:val="InternetLink"/>
                  <w:rFonts w:ascii="Times New Roman;serif" w:hAnsi="Times New Roman;serif"/>
                  <w:b w:val="false"/>
                  <w:color w:val="0000FF"/>
                  <w:sz w:val="20"/>
                  <w:u w:val="single"/>
                </w:rPr>
                <w:t>Consolidated Balance Sheets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36">
              <w:r>
                <w:rPr>
                  <w:rStyle w:val="InternetLink"/>
                  <w:rFonts w:ascii="Times New Roman;serif" w:hAnsi="Times New Roman;serif"/>
                  <w:b w:val="false"/>
                  <w:color w:val="0000FF"/>
                  <w:sz w:val="20"/>
                  <w:u w:val="single"/>
                </w:rPr>
                <w:t>66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45">
              <w:r>
                <w:rPr>
                  <w:rStyle w:val="InternetLink"/>
                  <w:rFonts w:ascii="Times New Roman;serif" w:hAnsi="Times New Roman;serif"/>
                  <w:b w:val="false"/>
                  <w:color w:val="0000FF"/>
                  <w:sz w:val="20"/>
                  <w:u w:val="single"/>
                </w:rPr>
                <w:t>Consolidated Statements of Cash Flows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45">
              <w:r>
                <w:rPr>
                  <w:rStyle w:val="InternetLink"/>
                  <w:rFonts w:ascii="Times New Roman;serif" w:hAnsi="Times New Roman;serif"/>
                  <w:b w:val="false"/>
                  <w:color w:val="0000FF"/>
                  <w:sz w:val="20"/>
                  <w:u w:val="single"/>
                </w:rPr>
                <w:t>67</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42">
              <w:r>
                <w:rPr>
                  <w:rStyle w:val="InternetLink"/>
                  <w:rFonts w:ascii="Times New Roman;serif" w:hAnsi="Times New Roman;serif"/>
                  <w:b w:val="false"/>
                  <w:color w:val="0000FF"/>
                  <w:sz w:val="20"/>
                  <w:u w:val="single"/>
                </w:rPr>
                <w:t>Consolidated Statements of Stockholders’ Equity</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42">
              <w:r>
                <w:rPr>
                  <w:rStyle w:val="InternetLink"/>
                  <w:rFonts w:ascii="Times New Roman;serif" w:hAnsi="Times New Roman;serif"/>
                  <w:b w:val="false"/>
                  <w:color w:val="0000FF"/>
                  <w:sz w:val="20"/>
                  <w:u w:val="single"/>
                </w:rPr>
                <w:t>68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48">
              <w:r>
                <w:rPr>
                  <w:rStyle w:val="InternetLink"/>
                  <w:rFonts w:ascii="Times New Roman;serif" w:hAnsi="Times New Roman;serif"/>
                  <w:b w:val="false"/>
                  <w:color w:val="0000FF"/>
                  <w:sz w:val="20"/>
                  <w:u w:val="single"/>
                </w:rPr>
                <w:t>Notes to Consolidated Financial Statements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48">
              <w:r>
                <w:rPr>
                  <w:rStyle w:val="InternetLink"/>
                  <w:rFonts w:ascii="Times New Roman;serif" w:hAnsi="Times New Roman;serif"/>
                  <w:b w:val="false"/>
                  <w:color w:val="0000FF"/>
                  <w:sz w:val="20"/>
                  <w:u w:val="single"/>
                </w:rPr>
                <w:t>69</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51">
              <w:r>
                <w:rPr>
                  <w:rStyle w:val="InternetLink"/>
                  <w:rFonts w:ascii="Times New Roman;serif" w:hAnsi="Times New Roman;serif"/>
                  <w:b w:val="false"/>
                  <w:color w:val="0000FF"/>
                  <w:sz w:val="20"/>
                  <w:u w:val="single"/>
                </w:rPr>
                <w:t>Note 1 - Description of the Business and Basis of Presentation</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51">
              <w:r>
                <w:rPr>
                  <w:rStyle w:val="InternetLink"/>
                  <w:rFonts w:ascii="Times New Roman;serif" w:hAnsi="Times New Roman;serif"/>
                  <w:b w:val="false"/>
                  <w:color w:val="0000FF"/>
                  <w:sz w:val="20"/>
                  <w:u w:val="single"/>
                </w:rPr>
                <w:t>69</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54">
              <w:r>
                <w:rPr>
                  <w:rStyle w:val="InternetLink"/>
                  <w:rFonts w:ascii="Times New Roman;serif" w:hAnsi="Times New Roman;serif"/>
                  <w:b w:val="false"/>
                  <w:color w:val="0000FF"/>
                  <w:sz w:val="20"/>
                  <w:u w:val="single"/>
                </w:rPr>
                <w:t>Note 2 - Summary of Significant Accounting Policies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54">
              <w:r>
                <w:rPr>
                  <w:rStyle w:val="InternetLink"/>
                  <w:rFonts w:ascii="Times New Roman;serif" w:hAnsi="Times New Roman;serif"/>
                  <w:b w:val="false"/>
                  <w:color w:val="0000FF"/>
                  <w:sz w:val="20"/>
                  <w:u w:val="single"/>
                </w:rPr>
                <w:t>70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57">
              <w:r>
                <w:rPr>
                  <w:rStyle w:val="InternetLink"/>
                  <w:rFonts w:ascii="Times New Roman;serif" w:hAnsi="Times New Roman;serif"/>
                  <w:b w:val="false"/>
                  <w:color w:val="0000FF"/>
                  <w:sz w:val="20"/>
                  <w:u w:val="single"/>
                </w:rPr>
                <w:t>Note 3 - Revenue from Contracts with Customers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57">
              <w:r>
                <w:rPr>
                  <w:rStyle w:val="InternetLink"/>
                  <w:rFonts w:ascii="Times New Roman;serif" w:hAnsi="Times New Roman;serif"/>
                  <w:b w:val="false"/>
                  <w:color w:val="0000FF"/>
                  <w:sz w:val="20"/>
                  <w:u w:val="single"/>
                </w:rPr>
                <w:t>77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60">
              <w:r>
                <w:rPr>
                  <w:rStyle w:val="InternetLink"/>
                  <w:rFonts w:ascii="Times New Roman;serif" w:hAnsi="Times New Roman;serif"/>
                  <w:b w:val="false"/>
                  <w:color w:val="0000FF"/>
                  <w:sz w:val="20"/>
                  <w:u w:val="single"/>
                </w:rPr>
                <w:t>Note 4 - Acquisitions and Divestitures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60">
              <w:r>
                <w:rPr>
                  <w:rStyle w:val="InternetLink"/>
                  <w:rFonts w:ascii="Times New Roman;serif" w:hAnsi="Times New Roman;serif"/>
                  <w:b w:val="false"/>
                  <w:color w:val="0000FF"/>
                  <w:sz w:val="20"/>
                  <w:u w:val="single"/>
                </w:rPr>
                <w:t>78</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66">
              <w:r>
                <w:rPr>
                  <w:rStyle w:val="InternetLink"/>
                  <w:rFonts w:ascii="Times New Roman;serif" w:hAnsi="Times New Roman;serif"/>
                  <w:b w:val="false"/>
                  <w:color w:val="000080"/>
                  <w:sz w:val="20"/>
                  <w:u w:val="single"/>
                </w:rPr>
                <w:t xml:space="preserve">Note </w:t>
              </w:r>
            </w:hyperlink>
            <w:hyperlink w:anchor="i27ba2a247b584e1aae74c0210baff60c_166">
              <w:r>
                <w:rPr>
                  <w:rStyle w:val="InternetLink"/>
                  <w:rFonts w:ascii="Times New Roman;serif" w:hAnsi="Times New Roman;serif"/>
                  <w:b w:val="false"/>
                  <w:color w:val="000080"/>
                  <w:sz w:val="20"/>
                  <w:u w:val="single"/>
                </w:rPr>
                <w:t>5</w:t>
              </w:r>
            </w:hyperlink>
            <w:hyperlink w:anchor="i27ba2a247b584e1aae74c0210baff60c_166">
              <w:r>
                <w:rPr>
                  <w:rStyle w:val="InternetLink"/>
                  <w:rFonts w:ascii="Times New Roman;serif" w:hAnsi="Times New Roman;serif"/>
                  <w:b w:val="false"/>
                  <w:color w:val="000080"/>
                  <w:sz w:val="20"/>
                  <w:u w:val="single"/>
                </w:rPr>
                <w:t xml:space="preserve"> - Property and Equipment</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66">
              <w:r>
                <w:rPr>
                  <w:rStyle w:val="InternetLink"/>
                  <w:rFonts w:ascii="Times New Roman;serif" w:hAnsi="Times New Roman;serif"/>
                  <w:b w:val="false"/>
                  <w:color w:val="0000FF"/>
                  <w:sz w:val="20"/>
                  <w:u w:val="single"/>
                </w:rPr>
                <w:t>88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69">
              <w:r>
                <w:rPr>
                  <w:rStyle w:val="InternetLink"/>
                  <w:rFonts w:ascii="Times New Roman;serif" w:hAnsi="Times New Roman;serif"/>
                  <w:b w:val="false"/>
                  <w:color w:val="000080"/>
                  <w:sz w:val="20"/>
                  <w:u w:val="single"/>
                </w:rPr>
                <w:t xml:space="preserve">Note </w:t>
              </w:r>
            </w:hyperlink>
            <w:hyperlink w:anchor="i27ba2a247b584e1aae74c0210baff60c_169">
              <w:r>
                <w:rPr>
                  <w:rStyle w:val="InternetLink"/>
                  <w:rFonts w:ascii="Times New Roman;serif" w:hAnsi="Times New Roman;serif"/>
                  <w:b w:val="false"/>
                  <w:color w:val="000080"/>
                  <w:sz w:val="20"/>
                  <w:u w:val="single"/>
                </w:rPr>
                <w:t>6</w:t>
              </w:r>
            </w:hyperlink>
            <w:hyperlink w:anchor="i27ba2a247b584e1aae74c0210baff60c_169">
              <w:r>
                <w:rPr>
                  <w:rStyle w:val="InternetLink"/>
                  <w:rFonts w:ascii="Times New Roman;serif" w:hAnsi="Times New Roman;serif"/>
                  <w:b w:val="false"/>
                  <w:color w:val="000080"/>
                  <w:sz w:val="20"/>
                  <w:u w:val="single"/>
                </w:rPr>
                <w:t xml:space="preserve"> - Asset Retirement Obligations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69">
              <w:r>
                <w:rPr>
                  <w:rStyle w:val="InternetLink"/>
                  <w:rFonts w:ascii="Times New Roman;serif" w:hAnsi="Times New Roman;serif"/>
                  <w:b w:val="false"/>
                  <w:color w:val="0000FF"/>
                  <w:sz w:val="20"/>
                  <w:u w:val="single"/>
                </w:rPr>
                <w:t>89</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995">
              <w:r>
                <w:rPr>
                  <w:rStyle w:val="InternetLink"/>
                  <w:rFonts w:ascii="Times New Roman;serif" w:hAnsi="Times New Roman;serif"/>
                  <w:b w:val="false"/>
                  <w:color w:val="0000FF"/>
                  <w:sz w:val="20"/>
                  <w:u w:val="single"/>
                </w:rPr>
                <w:t>Note 7 - Related Party Transactions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995">
              <w:r>
                <w:rPr>
                  <w:rStyle w:val="InternetLink"/>
                  <w:rFonts w:ascii="Times New Roman;serif" w:hAnsi="Times New Roman;serif"/>
                  <w:b w:val="false"/>
                  <w:color w:val="0000FF"/>
                  <w:sz w:val="20"/>
                  <w:u w:val="single"/>
                </w:rPr>
                <w:t>89</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75">
              <w:r>
                <w:rPr>
                  <w:rStyle w:val="InternetLink"/>
                  <w:rFonts w:ascii="Times New Roman;serif" w:hAnsi="Times New Roman;serif"/>
                  <w:b w:val="false"/>
                  <w:color w:val="000080"/>
                  <w:sz w:val="20"/>
                  <w:u w:val="single"/>
                </w:rPr>
                <w:t xml:space="preserve">Note </w:t>
              </w:r>
            </w:hyperlink>
            <w:hyperlink w:anchor="i27ba2a247b584e1aae74c0210baff60c_175">
              <w:r>
                <w:rPr>
                  <w:rStyle w:val="InternetLink"/>
                  <w:rFonts w:ascii="Times New Roman;serif" w:hAnsi="Times New Roman;serif"/>
                  <w:b w:val="false"/>
                  <w:color w:val="000080"/>
                  <w:sz w:val="20"/>
                  <w:u w:val="single"/>
                </w:rPr>
                <w:t>8</w:t>
              </w:r>
            </w:hyperlink>
            <w:hyperlink w:anchor="i27ba2a247b584e1aae74c0210baff60c_175">
              <w:r>
                <w:rPr>
                  <w:rStyle w:val="InternetLink"/>
                  <w:rFonts w:ascii="Times New Roman;serif" w:hAnsi="Times New Roman;serif"/>
                  <w:b w:val="false"/>
                  <w:color w:val="000080"/>
                  <w:sz w:val="20"/>
                  <w:u w:val="single"/>
                </w:rPr>
                <w:t xml:space="preserve"> - Debt</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75">
              <w:r>
                <w:rPr>
                  <w:rStyle w:val="InternetLink"/>
                  <w:rFonts w:ascii="Times New Roman;serif" w:hAnsi="Times New Roman;serif"/>
                  <w:b w:val="false"/>
                  <w:color w:val="0000FF"/>
                  <w:sz w:val="20"/>
                  <w:u w:val="single"/>
                </w:rPr>
                <w:t>91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78">
              <w:r>
                <w:rPr>
                  <w:rStyle w:val="InternetLink"/>
                  <w:rFonts w:ascii="Times New Roman;serif" w:hAnsi="Times New Roman;serif"/>
                  <w:b w:val="false"/>
                  <w:color w:val="0000FF"/>
                  <w:sz w:val="20"/>
                  <w:u w:val="single"/>
                </w:rPr>
                <w:t>Note 9 - Stockholders’ Equity and Earnings (Loss) Per Share</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78">
              <w:r>
                <w:rPr>
                  <w:rStyle w:val="InternetLink"/>
                  <w:rFonts w:ascii="Times New Roman;serif" w:hAnsi="Times New Roman;serif"/>
                  <w:b w:val="false"/>
                  <w:color w:val="0000FF"/>
                  <w:sz w:val="20"/>
                  <w:u w:val="single"/>
                </w:rPr>
                <w:t>96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81">
              <w:r>
                <w:rPr>
                  <w:rStyle w:val="InternetLink"/>
                  <w:rFonts w:ascii="Times New Roman;serif" w:hAnsi="Times New Roman;serif"/>
                  <w:b w:val="false"/>
                  <w:color w:val="000080"/>
                  <w:sz w:val="20"/>
                  <w:u w:val="single"/>
                </w:rPr>
                <w:t xml:space="preserve">Note </w:t>
              </w:r>
            </w:hyperlink>
            <w:hyperlink w:anchor="i27ba2a247b584e1aae74c0210baff60c_181">
              <w:r>
                <w:rPr>
                  <w:rStyle w:val="InternetLink"/>
                  <w:rFonts w:ascii="Times New Roman;serif" w:hAnsi="Times New Roman;serif"/>
                  <w:b w:val="false"/>
                  <w:color w:val="000080"/>
                  <w:sz w:val="20"/>
                  <w:u w:val="single"/>
                </w:rPr>
                <w:t>10</w:t>
              </w:r>
            </w:hyperlink>
            <w:hyperlink w:anchor="i27ba2a247b584e1aae74c0210baff60c_181">
              <w:r>
                <w:rPr>
                  <w:rStyle w:val="InternetLink"/>
                  <w:rFonts w:ascii="Times New Roman;serif" w:hAnsi="Times New Roman;serif"/>
                  <w:b w:val="false"/>
                  <w:color w:val="000080"/>
                  <w:sz w:val="20"/>
                  <w:u w:val="single"/>
                </w:rPr>
                <w:t xml:space="preserve"> - Equity-Based Compensation</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81">
              <w:r>
                <w:rPr>
                  <w:rStyle w:val="InternetLink"/>
                  <w:rFonts w:ascii="Times New Roman;serif" w:hAnsi="Times New Roman;serif"/>
                  <w:b w:val="false"/>
                  <w:color w:val="0000FF"/>
                  <w:sz w:val="20"/>
                  <w:u w:val="single"/>
                </w:rPr>
                <w:t>99</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84">
              <w:r>
                <w:rPr>
                  <w:rStyle w:val="InternetLink"/>
                  <w:rFonts w:ascii="Times New Roman;serif" w:hAnsi="Times New Roman;serif"/>
                  <w:b w:val="false"/>
                  <w:color w:val="000080"/>
                  <w:sz w:val="20"/>
                  <w:u w:val="single"/>
                </w:rPr>
                <w:t xml:space="preserve">Note </w:t>
              </w:r>
            </w:hyperlink>
            <w:hyperlink w:anchor="i27ba2a247b584e1aae74c0210baff60c_184">
              <w:r>
                <w:rPr>
                  <w:rStyle w:val="InternetLink"/>
                  <w:rFonts w:ascii="Times New Roman;serif" w:hAnsi="Times New Roman;serif"/>
                  <w:b w:val="false"/>
                  <w:color w:val="000080"/>
                  <w:sz w:val="20"/>
                  <w:u w:val="single"/>
                </w:rPr>
                <w:t>11</w:t>
              </w:r>
            </w:hyperlink>
            <w:hyperlink w:anchor="i27ba2a247b584e1aae74c0210baff60c_184">
              <w:r>
                <w:rPr>
                  <w:rStyle w:val="InternetLink"/>
                  <w:rFonts w:ascii="Times New Roman;serif" w:hAnsi="Times New Roman;serif"/>
                  <w:b w:val="false"/>
                  <w:color w:val="000080"/>
                  <w:sz w:val="20"/>
                  <w:u w:val="single"/>
                </w:rPr>
                <w:t xml:space="preserve"> - Income Taxes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84">
              <w:r>
                <w:rPr>
                  <w:rStyle w:val="InternetLink"/>
                  <w:rFonts w:ascii="Times New Roman;serif" w:hAnsi="Times New Roman;serif"/>
                  <w:b w:val="false"/>
                  <w:color w:val="0000FF"/>
                  <w:sz w:val="20"/>
                  <w:u w:val="single"/>
                </w:rPr>
                <w:t>101</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87">
              <w:r>
                <w:rPr>
                  <w:rStyle w:val="InternetLink"/>
                  <w:rFonts w:ascii="Times New Roman;serif" w:hAnsi="Times New Roman;serif"/>
                  <w:b w:val="false"/>
                  <w:color w:val="000080"/>
                  <w:sz w:val="20"/>
                  <w:u w:val="single"/>
                </w:rPr>
                <w:t xml:space="preserve">Note </w:t>
              </w:r>
            </w:hyperlink>
            <w:hyperlink w:anchor="i27ba2a247b584e1aae74c0210baff60c_187">
              <w:r>
                <w:rPr>
                  <w:rStyle w:val="InternetLink"/>
                  <w:rFonts w:ascii="Times New Roman;serif" w:hAnsi="Times New Roman;serif"/>
                  <w:b w:val="false"/>
                  <w:color w:val="000080"/>
                  <w:sz w:val="20"/>
                  <w:u w:val="single"/>
                </w:rPr>
                <w:t>12</w:t>
              </w:r>
            </w:hyperlink>
            <w:hyperlink w:anchor="i27ba2a247b584e1aae74c0210baff60c_187">
              <w:r>
                <w:rPr>
                  <w:rStyle w:val="InternetLink"/>
                  <w:rFonts w:ascii="Times New Roman;serif" w:hAnsi="Times New Roman;serif"/>
                  <w:b w:val="false"/>
                  <w:color w:val="000080"/>
                  <w:sz w:val="20"/>
                  <w:u w:val="single"/>
                </w:rPr>
                <w:t xml:space="preserve"> - Derivatives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87">
              <w:r>
                <w:rPr>
                  <w:rStyle w:val="InternetLink"/>
                  <w:rFonts w:ascii="Times New Roman;serif" w:hAnsi="Times New Roman;serif"/>
                  <w:b w:val="false"/>
                  <w:color w:val="0000FF"/>
                  <w:sz w:val="20"/>
                  <w:u w:val="single"/>
                </w:rPr>
                <w:t>105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90">
              <w:r>
                <w:rPr>
                  <w:rStyle w:val="InternetLink"/>
                  <w:rFonts w:ascii="Times New Roman;serif" w:hAnsi="Times New Roman;serif"/>
                  <w:b w:val="false"/>
                  <w:color w:val="000080"/>
                  <w:sz w:val="20"/>
                  <w:u w:val="single"/>
                </w:rPr>
                <w:t xml:space="preserve">Note </w:t>
              </w:r>
            </w:hyperlink>
            <w:hyperlink w:anchor="i27ba2a247b584e1aae74c0210baff60c_190">
              <w:r>
                <w:rPr>
                  <w:rStyle w:val="InternetLink"/>
                  <w:rFonts w:ascii="Times New Roman;serif" w:hAnsi="Times New Roman;serif"/>
                  <w:b w:val="false"/>
                  <w:color w:val="000080"/>
                  <w:sz w:val="20"/>
                  <w:u w:val="single"/>
                </w:rPr>
                <w:t>13</w:t>
              </w:r>
            </w:hyperlink>
            <w:hyperlink w:anchor="i27ba2a247b584e1aae74c0210baff60c_190">
              <w:r>
                <w:rPr>
                  <w:rStyle w:val="InternetLink"/>
                  <w:rFonts w:ascii="Times New Roman;serif" w:hAnsi="Times New Roman;serif"/>
                  <w:b w:val="false"/>
                  <w:color w:val="000080"/>
                  <w:sz w:val="20"/>
                  <w:u w:val="single"/>
                </w:rPr>
                <w:t xml:space="preserve"> - Fair Value Measurements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90">
              <w:r>
                <w:rPr>
                  <w:rStyle w:val="InternetLink"/>
                  <w:rFonts w:ascii="Times New Roman;serif" w:hAnsi="Times New Roman;serif"/>
                  <w:b w:val="false"/>
                  <w:color w:val="0000FF"/>
                  <w:sz w:val="20"/>
                  <w:u w:val="single"/>
                </w:rPr>
                <w:t>107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93">
              <w:r>
                <w:rPr>
                  <w:rStyle w:val="InternetLink"/>
                  <w:rFonts w:ascii="Times New Roman;serif" w:hAnsi="Times New Roman;serif"/>
                  <w:b w:val="false"/>
                  <w:color w:val="000080"/>
                  <w:sz w:val="20"/>
                  <w:u w:val="single"/>
                </w:rPr>
                <w:t xml:space="preserve">Note </w:t>
              </w:r>
            </w:hyperlink>
            <w:hyperlink w:anchor="i27ba2a247b584e1aae74c0210baff60c_193">
              <w:r>
                <w:rPr>
                  <w:rStyle w:val="InternetLink"/>
                  <w:rFonts w:ascii="Times New Roman;serif" w:hAnsi="Times New Roman;serif"/>
                  <w:b w:val="false"/>
                  <w:color w:val="000080"/>
                  <w:sz w:val="20"/>
                  <w:u w:val="single"/>
                </w:rPr>
                <w:t>14</w:t>
              </w:r>
            </w:hyperlink>
            <w:hyperlink w:anchor="i27ba2a247b584e1aae74c0210baff60c_193">
              <w:r>
                <w:rPr>
                  <w:rStyle w:val="InternetLink"/>
                  <w:rFonts w:ascii="Times New Roman;serif" w:hAnsi="Times New Roman;serif"/>
                  <w:b w:val="false"/>
                  <w:color w:val="000080"/>
                  <w:sz w:val="20"/>
                  <w:u w:val="single"/>
                </w:rPr>
                <w:t xml:space="preserve"> - Supplemental Information to Statements of Cash Flows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93">
              <w:r>
                <w:rPr>
                  <w:rStyle w:val="InternetLink"/>
                  <w:rFonts w:ascii="Times New Roman;serif" w:hAnsi="Times New Roman;serif"/>
                  <w:b w:val="false"/>
                  <w:color w:val="0000FF"/>
                  <w:sz w:val="20"/>
                  <w:u w:val="single"/>
                </w:rPr>
                <w:t>110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96">
              <w:r>
                <w:rPr>
                  <w:rStyle w:val="InternetLink"/>
                  <w:rFonts w:ascii="Times New Roman;serif" w:hAnsi="Times New Roman;serif"/>
                  <w:b w:val="false"/>
                  <w:color w:val="000080"/>
                  <w:sz w:val="20"/>
                  <w:u w:val="single"/>
                </w:rPr>
                <w:t xml:space="preserve">Note </w:t>
              </w:r>
            </w:hyperlink>
            <w:hyperlink w:anchor="i27ba2a247b584e1aae74c0210baff60c_196">
              <w:r>
                <w:rPr>
                  <w:rStyle w:val="InternetLink"/>
                  <w:rFonts w:ascii="Times New Roman;serif" w:hAnsi="Times New Roman;serif"/>
                  <w:b w:val="false"/>
                  <w:color w:val="000080"/>
                  <w:sz w:val="20"/>
                  <w:u w:val="single"/>
                </w:rPr>
                <w:t>15</w:t>
              </w:r>
            </w:hyperlink>
            <w:hyperlink w:anchor="i27ba2a247b584e1aae74c0210baff60c_196">
              <w:r>
                <w:rPr>
                  <w:rStyle w:val="InternetLink"/>
                  <w:rFonts w:ascii="Times New Roman;serif" w:hAnsi="Times New Roman;serif"/>
                  <w:b w:val="false"/>
                  <w:color w:val="000080"/>
                  <w:sz w:val="20"/>
                  <w:u w:val="single"/>
                </w:rPr>
                <w:t xml:space="preserve"> - Commitments and Contingencies</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96">
              <w:r>
                <w:rPr>
                  <w:rStyle w:val="InternetLink"/>
                  <w:rFonts w:ascii="Times New Roman;serif" w:hAnsi="Times New Roman;serif"/>
                  <w:b w:val="false"/>
                  <w:color w:val="0000FF"/>
                  <w:sz w:val="20"/>
                  <w:u w:val="single"/>
                </w:rPr>
                <w:t>110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199">
              <w:r>
                <w:rPr>
                  <w:rStyle w:val="InternetLink"/>
                  <w:rFonts w:ascii="Times New Roman;serif" w:hAnsi="Times New Roman;serif"/>
                  <w:b w:val="false"/>
                  <w:color w:val="000080"/>
                  <w:sz w:val="20"/>
                  <w:u w:val="single"/>
                </w:rPr>
                <w:t xml:space="preserve">Note </w:t>
              </w:r>
            </w:hyperlink>
            <w:hyperlink w:anchor="i27ba2a247b584e1aae74c0210baff60c_199">
              <w:r>
                <w:rPr>
                  <w:rStyle w:val="InternetLink"/>
                  <w:rFonts w:ascii="Times New Roman;serif" w:hAnsi="Times New Roman;serif"/>
                  <w:b w:val="false"/>
                  <w:color w:val="000080"/>
                  <w:sz w:val="20"/>
                  <w:u w:val="single"/>
                </w:rPr>
                <w:t>16</w:t>
              </w:r>
            </w:hyperlink>
            <w:hyperlink w:anchor="i27ba2a247b584e1aae74c0210baff60c_199">
              <w:r>
                <w:rPr>
                  <w:rStyle w:val="InternetLink"/>
                  <w:rFonts w:ascii="Times New Roman;serif" w:hAnsi="Times New Roman;serif"/>
                  <w:b w:val="false"/>
                  <w:color w:val="000080"/>
                  <w:sz w:val="20"/>
                  <w:u w:val="single"/>
                </w:rPr>
                <w:t xml:space="preserve"> - Subsequent Events</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199">
              <w:r>
                <w:rPr>
                  <w:rStyle w:val="InternetLink"/>
                  <w:rFonts w:ascii="Times New Roman;serif" w:hAnsi="Times New Roman;serif"/>
                  <w:b w:val="false"/>
                  <w:color w:val="0000FF"/>
                  <w:sz w:val="20"/>
                  <w:u w:val="single"/>
                </w:rPr>
                <w:t>112</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02">
              <w:r>
                <w:rPr>
                  <w:rStyle w:val="InternetLink"/>
                  <w:rFonts w:ascii="Times New Roman;serif" w:hAnsi="Times New Roman;serif"/>
                  <w:b w:val="false"/>
                  <w:color w:val="000080"/>
                  <w:sz w:val="20"/>
                  <w:u w:val="single"/>
                </w:rPr>
                <w:t xml:space="preserve">Note </w:t>
              </w:r>
            </w:hyperlink>
            <w:hyperlink w:anchor="i27ba2a247b584e1aae74c0210baff60c_202">
              <w:r>
                <w:rPr>
                  <w:rStyle w:val="InternetLink"/>
                  <w:rFonts w:ascii="Times New Roman;serif" w:hAnsi="Times New Roman;serif"/>
                  <w:b w:val="false"/>
                  <w:color w:val="000080"/>
                  <w:sz w:val="20"/>
                  <w:u w:val="single"/>
                </w:rPr>
                <w:t>17</w:t>
              </w:r>
            </w:hyperlink>
            <w:hyperlink w:anchor="i27ba2a247b584e1aae74c0210baff60c_202">
              <w:r>
                <w:rPr>
                  <w:rStyle w:val="InternetLink"/>
                  <w:rFonts w:ascii="Times New Roman;serif" w:hAnsi="Times New Roman;serif"/>
                  <w:b w:val="false"/>
                  <w:color w:val="000080"/>
                  <w:sz w:val="20"/>
                  <w:u w:val="single"/>
                </w:rPr>
                <w:t xml:space="preserve"> - Segment Information</w:t>
              </w:r>
            </w:hyperlink>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02">
              <w:r>
                <w:rPr>
                  <w:rStyle w:val="InternetLink"/>
                  <w:rFonts w:ascii="Times New Roman;serif" w:hAnsi="Times New Roman;serif"/>
                  <w:b w:val="false"/>
                  <w:color w:val="0000FF"/>
                  <w:sz w:val="20"/>
                  <w:u w:val="single"/>
                </w:rPr>
                <w:t>112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7ba2a247b584e1aae74c0210baff60c_205">
              <w:r>
                <w:rPr>
                  <w:rStyle w:val="InternetLink"/>
                  <w:rFonts w:ascii="Times New Roman;serif" w:hAnsi="Times New Roman;serif"/>
                  <w:b w:val="false"/>
                  <w:color w:val="000080"/>
                  <w:sz w:val="20"/>
                  <w:u w:val="single"/>
                </w:rPr>
                <w:t xml:space="preserve">Note </w:t>
              </w:r>
            </w:hyperlink>
            <w:hyperlink w:anchor="i27ba2a247b584e1aae74c0210baff60c_205">
              <w:r>
                <w:rPr>
                  <w:rStyle w:val="InternetLink"/>
                  <w:rFonts w:ascii="Times New Roman;serif" w:hAnsi="Times New Roman;serif"/>
                  <w:b w:val="false"/>
                  <w:color w:val="000080"/>
                  <w:sz w:val="20"/>
                  <w:u w:val="single"/>
                </w:rPr>
                <w:t>18</w:t>
              </w:r>
            </w:hyperlink>
            <w:hyperlink w:anchor="i27ba2a247b584e1aae74c0210baff60c_205">
              <w:r>
                <w:rPr>
                  <w:rStyle w:val="InternetLink"/>
                  <w:rFonts w:ascii="Times New Roman;serif" w:hAnsi="Times New Roman;serif"/>
                  <w:b w:val="false"/>
                  <w:color w:val="000080"/>
                  <w:sz w:val="20"/>
                  <w:u w:val="single"/>
                </w:rPr>
                <w:t xml:space="preserve"> - Supplemental Information on Oil and Natural Gas Operations (Unaudited)</w:t>
              </w:r>
            </w:hyperlink>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7ba2a247b584e1aae74c0210baff60c_205">
              <w:r>
                <w:rPr>
                  <w:rStyle w:val="InternetLink"/>
                  <w:rFonts w:ascii="Times New Roman;serif" w:hAnsi="Times New Roman;serif"/>
                  <w:b w:val="false"/>
                  <w:color w:val="0000FF"/>
                  <w:sz w:val="20"/>
                  <w:u w:val="single"/>
                </w:rPr>
                <w:t>113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2. Financial Statement Schedules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because they are either not required, not applicable or the information required to be presented is included in the Company’s consolidated financial statements and related notes.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Diamondback Energy, Inc.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Diamondback Energy, Inc. (a Delaware corporation) and subsidiaries (the “Company”) as of December 31, 2025 and 2024, the related consolidated statements of operations and comprehensive income, cash flows, and stockholders’ equity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February 25, 2026 expressed an unqualified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Estimation of proved reserves as it relates to the calculation and recognition of depletion and impairment expense, and the valuation of acquired reserves in connection with the Double Eagle Acquisition and the acquired mineral and royalty interests in the Sitio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further in Note 2 to the consolidated financial statements, the Company accounts for its oil and natural gas properties using the full cost method of accounting, which requires management to make estimates of proved reserve volumes and future revenues to record depletion and impairment expense. Additionally, as described further in Note 4 to the consolidated financial statements, the Company acquired significant oil and natural gas properties and mineral and royalty interests through the Double Eagle Acquisition and Sitio Acquisition, respectively, which requires management to make estimates of reserve volumes and future revenues to value the properties. To estimate the volume of reserves and future revenues, management makes significant estimates and assumptions, including forecasting the timing and volumetric amounts of production and corresponding decline rate of producing properties associated with the Company’s development plan. In addition, the estimation of reserves is impacted by management’s judgments and estimates regarding the financial performance of wells to determine if wells are expected, with reasonable certainty, to be economical under the appropriate pricing assumptions. For acquired reserves, management utilizes an estimated fair value pricing model in determining the corresponding value of reserves. We identified the estimation of reserves attributable to oil and natural gas properties, including acquired reserves in the Double Eagle Acquisition and Sitio Acquisition, due to its impact on depletion and impairment expense and acquisition accounting, as a critical audit matter.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 for our determination that the estimation of reserves is a critical audit matter is that changes in certain inputs and assumptions, which include a high degree of subjectivity, necessary to estimate the volume and future revenues of the Company’s reserves, could have a significant impact on the measurement of depletion and impairment expense and the fair value of acquired oil and natural gas properties and mineral and royalty interests. In turn, auditing those inputs and assumptions required subjective and complex auditor judgment.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 estimation of reserves included the following, among others.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tested the design and operating effectiveness of key controls relating to management’s estimation of reserves for the purpose of calculating depletion and impairment expense and management’s estimation of the fair value of the acquired oil and natural gas properties in the Double Eagle Acquisition and Sitio Acquisition.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evaluated the level of knowledge, skill, and ability of the Company’s reservoir engineering specialists and independent petroleum engineering specialists, made inquiries of those reservoir engineers regarding the process followed and judgments made to estimate the Company’s reserve volumes, and read the report of the Company’s independent petroleum engineering specialists.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Identified inputs and assumptions that were significant to the period end determination of proved reserve volumes and tested management’s process of determining the significant inputs and assumptions,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Compared the pricing used in the reserve report to relevant pricing benchmarks and realized prices related to revenue transactions recorded in the current year;</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Assessed the reasonableness of forecasted capital expenditures by comparing drilling forecasts applied in the reserve report to recent drilling costs;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Vouched, on a sample basis, the working and net revenue interests used in the reserve report to underlying land and division order records;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Assessed forecasted production estimates by (i) comparing prior year forecasted production amounts to current year actual results and (ii) comparing forecasted production amounts in the current year reserve report to the actual historical production amounts in the current year, in total and for a sample of individual wells;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Obtained evidence supporting the development of proved undeveloped properties reflected in the reserve report and compared future development plans to historical conversion rates to evaluate the likelihood of development related to the proved undeveloped properties; and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Applied analytical procedures on inputs to the reserve report by comparing to historical actual results and to the prior year reserve report.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Identified inputs and assumptions that were significant to the estimated fair value of the acquired oil and natural gas properties in the Double Eagle Acquisition and Sitio Acquisition, respectively, and tested management’s process of determining the significant inputs and assumptions,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Evaluated the appropriateness of fair value pricing, including pricing differentials, used in the fair value reserve reports by comparing the pricing forecast to published product pricing as of the acquisition closing dates and pricing differentials to actual historical realized pricing of the acquired properties;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Evaluated the level of knowledge, skill and ability of the specialists utilized by the Company to assist in the preparation of the estimates of fair value of oil and natural gas properties and mineral and royalty interests acquired;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Utilized a valuation specialist to evaluate the reasonableness of the Company’s valuation methodology of the Double Eagle Acquisition and Sitio Acquisition, respectively, including testing key inputs and assumptions by understanding and assessing the process used to develop the estimate or through development of an independent expectation;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Evaluated the appropriateness of the future operating cost and capital expenditure assumptions used in the Double Eagle Acquisition fair value reserve report by comparing forecasted amounts to historical operating costs and to recent drilling costs;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Compared, on a sample basis, the working interest, as applicable, and net revenue interests used in the fair value reserve reports to historical reserve reports;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Assessed forecasted production estimates in the fair value reserve reports for reasonableness by comparing forecasted production amounts to the actual historical production amounts and to the forecasted production in the year-end reserve report for a sample of individual wells;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Applied analytical procedures on the fair value reserve reports’ forecasted production by comparing to the prior year reserve reports’ forecasted production and to the year-end reserve reports’ forecasted production of the acquired proved properties; and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Compared the unproved acreage value allocated to other recent acquisitions in the same or similar locations.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Oklahoma City, Oklahoma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before="0" w:after="0"/>
        <w:ind w:left="0" w:right="0" w:firstLine="720"/>
        <w:jc w:val="center"/>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83" w:type="dxa"/>
        <w:jc w:val="left"/>
        <w:tblInd w:w="0" w:type="dxa"/>
        <w:tblLayout w:type="fixed"/>
        <w:tblCellMar>
          <w:top w:w="28" w:type="dxa"/>
          <w:left w:w="28" w:type="dxa"/>
          <w:bottom w:w="28" w:type="dxa"/>
          <w:right w:w="28" w:type="dxa"/>
        </w:tblCellMar>
      </w:tblPr>
      <w:tblGrid>
        <w:gridCol w:w="1895"/>
        <w:gridCol w:w="1672"/>
        <w:gridCol w:w="1682"/>
        <w:gridCol w:w="258"/>
        <w:gridCol w:w="850"/>
        <w:gridCol w:w="143"/>
        <w:gridCol w:w="143"/>
        <w:gridCol w:w="143"/>
        <w:gridCol w:w="143"/>
        <w:gridCol w:w="258"/>
        <w:gridCol w:w="732"/>
        <w:gridCol w:w="143"/>
        <w:gridCol w:w="143"/>
        <w:gridCol w:w="143"/>
        <w:gridCol w:w="143"/>
        <w:gridCol w:w="258"/>
        <w:gridCol w:w="732"/>
        <w:gridCol w:w="202"/>
      </w:tblGrid>
      <w:tr>
        <w:trPr/>
        <w:tc>
          <w:tcPr>
            <w:tcW w:w="189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 shares in thousands)</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Oil sales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7,279 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Natural gas sales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Natural gas liquid sales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1,432 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Sales of purchased oil</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revenues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15,026 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8,412 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Costs and expenses:</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Lease operating expenses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Production and ad valorem taxes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Gathering, processing and transportation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Purchased oil expense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depletion, amortization and accretion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oil and natural gas properties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3,652 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 expenses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costs and expenses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13,760 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6,670 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3,842 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Income (loss) from operations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1,266 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4,396 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4,570 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(expense),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derivative instruments,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extinguishment of debt,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other income (expense), net</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1,874 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4,248 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(benefit from) income taxes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Net income (loss) </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3,336 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 attributable to non-controlling interest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Diamondback Energy, Inc.</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3,338 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3,143 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Earnings (loss) per common share:</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Basic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Diluted</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Weighted average common shares outstanding:</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Basic</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289,079 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213,545 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179,999 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Diluted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289,079 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213,545 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179,999 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Comprehensive income (loss):</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 attributable to Diamondback Energy, Inc.</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3,143 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 net of tax:</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Pension and postretirement benefit plans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Comprehensive income (loss) attributable to Diamondback Energy, Inc</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1,663 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3,340 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3,142 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331"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798"/>
        <w:gridCol w:w="2272"/>
        <w:gridCol w:w="2287"/>
        <w:gridCol w:w="245"/>
        <w:gridCol w:w="808"/>
        <w:gridCol w:w="136"/>
        <w:gridCol w:w="136"/>
        <w:gridCol w:w="136"/>
        <w:gridCol w:w="136"/>
        <w:gridCol w:w="245"/>
        <w:gridCol w:w="808"/>
        <w:gridCol w:w="198"/>
      </w:tblGrid>
      <w:tr>
        <w:trPr/>
        <w:tc>
          <w:tcPr>
            <w:tcW w:w="2798"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December 31,</w:t>
            </w:r>
          </w:p>
        </w:tc>
      </w:tr>
      <w:tr>
        <w:trPr/>
        <w:tc>
          <w:tcPr>
            <w:tcW w:w="7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2024</w:t>
            </w:r>
          </w:p>
        </w:tc>
      </w:tr>
      <w:tr>
        <w:trPr/>
        <w:tc>
          <w:tcPr>
            <w:tcW w:w="7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(In millions, except par value and share amounts)</w:t>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Assets</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Cash and cash equivalents ($13 million and $27 million related to Viper)</w:t>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Joint interest and other, net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Oil and natural gas sales, net ($262 million and $149 million related to Viper) </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 ($50 million and $31 million related to Viper)</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1,915 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2,110 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w:t>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Oil and natural gas properties: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Proved properties ($9,746 million and $3,533 million related to Viper)</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71,588 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59,574 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Unproved properties ($4,910 million and $2,180 million related to Viper)</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23,941 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22,666 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property, equipment and land</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Accumulated depletion, depreciation, amortization and impairment ($2,455 million and $1,081 million related to Viper)</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(27,782)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(19,208)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68,621 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64,472 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71,059 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67,292 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Liabilities and Stockholders’ Equity</w:t>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maturities of debt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accrued liabilities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1,020 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and royalties payable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instruments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4,600 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4,811 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Long-term debt ($2,186 million and $1,083 million related to Viper)</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13,726 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long-term liabilities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28,092 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27,430 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15)</w:t>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$0.01 par value; 800,000,000 shares authorized; 284,594,908 and 290,984,373 shares issued and outstanding at December 31, 2025 and December 31, 2024, respectively</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33,501 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 (accumulated deficit)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4,238 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Diamondback Energy, Inc. stockholders’ equity</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36,972 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37,736 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equity</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42,967 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39,862 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71,059 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67,292 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before="0" w:after="0"/>
        <w:ind w:left="0" w:right="0" w:firstLine="720"/>
        <w:jc w:val="center"/>
        <w:rPr/>
      </w:pPr>
      <w:r>
        <w:rPr/>
      </w:r>
    </w:p>
    <w:tbl>
      <w:tblPr>
        <w:tblW w:w="10197" w:type="dxa"/>
        <w:jc w:val="left"/>
        <w:tblInd w:w="0" w:type="dxa"/>
        <w:tblLayout w:type="fixed"/>
        <w:tblCellMar>
          <w:top w:w="28" w:type="dxa"/>
          <w:left w:w="28" w:type="dxa"/>
          <w:bottom w:w="28" w:type="dxa"/>
          <w:right w:w="28" w:type="dxa"/>
        </w:tblCellMar>
      </w:tblPr>
      <w:tblGrid>
        <w:gridCol w:w="2505"/>
        <w:gridCol w:w="2196"/>
        <w:gridCol w:w="2214"/>
        <w:gridCol w:w="196"/>
        <w:gridCol w:w="556"/>
        <w:gridCol w:w="109"/>
        <w:gridCol w:w="109"/>
        <w:gridCol w:w="109"/>
        <w:gridCol w:w="109"/>
        <w:gridCol w:w="196"/>
        <w:gridCol w:w="556"/>
        <w:gridCol w:w="109"/>
        <w:gridCol w:w="109"/>
        <w:gridCol w:w="109"/>
        <w:gridCol w:w="109"/>
        <w:gridCol w:w="196"/>
        <w:gridCol w:w="556"/>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oil and natural gas properties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(paid) on settlement of derivative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royalties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oil and natural gas properties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under repurchase program</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 related party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partial sale of investment in Viper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Viper’s issuance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to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3282" w:type="dxa"/>
            <w:gridSpan w:val="15"/>
            <w:tcBorders/>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before="0" w:after="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693"/>
        <w:gridCol w:w="361"/>
        <w:gridCol w:w="364"/>
        <w:gridCol w:w="323"/>
        <w:gridCol w:w="323"/>
        <w:gridCol w:w="181"/>
        <w:gridCol w:w="109"/>
        <w:gridCol w:w="109"/>
        <w:gridCol w:w="109"/>
        <w:gridCol w:w="221"/>
        <w:gridCol w:w="276"/>
        <w:gridCol w:w="134"/>
        <w:gridCol w:w="109"/>
        <w:gridCol w:w="109"/>
        <w:gridCol w:w="109"/>
        <w:gridCol w:w="202"/>
        <w:gridCol w:w="639"/>
        <w:gridCol w:w="122"/>
        <w:gridCol w:w="109"/>
        <w:gridCol w:w="109"/>
        <w:gridCol w:w="109"/>
        <w:gridCol w:w="269"/>
        <w:gridCol w:w="740"/>
        <w:gridCol w:w="163"/>
        <w:gridCol w:w="109"/>
        <w:gridCol w:w="109"/>
        <w:gridCol w:w="109"/>
        <w:gridCol w:w="384"/>
        <w:gridCol w:w="480"/>
        <w:gridCol w:w="232"/>
        <w:gridCol w:w="109"/>
        <w:gridCol w:w="109"/>
        <w:gridCol w:w="109"/>
        <w:gridCol w:w="281"/>
        <w:gridCol w:w="772"/>
        <w:gridCol w:w="171"/>
        <w:gridCol w:w="109"/>
        <w:gridCol w:w="109"/>
        <w:gridCol w:w="109"/>
        <w:gridCol w:w="181"/>
        <w:gridCol w:w="571"/>
        <w:gridCol w:w="160"/>
      </w:tblGrid>
      <w:tr>
        <w:trPr/>
        <w:tc>
          <w:tcPr>
            <w:tcW w:w="69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in millions, shares in thousands)</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at 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179,841 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Viper common stock issued for acquisition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Viper 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equivalent rights payments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 withholding on vested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Repurchased shares under repurchase program, including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(6,238)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Repurchased shares/units under Viper’s repurchase programs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acquisition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to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paid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issuance of restricted stock units and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ownership of consolidated subsidiaries,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178,724 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Viper 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equivalent rights payments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 withholding on vested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Repurchased shares under repurchase program, including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for acquisition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117,267 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Viper LLC’s units issued for acquisition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partial sale of investment in Viper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Viper’s issuance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upon vesting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ownership of consolidated subsidiaries,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at December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290,984 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Viper 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 withholding on vested equity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upon vesting of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Repurchased shares under repurchase program, including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Repurchased shares - related party, including excise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Repurchased shares under Viper’s repurchase program</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equivalent rights payments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for acquisition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Viper common stock issued for acquisition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Viper LLC’s units issued for acquisition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Viper’s issuance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ownership of consolidated subsidiaries,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at December 31, 2025</w:t>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284,595 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32,236 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4,740 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5,995 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42,967 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Diamondback Energy, Inc. and Subsidiaries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THE BUSINESS AND 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Organization and Description of the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Energy, Inc., together with its subsidiaries (collectively referred to as “Diamondback,” the “Company,” “we” or “our”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wholly owned subsidiaries of Diamondback include Diamondback E&amp;P LLC, a Delaware limited liability company, Rattler Midstream GP LLC, a Delaware limited liability company, Rattler Midstream LP, a Delaware limited partnership, QEP Resources, Inc. (“QEP”), a Delaware corporation, Diamondback RE Holdco LLC, a Delaware limited liability company and Eclipse Merger Sub II, LLC, a Delaware limited liability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subsidiaries, including its publicly-traded subsidiary, Viper Energy, Inc., after all significant intercompany balances and transactions have been eliminated upon consolidation. As of December 31, 2025, the Company is managed as one operating and reportable segment, the upstream segment, which is engaged in the acquisition, development, exploration and exploitation of unconventional, onshore oil and natural gas reserves primarily in the Permian Basin in West Texas and includes the activities of Viper as well as the Company’s remaining midstream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upon completion of Viper’s Sitio Acquisition (as defined and discussed in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xml:space="preserve">), VNOM Sub, Inc., (formerly Viper Energy, Inc., “Former Viper”) became a wholly owned subsidiary of Viper Energy Inc., (formerly New Cobra Pubco, Inc., “New Viper”).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2025, the Company owned approximately 42% of Viper’s combined outstanding Class A common stock and Class B common stock on a fully diluted basis, after giving effect to the outstanding TWR Class B Option (as defined and discussed in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The Company determined that it controls the activities of Viper in accordance with the guidance for variable interest entities in Accounting Standards Codification (“ASC”) Topic 810, “Consolidation,” and therefore continues to consolidate Viper in the Company’s financial statements at December 31, 2025. See further discussion of the Company’s determination that Viper is a variable interest entity (“VIE”) in Note 2—</w:t>
      </w:r>
      <w:hyperlink w:anchor="i27ba2a247b584e1aae74c0210baff60c_154">
        <w:r>
          <w:rPr>
            <w:rStyle w:val="InternetLink"/>
            <w:rFonts w:ascii="Times New Roman;serif" w:hAnsi="Times New Roman;serif"/>
            <w:b w:val="false"/>
            <w:color w:val="0000FF"/>
            <w:sz w:val="20"/>
            <w:u w:val="single"/>
          </w:rPr>
          <w:t>Summary of Significant Accounting Policies</w:t>
        </w:r>
      </w:hyperlink>
      <w:r>
        <w:rPr>
          <w:rFonts w:ascii="Times New Roman;serif" w:hAnsi="Times New Roman;serif"/>
          <w:b w:val="false"/>
          <w:color w:val="000000"/>
          <w:sz w:val="20"/>
        </w:rPr>
        <w:t>.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November 13, 2023, the Company’s publicly traded subsidiary, Viper Energy Partners LP, completed its conversion from a Delaware limited partnership into a Delaware corporation, Viper Energy, Inc. (the “Viper Conversion”). At the time of the Viper Conversion, Viper was a “controlled company” under the Nasdaq rules because the Company owned more than 50% of the voting power of Viper’s common stock. On October 31, 2023, pursuant to a common unit purchase and sale agreement entered into on September 4, 2023, Viper issued approximately 7.22 million of its common units, which were converted to shares of Viper Class A common stock at the time of the Viper Conversion, to the Company at a price of $27.72 per unit for total consideration to Viper of approximately $200 million. On March 5, 2024, the Company exercised certain of its demand rights, pursuant to a registration rights agreement amended and restated on November 10, 2023, and on March 8, 2024, completed a public offering of approximately 13.23 million shares of Viper’s Class A common stock at a price of $35.00 per share for proceeds, net of underwriters’ discount, of approximately $451 million. After this offering, the Company owned less than 50% of Viper’s combined outstanding Class A common stock and Class B common stock, resulting in Viper no longer being a controlled company under the Nasdaq rules. References to “Viper” refer to (i) New Viper following the Sitio Acquisition, (ii) Former Viper prior to the Sitio Acquisition but after the Viper Conversion, and (iii) Viper Energy Partners LP prior to the Viper Conversion. For definition and details on Viper’s Sitio Acquisition, 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liabilities as of the date of the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Making accurate estimates and assumptions is particularly difficult in the oil and natural gas industry given the challenges resulting from volatility in oil and natural gas prices. For instance, geopolitical conflicts, higher interest rates, effects of tariffs, actions taken by OPEC and its non-OPEC allies, global supply chain disruptions, measures to combat persistent inflation and instability in the financial sector have contributed to recent economic and pricing volatility. The financial results of companies in the oil and natural gas industry have been and may continue to be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the fair value determination of assets acquired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of oil, natural gas and natural gas liquids are recognized at the point control of the product is transferred to the customer. Virtually all of the pricing provisions in the Company’s contracts are tied to a market index, with certain adjustments to account for various factors depending on the points of sale. As a result, the prices of the Company’s oil, natural gas and natural gas liquids fluctuate to remain competitive with other available supplies.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Oil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oil sales contracts are generally structured where it delivers oil to the purchaser at a contractually agreed-upon delivery point at which the purchaser takes custody, title and risk of loss of the product.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Natural Gas and Natural Gas Liquids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Company’s natural gas processing contracts, it delivers natural gas to a midstream processing entity at the wellhead, battery facilities or the inlet of the midstream processing entity’s system. Generally,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recognizes revenue on a gross basis, with transportation, gathering, processing, treating and compression fees presented as an expense in its consolidated statements of operations. Under contracts where the Company has concluded that it is the agent, the Company recognizes revenue on a net basis, with transportation, gathering, processing, treating and compression fees as a reduction to revenues in the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gathering, processing and transportation expense in the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Sales of Purchased Oil and Purchased Oil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enters into capacity commitments in order to secure available transportation capacity from the Company’s areas of production for its commodities. Beginning in the third quarter of 2023, the Company also entered into purchase transactions with third parties and separate sale transactions with third parties to satisfy certain of its unused capacity commitments. Revenues and expenses from these transactions are generally presented on a gross basis in the captions “Sales of purchased oil” and “Purchased oil expense” in the accompanying consolidated statements of operations as the Company acts as a principal in the transaction by assuming both the risks and rewards of ownership, including credit risk, of the oil volumes purchased and the responsibility to deliver the oil volumes sold.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Transaction Price Allocated to Remaining Performance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upstream product sales contracts do not originate until production occurs and, therefore, are not considered to exist beyond each day’s production. Therefore, there are no remaining performance obligations under any of its product sales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Company’s revenue agreements, each delivery generally represents a separate performance obligation; therefore, future volumes delivered are wholly unsatisfied and disclosure of the transaction price allocated to remaining performance obligations is not required.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Prior-Period Performance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records revenue in the month production is delivered to the purchaser. However, purchaser and settlement statements for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years ended December 31, 2025, 2024 and 2023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3—</w:t>
      </w:r>
      <w:hyperlink w:anchor="i27ba2a247b584e1aae74c0210baff60c_157">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additional discussion of the Company’s revenues.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and natural gas liquids reserves. Internal costs capitalized to the full cost pool represent management’s estimate of costs incurred directly related to exploration and development activities such as geological and other internal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Divestitures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and natural liquids.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$14.60, $12.60 and $10.21 for the years ended December 31, 2025, 2024 and 2023, respectively. Depletion expense for oil and natural gas properties was $4.9 billion, $2.8 billion and $1.7 billion for the years ended December 31, 2025,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Under the full cost method of accounting, the Company is required to perform a ceiling test each quarter. The test determines a limit, or ceiling, on the book value of the proved oil and natural gas properties. Net capitalized costs are limited to the lower of unamortized oil and natural gas properties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For additional information on proved oil and natural gas properties and related ceiling test impairments, see Note 5—</w:t>
      </w:r>
      <w:hyperlink w:anchor="i27ba2a247b584e1aae74c0210baff60c_166">
        <w:r>
          <w:rPr>
            <w:rStyle w:val="InternetLink"/>
            <w:rFonts w:ascii="Times New Roman;serif" w:hAnsi="Times New Roman;serif"/>
            <w:b w:val="false"/>
            <w:color w:val="0000FF"/>
            <w:sz w:val="20"/>
            <w:u w:val="single"/>
          </w:rPr>
          <w:t>Property and Equipment</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Costs associated with unevaluated properties are excluded from the full cost pool until the Company has made a determination as to the existence of proved reserves. The Company assesses all items classified as unevaluated property on at least an annual basis for possible impairment. The Company assesses properties on a group basis, as a majority of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Accounting for Equity-Based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has granted various types of stock-based awards primarily including restricted stock units and performance based restricted stock units. Viper has also granted various stock-based awards including restricted stock units and performance based restricted stock units to its directors and to Diamondback employees and officers who perform services for Viper. These plans and related accounting policies for material awards are defined and described more fully in Note 10—</w:t>
      </w:r>
      <w:hyperlink w:anchor="i27ba2a247b584e1aae74c0210baff60c_181">
        <w:r>
          <w:rPr>
            <w:rStyle w:val="InternetLink"/>
            <w:rFonts w:ascii="Times New Roman;serif" w:hAnsi="Times New Roman;serif"/>
            <w:b w:val="false"/>
            <w:color w:val="0000FF"/>
            <w:sz w:val="20"/>
            <w:u w:val="single"/>
          </w:rPr>
          <w:t>Equity-Based Compensation</w:t>
        </w:r>
      </w:hyperlink>
      <w:r>
        <w:rPr>
          <w:rFonts w:ascii="Times New Roman;serif" w:hAnsi="Times New Roman;serif"/>
          <w:b w:val="false"/>
          <w:color w:val="000000"/>
          <w:sz w:val="20"/>
        </w:rPr>
        <w:t>. Equity compensation awards are measured at fair value on the date of grant and are expensed over the required service period. Forfeitures for these awards are recognized as they occur.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For commodity derivative instruments and interest rate swaps which have not been designated as hedges for accounting purposes, the Company marks its derivative instruments to fair value and recognizes the cash and non-cash change in fair value on derivative instruments for each period in the consolidated statements of operations. To the extent that contracts with the same counterparty are allowed to be netted upon payment subject to a master netting arrangement,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pPr>
      <w:r>
        <w:rPr>
          <w:rFonts w:ascii="Times New Roman;serif" w:hAnsi="Times New Roman;serif"/>
          <w:b w:val="false"/>
          <w:color w:val="000000"/>
          <w:sz w:val="20"/>
        </w:rPr>
        <w:t>amounts are reported on a net basis on the consolidated balance sheets. The Company previously had certain interest rate swaps designated as fair value hedges under the “shortcut” method of accounting. In the second quarter of 2022, the Company elected to fully dedesignate these interest rate swaps and hedge accounting was discontinued. The remaining unamortized basis adjustment related to the dedesignated interest rate swaps is reflected as a reduction to long-term debt on the consolidated balance sheet as detailed in Note 8—</w:t>
      </w:r>
      <w:hyperlink w:anchor="i27ba2a247b584e1aae74c0210baff60c_17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For additional information regarding the Company’s derivative instruments, see Note 12—</w:t>
      </w:r>
      <w:hyperlink w:anchor="i27ba2a247b584e1aae74c0210baff60c_187">
        <w:r>
          <w:rPr>
            <w:rStyle w:val="InternetLink"/>
            <w:rFonts w:ascii="Times New Roman;serif" w:hAnsi="Times New Roman;serif"/>
            <w:b w:val="false"/>
            <w:color w:val="0000FF"/>
            <w:sz w:val="20"/>
            <w:u w:val="single"/>
          </w:rPr>
          <w:t>Derivatives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records uncertain tax positions based on a two-step process: (i) determine whether it is more likely than not that the tax positions will be sustained on the basis of the technical merits of the position, and (ii) for those tax positions that meet the more-likely-than-not recognition threshold, recognize the largest amount of tax benefit that is more than 50 percent likely to be realized upon ultimate settlement with the related tax authority. For additional information regarding income taxes, see Note 11—</w:t>
      </w:r>
      <w:hyperlink w:anchor="i27ba2a247b584e1aae74c0210baff60c_184">
        <w:r>
          <w:rPr>
            <w:rStyle w:val="InternetLink"/>
            <w:rFonts w:ascii="Times New Roman;serif" w:hAnsi="Times New Roman;serif"/>
            <w:b w:val="false"/>
            <w:color w:val="0000FF"/>
            <w:sz w:val="20"/>
            <w:u w:val="single"/>
          </w:rPr>
          <w:t>Income Taxes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Non-Controlling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Non-controlling interests in the accompanying consolidated financial statements represent the public’s ownership interest in Viper and are presented as a component of equity. When the Company’s relative ownership interests change, adjustments to non-controlling interest and additional paid-in-capital, tax effected, occur. Because these changes in the ownership interests do not result in a change of control, the transactions are accounted for as equity transactions under ASC Topic 810, “Consolidation,” which requires that any differences between the</w:t>
      </w:r>
      <w:r>
        <w:rPr>
          <w:color w:val="B38EF4"/>
        </w:rPr>
        <w:t xml:space="preserve"> </w:t>
      </w:r>
      <w:r>
        <w:rPr>
          <w:rFonts w:ascii="Times New Roman;serif" w:hAnsi="Times New Roman;serif"/>
          <w:b w:val="false"/>
          <w:color w:val="000000"/>
          <w:sz w:val="20"/>
        </w:rPr>
        <w:t>carrying value of the Company’s basis in Viper and the fair value of the consideration received are recognized directly in equity and attributed to the controlling interest. See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color w:val="000000"/>
        </w:rPr>
        <w:t xml:space="preserve"> </w:t>
      </w:r>
      <w:r>
        <w:rPr>
          <w:rFonts w:ascii="Times New Roman;serif" w:hAnsi="Times New Roman;serif"/>
          <w:b w:val="false"/>
          <w:color w:val="000000"/>
          <w:sz w:val="20"/>
        </w:rPr>
        <w:t>for a discussion of changes in the Company’s</w:t>
      </w:r>
      <w:r>
        <w:rPr>
          <w:color w:val="000000"/>
          <w:shd w:fill="FFFFFF" w:val="clear"/>
        </w:rPr>
        <w:t xml:space="preserve"> </w:t>
      </w:r>
      <w:r>
        <w:rPr>
          <w:rFonts w:ascii="Times New Roman;serif" w:hAnsi="Times New Roman;serif"/>
          <w:b w:val="false"/>
          <w:color w:val="000000"/>
          <w:sz w:val="20"/>
          <w:shd w:fill="FFFFFF" w:val="clear"/>
        </w:rPr>
        <w:t>ownership interest in consolidated subsidiaries</w:t>
      </w:r>
      <w:r>
        <w:rPr>
          <w:color w:val="000000"/>
        </w:rPr>
        <w:t xml:space="preserve"> </w:t>
      </w:r>
      <w:r>
        <w:rPr>
          <w:rFonts w:ascii="Times New Roman;serif" w:hAnsi="Times New Roman;serif"/>
          <w:b w:val="false"/>
          <w:color w:val="000000"/>
          <w:sz w:val="20"/>
        </w:rPr>
        <w:t>during the years ended December 31, 2025, 2024 and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stated at amounts due from joint interest owners or purchasers,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joint interest owners or purchasers outstanding longer than the contractual payment terms are considered past due. The Company determines its allowance for each type of receivable utilizing the loss-rate method, which considers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At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allowances for credit losses related to joint interest receivables and credit losses related to sales of oil and natural gas production were not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and primarily consist of tubular goods and equipment at December 31, 2025 and 2024. The Company’s tubular goods and equipment are primarily comprised of oil and natural gas drilling or repair items such as tubing, casing and pumping units.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prepaid expenses and other current assets for the periods indicated:</w:t>
      </w:r>
    </w:p>
    <w:p>
      <w:pPr>
        <w:pStyle w:val="TextBody"/>
        <w:bidi w:val="0"/>
        <w:spacing w:before="0" w:after="0"/>
        <w:ind w:left="0" w:right="0" w:firstLine="720"/>
        <w:jc w:val="both"/>
        <w:rPr/>
      </w:pPr>
      <w:r>
        <w:rPr/>
      </w:r>
    </w:p>
    <w:tbl>
      <w:tblPr>
        <w:tblW w:w="5394" w:type="dxa"/>
        <w:jc w:val="left"/>
        <w:tblInd w:w="0" w:type="dxa"/>
        <w:tblLayout w:type="fixed"/>
        <w:tblCellMar>
          <w:top w:w="28" w:type="dxa"/>
          <w:left w:w="28" w:type="dxa"/>
          <w:bottom w:w="28" w:type="dxa"/>
          <w:right w:w="28" w:type="dxa"/>
        </w:tblCellMar>
      </w:tblPr>
      <w:tblGrid>
        <w:gridCol w:w="1249"/>
        <w:gridCol w:w="1098"/>
        <w:gridCol w:w="1103"/>
        <w:gridCol w:w="211"/>
        <w:gridCol w:w="466"/>
        <w:gridCol w:w="109"/>
        <w:gridCol w:w="109"/>
        <w:gridCol w:w="109"/>
        <w:gridCol w:w="109"/>
        <w:gridCol w:w="211"/>
        <w:gridCol w:w="46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Property, Equipment and Land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property, equipment and land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the statement of operations. Depreciation of other property and equipment is computed using the straight-line method over the estimated useful lives of the assets, which range from three years to 30 years.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property and equipment used in operations and midstream assets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impairment losses for the years ended December 31, 2025, 2024 and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Equity Method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corporate joint ventures and equity investments under the equity method of accounting in accordance with ASC Topic 323 “Investments — Equity Method and Joint Ventures.” The Company applies the equity method of accounting to investments of less than 50% in an investee over which the Company has the ability to exercise significant influence but does not have control, and investments of greater than 50% in an investee over which the Company does not exercise significant influence or have control. Under the equity method of accounting, the Company’s share of the investee’s earnings or loss is recognized in the statement of operations. As of December 31, 2025, the Company’s proportionate share of the income or loss from equity method investments is recognized on a two-month lag for its significant equity method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Judgment regarding the level of influence over each equity method investment includes considering key factors such as, but not limited to, ownership interest, representation on the board of directors, participation in policy-making decisions, material intercompany transactions and extent of ownership by an investor in relation to the concentration of other shareholdings. Additionally, an </w:t>
      </w:r>
      <w:r>
        <w:rPr>
          <w:rFonts w:ascii="Times New Roman;serif" w:hAnsi="Times New Roman;serif"/>
          <w:b w:val="false"/>
          <w:color w:val="101010"/>
          <w:sz w:val="20"/>
        </w:rPr>
        <w:t>investment in a limited liability company that maintains a specific ownership account for each investor shall be viewed as similar to an investment in a limited partnership for purposes of determining whether a non-controlling investment shall be accounted for using the equity method or as an investment over which we do not have the ability to exercise significant influence.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reviews its investments to determine if a loss in value which is other than a temporary decline has occurred. If such a loss has occurred, the Company recognizes an impairment provision. There were no significant impairments of the Company’s equity investments for the years ended December 31, 2025, 2024 and 2023.</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Accrued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accrued liabilities are financial instruments for which the carrying value approximates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 of the following at December 31, 2025 and 2024:</w:t>
      </w:r>
    </w:p>
    <w:p>
      <w:pPr>
        <w:pStyle w:val="TextBody"/>
        <w:bidi w:val="0"/>
        <w:spacing w:before="0" w:after="0"/>
        <w:ind w:left="0" w:right="0" w:firstLine="720"/>
        <w:jc w:val="left"/>
        <w:rPr/>
      </w:pPr>
      <w:r>
        <w:rPr/>
      </w:r>
    </w:p>
    <w:tbl>
      <w:tblPr>
        <w:tblW w:w="5123" w:type="dxa"/>
        <w:jc w:val="left"/>
        <w:tblInd w:w="0" w:type="dxa"/>
        <w:tblLayout w:type="fixed"/>
        <w:tblCellMar>
          <w:top w:w="28" w:type="dxa"/>
          <w:left w:w="28" w:type="dxa"/>
          <w:bottom w:w="28" w:type="dxa"/>
          <w:right w:w="28" w:type="dxa"/>
        </w:tblCellMar>
      </w:tblPr>
      <w:tblGrid>
        <w:gridCol w:w="1042"/>
        <w:gridCol w:w="917"/>
        <w:gridCol w:w="920"/>
        <w:gridCol w:w="211"/>
        <w:gridCol w:w="616"/>
        <w:gridCol w:w="109"/>
        <w:gridCol w:w="109"/>
        <w:gridCol w:w="109"/>
        <w:gridCol w:w="109"/>
        <w:gridCol w:w="211"/>
        <w:gridCol w:w="61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and Royalties Payable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Capitalized Interest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See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Issuance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Long-term debt includes capitalized costs related to the senior notes, net of accumulated amortization. The costs associated with the senior notes are netted against the senior notes balances and are amortized over the term of the senior notes using the effective interest method. See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for further details. The costs associated with the Company’s credit facilities and term loans are included in other assets on the consolidated balance sheet and are amortized over the term of the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 Retirement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initial measurement of asset retirement obligations at fair value is calculated using discounted cash flow techniques and based on internal estimates of future retirement costs associated with the future plugging and abandonment of wells and related facilities. For additional information regarding the Company’s asset retirement obligations, see Note 6—</w:t>
      </w:r>
      <w:hyperlink w:anchor="i27ba2a247b584e1aae74c0210baff60c_169">
        <w:r>
          <w:rPr>
            <w:rStyle w:val="InternetLink"/>
            <w:rFonts w:ascii="Times New Roman;serif" w:hAnsi="Times New Roman;serif"/>
            <w:b w:val="false"/>
            <w:color w:val="0000FF"/>
            <w:sz w:val="20"/>
            <w:u w:val="single"/>
          </w:rPr>
          <w:t>Asset Retirement Obligations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Variable Interest Entity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the reduction of the Company’s ownership percentage in Viper to below 50% in March 2024, the Company re-evaluated whether Viper should continue to be consolidated in the Company’s financial statements. Viper meets the definition of a VIE under ASC Topic 810, “Consolidation,” and the Company continues to be the primary beneficiary of the VIE through its ability, via existing contractual agreements, to direct the activities that most significantly affect Viper’s economic performance. The Company also has the obligation to absorb losses and the right to receive benefits that could be significant to Viper. As such, the Company continues to consolidate the activity of Viper. The </w:t>
      </w:r>
      <w:r>
        <w:rPr>
          <w:rFonts w:ascii="Times New Roman;serif" w:hAnsi="Times New Roman;serif"/>
          <w:b w:val="false"/>
          <w:color w:val="000000"/>
          <w:sz w:val="20"/>
          <w:shd w:fill="FFFFFF" w:val="clear"/>
        </w:rPr>
        <w:t xml:space="preserve">Viper 2024 Equity Offering, the </w:t>
      </w:r>
      <w:r>
        <w:rPr>
          <w:rFonts w:ascii="Times New Roman;serif" w:hAnsi="Times New Roman;serif"/>
          <w:b w:val="false"/>
          <w:color w:val="000000"/>
          <w:sz w:val="20"/>
        </w:rPr>
        <w:t>Viper 2025 Equity Offering (each as defined and discussed in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 the 2025 Drop Down and Viper’s Sitio Acquisition (each as defined and discussed in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were evaluated and determined not to be events that would cause the Company to change its conclusion regarding Viper’s status as a VIE, and the Company continues to be the primary beneficiary.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maintains its own capital structure that is separate from the Company, and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consolidated balance sheets and disclosed parenthetically, if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Compliance and Remediation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Environmental compliance and remediation costs, including ongoing maintenance and monitoring, are expensed as incurred. Liabilities are accrued when environmental assessments and remediation are probable, and the costs can be reasonably estimated.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Company adopted the amendments in 2025 and applied the guidance on a retrospective basis. Adoption of the update resulted in additional disclosures in Note 11—</w:t>
      </w:r>
      <w:hyperlink w:anchor="i27ba2a247b584e1aae74c0210baff60c_184">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but did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2025-07, “Derivatives and Hedging (Topic 815) and Revenue from Contracts with Customers (Topic 606) – Derivatives Scope Refinements and Scope Clarification for Share-Based Noncash Consideration from a Customer in a Revenue Contract.” The ASU addresses (i) the application of derivative accounting to contracts that include features based on the operations or activities of one of the parties to the contract, and (ii) diversity in practice related to accounting for share-based noncash consideration from a customer. The Company elected to early-adopt this amendment in 2025 and applied the guidance on a prospective basis. Adoption of the update did not impact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historical financial position, results of operations or liquidity; however, the guidance may affect whether certain new arrangements qualify for derivative accounting.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8315" w:type="dxa"/>
        <w:jc w:val="left"/>
        <w:tblInd w:w="0" w:type="dxa"/>
        <w:tblLayout w:type="fixed"/>
        <w:tblCellMar>
          <w:top w:w="28" w:type="dxa"/>
          <w:left w:w="28" w:type="dxa"/>
          <w:bottom w:w="28" w:type="dxa"/>
          <w:right w:w="28" w:type="dxa"/>
        </w:tblCellMar>
      </w:tblPr>
      <w:tblGrid>
        <w:gridCol w:w="1585"/>
        <w:gridCol w:w="1389"/>
        <w:gridCol w:w="1406"/>
        <w:gridCol w:w="211"/>
        <w:gridCol w:w="721"/>
        <w:gridCol w:w="109"/>
        <w:gridCol w:w="109"/>
        <w:gridCol w:w="109"/>
        <w:gridCol w:w="109"/>
        <w:gridCol w:w="211"/>
        <w:gridCol w:w="721"/>
        <w:gridCol w:w="109"/>
        <w:gridCol w:w="109"/>
        <w:gridCol w:w="109"/>
        <w:gridCol w:w="109"/>
        <w:gridCol w:w="211"/>
        <w:gridCol w:w="616"/>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7306" w:type="dxa"/>
        <w:jc w:val="left"/>
        <w:tblInd w:w="0" w:type="dxa"/>
        <w:tblLayout w:type="fixed"/>
        <w:tblCellMar>
          <w:top w:w="28" w:type="dxa"/>
          <w:left w:w="28" w:type="dxa"/>
          <w:bottom w:w="28" w:type="dxa"/>
          <w:right w:w="28" w:type="dxa"/>
        </w:tblCellMar>
      </w:tblPr>
      <w:tblGrid>
        <w:gridCol w:w="727"/>
        <w:gridCol w:w="637"/>
        <w:gridCol w:w="645"/>
        <w:gridCol w:w="252"/>
        <w:gridCol w:w="862"/>
        <w:gridCol w:w="130"/>
        <w:gridCol w:w="109"/>
        <w:gridCol w:w="109"/>
        <w:gridCol w:w="109"/>
        <w:gridCol w:w="294"/>
        <w:gridCol w:w="859"/>
        <w:gridCol w:w="152"/>
        <w:gridCol w:w="109"/>
        <w:gridCol w:w="109"/>
        <w:gridCol w:w="109"/>
        <w:gridCol w:w="211"/>
        <w:gridCol w:w="361"/>
        <w:gridCol w:w="109"/>
        <w:gridCol w:w="109"/>
        <w:gridCol w:w="109"/>
        <w:gridCol w:w="109"/>
        <w:gridCol w:w="211"/>
        <w:gridCol w:w="72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tbl>
      <w:tblPr>
        <w:tblW w:w="7307" w:type="dxa"/>
        <w:jc w:val="left"/>
        <w:tblInd w:w="0" w:type="dxa"/>
        <w:tblLayout w:type="fixed"/>
        <w:tblCellMar>
          <w:top w:w="28" w:type="dxa"/>
          <w:left w:w="28" w:type="dxa"/>
          <w:bottom w:w="28" w:type="dxa"/>
          <w:right w:w="28" w:type="dxa"/>
        </w:tblCellMar>
      </w:tblPr>
      <w:tblGrid>
        <w:gridCol w:w="727"/>
        <w:gridCol w:w="637"/>
        <w:gridCol w:w="645"/>
        <w:gridCol w:w="280"/>
        <w:gridCol w:w="820"/>
        <w:gridCol w:w="145"/>
        <w:gridCol w:w="109"/>
        <w:gridCol w:w="109"/>
        <w:gridCol w:w="109"/>
        <w:gridCol w:w="294"/>
        <w:gridCol w:w="859"/>
        <w:gridCol w:w="152"/>
        <w:gridCol w:w="109"/>
        <w:gridCol w:w="109"/>
        <w:gridCol w:w="109"/>
        <w:gridCol w:w="211"/>
        <w:gridCol w:w="361"/>
        <w:gridCol w:w="109"/>
        <w:gridCol w:w="109"/>
        <w:gridCol w:w="109"/>
        <w:gridCol w:w="109"/>
        <w:gridCol w:w="211"/>
        <w:gridCol w:w="72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7097" w:type="dxa"/>
        <w:jc w:val="left"/>
        <w:tblInd w:w="0" w:type="dxa"/>
        <w:tblLayout w:type="fixed"/>
        <w:tblCellMar>
          <w:top w:w="28" w:type="dxa"/>
          <w:left w:w="28" w:type="dxa"/>
          <w:bottom w:w="28" w:type="dxa"/>
          <w:right w:w="28" w:type="dxa"/>
        </w:tblCellMar>
      </w:tblPr>
      <w:tblGrid>
        <w:gridCol w:w="727"/>
        <w:gridCol w:w="637"/>
        <w:gridCol w:w="645"/>
        <w:gridCol w:w="280"/>
        <w:gridCol w:w="820"/>
        <w:gridCol w:w="145"/>
        <w:gridCol w:w="109"/>
        <w:gridCol w:w="109"/>
        <w:gridCol w:w="109"/>
        <w:gridCol w:w="294"/>
        <w:gridCol w:w="859"/>
        <w:gridCol w:w="152"/>
        <w:gridCol w:w="109"/>
        <w:gridCol w:w="109"/>
        <w:gridCol w:w="109"/>
        <w:gridCol w:w="211"/>
        <w:gridCol w:w="256"/>
        <w:gridCol w:w="109"/>
        <w:gridCol w:w="109"/>
        <w:gridCol w:w="109"/>
        <w:gridCol w:w="109"/>
        <w:gridCol w:w="211"/>
        <w:gridCol w:w="61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 resulting from the concentration of its crude oil and natural gas sales and receivables with several significant purchasers. For the year ended December 31, 2025, four purchasers each accounted for more than 10% of our revenue: Medallion Midstream (16%), Shell Trading (USA) Company (“Shell”) (13%), Enterprise Crude Oil LLC (“Enterprise”) (12%) and Vitol Inc. (“Vitol”) (11%). For the year ended December 31, 2024, four purchasers each accounted for more than 10% of the Company’s revenue: Vitol (17%), Enterprise (15%), Shell (13%) and DK Trading &amp; Supply LLC (“DK”) (11%). For the year ended December 31, 2023, four purchasers each accounted for more than 10% of the Company’s revenue: Vitol (22%), DK (18%), Shell (14%) and Enterprise (13%). The Company does not require collateral and does not believe the loss of any single purchaser would materially impact its operating results, as crude oil and natural gas are fungible products with well-established markets and numerous purchasers.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EPIC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divested its 27.5% equity interest in EPIC Crude Holdings, LP (“EPIC”) pursuant to a definitive purchase and sale agreement with Plains All American Pipeline, L.P. and Plains GP Holdings for approximately $504 million in cash and an additional $96 million in unrecognized contingent consideration (the “EPIC Divestiture”). The EPIC Divestiture resulted in a gain on the sale of equity method investments of approximately $299 million, which is included in the caption “Other income (expense), net” on the consolidated statements of operations for the year ended December 31, 2025. The contingent cash payment is due should the capacity expansion of EPIC be formally sanctioned before year-end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Water Assets to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divested Environmental Disposal Systems, LLC, a subsidiary originally acquired in connection with the Endeavor Acquisition, to Deep Blue Midland Basin LLC (“Deep Blue”), in exchange for upfront net cash proceeds of $694 million, subject to customary post-closing adjustments, and approximately $34 million of additional equity interests issued by Deep Blue as non-cash consideration. The transaction provides for the potential for the Company to earn up to an additional $200 million. If certain completion thresholds are not met, the Company could owe up to $150 million in contingent consideration for the years 2026 through 2028. The Company will recognize any contingent gains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pPr>
      <w:r>
        <w:rPr>
          <w:rFonts w:ascii="Times New Roman;serif" w:hAnsi="Times New Roman;serif"/>
          <w:b w:val="false"/>
          <w:color w:val="000000"/>
          <w:sz w:val="20"/>
        </w:rPr>
        <w:t>realizable at the end of each annual measurement period, or will accrue a contingent loss if at any time a payable to Deep Blue becomes probable and reasonably estimable. The divestiture resulted in a gain of approximately $168 million, which is included in the caption “Other operating expenses, net” on the consolidated statements of operations for the year ended December 31, 2025. As part of the divestiture, the Company renewed its 15-year dedication to Deep Blue for its produced water and supply water within a 12-county area of mutual interest in the Midland Basin. The Company’s equity ownership interest in Deep Blue remained at 30% following the closing of the transaction. The cash proceeds from the divestiture were used to repay borrowings under the Credit Agreement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May 1, 2025, the Company’s wholly owned subsidiary Endeavor Energy Resources, LP (“EER LP”) divested all of the issued and outstanding equity interests in 1979 Royalties, LP and 1979 Royalties GP, LLC (collectively, the “Endeavor Subsidiaries”), each of which was a subsidiary of the Company, pursuant to a definitive equity purchase agreement with Viper and Viper LLC in exchange for consideration consisting of (i) $873 million in cash including customary post-closing adjustments, and (ii) the issuance of 69.63 million Viper LLC units and an equivalent number of shares of Viper’s Class B common stock (the “2025 Drop Down”). The Company incurred $21 million in advisory, legal and filing fees related to the 2025 Drop Down, which are reflected in the consolidated statement of operations in the caption “Other operating expenses, net.” Viper funded the cash consideration for the 2025 Drop Down with a portion of the proceeds from the Viper 2025 Equity Offering (as defined and discussed in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 and borrowings under the Viper Revolving Credit Facility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The 2025 Drop Down was accounted for as a transaction between entities under common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EER LP can exchange some or all of the Viper LLC units received together with an equal number of shares of Viper’s Class B common stock for an equal number of shares of Viper’s Class A common stock. The mineral and royalty interests held and divested by the Endeavor Subsidiaries at the closing of the 2025 Drop Down represented approximately 24,446 net royalty acres in the Permian Basin, 69% of which were operated by the Company, have an average net royalty interest of approximately 2.2% and had oil production as of the closing date of approximately 17,097 BO/d (the “Endeavor Mineral and Royalty Interests”). The Endeavor Mineral and Royalty Interests included interests in horizontal wells comprised of 5,574 gross proved developed production wells (of which approximately 32% were operated by the Company), 116 gross completed wells and 394 gross drilled but uncompleted wells, all of which were principally concentrated in the Midland Basin, with the balance located primarily in the Delaware and Williston Basins.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April 1, 2025, the Company completed its acquisition of all of the issued and outstanding interests of DE Permian, LLC, DE IV Combo, LLC and DE IV Operating, LLC, each of which were wholly owned subsidiaries of Double Eagle IV Midco, LLC (the “Double Eagle Acquisition”) for consideration of $3.1 billion in cash and approximately 6.84 million shares of the Company’s common stock, including transaction costs and subject to certain customary post-closing adjustments. The assets acquired in the Double Eagle Acquisition consisted of approximately 67,700 gross (40,000 net) acres, which are primarily located in the Midland Basin and approximately 407 gross (342 net) horizontal locations in primary development targets. The Company funded the cash portion of the Double Eagle Acquisition through a combination of proceeds from the 2035 Notes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proceeds from the 2025 Term Loan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borrowings under the Company’s revolving credit facility. The Double Eagle Acquisition was accounted for as an asset acquisition in accordance with ASC Topic 805, “Business Combinations.”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completed individually insignificant acquisitions for an aggregate purchase price of approximately $879 million, including customary 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divested non-core assets in individually insignificant transactions for an aggregate of approximately $464 million in proceeds, including customary closing adjustments, during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exchanged assets valued at approximately $835 million, including customary closing adjustments, in individually insignificant non-monetary transactions.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Viper Acquisition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19, 2025, Viper completed a series of transactions in which New Viper acquired Sitio Royalties Corp. (“Sitio”), Sitio Royalties Operating Partnership, LP (“Sitio OpCo”) and their respective subsidiaries, pursuant to the Agreement and Plan of Merger, dated June 2, 2025, by and among Former Viper, Viper LLC, Sitio, Sitio OpCo, New Viper, Cobra Merger Sub, Inc. and Scorpion Merger Sub, Inc. (the “Sitio Acquisition”). The Sitio Acquisition was an all-equity transaction valued at approximately $4.0 billion, including customary transaction costs and post-closing adjustments and the partial retirement of Sitio’s net debt of approximately $1.2 billion.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 See Note 16—</w:t>
      </w:r>
      <w:hyperlink w:anchor="i27ba2a247b584e1aae74c0210baff60c_199">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for discussion of divestiture of the Viper non-Permian acreage in 2026. The Sitio Acquisition was accounted for as an asset acquisition in accordance with ASC Topic 805, “Business Combinations.”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2024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Acquisitions and Divestiture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TRP Exchange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December 20, 2024, the Company completed a transaction with TRP Energy, LLC (“TRP”), in which the Company exchanged certain assets including approximately 47,034 gross (35,673 net) acres located in the Delaware Basin and $312 million in cash, subject to customary post-closing adjustments, for certain of TRP’s assets consisting of approximately 21,582 gross (15,421 net) acres</w:t>
      </w:r>
      <w:r>
        <w:rPr>
          <w:color w:val="000000"/>
        </w:rPr>
        <w:t xml:space="preserve"> </w:t>
      </w:r>
      <w:r>
        <w:rPr>
          <w:rFonts w:ascii="Times New Roman;serif" w:hAnsi="Times New Roman;serif"/>
          <w:b w:val="false"/>
          <w:color w:val="000000"/>
          <w:sz w:val="20"/>
        </w:rPr>
        <w:t>located in the Midland Basin with 55 operated locations (the “TRP Exchange”). The TRP Exchange expanded our operating footprint and enhanced our inventory of near-term drilling locations, and was valued at approximately $1.3 billion. The Company funded the cash portion of the exchange with cash on hand and borrowings under its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acquisition consideration transferred in the TRP Exchange (in millions):</w:t>
      </w:r>
    </w:p>
    <w:p>
      <w:pPr>
        <w:pStyle w:val="TextBody"/>
        <w:bidi w:val="0"/>
        <w:spacing w:before="0" w:after="0"/>
        <w:ind w:left="0" w:right="0" w:firstLine="720"/>
        <w:jc w:val="both"/>
        <w:rPr/>
      </w:pPr>
      <w:r>
        <w:rPr/>
      </w:r>
    </w:p>
    <w:tbl>
      <w:tblPr>
        <w:tblW w:w="3485" w:type="dxa"/>
        <w:jc w:val="left"/>
        <w:tblInd w:w="0" w:type="dxa"/>
        <w:tblLayout w:type="fixed"/>
        <w:tblCellMar>
          <w:top w:w="28" w:type="dxa"/>
          <w:left w:w="28" w:type="dxa"/>
          <w:bottom w:w="28" w:type="dxa"/>
          <w:right w:w="28" w:type="dxa"/>
        </w:tblCellMar>
      </w:tblPr>
      <w:tblGrid>
        <w:gridCol w:w="906"/>
        <w:gridCol w:w="797"/>
        <w:gridCol w:w="801"/>
        <w:gridCol w:w="211"/>
        <w:gridCol w:w="61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Consideration: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Suspense liabilities relieved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 Date Fair Value of Consideration Transferred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acquisition date fair value of oil and natural gas properties transferred was determined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These inputs are not observable in the market and are considered level 3 inputs within the fair value hierarchy. The oil and natural gas properties transferred did not significantly impact the Company’s capitalized costs or proved reserves as of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acquisition date fair value of midstream assets transferred was determined based on the cost approach, which utilized asset listings and cost records with consideration for the age, condition, utilization and economic support of the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Allocation of Consideration Transferred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TRP Exchange has been accounted for under the acquisition method of accounting for business combinations in accordance with ASC Topic 805, “Business Combinations.” The following table represents the allocation of the total consideration transferred in the TRP Exchange to the identifiable assets acquired and the liabilities assumed based on the fair values at the acquisition date. The purchase price allocation was completed in December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Suspense liabilities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completion of the TRP Exchange, the Company acquired proved properties of $851 million and unproved properties of $502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attributable to the TRP Exchange since the acquisition date have been included in the consolidated statements of operations and were insignificant for the year ended December 31,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Endeavor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10, 2024, the Company completed its acquisition of Endeavor Parent, LLC (“Endeavor”) (the “Endeavor Acquisition”) for consideration consisting of (i) $7.1 billion in cash paid to the Endeavor equityholders, (ii) $238 million for the repayment of Endeavor’s net debt, which included the $219 million net debt position and the associated $19 million make-whole premium paid upon redemption of the senior notes and costs incurred to terminate Endeavor’s revolving credit facility, and (iii) approximately 117.27 million shares of the Company’s common stock. The Endeavor Acquisition included approximately 500,849 gross (361,927 net) acres, which are primarily located in the Permian Basin. Following the Endeavor Acquisition, the Company believes its inventory has industry-leading depth and quality that will be converted into cash flow with the industry’s lowest cost structure, creating a differentiated value proposition for Diamondback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cash consideration for the Endeavor Acquisition was funded through a combination of cash on hand, the net proceeds from the Company’s April 2024 Notes offering and borrowings under the Tranche A Loans. Immediately following the close of the Endeavor Acquisition, Endeavor equityholders held approximately 39.8% of Diamondback’s common stock. As of December 31, 2025, Endeavor’s equityholders held approximately 35.8% of the Company’s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Endeavor Acquisition, the Company filed with the SEC a shelf registration statement, which became immediately effective upon filing, registering for resale the shares of common stock issued in the Endeavor Acquisition, as required by the terms of the related registration rights agreement.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acquisition consideration paid to Endeavor equityholders in the Endeavor Acquisition (in millions, except per share data, shares in thousands):</w:t>
      </w:r>
    </w:p>
    <w:p>
      <w:pPr>
        <w:pStyle w:val="TextBody"/>
        <w:bidi w:val="0"/>
        <w:spacing w:before="0" w:after="0"/>
        <w:ind w:left="0" w:right="0" w:firstLine="720"/>
        <w:jc w:val="both"/>
        <w:rPr/>
      </w:pPr>
      <w:r>
        <w:rPr/>
      </w:r>
    </w:p>
    <w:tbl>
      <w:tblPr>
        <w:tblW w:w="7355" w:type="dxa"/>
        <w:jc w:val="left"/>
        <w:tblInd w:w="0" w:type="dxa"/>
        <w:tblLayout w:type="fixed"/>
        <w:tblCellMar>
          <w:top w:w="28" w:type="dxa"/>
          <w:left w:w="28" w:type="dxa"/>
          <w:bottom w:w="28" w:type="dxa"/>
          <w:right w:w="28" w:type="dxa"/>
        </w:tblCellMar>
      </w:tblPr>
      <w:tblGrid>
        <w:gridCol w:w="2267"/>
        <w:gridCol w:w="1996"/>
        <w:gridCol w:w="2006"/>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117,267</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 cash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closing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to Endeavor equityholders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net debt position and make-whole amount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cash consideration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Endeavor Acquisition was accounted for under the acquisition method of accounting for business combinations in accordance with ASC Topic 805, “Business Combinations.” The following table represents the allocation of the total purchase price for the acquisition of Endeavor to the identifiable assets acquired and the liabilities assumed based on the fair values at the acquisition date. The purchase price allocation was completed in September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5286" w:type="dxa"/>
        <w:jc w:val="left"/>
        <w:tblInd w:w="0" w:type="dxa"/>
        <w:tblLayout w:type="fixed"/>
        <w:tblCellMar>
          <w:top w:w="28" w:type="dxa"/>
          <w:left w:w="28" w:type="dxa"/>
          <w:bottom w:w="28" w:type="dxa"/>
          <w:right w:w="28" w:type="dxa"/>
        </w:tblCellMar>
      </w:tblPr>
      <w:tblGrid>
        <w:gridCol w:w="1524"/>
        <w:gridCol w:w="1336"/>
        <w:gridCol w:w="1340"/>
        <w:gridCol w:w="211"/>
        <w:gridCol w:w="72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and royalties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 attributable to liabilities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assets acquired: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joint interest and 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oil and natural gas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 attributable to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purchase price allocation above is based on the fair values of the assets and liabilities of Endeavor as of the closing date of the Endeavor Acquisition. The majority of the value of assets acquired and liabilities assumed was measured based on inputs that are not observable in the market and are therefore considered Level 3 inputs. The fair value of acquired property and equipment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and mineral interest forecasts, projected commodity prices and pricing differentials, and estimates of future capital and operating costs which were then discounted utilizing an estimated weighted-average cost of capital for industry market participants. The value of derivative instruments was based on observable inputs including forward commodity-price curves which are considered Level 2 inputs. Deferred income taxes represent the tax effects of differences in the tax basis and acquisition-date fair values of assets acquired and liabilities assumed. The fair values of asset retirement obligations and inventories were calculated in accordance with the Company’s internal policies as described in Note 2—</w:t>
      </w:r>
      <w:hyperlink w:anchor="i27ba2a247b584e1aae74c0210baff60c_154">
        <w:r>
          <w:rPr>
            <w:rStyle w:val="InternetLink"/>
            <w:rFonts w:ascii="Times New Roman;serif" w:hAnsi="Times New Roman;serif"/>
            <w:b w:val="false"/>
            <w:color w:val="0000FF"/>
            <w:sz w:val="20"/>
            <w:u w:val="single"/>
          </w:rPr>
          <w:t>Summary of Significant Accounting Policies</w:t>
        </w:r>
      </w:hyperlink>
      <w:r>
        <w:rPr>
          <w:rFonts w:ascii="Times New Roman;serif" w:hAnsi="Times New Roman;serif"/>
          <w:b w:val="false"/>
          <w:color w:val="000000"/>
          <w:sz w:val="20"/>
        </w:rPr>
        <w:t>. The fair values of various current assets and liabilities including accounts receivable and accounts payable approximate their carrying values on the closing date of the Endeavor Acquisition because of the short-term nature of the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the completion of the Endeavor Acquisition, the Company acquired proved properties of $20.6 billion and unproved properties of $14.2 billion, primarily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attributable to the Endeavor Acquisition since the acquisition date have been included in the consolidated statements of operations and include $1.8 billion of total revenue and $459 million of net income for the year ended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WTG Midstream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owns a 25% non-operating equity investment in Remuda Midstream Holdings LLC, referred to as the “WTG joint venture.” On July 15, 2024, the WTG joint venture sold its subsidiary, WTG Midstream LLC, (the “WTG Midstream Transaction”) for which the Company received as its portion of the consideration 10.1 million common units issued by Energy Transfer LP (NYSE: ET) and $190 million in cash, subject to customary post-closing adjustments. The common unit consideration was also subject to preferred distributions to incentive members of the WTG joint venture which reduced the proceeds attributable to the Company. At the closing of the WTG Midstream Transaction, the value attributable to the Company of the 10.1 million common units was approximately $135 million, of which approximately $81 million was received by the Company and $54 million was initially held in escrow pursuant to an escrow agreement entered into by the WTG joint venture in connection with the initial transaction. In the third quarter of 2025, the Company received approximately $15 million related to the settlement of working capital and the full $54 million of the escrow amount was released. The total value of distributions received by the Company of $336 million, including certain post-closing adjustments, exceeded the carrying value of the Company’s investment balance in the WTG joint venture, resulting in an aggregate gain of approximately $139 million, of which approximately $65 million was recognized during the year ended December 31, 2025, respectively. The gain is included in the caption “Other income (expense), net” in the consolidated statement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Viper Acquisitions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Viper Tumbleweed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and October of 2024, Viper completed a series of related acquisitions including the Viper TWR Acquisition, the Viper Q Acquisition and the Viper M Acquisition, (collectively the “Viper Tumbleweed Acquisitions”) each as defined and discussed below. The Viper Tumbleweed Acquisitions were each accounted for as asset acquisitions in accordance with ASC Topic 805, “Business Combinations.”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2024, Viper acquired all of the issued and outstanding equity interests in TWR IV, LLC and TWR IV SellCo, LLC from Tumbleweed Royalty IV, LLC (“TWR IV”) and TWR IV SellCo Parent, LLC (the “Viper TWR Acquisition”), pursuant to a definitive purchase and sale agreement for consideration consisting of (i) approximately $464 million in cash, including transaction costs and certain customary post-closing adjustments, (ii) approximately 10.09 million Viper LLC units to TWR IV, (iii) an option granted to TWR IV to acquire up to 10.09 million shares of Viper’s Class B common stock (the “TWR Class B Option”), and (iv) contingent cash consideration of $16 million paid in January 2026 based on the average price of WTI sweet crude oil prompt month futures contracts for the calendar year 2025 (the “WTI 2025 Average”).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TWR IV can exchange some or all of its Viper LLC units for an equal number of shares of Viper’s Class A common stock. The mineral and royalty interests acquired in the Viper TWR Acquisition represent approximately 3,067 net royalty acres located primarily in the Permian Basin. Viper funded the cash consideration for the Viper TWR Acquisition through a combination of cash on hand, borrowings under Viper’s then revolving credit facility and proceeds from the Viper 2024 Equity Offering (as defined and discussed in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 2024, Viper acquired all of the issued and outstanding equity interests in Tumbleweed-Q Royalties, LLC (the “Viper Q Acquisition”), pursuant to a definitive purchase and sale agreement for consideration consisting of (i) approximately $114 million in cash, including transaction costs and certain customary post-closing adjustments, and (ii) contingent cash consideration of $2 million paid in January 2026 based on the WTI 2025 Average.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on September 3, 2024, Viper acquired all of the issued and outstanding equity interests in MC TWR Royalties, LP and MC TWR Intermediate, LLC (the “Viper M Acquisition” and together with the Viper Q Acquisition, the “Viper Q &amp; M Acquisitions”), pursuant to a definitive purchase and sale agreement for consideration consisting of (i) approximately $76 million in cash, including transaction costs and certain customary post-closing adjustments, and (ii) contingent cash consideration of $2 million paid in January 2026 based on the WTI 2025 Average. The mineral and royalty interests acquired in the Viper Q &amp; M Acquisitions represent approximately 406 and 267 net royalty acres located primarily in the Permian Basin, respectively. Viper funded the cash consideration for the Viper Q &amp; M Acquisitions through a combination of cash on hand and borrowings under Viper’s then revolving credit facility.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contingent consideration liabilities for each of the Viper Tumbleweed Acquisitions discussed above are collectively referred to as the “2026 WTI Contingent Liability”.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2023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Acquisition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Lario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31, 2023, the Company closed on its acquisition of all leasehold interests and related assets of Lario Permian, LLC, a wholly owned subsidiary of Lario Oil and Gas Company, and certain associated sellers. The acquisition included approximately 25,000 gross (16,000 net) acres in the Midland Basin and certain related oil and gas assets (the “Lario Acquisition”), in exchange for consideration of 4.33 million shares of the Company’s common stock and $814 million in cash, including customary post-closing adjustments. Approximately $113 million of the cash consideration was deposited in an indemnity holdback escrow account at closing and was distributed upon satisfactory settlement of any potential title defects on the acquired properties during the first quarter of 2024. The cash consideration for the Lario Acquisition was funded through a combination of cash on hand, a portion of the net proceeds from the Company’s offering of 6.250% Senior Notes due 2053 and borrowings under the Company’s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acquisition consideration paid in the Lario Acquisition (in millions, except per share data, shares in thousands):</w:t>
      </w:r>
    </w:p>
    <w:p>
      <w:pPr>
        <w:pStyle w:val="TextBody"/>
        <w:bidi w:val="0"/>
        <w:spacing w:before="0" w:after="0"/>
        <w:ind w:left="0" w:right="0" w:firstLine="720"/>
        <w:jc w:val="both"/>
        <w:rPr/>
      </w:pPr>
      <w:r>
        <w:rPr/>
      </w:r>
    </w:p>
    <w:tbl>
      <w:tblPr>
        <w:tblW w:w="7355" w:type="dxa"/>
        <w:jc w:val="left"/>
        <w:tblInd w:w="0" w:type="dxa"/>
        <w:tblLayout w:type="fixed"/>
        <w:tblCellMar>
          <w:top w:w="28" w:type="dxa"/>
          <w:left w:w="28" w:type="dxa"/>
          <w:bottom w:w="28" w:type="dxa"/>
          <w:right w:w="28" w:type="dxa"/>
        </w:tblCellMar>
      </w:tblPr>
      <w:tblGrid>
        <w:gridCol w:w="2267"/>
        <w:gridCol w:w="1996"/>
        <w:gridCol w:w="2006"/>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4,330</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Lario Acquisition was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The purchase price allocation was completed in December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the completion of the Lario Acquisition, the Company acquired proved properties of $924 million and unproved properties of $536 million. The results of operations attributable to the Lario Acquisition since the acquisition date have been included in the consolidated statements of operations and include $488 million of total revenue and $200 million of net income for the year ended December 31,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Deep Blue Water Assets and Deep Blue 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2023, the Company closed on a joint venture agreement with Five Point Energy LLC (“Five Point”) to form Deep Blue. At closing, the Company contributed certain treated water, fresh water and saltwater disposal assets (the “Deep Blue Water Assets”) with a net carrying value of $703 million, including certain post-closing adjustments, and Five Point contributed $251 million in cash to Deep Blue. In exchange for these contributions, Deep Blue issued the Company a one-time cash distribution of approximately $516 million and a 30% equity ownership and voting interest, and issued to Five Point a 70% equity ownership and voting interest. Five Point is not considered a related party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under a separate agreement with Deep Blue, the Company continued to operate the Deep Blue Water Assets on a short-term basis. Five Point agreed to pay the Company approximately $47 million upon the successful transfer of operations to Deep Blue and the Company recorded approximately $43 million as a contingent consideration receivable on the closing date based on the assessed probability of earning the additional consideration. Upon the successful transfer of operations in June 2024, the Company received the full contingent consideration amount of $47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its 30% equity interest in Deep Blue at fair value based on the cash consideration and contingent consideration contributed by Five Point to Deep Blue in exchange for its 70% equity ownership. The Company’s equity method investment in Deep Blue had an initial fair value of $126 million. The Company’s proportionate share of the income or loss from Deep Blue is recognized on a two-month lag. The Company has recognized an aggregate $13 million loss on the sale of its Deep Blue Water Assets, of which approximately $1 million was recognized during the year ended December 31, 2024. The loss on the sale of Deep Blue Water Assets is included in the caption “Other operating expenses” in the consolidated statement of operations. The majority of measurements utilized to determine the fair value amounts reported above relating to this transaction are based on inputs that are not observable in the market and are therefore considered Level 3 inputs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Five Point anticipate collectively contributing $500 million in follow-on capital to fund future growth projects and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part of the transaction, the Company also entered into a 15-year dedication with Deep Blue for its produced water and supply water within a 12-county area of mutual interest in the Midland Basin. See Note 7—</w:t>
      </w:r>
      <w:hyperlink w:anchor="i27ba2a247b584e1aae74c0210baff60c_1995">
        <w:r>
          <w:rPr>
            <w:rStyle w:val="InternetLink"/>
            <w:rFonts w:ascii="Times New Roman;serif" w:hAnsi="Times New Roman;serif"/>
            <w:b w:val="false"/>
            <w:color w:val="0000FF"/>
            <w:sz w:val="20"/>
            <w:u w:val="single"/>
          </w:rPr>
          <w:t>Related Party Transactions</w:t>
        </w:r>
      </w:hyperlink>
      <w:r>
        <w:rPr>
          <w:color w:val="000000"/>
        </w:rPr>
        <w:t xml:space="preserve"> </w:t>
      </w:r>
      <w:r>
        <w:rPr>
          <w:rFonts w:ascii="Times New Roman;serif" w:hAnsi="Times New Roman;serif"/>
          <w:b w:val="false"/>
          <w:color w:val="000000"/>
          <w:sz w:val="20"/>
        </w:rPr>
        <w:t>for further discussion of transactions with Deep Blue.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 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2023, the Company divested its 43% limited liability company interest in OMOG JV LLC and its 10% non-operating equity investment in Gray Oak Pipeline, LLC for an aggregate $397 million. These divestitures resulted in an aggregate gain on the sale of equity method investments of approximately $88 million, which is included in the caption “Other income (expense), net” on the consolidated statements of operations for the year ended December 31, 2023.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Non-Core Asset 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2023, the Company divested non-core assets to unrelated third-party buyers consisting of approximately 19,000 net acres in Glasscock County, TX and 4,900 net acres in Ward County and Winkler County, TX for net cash proceeds of $341 million, including customary post-closing adjustments. The Company used its net proceeds from these transactions for debt reduction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divestitures of non-core oil and gas assets did not result in a significant alteration of the relationship between the Company’s capitalized costs and proved reserves and, accordingly, the Company recorded the proceeds as a reduction of its full cost pool with no gain or loss recognized on the sales.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Viper Acquisitions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GRP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November 1, 2023, Viper acquired certain mineral and royalty interests from Royalty Asset Holdings, LP, Royalty Asset Holdings II, LP and Saxum Asset Holdings, LP, affiliates of Warwick Capital Partners and GRP Energy Capital, pursuant to a definitive purchase and sale agreement for approximately 9.02 million Viper common units and $747 million in cash, including transaction costs and certain customary post-closing adjustments (the “GRP Acquisition”). The mineral and royalty interests acquired in the GRP Acquisition represent approximately 4,600 net royalty acres in the Permian Basin, plus approximately 2,700 additional net royalty acres in other major basins. The cash consideration for the GRP Acquisition was funded through a combination of cash on hand and held in escrow, borrowings under Viper’s then revolving credit facility, proceeds from the Viper 2031 Notes (as defined and discussed in Note 8—</w:t>
      </w:r>
      <w:hyperlink w:anchor="i27ba2a247b584e1aae74c0210baff60c_17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proceeds from a $200 million common unit issuance to Diamondback discussed further in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 Forma Financial Information (Unaudited)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unaudited summary pro forma financial information for the years ended December 31, 2024 and 2023 has been prepared to give effect to (i) the Endeavor Acquisition as if it had occurred on January 1, 2023, and (ii) the TRP Exchange as if it had occurred on January 1, 2023. The unaudited pro forma financial information does not purport to be indicative of what the combined company’s results of operations would have been if the transaction had occurred on the dates indicated, nor is it indicative of the future financial position or results of operations of the combined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below information reflects pro forma adjustments for the issuance of the Company’s common stock as consideration for the Endeavor Acquisition, as well as pro forma adjustments based on available information and certain assumptions that the Company believes are reasonable, including adjustments to depreciation, depletion and amortization based on the full cost method of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pro forma earnings for the year ended December 31, 2024 include historical acquisition-related costs incurred by Endeavor of $415 million, which consist primarily of incentive compensation, investment banking and legal costs. The Company incurred acquisition related costs of $303 million for the year ended December 31, 2024 which consist primarily of $197 million in severance and accelerated incentive compensation payments to former Endeavor employees, $78 million in investment banking and legal costs incurred upon the closing of the Endeavor Acquisition, $14 million related to regulatory reviews under the Hart-Scott-Rodino Antitrust Improvements Act of 1976, as amended, and other individually insignificant items including SEC filing fees and other professional fees. The Company incurred acquisition costs of $42 million in connection with the Endeavor Acquisition for the year ended December 31, 2025, which primarily consist of severance and accelerated incentive compensation payments to former Endeavor employees. The Company incurred acquisition related costs of $10 million for the year ended December 31, 2025, which primarily consist of advisory and legal fees related to the TRP Exchange. The pro forma results of operations do not include any cost savings or other synergies that may result from the Endeavor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tbl>
      <w:tblPr>
        <w:tblW w:w="8296" w:type="dxa"/>
        <w:jc w:val="left"/>
        <w:tblInd w:w="0" w:type="dxa"/>
        <w:tblLayout w:type="fixed"/>
        <w:tblCellMar>
          <w:top w:w="28" w:type="dxa"/>
          <w:left w:w="28" w:type="dxa"/>
          <w:bottom w:w="28" w:type="dxa"/>
          <w:right w:w="28" w:type="dxa"/>
        </w:tblCellMar>
      </w:tblPr>
      <w:tblGrid>
        <w:gridCol w:w="1785"/>
        <w:gridCol w:w="1567"/>
        <w:gridCol w:w="1583"/>
        <w:gridCol w:w="109"/>
        <w:gridCol w:w="109"/>
        <w:gridCol w:w="270"/>
        <w:gridCol w:w="925"/>
        <w:gridCol w:w="139"/>
        <w:gridCol w:w="139"/>
        <w:gridCol w:w="139"/>
        <w:gridCol w:w="139"/>
        <w:gridCol w:w="270"/>
        <w:gridCol w:w="925"/>
        <w:gridCol w:w="197"/>
      </w:tblGrid>
      <w:tr>
        <w:trPr/>
        <w:tc>
          <w:tcPr>
            <w:tcW w:w="178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Diamondback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004"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11"/>
        <w:gridCol w:w="721"/>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of costs not subject to depletion as of December 31, 2025 by the period in which the costs were incurred:</w:t>
      </w:r>
    </w:p>
    <w:p>
      <w:pPr>
        <w:pStyle w:val="TextBody"/>
        <w:bidi w:val="0"/>
        <w:spacing w:before="0" w:after="0"/>
        <w:ind w:left="0" w:right="0" w:firstLine="720"/>
        <w:jc w:val="both"/>
        <w:rPr/>
      </w:pPr>
      <w:r>
        <w:rPr/>
      </w:r>
    </w:p>
    <w:tbl>
      <w:tblPr>
        <w:tblW w:w="9722" w:type="dxa"/>
        <w:jc w:val="left"/>
        <w:tblInd w:w="0" w:type="dxa"/>
        <w:tblLayout w:type="fixed"/>
        <w:tblCellMar>
          <w:top w:w="28" w:type="dxa"/>
          <w:left w:w="28" w:type="dxa"/>
          <w:bottom w:w="28" w:type="dxa"/>
          <w:right w:w="28" w:type="dxa"/>
        </w:tblCellMar>
      </w:tblPr>
      <w:tblGrid>
        <w:gridCol w:w="1259"/>
        <w:gridCol w:w="1108"/>
        <w:gridCol w:w="1112"/>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costs not subject to depletion: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 subject to depletion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Costs associated with unevaluated properties are not subject to depletion and excluded from the full cost pool until the Company has made a determination as to the existence of proved reserves. Although the evaluation process has not been completed on our unevaluated properties, the Company currently estimates these costs will be added to the amortization base within fifteen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capitalized internal costs of approximately $102 million, $90 million and $66 million for the years ended December 31, 2025,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full cost method of accounting, the Company is required to perform a ceiling test each quarter which determines a limit, or ceiling, on the book value of proved oil and natural gas properties. As a result of the decline in commodity prices during 2025, the Company recorded a non-cash ceiling test impairment for the year ended December 31, 2025 of $3.7 billion, which is included in accumulated depletion, depreciation, amortization and impairment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balance sheet. The impairment charge affected the Company’s reported net income but did not reduce its cash flow. No impairment expense was recorded for the years ended December 31,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ASSET RETIREMENT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the changes to the Company’s asset retirement obligations liability for the following periods:</w:t>
      </w:r>
    </w:p>
    <w:p>
      <w:pPr>
        <w:pStyle w:val="TextBody"/>
        <w:bidi w:val="0"/>
        <w:spacing w:before="0" w:after="0"/>
        <w:ind w:left="0" w:right="0" w:firstLine="720"/>
        <w:jc w:val="both"/>
        <w:rPr/>
      </w:pPr>
      <w:r>
        <w:rPr/>
      </w:r>
    </w:p>
    <w:tbl>
      <w:tblPr>
        <w:tblW w:w="6269" w:type="dxa"/>
        <w:jc w:val="left"/>
        <w:tblInd w:w="0" w:type="dxa"/>
        <w:tblLayout w:type="fixed"/>
        <w:tblCellMar>
          <w:top w:w="28" w:type="dxa"/>
          <w:left w:w="28" w:type="dxa"/>
          <w:bottom w:w="28" w:type="dxa"/>
          <w:right w:w="28" w:type="dxa"/>
        </w:tblCellMar>
      </w:tblPr>
      <w:tblGrid>
        <w:gridCol w:w="1489"/>
        <w:gridCol w:w="1309"/>
        <w:gridCol w:w="1312"/>
        <w:gridCol w:w="234"/>
        <w:gridCol w:w="518"/>
        <w:gridCol w:w="121"/>
        <w:gridCol w:w="121"/>
        <w:gridCol w:w="121"/>
        <w:gridCol w:w="121"/>
        <w:gridCol w:w="234"/>
        <w:gridCol w:w="518"/>
        <w:gridCol w:w="171"/>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beginning of period</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liabilities incurred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 and divested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Revisions in estimated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end of period</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current portion</w:t>
            </w:r>
            <w:r>
              <w:rPr>
                <w:rFonts w:ascii="Times New Roman;serif" w:hAnsi="Times New Roman;serif"/>
                <w:b w:val="false"/>
                <w:color w:val="000000"/>
                <w:sz w:val="13"/>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 retirement obligations - long-term</w:t>
            </w:r>
            <w:r>
              <w:rPr>
                <w:rFonts w:ascii="Times New Roman;serif" w:hAnsi="Times New Roman;serif"/>
                <w:b w:val="false"/>
                <w:color w:val="000000"/>
                <w:sz w:val="13"/>
              </w:rPr>
              <w:t>(2)</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current portion of the asset retirement obligation is included in the caption “Other accrued liabilities” in the Company’s consolidated balance sheets.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long-term portion of the asset retirement obligation is included in the caption “Other long-term liabilities” in the Company’s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its equity method investments to be related parties. At December 31, 2025, the Company’s only significant equity method investment was its 30% equity ownership interest in Deep Blue, which is included in the caption “Other assets” on the Company’s consolidated balance sheets. Additionally, the Company has other related party transactions with Deep Blue in the ordinary course of business, which result in (i) certain accounts receivable due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further discussion on additional transactions with Deep Blue, 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related party balances that pertain to Deep Blue which are included in the consolidated balance sheets at December 31, 2025 and 2024:</w:t>
      </w:r>
    </w:p>
    <w:p>
      <w:pPr>
        <w:pStyle w:val="TextBody"/>
        <w:bidi w:val="0"/>
        <w:spacing w:before="0" w:after="0"/>
        <w:ind w:left="0" w:right="0" w:firstLine="720"/>
        <w:jc w:val="both"/>
        <w:rPr/>
      </w:pPr>
      <w:r>
        <w:rPr/>
      </w:r>
    </w:p>
    <w:tbl>
      <w:tblPr>
        <w:tblW w:w="6234" w:type="dxa"/>
        <w:jc w:val="left"/>
        <w:tblInd w:w="0" w:type="dxa"/>
        <w:tblLayout w:type="fixed"/>
        <w:tblCellMar>
          <w:top w:w="28" w:type="dxa"/>
          <w:left w:w="28" w:type="dxa"/>
          <w:bottom w:w="28" w:type="dxa"/>
          <w:right w:w="28" w:type="dxa"/>
        </w:tblCellMar>
      </w:tblPr>
      <w:tblGrid>
        <w:gridCol w:w="1549"/>
        <w:gridCol w:w="1362"/>
        <w:gridCol w:w="1379"/>
        <w:gridCol w:w="211"/>
        <w:gridCol w:w="466"/>
        <w:gridCol w:w="109"/>
        <w:gridCol w:w="109"/>
        <w:gridCol w:w="109"/>
        <w:gridCol w:w="109"/>
        <w:gridCol w:w="211"/>
        <w:gridCol w:w="46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recorded approximately $199 million and $135 million, respectively, for water services provided by Deep Blue during the completion phase of wells. These costs were capitalized and any remaining unamortized costs are included in the caption “Oil and natural gas properties” on the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related party transactions included in the consolidated statements of operations for the years ended December 31, 2025 and 2024:</w:t>
      </w:r>
    </w:p>
    <w:p>
      <w:pPr>
        <w:pStyle w:val="TextBody"/>
        <w:bidi w:val="0"/>
        <w:spacing w:before="0" w:after="0"/>
        <w:ind w:left="0" w:right="0" w:firstLine="720"/>
        <w:jc w:val="both"/>
        <w:rPr/>
      </w:pPr>
      <w:r>
        <w:rPr/>
      </w:r>
    </w:p>
    <w:tbl>
      <w:tblPr>
        <w:tblW w:w="5678" w:type="dxa"/>
        <w:jc w:val="left"/>
        <w:tblInd w:w="0" w:type="dxa"/>
        <w:tblLayout w:type="fixed"/>
        <w:tblCellMar>
          <w:top w:w="28" w:type="dxa"/>
          <w:left w:w="28" w:type="dxa"/>
          <w:bottom w:w="28" w:type="dxa"/>
          <w:right w:w="28" w:type="dxa"/>
        </w:tblCellMar>
      </w:tblPr>
      <w:tblGrid>
        <w:gridCol w:w="792"/>
        <w:gridCol w:w="697"/>
        <w:gridCol w:w="700"/>
        <w:gridCol w:w="109"/>
        <w:gridCol w:w="109"/>
        <w:gridCol w:w="229"/>
        <w:gridCol w:w="229"/>
        <w:gridCol w:w="444"/>
        <w:gridCol w:w="982"/>
        <w:gridCol w:w="229"/>
        <w:gridCol w:w="109"/>
        <w:gridCol w:w="109"/>
        <w:gridCol w:w="109"/>
        <w:gridCol w:w="211"/>
        <w:gridCol w:w="46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discussion on related party transactions with Viper, 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w:t>
      </w:r>
      <w:r>
        <w:rPr>
          <w:rFonts w:ascii="Times New Roman;serif" w:hAnsi="Times New Roman;serif"/>
          <w:b w:val="false"/>
          <w:color w:val="000000"/>
          <w:sz w:val="20"/>
        </w:rPr>
        <w:t>2025 Drop Down.</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SGF Common Stock Repurchases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November 28, 2025, the Company entered into a letter agreement with SGF FANG Holdings, LP (“SGF”). SGF includes certain Endeavor equityholders that received shares of the Company’s common stock as partial consideration for the Endeavor Acquisition, and as a result, is considered a related party of the Company under ASC Topic 850 “Related Party Disclosures.” The letter agreement provides SGF with the right, but not the obligation, to sell up to 3.0 million shares of the Company’s common stock to the Company per quarter through December 31, 2026 at the most recent Nasdaq closing price of such transaction, pursuant to the letter agreement. Pursuant to the letter agreement, on the same date, the Company agreed to repurchase 2.0 million shares of its common stock held by SGF at $152.59 per share. Repurchases under the letter agreement are pursuant to the Company’s existing share repurchase program, and have been approved by the audit committee of the Company’s board of directors. For details on the Company’s existing share repurchase program, see Note 9—</w:t>
      </w:r>
      <w:hyperlink w:anchor="i27ba2a247b584e1aae74c0210baff60c_178">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 See Note 16—</w:t>
      </w:r>
      <w:hyperlink w:anchor="i27ba2a247b584e1aae74c0210baff60c_199">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for repurchases from SGF during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debt consisted of the following as of the dates indicated:</w:t>
      </w:r>
    </w:p>
    <w:p>
      <w:pPr>
        <w:pStyle w:val="TextBody"/>
        <w:bidi w:val="0"/>
        <w:spacing w:before="0" w:after="0"/>
        <w:ind w:left="0" w:right="0" w:firstLine="720"/>
        <w:jc w:val="left"/>
        <w:rPr/>
      </w:pPr>
      <w:r>
        <w:rPr/>
      </w:r>
    </w:p>
    <w:tbl>
      <w:tblPr>
        <w:tblW w:w="8918" w:type="dxa"/>
        <w:jc w:val="left"/>
        <w:tblInd w:w="0" w:type="dxa"/>
        <w:tblLayout w:type="fixed"/>
        <w:tblCellMar>
          <w:top w:w="28" w:type="dxa"/>
          <w:left w:w="28" w:type="dxa"/>
          <w:bottom w:w="28" w:type="dxa"/>
          <w:right w:w="28" w:type="dxa"/>
        </w:tblCellMar>
      </w:tblPr>
      <w:tblGrid>
        <w:gridCol w:w="2341"/>
        <w:gridCol w:w="2058"/>
        <w:gridCol w:w="2065"/>
        <w:gridCol w:w="211"/>
        <w:gridCol w:w="721"/>
        <w:gridCol w:w="109"/>
        <w:gridCol w:w="109"/>
        <w:gridCol w:w="109"/>
        <w:gridCol w:w="109"/>
        <w:gridCol w:w="211"/>
        <w:gridCol w:w="721"/>
        <w:gridCol w:w="154"/>
      </w:tblGrid>
      <w:tr>
        <w:trPr/>
        <w:tc>
          <w:tcPr>
            <w:tcW w:w="234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3.250% Senior Notes due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5.625% Senior Notes due 2026</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5.200% Senior Notes due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7.125% Medium-term Notes, Series B,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3.125%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5.400% Senior Notes due 2034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5.550% Senior Notes due 2035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4.400% Senior Notes due 2051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4.250% Senior Notes due 2052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2053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5.750% Senior Notes due 2054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5.900% Senior Notes due 2064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A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Unamortized basis adjustment of dedesignated interest rate swap agreements</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5.375% Senior Notes due 2027 (discharged)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4.900%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7.375%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5.700% Senior Notes due 2035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2025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(1)QEP remained the issuer of these senior notes subsequent to becoming a wholly owned subsidiary of the Company.</w:t>
      </w:r>
    </w:p>
    <w:p>
      <w:pPr>
        <w:pStyle w:val="TextBody"/>
        <w:bidi w:val="0"/>
        <w:spacing w:lineRule="auto" w:line="288" w:before="0" w:after="0"/>
        <w:ind w:left="0" w:right="0" w:hanging="360"/>
        <w:jc w:val="both"/>
        <w:rPr/>
      </w:pPr>
      <w:r>
        <w:rPr>
          <w:rFonts w:ascii="Times New Roman;serif" w:hAnsi="Times New Roman;serif"/>
          <w:b w:val="false"/>
          <w:color w:val="000000"/>
          <w:sz w:val="20"/>
        </w:rPr>
        <w:t>(2)Represents the unamortized basis adjustment related to two receive-fixed, pay variable interest rate swap agreements which were previously designated as fair value hedges of the Company’s 3.500% fixed rate senior notes due 2029 (the “2029 Notes”). This basis adjustment is being amortized to interest expense over the remaining term of the 2029 Notes utilizing the effective interest method. See Note 12—</w:t>
      </w:r>
      <w:hyperlink w:anchor="i27ba2a247b584e1aae74c0210baff60c_18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for further discussion on the interest rate swaps.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Debt maturities as of December 31, 2025, excluding debt issuance costs, premiums and discounts and the unamortized basis adjustment of dedesignated interest rate swap agreements are as follows:</w:t>
      </w:r>
    </w:p>
    <w:p>
      <w:pPr>
        <w:pStyle w:val="TextBody"/>
        <w:bidi w:val="0"/>
        <w:spacing w:before="0" w:after="0"/>
        <w:ind w:left="0" w:right="0" w:firstLine="720"/>
        <w:jc w:val="both"/>
        <w:rPr/>
      </w:pPr>
      <w:r>
        <w:rPr/>
      </w:r>
    </w:p>
    <w:tbl>
      <w:tblPr>
        <w:tblW w:w="3283" w:type="dxa"/>
        <w:jc w:val="left"/>
        <w:tblInd w:w="0" w:type="dxa"/>
        <w:tblLayout w:type="fixed"/>
        <w:tblCellMar>
          <w:top w:w="28" w:type="dxa"/>
          <w:left w:w="28" w:type="dxa"/>
          <w:bottom w:w="28" w:type="dxa"/>
          <w:right w:w="28" w:type="dxa"/>
        </w:tblCellMar>
      </w:tblPr>
      <w:tblGrid>
        <w:gridCol w:w="793"/>
        <w:gridCol w:w="697"/>
        <w:gridCol w:w="699"/>
        <w:gridCol w:w="212"/>
        <w:gridCol w:w="727"/>
        <w:gridCol w:w="155"/>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2025, Diamondback E&amp;P, as borrower, and Diamondback Energy, Inc., as parent guarantor, entered into a sixteenth amendment to the existing credit agreement (the “Credit Agreement”), which among other things (i) extended the maturity date to June 12, 2030, and (ii) decreased the interest rate as discussed below. The Credit Agreement provides for a maximum credit amount of $2.5 billion, which may be further increased to a total maximum commitment of $2.6 billion. As of December 31, 2025, the Company had no outstanding borrowings and approximately $2.5 billion available for future borrowings under the Credit Agreement. During the years ended December 31, 2025, 2024 and 2023, the weighted average interest rate on borrowings under the Credit Agreement was 5.60%, 6.33% and 6.31%,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giving effect to the amendment, outstanding borrowings under the Credit Agreement bear interest at a per annum rate elected by Diamondback E&amp;P that is equal to (i) term SOFR or (ii) an alternate base rate (which is equal to the greatest of the prime rate, the Federal Funds effective rate plus 0.50%, and 1-month term SOFR plus 1.0%, subject to a 1.0% floor), in each case plus the applicable margin. The applicable margin ranges from 0.000% to 0.750% per annum in the case of the alternate base rate and from 1.000% to 1.750% per annum in the case of term SOFR, in each case based on the pricing level, and the commitment fee ranges from 0.100% to 0.250% per annum on the average daily unused portion of the commitments, based on the pricing level. The pricing level depends on the Company’s long-term senior unsecured debt ratings.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a financial covenant that requires the Company to maintain a Total Net Debt to Capitalization Ratio (as defined in the Credit Agreement) of no more than 65%. As of December 31, 2025, the Company was in compliance with all financial maintenance covenants under the revolving credit facility, as then in effect.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Viper’s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2025, Former Viper, as guarantor, entered into a credit agreement with Viper LLC, as borrower, and Wells Fargo, as the administrative agent (the “Viper Revolving Credit Facility”), which among other things, provides the borrower with a senior unsecured revolving credit facility with a commitment of $1.5 billion. The Viper Revolving Credit Facility has a maturity date of June 12, 2030, with the ability to request three extensions of the maturity date by one year. The Viper Revolving Credit Facility was previously guaranteed by certain subsidiaries of the borrower, and upon completion of the Sitio Acquisition, those subsidiary guarantees were released and New Viper and Former Viper became co-guarantors. The Viper Revolving Credit Facility replaced the borrower’s previous revolving credit facility, dated July 20, 2018, among Viper, the borrower and Wells Fargo as amended, restated, amended and restated, supplemented or otherwise modified prior to June 12, 2025. As of December 31, 2025, there were $105 million in outstanding borrowings and $1.4 billion available for future borrowings under the Viper Revolving Credit Facility. During the years ended December 31, 2025, 2024 and 2023, respectively, the weighted average interest rates on borrowings under Viper’s respective revolving credit facilities were 6.02%, 7.34% and 7.41%.</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Viper Revolving Credit Facility bear interest at a per annum rate elected by the borrower that is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alternative base rate loans and from 1.125% to 2.000% per annum in the case of term SOFR loans, in each case based on the pricing level. Further, the commitment fee ranges from 0.125% to 0.325% per annum on the average daily unused portion of the commitment, again based on the pricing level. The pricing level depends on the rating of Viper’s long-term senior unsecured debt by certain ratings agencies.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Viper Revolving Credit Facility contains a financial covenant that requires Viper to maintain a Total Net Debt to Capitalization Ratio (as defined in the Viper Revolving Credit Facility) of no more than 65%. As of December 31, 2025, the borrower was in compliance with all financial maintenance covenants under the Viper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Viper Energy Partners LLC converted its legal form (the “Viper LLC Conversion”), in accordance with the applicable laws of the State of Delaware, to a Delaware limited partnership named Viper Energy Partners LP (“Viper LP”), which is now the borrower under the Viper Revolving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Term Loan Agreements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Term Loan Agreements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Double Eagle Acquisition, Diamondback Energy, Inc., as guarantor, entered into a term loan credit agreement with Diamondback E&amp;P, as borrower, and Bank of America, N.A., as administrative agent (the “2025 Term Loan”) on March 21,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Term Loan provided the Company with the ability to borrow up to $1.5 billion on an unsecured basis to fund a portion of the cash consideration and expenses for the Double Eagle Acquisition. On April 1, 2025, the date of closing of the Double Eagle Acquisition, the 2025 Term Loan was fully drawn in a single borrowing. Any then-outstanding amounts will mature and be payable in full on the second anniversary of the initial funding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weighted average interest rate on borrowings under the 2025 Term Loan was 5.64%.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the 2025 Term Loan bear interest at a per annum rate elected by the Company that is equal to (i) term SOFR plus 0.10% (“Adjusted Term SOFR”) or (ii) an alternate base rate (which is equal to the greatest of (a) the Federal Funds effective rate plus 0.50%, (b) the prime rate, (c) Adjusted Term SOFR plus 1.0%, and (d) 1.0%), in each case plus the applicable margin. The applicable margin ranges from 0.125% to 1.000% per annum in the case of the alternate base rate and from 1.125% to 2.000% per annum in the case of Adjusted Term SOFR, in each case based on the pricing level, and the commitment fee is equal to 0.125% per annum on the aggregate principal amount of the commitments. The pricing level depends on the Company’s long-term senior unsecured debt ratings.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Tranche A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29, 2024, Diamondback Energy, Inc., as guarantor, entered into a term loan credit agreement with Diamondback E&amp;P, as borrower, and Citibank, N.A., as administrative agent, which at the time of borrowing was comprised of $1.0 billion of Tranche A Loans. The Tranche A Loans were fully drawn to fund a portion of the cash consideration for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5, 2025, the Company used the cash proceeds received from the 2025 Drop Down to repay in full and terminate the $900 million remaining outstanding Tranche A Loans. During the years ended December 31, 2025 and 2024, the weighted average interest rate on borrowings under the Tranche A Loans was 5.87% and 6.13%,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Viper Term Loan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Viper 2025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in connection with the Sitio Acquisition, Former Viper, as guarantor, entered into a term loan credit agreement with Viper LLC, as borrower, and Goldman Sachs Bank USA, as administrative agent, (the “Viper 2025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Viper 2025 Term Loan provided Viper with the ability to borrow up to $500 million on a senior unsecured basis to fund a portion of the retirement of Sitio’s net debt, in connection with the Sitio Acquisition. On August 19, 2025, the date of closing of the Sitio Acquisition, the Viper 2025 Term Loan was fully drawn in a single borrowing. Any then-outstanding amounts will mature and be payable in full on the second anniversary of the initial funding date. In connection with the closing of the Sitio Acquisition, New Viper became a co-guarantor of the Viper 2025 Term Loan. During the year ended December 31, 2025, the weighted average interest rate on borrowings under the Viper 2025 Term Loan was 5.72%.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Viper 2025 Term Loan bear interest at a per annum rate elected by the borrower that is equal to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Viper’s long-term senior unsecured debt by certain ratings agencies. In addition, the fee on undrawn commitments is equal to 0.20% per annum on the aggregate principal amount of such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Viper LLC Conversion, Viper LP, as successor to Viper Energy Partners LLC, became the borrower under the Viper 2025 Term Loan.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Issuance of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Issuance of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Diamondback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20, 2025, the Company issued $1.2 billion aggregate principal amount of 5.550% Senior Notes due April 1, 2035 (the “2035 Notes”), which are included in the Company’s Guaranteed Senior Notes. The Company received net proceeds of $1.19 billion, after underwriters’ discounts and transaction costs. Interest on the 2035 Notes is payable semi-annually on April 1 and October 1 of each year, which commenced on October 1, 2025. The Company used the net proceeds to fund a portion of the cash consideration for the Double Eagle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Viper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LLC, as issuer, and Former Viper, as guarantor, issued $1.6 billion in aggregate principal amount of senior notes consisting of (i) $500 million aggregate principal amount of 4.900% Senior Notes due August 1, 2030 (the “Viper 2030 Notes”), and (ii) $1.1 billion aggregate principal amount of 5.700% Senior Notes due August 1, 2035 (the “Viper 2035 Notes” and together with the Viper 2030 Notes, the “Viper 2025 Notes”). Viper received net proceeds of approximately $1.58 billion, after underwriters’ discounts and transaction costs. Interest on the Viper 2025 Notes is payable semi-annually in February and August of each year, beginning on February 1, 2026. Concurrently, Viper used approximately $824 million of the proceeds to redeem approximately $780 million in aggregate principal amounts of the Viper Notes, including accrued interest due and applicable redemption premiums. Following the closing of the Sitio Acquisition, Viper used the remaining proceeds from the issuance of the Viper 2025 Notes to (i) retire Sitio’s 7.875% senior notes due 2028, (ii) partially repay borrowings under Sitio’s revolving credit facility, (iii) pay fees, costs and expenses related to the redemption or repayment of such debt, and (iv) for general corporate purposes. The Viper 2025 Notes have been registered under the Securities Act. Following the Viper LLC Conversion, Viper LP, as successor to Viper Energy Partners LLC, became the issuer with respect to the Viper 2025 Notes.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2024 Issuance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18, 2024, Diamondback Energy, Inc., as borrower, and Diamondback E&amp;P, as guarantor, issued an aggregate of $5.5 billion in senior notes, consisting of (i) $850 million aggregate principal amount of 5.200% Senior Notes due April 18, 2027 (the “2027 Notes”), (ii) $850 million aggregate principal amount of 5.150% Senior Notes due January 30, 2030 (the “2030 Notes”), (iii) $1.3 billion aggregate principal amount of 5.400% Senior Notes due April 18, 2034 (the “2034 Notes”), (iv) $1.5 billion aggregate principal amount of 5.750% Senior Notes due April 18, 2054 (the “2054 Notes”), and (v) $1.0 billion aggregate principal amount of 5.900% Senior Notes due April 18, 2064 (the “2064 Notes” and together with the 2027 Notes, the 2030 Notes, the 2034 Notes and the 2054 Notes, the “April 2024 Notes”). The April 2024 Notes are included in the Company’s Guaranteed Senior Notes. The Company received net proceeds of $5.5 billion, after underwriters’ discounts and transaction costs. Interest on the 2030 Notes is payable semi-annually on January 30 and July 30 of each year, beginning on July 30, 2024. Interest on each other series of notes will be payable semi-annually on April 18 and October 18 of each year. The Company used the net proceeds from the April 2024 Notes to fund a portion of the cash consideration for the Endeavor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Retirement of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Diamondback 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opportunistically repurchased an aggregate principal amount of approximately $455 million of its senior notes, which consisted of $27 million of the 3.125% Senior Notes due 2031, $263 million of the 4.400% Senior Notes due 2051, $145 million of the 4.250% Senior Notes due 2052 and $20 million of the 5.750% Senior Notes due 2054, in open market transactions for total cash consideration, including accrued interest paid, of approximately $363 million, at an average of 79.3% of par value. These repurchases resulted in a gain on extinguishment of debt of approximately $88 million during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opportunistically repurchased an aggregate principal amount of approximately $28 million of its senior notes, which consisted of $22 million of its 3.125% Senior Notes due 2031 and $6 million of its 3.500% Senior Notes due 2029 for total cash consideration, including accrued interest paid of $25 million. These repurchases resulted in an immaterial gain on extinguishment of debt during the year ended December 31,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Viper 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Viper opportunistically repurchased principal amounts of $50 million of its 5.375% Senior Notes due 2027 (the “Viper 2027 Notes”) in open market transactions for total cash consideration of $50 million, at an average of 99.7% of par value, resulting in an immaterial gain on extinguishment of debt 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using proceeds from the issuance of the Viper 2025 Notes, Viper (i) redeemed all of its outstanding 7.375% Senior Notes maturing on November 1, 2031, (the “Viper 2031 Notes”), which were issued in October 2023 to partially fund the cash portion of the GRP Acquisition, for total cash consideration of approximately $434 million including the applicable redemption premium of 106.8% of par and accrued and unpaid interest up to, but not including, the redemption date, and (ii) deposited approximately $390 million to redeem all of its outstanding Viper 2027 Notes on November 1, 2025, for total cash consideration, including payment of interest due to, but not including, the redemption date at a redemption price equal to 100% of the principal amount of the Viper 2027 Notes. The redemption of the Viper 2031 Notes resulted in a loss on extinguishment of debt of $32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Guaranteed Senior Notes are the Company’s senior unsecured obligations and are fully and unconditionally guaranteed by Diamondback E&amp;P, are senior in right of payment to any of the Company’s future subordinated indebtedness and rank equal in right of payment with all of the Company’s existing and future senior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Viper 2025 Notes (i) are senior unsecured obligations and are fully and unconditionally guaranteed by Former Viper, and, following the closing of the Sitio Acquisition, also by New Viper, (ii) are senior in right of payment to any of Viper’s future subordinated indebtedness, and (iii) rank equal in right of payment with all of Viper’s existing and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senior indebtedness. The Company does not guarantee the Viper 2025 Notes. In the future, each of Viper’s restricted subsidiaries that either (i) guarantees any of its or a guarantor’s indebtedness, or (ii) is a domestic restricted subsidiary and is an obligor with respect to any indebtedness under any credit facility will be required to guarantee the Viper 2025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amounts have been incurred and charged to interest expense for the years ended December 31, 2025, 2024 and 2023:</w:t>
      </w:r>
    </w:p>
    <w:p>
      <w:pPr>
        <w:pStyle w:val="TextBody"/>
        <w:bidi w:val="0"/>
        <w:spacing w:before="0" w:after="0"/>
        <w:ind w:left="0" w:right="0" w:firstLine="720"/>
        <w:jc w:val="both"/>
        <w:rPr/>
      </w:pPr>
      <w:r>
        <w:rPr/>
      </w:r>
    </w:p>
    <w:tbl>
      <w:tblPr>
        <w:tblW w:w="5187" w:type="dxa"/>
        <w:jc w:val="left"/>
        <w:tblInd w:w="0" w:type="dxa"/>
        <w:tblLayout w:type="fixed"/>
        <w:tblCellMar>
          <w:top w:w="28" w:type="dxa"/>
          <w:left w:w="28" w:type="dxa"/>
          <w:bottom w:w="28" w:type="dxa"/>
          <w:right w:w="28" w:type="dxa"/>
        </w:tblCellMar>
      </w:tblPr>
      <w:tblGrid>
        <w:gridCol w:w="772"/>
        <w:gridCol w:w="676"/>
        <w:gridCol w:w="682"/>
        <w:gridCol w:w="211"/>
        <w:gridCol w:w="466"/>
        <w:gridCol w:w="109"/>
        <w:gridCol w:w="109"/>
        <w:gridCol w:w="109"/>
        <w:gridCol w:w="109"/>
        <w:gridCol w:w="211"/>
        <w:gridCol w:w="466"/>
        <w:gridCol w:w="109"/>
        <w:gridCol w:w="109"/>
        <w:gridCol w:w="109"/>
        <w:gridCol w:w="109"/>
        <w:gridCol w:w="211"/>
        <w:gridCol w:w="46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 and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capitalized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STOCKHOLDERS’ EQUITY AND EARNINGS (LOSS)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board of directors has approved a common stock repurchase program to acquire up to $8.0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years ended December 31, 2025, 2024 and 2023, the Company repurchased approximately $2.0 billion, which includes $305 million for the repurchase of 2.0 million shares from SGF, $959 million and $838 million of common stock under the repurchase program, respectively, in each case excluding excise tax. For further discussion on the repurchase from SGF, see Note 7—</w:t>
      </w:r>
      <w:hyperlink w:anchor="i27ba2a247b584e1aae74c0210baff60c_1995">
        <w:r>
          <w:rPr>
            <w:rStyle w:val="InternetLink"/>
            <w:rFonts w:ascii="Times New Roman;serif" w:hAnsi="Times New Roman;serif"/>
            <w:b w:val="false"/>
            <w:color w:val="0000FF"/>
            <w:sz w:val="20"/>
            <w:u w:val="single"/>
          </w:rPr>
          <w:t>Related Party Transactions</w:t>
        </w:r>
      </w:hyperlink>
      <w:r>
        <w:rPr>
          <w:rFonts w:ascii="Times New Roman;serif" w:hAnsi="Times New Roman;serif"/>
          <w:b w:val="false"/>
          <w:color w:val="000000"/>
          <w:sz w:val="20"/>
        </w:rPr>
        <w:t>. As of December 31, 2025, approximately $2.7 billion remained available for future repurchases under the Company’s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Viper’s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Previously, Viper’s board of directors approved a repurchase program to acquire up to $750 million of Viper’s outstanding Class A common stock, excluding excise tax, </w:t>
      </w:r>
      <w:r>
        <w:rPr>
          <w:rFonts w:ascii="Times New Roman;serif" w:hAnsi="Times New Roman;serif"/>
          <w:b w:val="false"/>
          <w:color w:val="000000"/>
          <w:sz w:val="20"/>
          <w:shd w:fill="FFFFFF" w:val="clear"/>
        </w:rPr>
        <w:t>over an indefinite period of time</w:t>
      </w:r>
      <w:r>
        <w:rPr>
          <w:rFonts w:ascii="Times New Roman;serif" w:hAnsi="Times New Roman;serif"/>
          <w:b w:val="false"/>
          <w:color w:val="000000"/>
          <w:sz w:val="20"/>
        </w:rPr>
        <w:t>. On December 10, 2025, Viper’s board of directors expanded the repurchase program to also include repurchases of Viper’s outstanding Class B common stock and Viper LLC units, in each case excluding excise tax. During the year ended December 31, 2025, Viper repurchased approximately $194 million under its repurchase program, excluding excise tax. During the year ended December 31, 2024, Viper had no repurchases under its repurchase program and during the year ended December 31, 2023, Viper repurchased approximately $95 million under its repurchase program, excluding excise tax. As of December 31, 2025, $241 million remains available under Viper’s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Viper 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February 3, 2025, Viper completed an underwritten public offering of approximately 28.34 million shares of Viper’s Class A common stock, which included approximately 3.70 million shares issued pursuant to an option to purchase additional shares of Viper’s Class A common stock granted to the underwriters, at a price to the public of $44.50 per share for total net proceeds to Viper of approximately $1.2 billion, after the underwriters’ discount and transaction costs (the “Viper 2025 Equity Offering”). </w:t>
      </w:r>
      <w:r>
        <w:rPr>
          <w:rFonts w:ascii="Times New Roman;serif" w:hAnsi="Times New Roman;serif"/>
          <w:b w:val="false"/>
          <w:color w:val="000000"/>
          <w:sz w:val="20"/>
          <w:shd w:fill="FFFFFF" w:val="clear"/>
        </w:rPr>
        <w:t xml:space="preserve">The net proceeds were used to fund (i) a portion of Viper’s cash consideration for the </w:t>
      </w:r>
      <w:r>
        <w:rPr>
          <w:rFonts w:ascii="Times New Roman;serif" w:hAnsi="Times New Roman;serif"/>
          <w:b w:val="false"/>
          <w:color w:val="000000"/>
          <w:sz w:val="20"/>
        </w:rPr>
        <w:t>2025 Drop Down</w:t>
      </w:r>
      <w:r>
        <w:rPr>
          <w:rFonts w:ascii="Times New Roman;serif" w:hAnsi="Times New Roman;serif"/>
          <w:b w:val="false"/>
          <w:color w:val="000000"/>
          <w:sz w:val="20"/>
          <w:shd w:fill="FFFFFF" w:val="clear"/>
        </w:rPr>
        <w:t xml:space="preserve">, (ii) cash consideration for other </w:t>
      </w:r>
      <w:r>
        <w:rPr>
          <w:rFonts w:ascii="Times New Roman;serif" w:hAnsi="Times New Roman;serif"/>
          <w:b w:val="false"/>
          <w:color w:val="000000"/>
          <w:sz w:val="20"/>
        </w:rPr>
        <w:t>acquisitions, and (iii) for general corporate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Viper 2024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On September 13, 2024, Viper completed an underwritten public offering of approximately </w:t>
      </w:r>
      <w:r>
        <w:rPr>
          <w:rFonts w:ascii="Times New Roman;serif" w:hAnsi="Times New Roman;serif"/>
          <w:b w:val="false"/>
          <w:color w:val="000000"/>
          <w:sz w:val="20"/>
        </w:rPr>
        <w:t>11.5 million</w:t>
      </w:r>
      <w:r>
        <w:rPr>
          <w:color w:val="000000"/>
          <w:shd w:fill="FFFFFF" w:val="clear"/>
        </w:rPr>
        <w:t xml:space="preserve"> </w:t>
      </w:r>
      <w:r>
        <w:rPr>
          <w:rFonts w:ascii="Times New Roman;serif" w:hAnsi="Times New Roman;serif"/>
          <w:b w:val="false"/>
          <w:color w:val="000000"/>
          <w:sz w:val="20"/>
          <w:shd w:fill="FFFFFF" w:val="clear"/>
        </w:rPr>
        <w:t xml:space="preserve">shares of Viper’s Class A common stock, which included </w:t>
      </w:r>
      <w:r>
        <w:rPr>
          <w:rFonts w:ascii="Times New Roman;serif" w:hAnsi="Times New Roman;serif"/>
          <w:b w:val="false"/>
          <w:color w:val="000000"/>
          <w:sz w:val="20"/>
        </w:rPr>
        <w:t>1.5 million</w:t>
      </w:r>
      <w:r>
        <w:rPr>
          <w:color w:val="000000"/>
          <w:shd w:fill="FFFFFF" w:val="clear"/>
        </w:rPr>
        <w:t xml:space="preserve"> </w:t>
      </w:r>
      <w:r>
        <w:rPr>
          <w:rFonts w:ascii="Times New Roman;serif" w:hAnsi="Times New Roman;serif"/>
          <w:b w:val="false"/>
          <w:color w:val="000000"/>
          <w:sz w:val="20"/>
          <w:shd w:fill="FFFFFF" w:val="clear"/>
        </w:rPr>
        <w:t>shares issued pursuant to an option to purchase additional shares of Viper’s Class A common stock granted to the under</w:t>
      </w:r>
      <w:r>
        <w:rPr>
          <w:rFonts w:ascii="Times New Roman;serif" w:hAnsi="Times New Roman;serif"/>
          <w:b w:val="false"/>
          <w:color w:val="000000"/>
          <w:sz w:val="20"/>
        </w:rPr>
        <w:t>writers, at a price to the public of $42.50 per share fo</w:t>
      </w:r>
      <w:r>
        <w:rPr>
          <w:rFonts w:ascii="Times New Roman;serif" w:hAnsi="Times New Roman;serif"/>
          <w:b w:val="false"/>
          <w:color w:val="000000"/>
          <w:sz w:val="20"/>
          <w:shd w:fill="FFFFFF" w:val="clear"/>
        </w:rPr>
        <w:t xml:space="preserve">r total net proceeds to Viper of approximately </w:t>
      </w:r>
      <w:r>
        <w:rPr>
          <w:rFonts w:ascii="Times New Roman;serif" w:hAnsi="Times New Roman;serif"/>
          <w:b w:val="false"/>
          <w:color w:val="000000"/>
          <w:sz w:val="20"/>
        </w:rPr>
        <w:t>$476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after the underwriters’ discount and </w:t>
      </w:r>
      <w:r>
        <w:rPr>
          <w:rFonts w:ascii="Times New Roman;serif" w:hAnsi="Times New Roman;serif"/>
          <w:b w:val="false"/>
          <w:color w:val="000000"/>
          <w:sz w:val="20"/>
          <w:shd w:fill="FFFFFF" w:val="clear"/>
        </w:rPr>
        <w:t xml:space="preserve">transaction costs (the “Viper 2024 Equity Offering”). The net proceeds were used to fund a portion of the cash consideration for </w:t>
      </w:r>
      <w:r>
        <w:rPr>
          <w:rFonts w:ascii="Times New Roman;serif" w:hAnsi="Times New Roman;serif"/>
          <w:b w:val="false"/>
          <w:color w:val="000000"/>
          <w:sz w:val="20"/>
        </w:rPr>
        <w:t>the Viper TWR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Non-controlling interests in the accompanying consolidated financial statements represent interests in Viper held by parties other than the Company and are presented as a component of equity. When t</w:t>
      </w:r>
      <w:r>
        <w:rPr>
          <w:rFonts w:ascii="Times New Roman;serif" w:hAnsi="Times New Roman;serif"/>
          <w:b w:val="false"/>
          <w:color w:val="000000"/>
          <w:sz w:val="20"/>
        </w:rPr>
        <w:t>he Company’s relative ownership interests in Viper</w:t>
      </w:r>
      <w:r>
        <w:rPr>
          <w:color w:val="000000"/>
          <w:shd w:fill="FFFFFF" w:val="clear"/>
        </w:rPr>
        <w:t xml:space="preserve"> </w:t>
      </w:r>
      <w:r>
        <w:rPr>
          <w:rFonts w:ascii="Times New Roman;serif" w:hAnsi="Times New Roman;serif"/>
          <w:b w:val="false"/>
          <w:color w:val="000000"/>
          <w:sz w:val="20"/>
        </w:rPr>
        <w:t>change, a</w:t>
      </w:r>
      <w:r>
        <w:rPr>
          <w:rFonts w:ascii="Times New Roman;serif" w:hAnsi="Times New Roman;serif"/>
          <w:b w:val="false"/>
          <w:color w:val="000000"/>
          <w:sz w:val="20"/>
          <w:shd w:fill="FFFFFF" w:val="clear"/>
        </w:rPr>
        <w:t>djustments to non-controlling interest and additional paid-in-capital, tax effected, will occur.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changes in the ownership interest in consolidated subsidiaries during the respective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40"/>
        <w:gridCol w:w="2071"/>
        <w:gridCol w:w="2086"/>
        <w:gridCol w:w="211"/>
        <w:gridCol w:w="616"/>
        <w:gridCol w:w="109"/>
        <w:gridCol w:w="109"/>
        <w:gridCol w:w="109"/>
        <w:gridCol w:w="109"/>
        <w:gridCol w:w="211"/>
        <w:gridCol w:w="616"/>
        <w:gridCol w:w="109"/>
        <w:gridCol w:w="109"/>
        <w:gridCol w:w="109"/>
        <w:gridCol w:w="109"/>
        <w:gridCol w:w="211"/>
        <w:gridCol w:w="616"/>
        <w:gridCol w:w="155"/>
      </w:tblGrid>
      <w:tr>
        <w:trPr/>
        <w:tc>
          <w:tcPr>
            <w:tcW w:w="254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the Company’s stockholders and transfers with non-controlling interest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erif" w:hAnsi="Times New Roman;serif"/>
          <w:b w:val="false"/>
          <w:color w:val="000000"/>
          <w:sz w:val="20"/>
          <w:shd w:fill="FFFFFF" w:val="clear"/>
        </w:rPr>
        <w:t>respective periods</w:t>
      </w:r>
      <w:r>
        <w:rPr>
          <w:rFonts w:ascii="Times New Roman;serif" w:hAnsi="Times New Roman;serif"/>
          <w:b w:val="false"/>
          <w:color w:val="000000"/>
          <w:sz w:val="20"/>
        </w:rPr>
        <w:t>:</w:t>
      </w:r>
    </w:p>
    <w:p>
      <w:pPr>
        <w:pStyle w:val="TextBody"/>
        <w:bidi w:val="0"/>
        <w:spacing w:before="0" w:after="0"/>
        <w:ind w:left="0" w:right="0" w:firstLine="720"/>
        <w:jc w:val="both"/>
        <w:rPr/>
      </w:pPr>
      <w:r>
        <w:rPr/>
      </w:r>
    </w:p>
    <w:tbl>
      <w:tblPr>
        <w:tblW w:w="6617" w:type="dxa"/>
        <w:jc w:val="left"/>
        <w:tblInd w:w="0" w:type="dxa"/>
        <w:tblLayout w:type="fixed"/>
        <w:tblCellMar>
          <w:top w:w="28" w:type="dxa"/>
          <w:left w:w="28" w:type="dxa"/>
          <w:bottom w:w="28" w:type="dxa"/>
          <w:right w:w="28" w:type="dxa"/>
        </w:tblCellMar>
      </w:tblPr>
      <w:tblGrid>
        <w:gridCol w:w="567"/>
        <w:gridCol w:w="499"/>
        <w:gridCol w:w="508"/>
        <w:gridCol w:w="211"/>
        <w:gridCol w:w="511"/>
        <w:gridCol w:w="109"/>
        <w:gridCol w:w="109"/>
        <w:gridCol w:w="109"/>
        <w:gridCol w:w="109"/>
        <w:gridCol w:w="211"/>
        <w:gridCol w:w="511"/>
        <w:gridCol w:w="109"/>
        <w:gridCol w:w="109"/>
        <w:gridCol w:w="109"/>
        <w:gridCol w:w="109"/>
        <w:gridCol w:w="331"/>
        <w:gridCol w:w="803"/>
        <w:gridCol w:w="171"/>
        <w:gridCol w:w="109"/>
        <w:gridCol w:w="109"/>
        <w:gridCol w:w="109"/>
        <w:gridCol w:w="235"/>
        <w:gridCol w:w="688"/>
        <w:gridCol w:w="172"/>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year-to-date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year-to-date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2023</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year-to-date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 to 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Viper paid $382 million, $227 million and $129 million of dividends/distributions to its public shareholders, excluding Diamondback, in accordance with the dividend policy approved by its board of directors. These dividends are reflected under the caption “Dividends/distributions to non-controlling interest” on the Company’s consolidated statements of stockholders’ equity and consolidated statements of cash flows.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Earnings (Loss)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are included in the consolidated earnings per share computation based on the consolidated group’s holdings of the subsidiaries.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components of basic and diluted earnings (loss) per common share is presented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430"/>
        <w:gridCol w:w="2129"/>
        <w:gridCol w:w="2137"/>
        <w:gridCol w:w="211"/>
        <w:gridCol w:w="616"/>
        <w:gridCol w:w="109"/>
        <w:gridCol w:w="109"/>
        <w:gridCol w:w="109"/>
        <w:gridCol w:w="109"/>
        <w:gridCol w:w="211"/>
        <w:gridCol w:w="616"/>
        <w:gridCol w:w="109"/>
        <w:gridCol w:w="109"/>
        <w:gridCol w:w="109"/>
        <w:gridCol w:w="109"/>
        <w:gridCol w:w="211"/>
        <w:gridCol w:w="616"/>
        <w:gridCol w:w="156"/>
      </w:tblGrid>
      <w:tr>
        <w:trPr/>
        <w:tc>
          <w:tcPr>
            <w:tcW w:w="2430"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distributed and undistributed earnings allocated to participating securities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potential common shares issuable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attributable to common shares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attributable to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(1)Unvested restricted stock units and performance-based restricted stock unit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EQUITY-BASED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December 31, 2025, approximately 3.80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financial statement impacts of equity compensation plans and related costs on the Company’s financial statements: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04"/>
        <w:gridCol w:w="2376"/>
        <w:gridCol w:w="2381"/>
        <w:gridCol w:w="211"/>
        <w:gridCol w:w="361"/>
        <w:gridCol w:w="109"/>
        <w:gridCol w:w="109"/>
        <w:gridCol w:w="109"/>
        <w:gridCol w:w="109"/>
        <w:gridCol w:w="211"/>
        <w:gridCol w:w="361"/>
        <w:gridCol w:w="109"/>
        <w:gridCol w:w="109"/>
        <w:gridCol w:w="109"/>
        <w:gridCol w:w="109"/>
        <w:gridCol w:w="211"/>
        <w:gridCol w:w="361"/>
        <w:gridCol w:w="156"/>
      </w:tblGrid>
      <w:tr>
        <w:trPr/>
        <w:tc>
          <w:tcPr>
            <w:tcW w:w="2704"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capitalized pursuant to full cost method of accounting for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restricted stock unit activity during the year ended December 31, 2025 under the Equity Plan:</w:t>
      </w:r>
    </w:p>
    <w:p>
      <w:pPr>
        <w:pStyle w:val="TextBody"/>
        <w:bidi w:val="0"/>
        <w:spacing w:before="0" w:after="0"/>
        <w:ind w:left="0" w:right="0" w:firstLine="720"/>
        <w:jc w:val="both"/>
        <w:rPr/>
      </w:pPr>
      <w:r>
        <w:rPr/>
      </w:r>
    </w:p>
    <w:tbl>
      <w:tblPr>
        <w:tblW w:w="6880" w:type="dxa"/>
        <w:jc w:val="left"/>
        <w:tblInd w:w="0" w:type="dxa"/>
        <w:tblLayout w:type="fixed"/>
        <w:tblCellMar>
          <w:top w:w="28" w:type="dxa"/>
          <w:left w:w="28" w:type="dxa"/>
          <w:bottom w:w="28" w:type="dxa"/>
          <w:right w:w="28" w:type="dxa"/>
        </w:tblCellMar>
      </w:tblPr>
      <w:tblGrid>
        <w:gridCol w:w="978"/>
        <w:gridCol w:w="860"/>
        <w:gridCol w:w="862"/>
        <w:gridCol w:w="454"/>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645,408 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722,623 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(400,017)</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(77,952)</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890,062 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153.87 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grant date fair value of restricted stock units that vested during the years ended December 31, 2025, 2024 and 2023 was $62 million, $57 million and $48 million, respectively. As of December 31, 2025, the Company’s unrecognized compensation cost related to unvested restricted stock units was $105 million, which is expected to be recognized over a weighted-average period of 2.1 years.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Performance-Based 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provide long-term incentives for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TSR of the Company’s common stock as compared to a designated peer group during a three-year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2025, eligible employees received performance restricted stock unit awards totaling 171,638 units from which a minimum of 0% and a maximum of 200% of the units could be awarded based upon the measurement of TSR of the Company’s common stock as compared to a designated peer group during the three-year performance period of January 1, 2025 to December 31, 2027, and cliff vest at December 31, 2027, subject to continued employment. The initial payout of the March 2025 awards will be further adjusted by a TSR modifier that may reduce the payout or increase the payout up to a maximum of 250%. Additionally, in May 2025 the Company granted 14,881 performance restricted stock units under substantially the same terms as the March 2025 performance restricted stock unit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2024, eligible employees received performance restricted stock unit awards totaling 110,989 units from which a minimum of 0% and a maximum of 200% of the units could be awarded based upon the measurement of TSR of the Company’s common stock as compared to a designated peer group during the three-year performance period of January 1, 2024 to December 31, 2026 and cliff vest at December 31, 2026 subject to continued employment. The initial payout of the March 2024 awards will be further adjusted by a TSR modifier that may reduce the payout or increase the payout up to a maximum of 250%. Additionally, in September 2024 the Company granted 6,750 units under substantially the same terms as the March 2024 performance restricted stock unit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2023, eligible employees received performance restricted stock unit awards totaling 126,347 units from which a minimum of 0% and a maximum of 200% units could be awarded based upon the TSR during the three-year performance period of January 1, 2023 to December 31, 2025. These awards cliff vested at 200% on December 31, 2025 based upon the outcome of the TSR during the performance period, which did not result in a further TSR modifier being applied. Additionally, in July 2023 the Company granted 1,858 units under substantially the same terms as the March 2023 performance restricted stock unit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each performance restricted stock unit issuance is estimated at the date of grant using a Monte Carlo simulation, which results in an expected percentage of units to be earned during the performance period.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grant-date fair values of performance restricted stock units and the related assumptions for the awards granted during the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55"/>
        <w:gridCol w:w="401"/>
        <w:gridCol w:w="402"/>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9"/>
        <w:gridCol w:w="748"/>
        <w:gridCol w:w="281"/>
        <w:gridCol w:w="109"/>
        <w:gridCol w:w="109"/>
        <w:gridCol w:w="109"/>
        <w:gridCol w:w="211"/>
        <w:gridCol w:w="721"/>
        <w:gridCol w:w="271"/>
        <w:gridCol w:w="109"/>
        <w:gridCol w:w="109"/>
        <w:gridCol w:w="109"/>
        <w:gridCol w:w="211"/>
        <w:gridCol w:w="721"/>
        <w:gridCol w:w="32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2023</w:t>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performance restricted stock unit activity under the Equity Plan for the year ended December 31, 2025:</w:t>
      </w:r>
    </w:p>
    <w:p>
      <w:pPr>
        <w:pStyle w:val="TextBody"/>
        <w:bidi w:val="0"/>
        <w:spacing w:before="0" w:after="0"/>
        <w:ind w:left="0" w:right="0" w:firstLine="720"/>
        <w:jc w:val="both"/>
        <w:rPr/>
      </w:pPr>
      <w:r>
        <w:rPr/>
      </w:r>
    </w:p>
    <w:tbl>
      <w:tblPr>
        <w:tblW w:w="9386" w:type="dxa"/>
        <w:jc w:val="left"/>
        <w:tblInd w:w="0" w:type="dxa"/>
        <w:tblLayout w:type="fixed"/>
        <w:tblCellMar>
          <w:top w:w="28" w:type="dxa"/>
          <w:left w:w="28" w:type="dxa"/>
          <w:bottom w:w="28" w:type="dxa"/>
          <w:right w:w="28" w:type="dxa"/>
        </w:tblCellMar>
      </w:tblPr>
      <w:tblGrid>
        <w:gridCol w:w="1038"/>
        <w:gridCol w:w="912"/>
        <w:gridCol w:w="914"/>
        <w:gridCol w:w="949"/>
        <w:gridCol w:w="949"/>
        <w:gridCol w:w="952"/>
        <w:gridCol w:w="109"/>
        <w:gridCol w:w="109"/>
        <w:gridCol w:w="109"/>
        <w:gridCol w:w="650"/>
        <w:gridCol w:w="2221"/>
        <w:gridCol w:w="47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278,902 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278.72 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314,724 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129.19 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(263,000)</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at December 31, 2025</w:t>
            </w:r>
            <w:r>
              <w:rPr>
                <w:rFonts w:ascii="Times New Roman;serif" w:hAnsi="Times New Roman;serif"/>
                <w:b w:val="false"/>
                <w:color w:val="000000"/>
                <w:sz w:val="13"/>
              </w:rPr>
              <w:t>(1)</w:t>
            </w:r>
          </w:p>
        </w:tc>
        <w:tc>
          <w:tcPr>
            <w:tcW w:w="1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327,931 </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 maximum of 780,276 units could be awarded based upon the Company’s final TSR ranking.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unrecognized compensation cost related to unvested performance based restricted stock awards and units was $43 million, which is expected to be recognized over a weighted-average period of 1.7 years.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Viper, Viper LLC and certain other subsidiaries classified as partnerships for U.S. federal income tax purposes, file a U.S. federal corporate income tax return on a consolidated basis. Viper’s provision for income taxes is included in the Company’s consolidated income tax provision and, to the extent applicable, in net income attributable to the 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were 17.4%, 17.8% and 21.5% for the years ended December 31, 2025, 2024 and 2023, respectively. Total income tax expense for the year ended December 31, 2025 differed from amounts computed by applying the U.S. federal statutory tax rate to pre-tax income primarily due to (i) state income taxes, net of federal benefit, (ii) the effect of research and development tax credits, and (iii) other permanent differences between book and taxable income. Total income tax expense for the year ended December 31, 2024 differed from amounts computed by applying the U.S. federal statutory tax rate to pre-tax income primarily due to (i) the impact of removing the valuation allowance against Viper’s deferred tax assets, (ii) state income taxes, net of federal benefit, and (iii) other permanent differences between book and taxable income. Total income tax expense for the year ended December 31, 2023 differed from amounts computed by applying the U.S. federal statutory tax rate to pre-tax income for the period primarily due to state income taxes, net of federal benefit, partially offset by the impact of permanent differences between book and taxable income and tax benefit resulting from a reduction in the valuation allowance on Viper’s deferred tax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application of the Inflation Reduction Act of 2022 and related administrative guidance, the Company’s income tax expense for the years ended December 31, 2025, 2024 and 2023, was not impacted by the corporate alternative minimum tax.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“OBBB”), was enacted. The OBBB included multiple provisions applicable to U.S. income taxes for businesses, including immediate expensing of research or experimental expenses, bonus depreciation for qualified tangible property, deductible intangible drilling costs for purposes of the corporate alternative minimum tax, and enhancements to limits on business interest expense deductions. The Company accounted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OBBB in the period of enactment and materially reduced its estimate of current tax expense for 2025, primarily offset by an increase in estimated deferred tax expense for 2025, with no material net impact on the effective tax rate 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Viper’s Sitio Acquisition, Viper acquired prepaid income tax balances of approximately $14 million and deferred tax assets of $5 million related to loss carryforwards. Viper also recognized a deferred tax liability of approximately $122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2025 Drop Down, the Company recorded a $170 million increase in tax payable and a $164 million decrease in deferred tax liability through paid in capital. Due to the resulting increase in the Company’s ownership of Viper LLC, the Company recorded a $202 million decrease to deferred tax liability, and a $212 million decrease in the deferred tax asset through non-controlling interest on the Company’s consolidated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Endeavor Acquisition, the Company recognized a $7.2 billion deferred tax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consolidated provision for income taxes from continuing operations for the years ended December 31, 2025, 2024 and 2023 are as follows:</w:t>
      </w:r>
    </w:p>
    <w:p>
      <w:pPr>
        <w:pStyle w:val="TextBody"/>
        <w:bidi w:val="0"/>
        <w:spacing w:before="0" w:after="0"/>
        <w:ind w:left="0" w:right="0" w:firstLine="720"/>
        <w:jc w:val="both"/>
        <w:rPr/>
      </w:pPr>
      <w:r>
        <w:rPr/>
      </w:r>
    </w:p>
    <w:tbl>
      <w:tblPr>
        <w:tblW w:w="6972" w:type="dxa"/>
        <w:jc w:val="left"/>
        <w:tblInd w:w="0" w:type="dxa"/>
        <w:tblLayout w:type="fixed"/>
        <w:tblCellMar>
          <w:top w:w="28" w:type="dxa"/>
          <w:left w:w="28" w:type="dxa"/>
          <w:bottom w:w="28" w:type="dxa"/>
          <w:right w:w="28" w:type="dxa"/>
        </w:tblCellMar>
      </w:tblPr>
      <w:tblGrid>
        <w:gridCol w:w="1417"/>
        <w:gridCol w:w="1246"/>
        <w:gridCol w:w="1252"/>
        <w:gridCol w:w="211"/>
        <w:gridCol w:w="466"/>
        <w:gridCol w:w="109"/>
        <w:gridCol w:w="109"/>
        <w:gridCol w:w="109"/>
        <w:gridCol w:w="109"/>
        <w:gridCol w:w="211"/>
        <w:gridCol w:w="466"/>
        <w:gridCol w:w="109"/>
        <w:gridCol w:w="109"/>
        <w:gridCol w:w="109"/>
        <w:gridCol w:w="109"/>
        <w:gridCol w:w="211"/>
        <w:gridCol w:w="466"/>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provision (benefit):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provision (benefit)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provision (benefit)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statutory federal income tax amount from continuing operations to the recorded expense is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70"/>
        <w:gridCol w:w="483"/>
        <w:gridCol w:w="487"/>
        <w:gridCol w:w="211"/>
        <w:gridCol w:w="454"/>
        <w:gridCol w:w="117"/>
        <w:gridCol w:w="109"/>
        <w:gridCol w:w="109"/>
        <w:gridCol w:w="109"/>
        <w:gridCol w:w="330"/>
        <w:gridCol w:w="330"/>
        <w:gridCol w:w="781"/>
        <w:gridCol w:w="109"/>
        <w:gridCol w:w="109"/>
        <w:gridCol w:w="109"/>
        <w:gridCol w:w="211"/>
        <w:gridCol w:w="454"/>
        <w:gridCol w:w="117"/>
        <w:gridCol w:w="109"/>
        <w:gridCol w:w="109"/>
        <w:gridCol w:w="109"/>
        <w:gridCol w:w="330"/>
        <w:gridCol w:w="330"/>
        <w:gridCol w:w="781"/>
        <w:gridCol w:w="109"/>
        <w:gridCol w:w="109"/>
        <w:gridCol w:w="109"/>
        <w:gridCol w:w="211"/>
        <w:gridCol w:w="454"/>
        <w:gridCol w:w="117"/>
        <w:gridCol w:w="109"/>
        <w:gridCol w:w="109"/>
        <w:gridCol w:w="109"/>
        <w:gridCol w:w="311"/>
        <w:gridCol w:w="311"/>
        <w:gridCol w:w="880"/>
      </w:tblGrid>
      <w:tr>
        <w:trPr/>
        <w:tc>
          <w:tcPr>
            <w:tcW w:w="87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Income (Loss)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Income (Loss)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Income (Loss) Before Taxes</w:t>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 at the federal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State income tax, net of federal income tax effect</w:t>
            </w:r>
            <w:r>
              <w:rPr>
                <w:rFonts w:ascii="Times New Roman;serif" w:hAnsi="Times New Roman;serif"/>
                <w:b w:val="false"/>
                <w:color w:val="000000"/>
                <w:sz w:val="12"/>
              </w:rPr>
              <w:t>(1)</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tax credits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nontaxable noncontrolling interest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(1)State taxes in Texas made up the majority of the tax effect in this category.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deferred tax assets and liabilities as of December 31, 2025 and 2024 are as follows:</w:t>
      </w:r>
    </w:p>
    <w:p>
      <w:pPr>
        <w:pStyle w:val="TextBody"/>
        <w:bidi w:val="0"/>
        <w:spacing w:before="0" w:after="0"/>
        <w:ind w:left="0" w:right="0" w:firstLine="720"/>
        <w:jc w:val="both"/>
        <w:rPr/>
      </w:pPr>
      <w:r>
        <w:rPr/>
      </w:r>
    </w:p>
    <w:tbl>
      <w:tblPr>
        <w:tblW w:w="7959" w:type="dxa"/>
        <w:jc w:val="left"/>
        <w:tblInd w:w="0" w:type="dxa"/>
        <w:tblLayout w:type="fixed"/>
        <w:tblCellMar>
          <w:top w:w="28" w:type="dxa"/>
          <w:left w:w="28" w:type="dxa"/>
          <w:bottom w:w="28" w:type="dxa"/>
          <w:right w:w="28" w:type="dxa"/>
        </w:tblCellMar>
      </w:tblPr>
      <w:tblGrid>
        <w:gridCol w:w="2073"/>
        <w:gridCol w:w="1818"/>
        <w:gridCol w:w="1824"/>
        <w:gridCol w:w="211"/>
        <w:gridCol w:w="616"/>
        <w:gridCol w:w="109"/>
        <w:gridCol w:w="109"/>
        <w:gridCol w:w="109"/>
        <w:gridCol w:w="109"/>
        <w:gridCol w:w="211"/>
        <w:gridCol w:w="616"/>
        <w:gridCol w:w="154"/>
      </w:tblGrid>
      <w:tr>
        <w:trPr/>
        <w:tc>
          <w:tcPr>
            <w:tcW w:w="207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and other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Viper’s investment in Viper LLC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midstream investments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 had approximately $245 million of federal net operating losses (“NOL”) and $4 million of federal tax credits expiring in 2037, $26 million federal capital loss carryforwards expiring principally in 2027 and an additional $191 million of federal NOLs with an indefinite carryforward life, which amounts include NOLs and credit carryforwards acquired from QEP. The Company principally operates in the state of Texas and is subject to Texas margin tax, which currently does not include an NOL carryover provision. The Company’s federal tax attributes, including those acquired from QEP, Rattler and Sitio, are subject to an annual limitation under Sections 382 and 383 of the Internal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Code of 1986, as amended (the “Code”), which relates to tax attribute limitations upon the 50% or greater change of ownership of an entity during any three-year look back period. Other than as described below regarding realization of tax attributes acquired from QEP, the Company believes that the application of Sections 382 and 383 of the Code will not have an adverse effect on future usage of the Company’s loss carryforwards and credits.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a valuation allowance of $11 million related to federal NOL and credit carryforwards acquired from QEP which the Company estimated have a remote likelihood of being realized prior to expiration. In addition, the Company had a valuation allowance of $108 million primarily related to certain state NOL carryforwards which the Company does not believe are realizable as it does not anticipate significant future operations in those states. Management’s assessment at each balance sheet date included consideration of all available positive and negative evidence including the anticipated timing of reversal of deferred tax liabilities and the limitations imposed by Sections 382 and 383 of the Code on certain of the Company’s NOLs and other carryforwards. Management believes that the balance of the Company’s NOLs is realizable, to the extent of future taxable income, due to an increase in our Section 382 limitations as a result of our fair market value and our net unrealized built-in gain position. As of December 31, 2025, management determined that it is more likely than not that the Company will realize its remaining deferred tax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Company’s net deferred tax liabilities include deferred tax assets of approximately $28 million related to Viper’s investment in Viper LLC. Deferred taxes are provided on the difference between Viper’s basis for financial accounting purposes and basis for federal income tax purposes in its investment in Viper LLC.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Viper released its remaining valuation allowance of approximately $156 million as a result of management’s assessment of the realizability of future taxable income. During the year ended December 31, 2023, Viper recognized deferred income tax benefit of $7 million related to a partial release in its beginning-of-the year valuation allowance, based on a change in judgment about the realizability of its deferred tax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changes in the Company’s unrecognized tax benefits: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657"/>
        <w:gridCol w:w="2330"/>
        <w:gridCol w:w="2340"/>
        <w:gridCol w:w="211"/>
        <w:gridCol w:w="406"/>
        <w:gridCol w:w="109"/>
        <w:gridCol w:w="109"/>
        <w:gridCol w:w="109"/>
        <w:gridCol w:w="109"/>
        <w:gridCol w:w="211"/>
        <w:gridCol w:w="406"/>
        <w:gridCol w:w="109"/>
        <w:gridCol w:w="109"/>
        <w:gridCol w:w="109"/>
        <w:gridCol w:w="109"/>
        <w:gridCol w:w="211"/>
        <w:gridCol w:w="406"/>
        <w:gridCol w:w="155"/>
      </w:tblGrid>
      <w:tr>
        <w:trPr/>
        <w:tc>
          <w:tcPr>
            <w:tcW w:w="265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7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resulting from expiration of statute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Effects of temporary items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that, if recognized, would impact the effective income tax rate as of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tax benefit from a tax position only if it is more likely than not that it will be sustained upon examination by the taxing authorities, based upon the technical merits of the position. The Company’s federal and state income tax returns for the years ended December 31, 2022 through December 31, 2024 remain open for all purposes of examination by the Internal Revenue Service and major state taxing jurisdictions. However, certain earlier tax years remain open for adjustment to the extent of their NOL carryforwards available for future utilization. It is reasonably possible that significant changes to the reserve for uncertain tax positions may occur as a result of various audits and the expiration of the statute of limitations.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penalties related to income tax matters as interest expense and general and administrative expenses, respectively. During the years ended December 31, 2025 and 2024, there was no interest associated with uncertain tax positions recognized in the Company’s consolidated financial statements. During the year ended December 31, 2023, there was an insignificant amount of interest associated with uncertain tax positions recognized in the Company’s consolidated financial statements. During the years ended December 31, 2025, 2024 and 2023, there were no penalties related to each period associated with uncertain tax positions recognized in the Company’s consolidated financial statements.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DERIVATIVES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has commodity derivative contracts and interest rate swaps outstanding. All derivative financial instruments are recorded at fair value.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49"/>
        <w:gridCol w:w="307"/>
        <w:gridCol w:w="308"/>
        <w:gridCol w:w="109"/>
        <w:gridCol w:w="109"/>
        <w:gridCol w:w="109"/>
        <w:gridCol w:w="310"/>
        <w:gridCol w:w="310"/>
        <w:gridCol w:w="311"/>
        <w:gridCol w:w="109"/>
        <w:gridCol w:w="109"/>
        <w:gridCol w:w="109"/>
        <w:gridCol w:w="285"/>
        <w:gridCol w:w="285"/>
        <w:gridCol w:w="286"/>
        <w:gridCol w:w="109"/>
        <w:gridCol w:w="109"/>
        <w:gridCol w:w="109"/>
        <w:gridCol w:w="295"/>
        <w:gridCol w:w="269"/>
        <w:gridCol w:w="270"/>
        <w:gridCol w:w="109"/>
        <w:gridCol w:w="109"/>
        <w:gridCol w:w="109"/>
        <w:gridCol w:w="277"/>
        <w:gridCol w:w="277"/>
        <w:gridCol w:w="282"/>
        <w:gridCol w:w="109"/>
        <w:gridCol w:w="109"/>
        <w:gridCol w:w="109"/>
        <w:gridCol w:w="383"/>
        <w:gridCol w:w="383"/>
        <w:gridCol w:w="388"/>
        <w:gridCol w:w="109"/>
        <w:gridCol w:w="109"/>
        <w:gridCol w:w="109"/>
        <w:gridCol w:w="109"/>
        <w:gridCol w:w="109"/>
        <w:gridCol w:w="341"/>
        <w:gridCol w:w="341"/>
        <w:gridCol w:w="343"/>
        <w:gridCol w:w="109"/>
        <w:gridCol w:w="109"/>
        <w:gridCol w:w="109"/>
        <w:gridCol w:w="318"/>
        <w:gridCol w:w="318"/>
        <w:gridCol w:w="462"/>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Collars</w:t>
            </w:r>
          </w:p>
        </w:tc>
        <w:tc>
          <w:tcPr>
            <w:tcW w:w="1098" w:type="dxa"/>
            <w:gridSpan w:val="3"/>
            <w:tcBorders/>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Settlement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Settlement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Bbls/MMBtu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Floor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Ceiling Price</w:t>
            </w:r>
          </w:p>
        </w:tc>
      </w:tr>
      <w:tr>
        <w:trPr/>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Jun.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Costless Collar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$6.35</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Costless Collar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$6.41</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HSC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HSC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w:t>
      </w:r>
      <w:r>
        <w:rPr>
          <w:rFonts w:ascii="Times New Roman;serif" w:hAnsi="Times New Roman;serif"/>
          <w:b w:val="false"/>
          <w:color w:val="000000"/>
          <w:sz w:val="20"/>
        </w:rPr>
        <w:t>The Company has fixed price basis swaps for the spread between the Cushing crude oil price and the Midland WTI crude oil price as well as the spread between the Henry Hub natural gas price, the Waha Hub and the HSC Hub natural gas price. The weighted average differential represents the amount of reduction to the Cushing, Oklahoma, oil price and the Waha Hub and HSC Hub natural gas price for the notional volumes covered by the basis swap contracts.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tbl>
      <w:tblPr>
        <w:tblW w:w="10205" w:type="dxa"/>
        <w:jc w:val="left"/>
        <w:tblInd w:w="0" w:type="dxa"/>
        <w:tblLayout w:type="fixed"/>
        <w:tblCellMar>
          <w:top w:w="28" w:type="dxa"/>
          <w:left w:w="28" w:type="dxa"/>
          <w:bottom w:w="28" w:type="dxa"/>
          <w:right w:w="28" w:type="dxa"/>
        </w:tblCellMar>
      </w:tblPr>
      <w:tblGrid>
        <w:gridCol w:w="433"/>
        <w:gridCol w:w="381"/>
        <w:gridCol w:w="383"/>
        <w:gridCol w:w="109"/>
        <w:gridCol w:w="109"/>
        <w:gridCol w:w="109"/>
        <w:gridCol w:w="370"/>
        <w:gridCol w:w="370"/>
        <w:gridCol w:w="371"/>
        <w:gridCol w:w="109"/>
        <w:gridCol w:w="109"/>
        <w:gridCol w:w="109"/>
        <w:gridCol w:w="363"/>
        <w:gridCol w:w="363"/>
        <w:gridCol w:w="364"/>
        <w:gridCol w:w="109"/>
        <w:gridCol w:w="109"/>
        <w:gridCol w:w="109"/>
        <w:gridCol w:w="369"/>
        <w:gridCol w:w="311"/>
        <w:gridCol w:w="254"/>
        <w:gridCol w:w="109"/>
        <w:gridCol w:w="109"/>
        <w:gridCol w:w="109"/>
        <w:gridCol w:w="408"/>
        <w:gridCol w:w="408"/>
        <w:gridCol w:w="415"/>
        <w:gridCol w:w="109"/>
        <w:gridCol w:w="109"/>
        <w:gridCol w:w="109"/>
        <w:gridCol w:w="311"/>
        <w:gridCol w:w="255"/>
        <w:gridCol w:w="256"/>
        <w:gridCol w:w="109"/>
        <w:gridCol w:w="109"/>
        <w:gridCol w:w="109"/>
        <w:gridCol w:w="109"/>
        <w:gridCol w:w="382"/>
        <w:gridCol w:w="382"/>
        <w:gridCol w:w="383"/>
        <w:gridCol w:w="109"/>
        <w:gridCol w:w="109"/>
        <w:gridCol w:w="109"/>
        <w:gridCol w:w="109"/>
        <w:gridCol w:w="166"/>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Settlement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Settlement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Bbls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Deferred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 -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$53.13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 -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Argus WTI Houston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$51.13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 -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$51.73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 - Jun.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$52.50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 - Jun.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Argus WTI Houston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 - Jun.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$49.71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 - Sep.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$52.50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 - Sep.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Argus WTI Houston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 - Sep.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Swaps and Treasury Locks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two receive-fixed, pay-variable interest rate swap agreements for notional amounts of $150 million each, which are considered economic hedges of the Company’s 2029 Notes. During the year ended December 31, 2025, the Company terminated and settled an aggregate $600 million of the previous $900 million of the notional amount of interest rate swaps for a loss of $67 million. During the year ended December 31, 2024, the Company terminated and settled an aggregate $300 million of the previous $1.2 billion of the notional amount of interest rate swaps for a loss of $37 million. The losses on the partial termination of interest rate swaps are recognized in the caption “Gain (loss) on derivative instruments, net” on the consolidated statement of operations for the years ended December 31, 2025 and 2024. The Company receives a fixed 3.50% rate of interest on these swaps and pays the variable rate of SOFR plus 2.1865%. The interest rate swaps are not treated as hedges for accounting purposes and, as a result, changes in fair value are recorded in earnings under the caption “Gain (loss) on derivative instruments, net” in the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interest rate swaps were designated as fair value hedges at inception, but the Company subsequently elected to discontinue hedge accounting. The cumulative fair value basis adjustment recorded at the time of dedesignation is being amortized to interest expense over the remaining term of the 2029 Notes utilizing the effective interest method. See Note 8—</w:t>
      </w:r>
      <w:hyperlink w:anchor="i27ba2a247b584e1aae74c0210baff60c_17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Treasury Locks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certain treasury lock contracts to reduce the forecasted interest rate risk associated with the issuance of senior unsecured notes. Changes in the value and settlement of treasury locks are recognized under the caption “Gain (loss) on derivative instruments, net” on the consolidated statement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 Offsetting of Derivative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13—</w:t>
      </w:r>
      <w:hyperlink w:anchor="i27ba2a247b584e1aae74c0210baff60c_190">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included in the consolidated statements of operations:</w:t>
      </w:r>
    </w:p>
    <w:p>
      <w:pPr>
        <w:pStyle w:val="TextBody"/>
        <w:bidi w:val="0"/>
        <w:spacing w:before="0" w:after="0"/>
        <w:ind w:left="0" w:right="0" w:firstLine="720"/>
        <w:jc w:val="both"/>
        <w:rPr/>
      </w:pPr>
      <w:r>
        <w:rPr/>
      </w:r>
    </w:p>
    <w:tbl>
      <w:tblPr>
        <w:tblW w:w="6641" w:type="dxa"/>
        <w:jc w:val="left"/>
        <w:tblInd w:w="0" w:type="dxa"/>
        <w:tblLayout w:type="fixed"/>
        <w:tblCellMar>
          <w:top w:w="28" w:type="dxa"/>
          <w:left w:w="28" w:type="dxa"/>
          <w:bottom w:w="28" w:type="dxa"/>
          <w:right w:w="28" w:type="dxa"/>
        </w:tblCellMar>
      </w:tblPr>
      <w:tblGrid>
        <w:gridCol w:w="1270"/>
        <w:gridCol w:w="1118"/>
        <w:gridCol w:w="1121"/>
        <w:gridCol w:w="211"/>
        <w:gridCol w:w="466"/>
        <w:gridCol w:w="109"/>
        <w:gridCol w:w="109"/>
        <w:gridCol w:w="109"/>
        <w:gridCol w:w="109"/>
        <w:gridCol w:w="211"/>
        <w:gridCol w:w="466"/>
        <w:gridCol w:w="109"/>
        <w:gridCol w:w="109"/>
        <w:gridCol w:w="109"/>
        <w:gridCol w:w="109"/>
        <w:gridCol w:w="211"/>
        <w:gridCol w:w="54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(paid) on settlements: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years ended December 31, 2025 and 2024 include cash paid on interest rate swaps terminated prior to their contractual maturity of $67 million and $37 million,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FAIR VALUE MEASUREMENTS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1 - Observable inputs that reflect unadjusted quoted prices for identical assets or liabilities in active markets as of the reporting date.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are not corroborated by market data and may be used with internally developed methodologies that result in management’s best estimate of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based on the lowest level of input that is significant to the fair value measurement.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for discussion of the fair values of proved oil and natural gas properties assumed in business combinations.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reported at fair value on a recurring basis, including the Company’s commodity derivative instruments, interest rate swaps and investments in the common stock of other entities. The fair values of the Company’s commodity derivative contracts are measured internally using established commodity futures price strips for the underlying commodity provided by a reputable third party, the contracted notional volumes and time to maturity. The fair values of the Company’s interest rate swaps are determined based on inputs that are readily available in public markets, are determined based on inputs readily available in public markets, can be derived from information available in publicly quoted markets, or are provided by financial institutions that trade these contracts. These valuations are Level 2 inputs. The fair values of the Company’s commodity derivative instruments and interest rate swaps are recorded as assets or liabilities on the consolidated balance sheets. The net amounts of derivative instruments are classified as current or noncurrent based on their anticipated settlement dates.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an immaterial investment in the Class A common stock of Verde Clean Fuels, Inc. The Company elected the fair value option for measuring the fair value of this equity investment. The investment is reported at fair value using observable, quoted stock prices and is included in “Other assets” on the Company’s consolidated balance sheets at December 31, 2025 and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LLC’s 2026 WTI Contingent Liability is reported at fair value using observable market data inputs and a Monte Carlo pricing model, which are considered Level 2 inputs within the fair value hierarchy. The 2026 WTI Contingent Liability was recorded in “Other accrued liabilities” on the Company’s consolidated balance sheet at December 31, 2025, and in “Other long-term liabilities” on the Company’s consolidated balance sheet at December 31, 2024. The change in fair value of the 2026 WTI Contingent Liability is recognized in “Gain (loss) on derivative instruments, net” on the Company’s consolidated statements of operations 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following tables provide </w:t>
      </w:r>
      <w:r>
        <w:rPr>
          <w:rFonts w:ascii="Times New Roman;serif" w:hAnsi="Times New Roman;serif"/>
          <w:b w:val="false"/>
          <w:color w:val="000000"/>
          <w:sz w:val="20"/>
          <w:shd w:fill="FFFFFF" w:val="clear"/>
        </w:rPr>
        <w:t xml:space="preserve">(i) fair value measurement information for financial assets and liabilities measured at fair value on a recurring basis, (ii) </w:t>
      </w:r>
      <w:r>
        <w:rPr>
          <w:rFonts w:ascii="Times New Roman;serif" w:hAnsi="Times New Roman;serif"/>
          <w:b w:val="false"/>
          <w:color w:val="000000"/>
          <w:sz w:val="20"/>
        </w:rPr>
        <w:t xml:space="preserve">the gross amounts of recognized derivative assets and liabilities, (iii) the amounts offset under master netting arrangements with counterparties, and (iv) the resulting net amounts. The net amounts are presented under the captions (i) “Prepaid expenses and other current assets,” (ii) “Other assets,” (iii) “Derivative instruments,” and (iv) “Other long-term liabilities” in the Company’s consolidated balance sheets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 and December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61"/>
        <w:gridCol w:w="581"/>
        <w:gridCol w:w="582"/>
        <w:gridCol w:w="109"/>
        <w:gridCol w:w="109"/>
        <w:gridCol w:w="109"/>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92"/>
        <w:gridCol w:w="647"/>
        <w:gridCol w:w="151"/>
        <w:gridCol w:w="109"/>
        <w:gridCol w:w="109"/>
        <w:gridCol w:w="109"/>
        <w:gridCol w:w="369"/>
        <w:gridCol w:w="922"/>
        <w:gridCol w:w="190"/>
        <w:gridCol w:w="109"/>
        <w:gridCol w:w="109"/>
        <w:gridCol w:w="109"/>
        <w:gridCol w:w="406"/>
        <w:gridCol w:w="899"/>
        <w:gridCol w:w="305"/>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1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tbl>
      <w:tblPr>
        <w:tblW w:w="10205" w:type="dxa"/>
        <w:jc w:val="left"/>
        <w:tblInd w:w="0" w:type="dxa"/>
        <w:tblLayout w:type="fixed"/>
        <w:tblCellMar>
          <w:top w:w="28" w:type="dxa"/>
          <w:left w:w="28" w:type="dxa"/>
          <w:bottom w:w="28" w:type="dxa"/>
          <w:right w:w="28" w:type="dxa"/>
        </w:tblCellMar>
      </w:tblPr>
      <w:tblGrid>
        <w:gridCol w:w="661"/>
        <w:gridCol w:w="581"/>
        <w:gridCol w:w="582"/>
        <w:gridCol w:w="109"/>
        <w:gridCol w:w="109"/>
        <w:gridCol w:w="109"/>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92"/>
        <w:gridCol w:w="647"/>
        <w:gridCol w:w="151"/>
        <w:gridCol w:w="109"/>
        <w:gridCol w:w="109"/>
        <w:gridCol w:w="109"/>
        <w:gridCol w:w="369"/>
        <w:gridCol w:w="922"/>
        <w:gridCol w:w="190"/>
        <w:gridCol w:w="109"/>
        <w:gridCol w:w="109"/>
        <w:gridCol w:w="109"/>
        <w:gridCol w:w="406"/>
        <w:gridCol w:w="899"/>
        <w:gridCol w:w="305"/>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1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Not Recorded at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 of financial instruments that are not recorded at fair value in the consolidated balance sheets:</w:t>
      </w:r>
    </w:p>
    <w:p>
      <w:pPr>
        <w:pStyle w:val="TextBody"/>
        <w:bidi w:val="0"/>
        <w:spacing w:before="0" w:after="0"/>
        <w:ind w:left="0" w:right="0" w:firstLine="720"/>
        <w:jc w:val="both"/>
        <w:rPr/>
      </w:pPr>
      <w:r>
        <w:rPr/>
      </w:r>
    </w:p>
    <w:tbl>
      <w:tblPr>
        <w:tblW w:w="5701" w:type="dxa"/>
        <w:jc w:val="left"/>
        <w:tblInd w:w="0" w:type="dxa"/>
        <w:tblLayout w:type="fixed"/>
        <w:tblCellMar>
          <w:top w:w="28" w:type="dxa"/>
          <w:left w:w="28" w:type="dxa"/>
          <w:bottom w:w="28" w:type="dxa"/>
          <w:right w:w="28" w:type="dxa"/>
        </w:tblCellMar>
      </w:tblPr>
      <w:tblGrid>
        <w:gridCol w:w="185"/>
        <w:gridCol w:w="162"/>
        <w:gridCol w:w="16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borrowings under the Credit Agreement, the Viper Revolving Credit Facility, the 2025 Term Loan, Viper 2025 Term Loan and Tranche A Loans (prior to repayment and termination)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natural gas properties, equity method investments, asset retirement obligations and other long-lived assets that are written down to fair value when impaired or held for sale. Refer to Note 4—</w:t>
      </w:r>
      <w:hyperlink w:anchor="i27ba2a247b584e1aae74c0210baff60c_160">
        <w:r>
          <w:rPr>
            <w:rStyle w:val="InternetLink"/>
            <w:rFonts w:ascii="Times New Roman;serif" w:hAnsi="Times New Roman;serif"/>
            <w:b w:val="false"/>
            <w:color w:val="000080"/>
            <w:sz w:val="20"/>
            <w:u w:val="single"/>
          </w:rPr>
          <w:t>Acquisitions and Divestitur</w:t>
        </w:r>
      </w:hyperlink>
      <w:hyperlink w:anchor="i27ba2a247b584e1aae74c0210baff60c_160">
        <w:r>
          <w:rPr>
            <w:rStyle w:val="InternetLink"/>
            <w:rFonts w:ascii="Times New Roman;serif" w:hAnsi="Times New Roman;serif"/>
            <w:b w:val="false"/>
            <w:color w:val="000080"/>
            <w:sz w:val="20"/>
            <w:u w:val="single"/>
          </w:rPr>
          <w:t>es</w:t>
        </w:r>
      </w:hyperlink>
      <w:r>
        <w:rPr>
          <w:color w:val="000000"/>
        </w:rPr>
        <w:t xml:space="preserve"> </w:t>
      </w:r>
      <w:r>
        <w:rPr>
          <w:rFonts w:ascii="Times New Roman;serif" w:hAnsi="Times New Roman;serif"/>
          <w:b w:val="false"/>
          <w:color w:val="000000"/>
          <w:sz w:val="20"/>
        </w:rPr>
        <w:t>and Note 5—</w:t>
      </w:r>
      <w:hyperlink w:anchor="i27ba2a247b584e1aae74c0210baff60c_166">
        <w:r>
          <w:rPr>
            <w:rStyle w:val="InternetLink"/>
            <w:rFonts w:ascii="Times New Roman;serif" w:hAnsi="Times New Roman;serif"/>
            <w:b w:val="false"/>
            <w:color w:val="0000FF"/>
            <w:sz w:val="20"/>
            <w:u w:val="single"/>
          </w:rPr>
          <w:t>Property and Equipment</w:t>
        </w:r>
      </w:hyperlink>
      <w:r>
        <w:rPr>
          <w:color w:val="000000"/>
        </w:rPr>
        <w:t xml:space="preserve"> </w:t>
      </w:r>
      <w:r>
        <w:rPr>
          <w:rFonts w:ascii="Times New Roman;serif" w:hAnsi="Times New Roman;serif"/>
          <w:b w:val="false"/>
          <w:color w:val="000000"/>
          <w:sz w:val="20"/>
        </w:rPr>
        <w:t>for additional discussion of nonrecurring fair value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 of cash and cash equivalents, accounts receivable, prepaid expenses and other current assets, funds held in escrow, accounts payable and other accrued liabilities approximate their fair value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SUPPLEMENTAL INFORMATION TO STATEMENTS OF CASH FLOWS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375"/>
        <w:gridCol w:w="2074"/>
        <w:gridCol w:w="2086"/>
        <w:gridCol w:w="211"/>
        <w:gridCol w:w="684"/>
        <w:gridCol w:w="109"/>
        <w:gridCol w:w="109"/>
        <w:gridCol w:w="109"/>
        <w:gridCol w:w="109"/>
        <w:gridCol w:w="211"/>
        <w:gridCol w:w="789"/>
        <w:gridCol w:w="109"/>
        <w:gridCol w:w="109"/>
        <w:gridCol w:w="109"/>
        <w:gridCol w:w="109"/>
        <w:gridCol w:w="211"/>
        <w:gridCol w:w="534"/>
        <w:gridCol w:w="158"/>
      </w:tblGrid>
      <w:tr>
        <w:trPr/>
        <w:tc>
          <w:tcPr>
            <w:tcW w:w="2375"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capitalized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transactions: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for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common stock issued for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LLC units issued for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Assets contributed in exchange for ownership interest in an equity method investment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Non-cash investing activities for the year ended December 31, 2024 include additions of $1.0 billion as a result of the TRP Exchange. See Note 4—</w:t>
      </w:r>
      <w:hyperlink w:anchor="i27ba2a247b584e1aae74c0210baff60c_160">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for further discussion of the TRP Exchange.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schedule of minimum future payments with commitments that have initial or remaining noncancellable terms in excess of one year as of December 31,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56"/>
        <w:gridCol w:w="459"/>
        <w:gridCol w:w="460"/>
        <w:gridCol w:w="109"/>
        <w:gridCol w:w="109"/>
        <w:gridCol w:w="109"/>
        <w:gridCol w:w="429"/>
        <w:gridCol w:w="1252"/>
        <w:gridCol w:w="222"/>
        <w:gridCol w:w="109"/>
        <w:gridCol w:w="109"/>
        <w:gridCol w:w="109"/>
        <w:gridCol w:w="443"/>
        <w:gridCol w:w="981"/>
        <w:gridCol w:w="229"/>
        <w:gridCol w:w="109"/>
        <w:gridCol w:w="109"/>
        <w:gridCol w:w="109"/>
        <w:gridCol w:w="449"/>
        <w:gridCol w:w="992"/>
        <w:gridCol w:w="232"/>
        <w:gridCol w:w="109"/>
        <w:gridCol w:w="109"/>
        <w:gridCol w:w="109"/>
        <w:gridCol w:w="398"/>
        <w:gridCol w:w="880"/>
        <w:gridCol w:w="209"/>
        <w:gridCol w:w="109"/>
        <w:gridCol w:w="109"/>
        <w:gridCol w:w="109"/>
        <w:gridCol w:w="109"/>
        <w:gridCol w:w="109"/>
        <w:gridCol w:w="161"/>
      </w:tblGrid>
      <w:tr>
        <w:trPr/>
        <w:tc>
          <w:tcPr>
            <w:tcW w:w="5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Transportation Commitments</w:t>
            </w:r>
            <w:r>
              <w:rPr>
                <w:rFonts w:ascii="Times New Roman;serif" w:hAnsi="Times New Roman;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Electrical Power Agreements</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Other Operating Agreements</w:t>
            </w:r>
            <w:r>
              <w:rPr>
                <w:rFonts w:ascii="Times New Roman;serif" w:hAnsi="Times New Roman;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Electrical Fracturing Fleet</w:t>
            </w:r>
            <w:r>
              <w:rPr>
                <w:rFonts w:ascii="Times New Roman;serif" w:hAnsi="Times New Roman;serif"/>
                <w:b/>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706" w:type="dxa"/>
            <w:gridSpan w:val="6"/>
            <w:tcBorders/>
          </w:tcPr>
          <w:p>
            <w:pPr>
              <w:pStyle w:val="TableContents"/>
              <w:bidi w:val="0"/>
              <w:spacing w:before="0" w:after="283"/>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(1)Total costs incurred under take-or-pay and throughput obligations were approximately $449 million, $337 million and $266 million in 2025, 2024 and 2023,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has committed to transport gross quantities of crude oil and natural gas on various pipelines under a variety of contracts including throughput and take-or-pay agreements. The Company’s failure to purchase the minimum level of quantities would require it to pay shortfall fees up to the amount of the original monthly commitment amounts included in the table above.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has fixed price contracts with various suppliers for the purchase of electrical power through 2032.</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Company is party to various operational agreements containing fixed or minimum payments, which include the rental of compressors, sand purchases, produced water disposal and miscellaneous other operating leases. The amounts in the table above represent our fixed or minimum payments under the aforementioned types of agreements.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Company has commitments for the Company’s electric fracturing fleet and related power generating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Company’s delivery commitments covered the following gross volumes of oil:</w:t>
      </w:r>
    </w:p>
    <w:p>
      <w:pPr>
        <w:pStyle w:val="TextBody"/>
        <w:bidi w:val="0"/>
        <w:spacing w:before="0" w:after="0"/>
        <w:ind w:left="0" w:right="0" w:firstLine="720"/>
        <w:jc w:val="both"/>
        <w:rPr/>
      </w:pPr>
      <w:r>
        <w:rPr/>
      </w:r>
    </w:p>
    <w:tbl>
      <w:tblPr>
        <w:tblW w:w="5261" w:type="dxa"/>
        <w:jc w:val="left"/>
        <w:tblInd w:w="0" w:type="dxa"/>
        <w:tblLayout w:type="fixed"/>
        <w:tblCellMar>
          <w:top w:w="28" w:type="dxa"/>
          <w:left w:w="28" w:type="dxa"/>
          <w:bottom w:w="28" w:type="dxa"/>
          <w:right w:w="28" w:type="dxa"/>
        </w:tblCellMar>
      </w:tblPr>
      <w:tblGrid>
        <w:gridCol w:w="793"/>
        <w:gridCol w:w="697"/>
        <w:gridCol w:w="699"/>
        <w:gridCol w:w="109"/>
        <w:gridCol w:w="109"/>
        <w:gridCol w:w="109"/>
        <w:gridCol w:w="804"/>
        <w:gridCol w:w="804"/>
        <w:gridCol w:w="113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Oil Volume Commitments (Bbl/d)</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Five Point currently anticipate collectively contributing $500 million in follow-on capital to fund future growth projects and acquisitions for Deep Blue.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Fourth Quarter 2025 Dividend Declaration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19, 2026, the board of directors of the Company approved an increase in the Company’s annual base dividend to $4.20 per share of common stock and declared a base cash dividend for the fourth quarter of 2025 of $1.05 per share of common stock, payable on March 12, 2026 to its stockholders of record at the close of business on March 5, 2026. Future base and variable dividends are at the discretion of the Company’s board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Viper Divestiture of Non-Permian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Viper divested all of its non-Permian assets, including those acquired from Sitio, to an affiliate of GRP Energy Capital LLC and Warwick Capital Partners LLP for net cash proceeds of approximately $617 million, subject to customary post-closing adjustments. The divested properties consisted of approximately 9,400 net royalty acres in the Denver-Julesburg, Eagle Ford and Williston basins with current production of approximately 4,750 BO/d. Proceeds from the divestiture were used to repay (i) the Viper 2025 Term Loan of $500 million in full, (ii) repay the outstanding borrowings under the Viper Revolving Credit Facility, and (iii) for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fully terminated and settled the remaining aggregate $300 million of notional interest rate swaps for approximately $27 million in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SGF Common Stock Repurchases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Pursuant to a letter agreement executed with SGF in the fourth quarter of 2025, the Company repurchased 2.0 million shares from SGF for approximately $332 million, excluding excise tax, during the first quarter of 2026. For further details on the nature of transactions with SGF, see Note 7—</w:t>
      </w:r>
      <w:hyperlink w:anchor="i27ba2a247b584e1aae74c0210baff60c_1995">
        <w:r>
          <w:rPr>
            <w:rStyle w:val="InternetLink"/>
            <w:rFonts w:ascii="Times New Roman;serif" w:hAnsi="Times New Roman;serif"/>
            <w:b w:val="false"/>
            <w:color w:val="0000FF"/>
            <w:sz w:val="20"/>
            <w:u w:val="single"/>
          </w:rPr>
          <w:t>Related Party Transactions</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is managed on a consolidated basis as one operating segment and one reportable segment: the upstream segment, which is engaged in the acquisition, development, exploration and exploitation of unconventional, onshore oil and natural gas reserves primarily in the Permian Basin in West Texas. This singular operating and reportable segment is comprised of (i) the Company and its wholly-owned subsidiaries, and (ii) Viper and its consolidated subsidiaries, which have been aggregated due to the similarity in their economic characteristics, products and services, processes, type of customers, method of distribution for their products and the regulatory environment in which they operate. The upstream segment derives its revenue from customers through the sale of oil and natural gas products as well as other immaterial service contracts. See Note 3—</w:t>
      </w:r>
      <w:hyperlink w:anchor="i27ba2a247b584e1aae74c0210baff60c_157">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Chief Operating Decision Maker (“CODM”) is a senior executive committee that is comprised of the Chief Operating Officer, Chief Financial Officer, and Chief Executive Officer. The CODM uses the Company’s consolidated financial results to make key operating decisions, assess performance and to allocate resources. The measures of segment profit or loss and total assets utilized by the CODM are net income and total assets as reported on the consolidated statements of operations and the consolidated balance sheets, respectively. The significant expense categories, their amounts and other segment items that are regularly provided to the CODM are those that are reported in the Company’s consolidated statements of operations as well as interest income and interest expense in Note 8—</w:t>
      </w:r>
      <w:hyperlink w:anchor="i27ba2a247b584e1aae74c0210baff60c_17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SUPPLEMENTAL INFORMATION ON OIL AND NATURAL GAS OPERATIONS (UNAUDITED)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oil and natural gas reserves are attributable solely to properties within the United States.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Capitalized Oil and Natural Gas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Aggregate capitalized costs related to oil and natural gas production activities with applicable accumulated depreciation, depletion, amortization and impairment are as follows:</w:t>
      </w:r>
    </w:p>
    <w:p>
      <w:pPr>
        <w:pStyle w:val="TextBody"/>
        <w:bidi w:val="0"/>
        <w:spacing w:before="0" w:after="0"/>
        <w:ind w:left="0" w:right="0" w:firstLine="720"/>
        <w:jc w:val="both"/>
        <w:rPr/>
      </w:pPr>
      <w:r>
        <w:rPr/>
      </w:r>
    </w:p>
    <w:tbl>
      <w:tblPr>
        <w:tblW w:w="6204" w:type="dxa"/>
        <w:jc w:val="left"/>
        <w:tblInd w:w="0" w:type="dxa"/>
        <w:tblLayout w:type="fixed"/>
        <w:tblCellMar>
          <w:top w:w="28" w:type="dxa"/>
          <w:left w:w="28" w:type="dxa"/>
          <w:bottom w:w="28" w:type="dxa"/>
          <w:right w:w="28" w:type="dxa"/>
        </w:tblCellMar>
      </w:tblPr>
      <w:tblGrid>
        <w:gridCol w:w="1357"/>
        <w:gridCol w:w="1192"/>
        <w:gridCol w:w="1201"/>
        <w:gridCol w:w="211"/>
        <w:gridCol w:w="721"/>
        <w:gridCol w:w="109"/>
        <w:gridCol w:w="109"/>
        <w:gridCol w:w="109"/>
        <w:gridCol w:w="109"/>
        <w:gridCol w:w="211"/>
        <w:gridCol w:w="721"/>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oil and natural gas properties capitalized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Costs Incurred in Oil and Natural Gas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Costs incurred in oil and natural gas property acquisition, exploration and development activities are as follows:</w:t>
      </w:r>
    </w:p>
    <w:p>
      <w:pPr>
        <w:pStyle w:val="TextBody"/>
        <w:bidi w:val="0"/>
        <w:spacing w:before="0" w:after="0"/>
        <w:ind w:left="0" w:right="0" w:firstLine="720"/>
        <w:jc w:val="both"/>
        <w:rPr/>
      </w:pPr>
      <w:r>
        <w:rPr/>
      </w:r>
    </w:p>
    <w:tbl>
      <w:tblPr>
        <w:tblW w:w="5501" w:type="dxa"/>
        <w:jc w:val="left"/>
        <w:tblInd w:w="0" w:type="dxa"/>
        <w:tblLayout w:type="fixed"/>
        <w:tblCellMar>
          <w:top w:w="28" w:type="dxa"/>
          <w:left w:w="28" w:type="dxa"/>
          <w:bottom w:w="28" w:type="dxa"/>
          <w:right w:w="28" w:type="dxa"/>
        </w:tblCellMar>
      </w:tblPr>
      <w:tblGrid>
        <w:gridCol w:w="645"/>
        <w:gridCol w:w="568"/>
        <w:gridCol w:w="571"/>
        <w:gridCol w:w="211"/>
        <w:gridCol w:w="721"/>
        <w:gridCol w:w="109"/>
        <w:gridCol w:w="109"/>
        <w:gridCol w:w="109"/>
        <w:gridCol w:w="109"/>
        <w:gridCol w:w="211"/>
        <w:gridCol w:w="721"/>
        <w:gridCol w:w="109"/>
        <w:gridCol w:w="109"/>
        <w:gridCol w:w="109"/>
        <w:gridCol w:w="109"/>
        <w:gridCol w:w="211"/>
        <w:gridCol w:w="61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Exploration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from Oil and Natural Gas Producing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schedule sets forth the revenues and expenses related to the production and sale of oil, natural gas and natural gas liquids. It does not include any interest costs or general and administrative costs. Income tax expense has been calculated by applying statutory income tax rates to oil, gas and natural gas liquids sales after deducting production costs, depreciation, depletion and amortization and accretion and impairment. Therefore, the following schedule is not necessarily indicative of the contribution to the net operating results of the Company’s oil, natural gas and natural gas liquids operations.</w:t>
      </w:r>
    </w:p>
    <w:p>
      <w:pPr>
        <w:pStyle w:val="TextBody"/>
        <w:bidi w:val="0"/>
        <w:spacing w:before="0" w:after="0"/>
        <w:ind w:left="0" w:right="0" w:firstLine="720"/>
        <w:jc w:val="both"/>
        <w:rPr/>
      </w:pPr>
      <w:r>
        <w:rPr/>
      </w:r>
    </w:p>
    <w:tbl>
      <w:tblPr>
        <w:tblW w:w="8022" w:type="dxa"/>
        <w:jc w:val="left"/>
        <w:tblInd w:w="0" w:type="dxa"/>
        <w:tblLayout w:type="fixed"/>
        <w:tblCellMar>
          <w:top w:w="28" w:type="dxa"/>
          <w:left w:w="28" w:type="dxa"/>
          <w:bottom w:w="28" w:type="dxa"/>
          <w:right w:w="28" w:type="dxa"/>
        </w:tblCellMar>
      </w:tblPr>
      <w:tblGrid>
        <w:gridCol w:w="1557"/>
        <w:gridCol w:w="1371"/>
        <w:gridCol w:w="1377"/>
        <w:gridCol w:w="211"/>
        <w:gridCol w:w="721"/>
        <w:gridCol w:w="109"/>
        <w:gridCol w:w="109"/>
        <w:gridCol w:w="109"/>
        <w:gridCol w:w="109"/>
        <w:gridCol w:w="211"/>
        <w:gridCol w:w="721"/>
        <w:gridCol w:w="109"/>
        <w:gridCol w:w="109"/>
        <w:gridCol w:w="109"/>
        <w:gridCol w:w="109"/>
        <w:gridCol w:w="211"/>
        <w:gridCol w:w="616"/>
        <w:gridCol w:w="154"/>
      </w:tblGrid>
      <w:tr>
        <w:trPr/>
        <w:tc>
          <w:tcPr>
            <w:tcW w:w="155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natural gas and natural gas liquid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Results of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Oil and Natural Gas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Proved oil and natural gas reserve estimates and their associated future net cash flows were prepared by the Company’s internal reservoir engineers and audited by Ryder Scott, independent petroleum engineers, as of December 31, 2025, 2024 and 2023. Proved reserves were estimated in accordance with guidelines established by the SEC, which require that reserve estimates be prepared under existing economic and operating conditions based upon SEC Prices for the periods ending December 31, 2025, 2024 and 2023, respectively. Reserve estimates do not include any value for probable or possible reserves that may exist, nor do they include any value for undeveloped acreage. The reserve estimates represent the net revenue interest in the Company’s properties, all of which are located within the continental United States. Although the Company believes these estimates are reasonable, actual future production, cash flows, taxes, development expenditures, operating expenses and quantities of recoverable oil and natural gas reserves may vary substantially from these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changes in the Company’s estimated proved reserves (including those attributable to Viper). As of December 31, 2025, none of the Company’s total proved reserves were classified as proved developed non-producing.</w:t>
      </w:r>
    </w:p>
    <w:p>
      <w:pPr>
        <w:pStyle w:val="TextBody"/>
        <w:bidi w:val="0"/>
        <w:spacing w:before="0" w:after="0"/>
        <w:ind w:left="0" w:right="0" w:firstLine="720"/>
        <w:jc w:val="both"/>
        <w:rPr/>
      </w:pPr>
      <w:r>
        <w:rPr/>
      </w:r>
    </w:p>
    <w:tbl>
      <w:tblPr>
        <w:tblW w:w="9756" w:type="dxa"/>
        <w:jc w:val="left"/>
        <w:tblInd w:w="0" w:type="dxa"/>
        <w:tblLayout w:type="fixed"/>
        <w:tblCellMar>
          <w:top w:w="28" w:type="dxa"/>
          <w:left w:w="28" w:type="dxa"/>
          <w:bottom w:w="28" w:type="dxa"/>
          <w:right w:w="28" w:type="dxa"/>
        </w:tblCellMar>
      </w:tblPr>
      <w:tblGrid>
        <w:gridCol w:w="1331"/>
        <w:gridCol w:w="1168"/>
        <w:gridCol w:w="1175"/>
        <w:gridCol w:w="488"/>
        <w:gridCol w:w="488"/>
        <w:gridCol w:w="246"/>
        <w:gridCol w:w="109"/>
        <w:gridCol w:w="109"/>
        <w:gridCol w:w="109"/>
        <w:gridCol w:w="488"/>
        <w:gridCol w:w="488"/>
        <w:gridCol w:w="351"/>
        <w:gridCol w:w="109"/>
        <w:gridCol w:w="109"/>
        <w:gridCol w:w="109"/>
        <w:gridCol w:w="413"/>
        <w:gridCol w:w="413"/>
        <w:gridCol w:w="351"/>
        <w:gridCol w:w="109"/>
        <w:gridCol w:w="109"/>
        <w:gridCol w:w="109"/>
        <w:gridCol w:w="488"/>
        <w:gridCol w:w="488"/>
        <w:gridCol w:w="399"/>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Oil</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Natural Gas</w:t>
              <w:br/>
              <w:t> (MMcf)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Natural Gas</w:t>
              <w:br/>
              <w:t>Liquids</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88" w:before="0" w:after="0"/>
              <w:jc w:val="center"/>
              <w:rPr/>
            </w:pPr>
            <w:r>
              <w:rPr>
                <w:rFonts w:ascii="Times New Roman;serif" w:hAnsi="Times New Roman;serif"/>
                <w:b/>
                <w:color w:val="000000"/>
                <w:sz w:val="18"/>
              </w:rPr>
              <w:t>(MBOE)</w:t>
            </w:r>
            <w:r>
              <w:rPr>
                <w:rFonts w:ascii="Times New Roman;serif" w:hAnsi="Times New Roman;serif"/>
                <w:b/>
                <w:color w:val="000000"/>
                <w:sz w:val="12"/>
              </w:rPr>
              <w:t>(1)</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Proved Developed and Undeveloped Reserves:</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1,069,508 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2,868,861 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485,319 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2,032,971 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206,562 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424,881 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78,498 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355,874 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(47,697)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(54,470)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41,790 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79,507 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(130,013)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(63,682)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(96,176)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(198,117)</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(163,413)</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1,143,944 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2,997,422 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534,247 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2,177,761 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310,421 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58,696 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278,808 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(78,142)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(158,468)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(129,071)</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697,702 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2,391,264 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473,236 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1,569,482 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(240,044)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(120,592)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(275,680)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(218,972)</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1,761,049 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5,024,915 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958,881 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3,557,416 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306,431 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765,623 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144,884 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578,919 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of previous estimates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(173,561)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(253,282)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(88,310)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(304,085)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reserves in place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268,935 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188,609 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(84,515)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(66,825)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(181,462)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(447,855)</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(80,073)</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(336,178)</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1,774,420 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5,273,821 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964,466 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3,617,856 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Proved Developed Reserves: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699,513 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2,122,782 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350,243 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1,403,553 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744,103 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2,203,563 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385,167 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1,496,530 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3,559,748 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670,683 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2,384,798 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1,173,636 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3,872,360 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701,999 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2,521,028 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Proved Undeveloped Reserves: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746,079 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135,076 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629,418 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793,859 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149,080 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681,231 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640,225 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1,465,167 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288,198 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1,172,618 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600,784 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1,401,461 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262,467 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1,096,828 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total proved reserves of 231,440 MBOE, 107,730 MBOE, 78,870 MBOE and 65,516 MBOE as of December 31, 2025, 2024, 2023 and 2022, respectively, attributable to the non-controlling interest in 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Company’s extensions and discoveries of 578,919 MBOE resulted primarily from the drilling of 1,571 new wells in which the Company has an interest, including 1,311 wells in which the Company owns only a mineral interest through Viper, and from 582 new proved undeveloped locations added. Viper royalty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interests accounted for 11% of the extension volumes. The Company’s downward revisions of previous estimates of 304,085 MBOE were primarily attributable to negative revisions of (i) 130,101 MBOE associated with lower commodity prices, (ii) 128,883 MBOE primarily due to downgrades related to changes in the corporate development plan, and (iii) 45,101 MBOE primarily attributable to performance revisions. Purchases of 188,609 MBOE consisted of 90,340 MBOE attributable largely to the Double Eagle Acquisition and 98,269 MBOE of Viper royalty purchases attributable largely to Viper’s Sitio Acquisition. Divestitures of 66,825 MBOE related primarily to non-core Delaware Basin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Company’s extensions and discoveries of 278,808 MBOE resulted primarily from the drilling of 1,172 new wells in which the Company has an interest, including 862 wells in which the Company owns only a mineral interest through Viper, and from 445 new proved undeveloped locations added. Viper royalty interests accounted for 9% of the extension volumes. The Company’s downward revisions of previous estimates of 129,071 MBOE were primarily attributable to negative revisions of (i) 88,915 MBOE associated with lower commodity prices, (ii) 49,311 MBOE due to downgrades related to changes in the corporate development plan, and (iii) 16,586 MBOE due to a decline in performance. These were partially offset by positive revisions of 25,743 MBOE due to positive ownership and acquisition variance revisions. Purchases of 1,569,482 MBOE consisted of 1,554,541 MBOE attributable largely to the Endeavor Acquisition and 14,941 MBOE of Viper royalty purchases. Divestitures of 120,592 MBOE related primarily to non-core Midland Basin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Company’s extensions and discoveries of 355,874 MBOE resulted primarily from the drilling of 954 new wells in which the Company has an interest, including 826 wells in which the Company owns only a mineral interest through Viper, and from 344 new proved undeveloped locations added. Viper royalty interests accounted for 7% of the extension volumes. The Company’s downward revisions of previous estimates of 54,470 MBOE were primarily attributable to negative revisions of (i) 62,370 MBOE associated with lower commodity prices, and (ii) 32,249 MBOE due to PUD downgrades related to changes in the corporate development plan. These were partially offset by positive revisions of 40,149 MBOE due to improved performance. Purchases of 70,481 MBOE consisted of 54,470 MBOE attributable largely to the Lario Acquisition and 16,011 MBOE of Viper royalty purchases. Divestitures of 63,682 MBOE related primarily to non-core Midland Basin assets.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Proved Undeveloped Reserves (PUDs)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Company’s estimated PUD reserves were approximately 1,096,828 MBOE, a 75,790 MBOE decrease over the reserve estimate at December 31, 2024 of 1,172,618 MBOE. The following table includes the changes in PUD reserves for 2025 (MBOE):</w:t>
      </w:r>
    </w:p>
    <w:p>
      <w:pPr>
        <w:pStyle w:val="TextBody"/>
        <w:bidi w:val="0"/>
        <w:spacing w:before="0" w:after="0"/>
        <w:ind w:left="0" w:right="0" w:firstLine="720"/>
        <w:jc w:val="both"/>
        <w:rPr/>
      </w:pPr>
      <w:r>
        <w:rPr/>
      </w:r>
    </w:p>
    <w:tbl>
      <w:tblPr>
        <w:tblW w:w="6500" w:type="dxa"/>
        <w:jc w:val="left"/>
        <w:tblInd w:w="0" w:type="dxa"/>
        <w:tblLayout w:type="fixed"/>
        <w:tblCellMar>
          <w:top w:w="28" w:type="dxa"/>
          <w:left w:w="28" w:type="dxa"/>
          <w:bottom w:w="28" w:type="dxa"/>
          <w:right w:w="28" w:type="dxa"/>
        </w:tblCellMar>
      </w:tblPr>
      <w:tblGrid>
        <w:gridCol w:w="1947"/>
        <w:gridCol w:w="1707"/>
        <w:gridCol w:w="1716"/>
        <w:gridCol w:w="488"/>
        <w:gridCol w:w="488"/>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proved undeveloped reserves at December 31,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Undeveloped reserves transferred to developed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Extensions and discoveries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proved undeveloped reserves at December 31,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1,096,828 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proved undeveloped reserves was primarily attributable to (i) transfers of 360,141 MBOE from undeveloped to developed reserves as a result of drilling or participating in 408 gross (377 net) horizontal wells in which the Company has a working interest and 247 gross wells in which the Company also has a royalty interest or mineral interest through Viper, and (ii) downward revisions of 170,400 MBOE, which were primarily the result of negative revisions of 122,117 MBOE due to downgrades related to changes in the corporate development plan, and negative revisions of 48,283 MBOE primarily attributable to performance revisions. Divestitures of 44,437 MBOE related primarily to non-core Delaware Basin assets and trades in the Midland Basin. The decrease in proved undeveloped reserves was partially offset by extensions of 427,437 MBOE from 582 gross (537 net) wells in which the Company has a working interest and 46,420 MBOE from 1,071 gross wells in which Viper owns royalty interests. All gross working interest wells were in the Midland Basin. Purchases of 25,331 MBOE were primarily attributable to individually insignificant trades and asset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2025, approximately $3.6 billion in capital expenditures went toward the development of proved undeveloped reserves, which includes drilling, completion and other facility costs associated with developing proved undeveloped wells. Estimated future development costs relating to the development of PUDs are projected to be approximately $2.3 billion in 2026, $2.6 billion in 2027, $1.8 billion in 2028, $839 million in 2029 and $175 million in 2030. Since our formation in 2011, our average drilling costs and drilling times have been reduced, and we believe we will continue to realize cost savings and experience lower relative drilling and completion costs as we convert PUDs into proved developed reserves in upcoming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our current development plan, we expect to continue our strong PUD conversion ratio in 2026 by converting an estimated 38% of our PUDs to a proved developed category and developing approximately 89% of the consolidated 2025 year-end PUD reserves by the end of 2028. As of December 31, 2025, all of our proved undeveloped reserves are scheduled to be developed within five years from the date they were initially recorded.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Standardized Measure of Discounted Future Net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standardized measure of discounted future net cash flows is based on the unweighted arithmetic average, first-day-of-the-month price for the rolling 12-month period.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standardized measure of discounted future net cash flows attributable to the Company’s proved oil and natural gas reserves as of December 31, 2025, 2024 and 2023:</w:t>
      </w:r>
    </w:p>
    <w:p>
      <w:pPr>
        <w:pStyle w:val="TextBody"/>
        <w:bidi w:val="0"/>
        <w:spacing w:before="0" w:after="0"/>
        <w:ind w:left="0" w:right="0" w:firstLine="720"/>
        <w:jc w:val="both"/>
        <w:rPr/>
      </w:pPr>
      <w:r>
        <w:rPr/>
      </w:r>
    </w:p>
    <w:tbl>
      <w:tblPr>
        <w:tblW w:w="9057" w:type="dxa"/>
        <w:jc w:val="left"/>
        <w:tblInd w:w="0" w:type="dxa"/>
        <w:tblLayout w:type="fixed"/>
        <w:tblCellMar>
          <w:top w:w="28" w:type="dxa"/>
          <w:left w:w="28" w:type="dxa"/>
          <w:bottom w:w="28" w:type="dxa"/>
          <w:right w:w="28" w:type="dxa"/>
        </w:tblCellMar>
      </w:tblPr>
      <w:tblGrid>
        <w:gridCol w:w="1779"/>
        <w:gridCol w:w="1563"/>
        <w:gridCol w:w="1578"/>
        <w:gridCol w:w="211"/>
        <w:gridCol w:w="826"/>
        <w:gridCol w:w="109"/>
        <w:gridCol w:w="109"/>
        <w:gridCol w:w="109"/>
        <w:gridCol w:w="109"/>
        <w:gridCol w:w="211"/>
        <w:gridCol w:w="826"/>
        <w:gridCol w:w="109"/>
        <w:gridCol w:w="109"/>
        <w:gridCol w:w="109"/>
        <w:gridCol w:w="109"/>
        <w:gridCol w:w="211"/>
        <w:gridCol w:w="826"/>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cash inflows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Future development costs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production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production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income tax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Future net cash flows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 discount to reflect timing of cash flows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Standardized measure of discounted future net cash flows</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approximately $1.1 billion, $1.3 billion and $685 million of undiscounted future asset retirement costs for the years ended December 31, 2025, 2024 and 2023, respectively, based on estimates made at the end of each of the respective years.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$6.6 billion, $3.3 billion and $3.2 billion, for the years ended December 31, 2025, 2024 and 2023, respectively, attributable to the Company’s consolidated subsidiary, Viper, in which there is a 57%, 55% and 44% non-controlling interest at December 31, 2025,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SEC Prices as adjusted for differentials and contractual arrangements utilized in the computation of future cash inflows:</w:t>
      </w:r>
    </w:p>
    <w:p>
      <w:pPr>
        <w:pStyle w:val="TextBody"/>
        <w:bidi w:val="0"/>
        <w:spacing w:before="0" w:after="0"/>
        <w:ind w:left="0" w:right="0" w:firstLine="720"/>
        <w:jc w:val="both"/>
        <w:rPr/>
      </w:pPr>
      <w:r>
        <w:rPr/>
      </w:r>
    </w:p>
    <w:tbl>
      <w:tblPr>
        <w:tblW w:w="5921" w:type="dxa"/>
        <w:jc w:val="left"/>
        <w:tblInd w:w="0" w:type="dxa"/>
        <w:tblLayout w:type="fixed"/>
        <w:tblCellMar>
          <w:top w:w="28" w:type="dxa"/>
          <w:left w:w="28" w:type="dxa"/>
          <w:bottom w:w="28" w:type="dxa"/>
          <w:right w:w="28" w:type="dxa"/>
        </w:tblCellMar>
      </w:tblPr>
      <w:tblGrid>
        <w:gridCol w:w="875"/>
        <w:gridCol w:w="764"/>
        <w:gridCol w:w="775"/>
        <w:gridCol w:w="211"/>
        <w:gridCol w:w="616"/>
        <w:gridCol w:w="109"/>
        <w:gridCol w:w="109"/>
        <w:gridCol w:w="109"/>
        <w:gridCol w:w="109"/>
        <w:gridCol w:w="211"/>
        <w:gridCol w:w="616"/>
        <w:gridCol w:w="109"/>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Principal changes in the standardized measure of discounted future net cash flows attributable to the Company’s proved reserves are as follows: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314"/>
        <w:gridCol w:w="2028"/>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2023</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 millions)</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Standardized measure of discounted future net cash flows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35,699 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Sales of oil and natural gas, net of production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(6,544)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of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Divestitures of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Extensions and discoveries, net of future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Previously estimated development costs incurred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changes in prices and production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(17,276)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estimated future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Revisions of previous quantity estimates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of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 in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changes in timing of production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Standardized measure of discounted future net cash flows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27,058 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 evaluation was performed under the supervision and with the participation of management, including our Chief Executive Officer and Chief Financial Officer, of the effectiveness of our disclosure controls and procedures pursuant to Rule 13a-15(b) under the Exchange Act. Based upon our evaluation, our Chief Executive Officer and Chief Financial Officer have concluded that as of December 31, 2025, our disclosure controls and procedures are effective at the reasonable assurance level.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Viper is in the process of integrating the entities acquired in the Sitio Acquisition. As a result of these integration activities, certain controls will be evaluated and may be changed. Except as noted above, there have not been any changes in our internal control over financial reporting that occurred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MANAGEMENT’S REPORT ON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2025. Under guidelines established by the SEC, companies are permitted to exclude acquisitions from their assessment of internal control over financial reporting during the first year of an acquisition while integrating the acquired company. Management’s assessment of, and conclusion on, the effectiveness of internal control over financial reporting did not include the internal controls of the entities acquired in Viper’s Sitio Acquisition on August 19, 2025. The total assets of Sitio represent approximately 6% of our consolidated total assets as of December 31, 2025, and the revenues of Sitio represent 1% of our consolidated revenues 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2025. The report, which expresses an unqualified opinion on the effectiveness of the Company’s internal control over financial reporting at December 31, 2025, is included in this Item under the heading “Report of Independent Registered Public Accounting Firm.”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REPORT OF INDEPENDENT REGISTERED PUBLIC ACCOUNTING FIRM</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Opinion on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internal control over financial reporting of Diamondback Energy, Inc. (a Delaware corporation) and subsidiaries (the “Company”) as of December 31,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financial statements of the Company as of and for the year ended December 31, 2025, and our report dated February 25, 2026 expressed an unqualified opinion on those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of, and opinion on, the Company’s internal control over financial reporting does not include the internal control over financial reporting of the entities acquired in the Sitio Acquisition, whose financial statements reflect total assets and revenues constituting 6 and 1 percent, respectively, of the related consolidated financial statement amounts as of and for the year ended December 31, 2025. As indicated in Management’s Report, the entities acquired in the Sitio Acquisition were acquired during 2025. Management’s assertion on the effectiveness of the Company’s internal control over financial reporting excluded internal control over financial reporting of the entities acquired in the Sitio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Definition and limitations of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Oklahoma City, Oklahoma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25,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or terminated a Rule 10b5-1 trading arrangement or a non-Rule 10b5-1 trading arrangement during the Company’s fiscal quarter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10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We have also made the Code of Business Conduct and Ethics available on our website under the “Investors—Corporate Governance” section at https://www.diamondbackenergy.com.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11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12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13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as to Item 14 will be set forth in our definitive proxy statement, which is to be filed pursuant to Regulation 14A with the SEC within 120 days after the close of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tbl>
      <w:tblPr>
        <w:tblW w:w="5549" w:type="dxa"/>
        <w:jc w:val="left"/>
        <w:tblInd w:w="0" w:type="dxa"/>
        <w:tblLayout w:type="fixed"/>
        <w:tblCellMar>
          <w:top w:w="28" w:type="dxa"/>
          <w:left w:w="28" w:type="dxa"/>
          <w:bottom w:w="28" w:type="dxa"/>
          <w:right w:w="28" w:type="dxa"/>
        </w:tblCellMar>
      </w:tblPr>
      <w:tblGrid>
        <w:gridCol w:w="1675"/>
        <w:gridCol w:w="1477"/>
        <w:gridCol w:w="2397"/>
      </w:tblGrid>
      <w:tr>
        <w:trPr/>
        <w:tc>
          <w:tcPr>
            <w:tcW w:w="167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ind w:left="0" w:right="0" w:firstLine="45"/>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left"/>
              <w:rPr>
                <w:rFonts w:ascii="Times New Roman;serif" w:hAnsi="Times New Roman;serif"/>
                <w:b w:val="false"/>
                <w:i/>
                <w:color w:val="000000"/>
                <w:sz w:val="20"/>
              </w:rPr>
            </w:pPr>
            <w:r>
              <w:rPr>
                <w:rFonts w:ascii="Times New Roman;serif" w:hAnsi="Times New Roman;serif"/>
                <w:b w:val="false"/>
                <w:i/>
                <w:color w:val="000000"/>
                <w:sz w:val="20"/>
              </w:rPr>
              <w:t>(a) Documents filed as a part of this Form 10-K</w:t>
            </w:r>
          </w:p>
        </w:tc>
      </w:tr>
      <w:tr>
        <w:trPr/>
        <w:tc>
          <w:tcPr>
            <w:tcW w:w="5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1 and 2. Financial Statements and Financial Statement Schedules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filed as part of this Annual Report on Form 10-K are listed in the accompanying index to financial statements and schedules under Part II, Item 8. Financial Statements and Supplementary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because they are either not required, not applicable or the information required to be presented is included in the Company’s consolidated financial statements and related notes.</w:t>
      </w:r>
    </w:p>
    <w:p>
      <w:pPr>
        <w:pStyle w:val="TextBody"/>
        <w:bidi w:val="0"/>
        <w:spacing w:before="0" w:after="0"/>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3. Exhibits</w:t>
            </w:r>
          </w:p>
        </w:tc>
      </w:tr>
    </w:tbl>
    <w:tbl>
      <w:tblPr>
        <w:tblW w:w="10205" w:type="dxa"/>
        <w:jc w:val="left"/>
        <w:tblInd w:w="0" w:type="dxa"/>
        <w:tblLayout w:type="fixed"/>
        <w:tblCellMar>
          <w:top w:w="28" w:type="dxa"/>
          <w:left w:w="28" w:type="dxa"/>
          <w:bottom w:w="28" w:type="dxa"/>
          <w:right w:w="28" w:type="dxa"/>
        </w:tblCellMar>
      </w:tblPr>
      <w:tblGrid>
        <w:gridCol w:w="320"/>
        <w:gridCol w:w="282"/>
        <w:gridCol w:w="283"/>
        <w:gridCol w:w="109"/>
        <w:gridCol w:w="109"/>
        <w:gridCol w:w="109"/>
        <w:gridCol w:w="2701"/>
        <w:gridCol w:w="2603"/>
        <w:gridCol w:w="3689"/>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Description</w:t>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3"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19"/>
                  <w:u w:val="single"/>
                </w:rPr>
                <w:t>Agreement and Plan of Merger, dated as of May 15, 2022, by and among Diamondback Energy, Inc., Rattler Midstream GP LLC, Bacchus Merger Sub Company and Rattler Midstream LP (incorporated by reference to Exhibit 2.1 to the Form 8-K, File No. 001-35700, filed by the Company with the SEC on May 16, 2022).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19"/>
                  <w:u w:val="single"/>
                </w:rPr>
                <w:t>Agreement and Plan of Merger, dated as of February 11, 2024, by and among the Company, Endeavor, Merger Sub I, Merger Sub II and the Company Representative (for purposes of certain sections set forth therein) (incorporated by reference to Exhibit 2.1 to the Form 8-K, File No. 001-35700, filed by the Company with the SEC on February 12, 2024).</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19"/>
                  <w:u w:val="single"/>
                </w:rPr>
                <w:t>Letter Agreement, amending the Merger Agreement, by and among the Company, Endeavor, Merger Sub I, Merger Sub II and the Company Representative, dated March 18, 2024 (incorporated by reference to Exhibit 2.1 to the Form 8-K, File No. 001-35700, filed by the Company with the SEC on March 18, 2024).</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19"/>
                  <w:u w:val="single"/>
                </w:rPr>
                <w:t>Second Amended and Restated Certificate of Incorporation of the Company (incorporated by reference to Exhibit 3.1 to the Form 8-K, File No. 001-35700, filed by the Company with the SEC on June 14, 2023).</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19"/>
                  <w:u w:val="single"/>
                </w:rPr>
                <w:t>Certificate of Amendment No. 1 to Second Amended and Restated Certificate of Incorporation of the Company (incorporated by reference to Exhibit 3.1 to the Form 8-K, File No. 001-35700, filed by the Company with the SEC on September 10, 2024).</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80"/>
                  <w:sz w:val="19"/>
                  <w:u w:val="single"/>
                </w:rPr>
                <w:t>Sixth</w:t>
              </w:r>
            </w:hyperlink>
            <w:hyperlink r:id="rId9">
              <w:r>
                <w:rPr>
                  <w:rStyle w:val="InternetLink"/>
                  <w:rFonts w:ascii="Times New Roman;serif" w:hAnsi="Times New Roman;serif"/>
                  <w:b w:val="false"/>
                  <w:color w:val="000080"/>
                  <w:sz w:val="19"/>
                  <w:u w:val="single"/>
                </w:rPr>
                <w:t xml:space="preserve"> Amended and Restated Bylaws of the Company, adopted as of </w:t>
              </w:r>
            </w:hyperlink>
            <w:hyperlink r:id="rId10">
              <w:r>
                <w:rPr>
                  <w:rStyle w:val="InternetLink"/>
                  <w:rFonts w:ascii="Times New Roman;serif" w:hAnsi="Times New Roman;serif"/>
                  <w:b w:val="false"/>
                  <w:color w:val="000080"/>
                  <w:sz w:val="19"/>
                  <w:u w:val="single"/>
                </w:rPr>
                <w:t>October</w:t>
              </w:r>
            </w:hyperlink>
            <w:hyperlink r:id="rId11">
              <w:r>
                <w:rPr>
                  <w:rStyle w:val="InternetLink"/>
                  <w:rFonts w:ascii="Times New Roman;serif" w:hAnsi="Times New Roman;serif"/>
                  <w:b w:val="false"/>
                  <w:color w:val="000080"/>
                  <w:sz w:val="19"/>
                  <w:u w:val="single"/>
                </w:rPr>
                <w:t xml:space="preserve"> </w:t>
              </w:r>
            </w:hyperlink>
            <w:hyperlink r:id="rId12">
              <w:r>
                <w:rPr>
                  <w:rStyle w:val="InternetLink"/>
                  <w:rFonts w:ascii="Times New Roman;serif" w:hAnsi="Times New Roman;serif"/>
                  <w:b w:val="false"/>
                  <w:color w:val="000080"/>
                  <w:sz w:val="19"/>
                  <w:u w:val="single"/>
                </w:rPr>
                <w:t>31</w:t>
              </w:r>
            </w:hyperlink>
            <w:hyperlink r:id="rId13">
              <w:r>
                <w:rPr>
                  <w:rStyle w:val="InternetLink"/>
                  <w:rFonts w:ascii="Times New Roman;serif" w:hAnsi="Times New Roman;serif"/>
                  <w:b w:val="false"/>
                  <w:color w:val="000080"/>
                  <w:sz w:val="19"/>
                  <w:u w:val="single"/>
                </w:rPr>
                <w:t>, 202</w:t>
              </w:r>
            </w:hyperlink>
            <w:hyperlink r:id="rId14">
              <w:r>
                <w:rPr>
                  <w:rStyle w:val="InternetLink"/>
                  <w:rFonts w:ascii="Times New Roman;serif" w:hAnsi="Times New Roman;serif"/>
                  <w:b w:val="false"/>
                  <w:color w:val="000080"/>
                  <w:sz w:val="19"/>
                  <w:u w:val="single"/>
                </w:rPr>
                <w:t>5</w:t>
              </w:r>
            </w:hyperlink>
            <w:hyperlink r:id="rId15">
              <w:r>
                <w:rPr>
                  <w:rStyle w:val="InternetLink"/>
                  <w:rFonts w:ascii="Times New Roman;serif" w:hAnsi="Times New Roman;serif"/>
                  <w:b w:val="false"/>
                  <w:color w:val="000080"/>
                  <w:sz w:val="19"/>
                  <w:u w:val="single"/>
                </w:rPr>
                <w:t xml:space="preserve"> (incorporated by reference to Exhibit 3.</w:t>
              </w:r>
            </w:hyperlink>
            <w:hyperlink r:id="rId16">
              <w:r>
                <w:rPr>
                  <w:rStyle w:val="InternetLink"/>
                  <w:rFonts w:ascii="Times New Roman;serif" w:hAnsi="Times New Roman;serif"/>
                  <w:b w:val="false"/>
                  <w:color w:val="000080"/>
                  <w:sz w:val="19"/>
                  <w:u w:val="single"/>
                </w:rPr>
                <w:t>3</w:t>
              </w:r>
            </w:hyperlink>
            <w:hyperlink r:id="rId17">
              <w:r>
                <w:rPr>
                  <w:rStyle w:val="InternetLink"/>
                  <w:rFonts w:ascii="Times New Roman;serif" w:hAnsi="Times New Roman;serif"/>
                  <w:b w:val="false"/>
                  <w:color w:val="000080"/>
                  <w:sz w:val="19"/>
                  <w:u w:val="single"/>
                </w:rPr>
                <w:t xml:space="preserve"> to the Form </w:t>
              </w:r>
            </w:hyperlink>
            <w:hyperlink r:id="rId18">
              <w:r>
                <w:rPr>
                  <w:rStyle w:val="InternetLink"/>
                  <w:rFonts w:ascii="Times New Roman;serif" w:hAnsi="Times New Roman;serif"/>
                  <w:b w:val="false"/>
                  <w:color w:val="000080"/>
                  <w:sz w:val="19"/>
                  <w:u w:val="single"/>
                </w:rPr>
                <w:t>10-Q</w:t>
              </w:r>
            </w:hyperlink>
            <w:hyperlink r:id="rId19">
              <w:r>
                <w:rPr>
                  <w:rStyle w:val="InternetLink"/>
                  <w:rFonts w:ascii="Times New Roman;serif" w:hAnsi="Times New Roman;serif"/>
                  <w:b w:val="false"/>
                  <w:color w:val="000080"/>
                  <w:sz w:val="19"/>
                  <w:u w:val="single"/>
                </w:rPr>
                <w:t xml:space="preserve">, File No. 001-35700, filed by the Company with the SEC on </w:t>
              </w:r>
            </w:hyperlink>
            <w:hyperlink r:id="rId20">
              <w:r>
                <w:rPr>
                  <w:rStyle w:val="InternetLink"/>
                  <w:rFonts w:ascii="Times New Roman;serif" w:hAnsi="Times New Roman;serif"/>
                  <w:b w:val="false"/>
                  <w:color w:val="000080"/>
                  <w:sz w:val="19"/>
                  <w:u w:val="single"/>
                </w:rPr>
                <w:t>November</w:t>
              </w:r>
            </w:hyperlink>
            <w:hyperlink r:id="rId21">
              <w:r>
                <w:rPr>
                  <w:rStyle w:val="InternetLink"/>
                  <w:rFonts w:ascii="Times New Roman;serif" w:hAnsi="Times New Roman;serif"/>
                  <w:b w:val="false"/>
                  <w:color w:val="000080"/>
                  <w:sz w:val="19"/>
                  <w:u w:val="single"/>
                </w:rPr>
                <w:t xml:space="preserve"> </w:t>
              </w:r>
            </w:hyperlink>
            <w:hyperlink r:id="rId22">
              <w:r>
                <w:rPr>
                  <w:rStyle w:val="InternetLink"/>
                  <w:rFonts w:ascii="Times New Roman;serif" w:hAnsi="Times New Roman;serif"/>
                  <w:b w:val="false"/>
                  <w:color w:val="000080"/>
                  <w:sz w:val="19"/>
                  <w:u w:val="single"/>
                </w:rPr>
                <w:t>5</w:t>
              </w:r>
            </w:hyperlink>
            <w:hyperlink r:id="rId23">
              <w:r>
                <w:rPr>
                  <w:rStyle w:val="InternetLink"/>
                  <w:rFonts w:ascii="Times New Roman;serif" w:hAnsi="Times New Roman;serif"/>
                  <w:b w:val="false"/>
                  <w:color w:val="000080"/>
                  <w:sz w:val="19"/>
                  <w:u w:val="single"/>
                </w:rPr>
                <w:t>, 202</w:t>
              </w:r>
            </w:hyperlink>
            <w:hyperlink r:id="rId24">
              <w:r>
                <w:rPr>
                  <w:rStyle w:val="InternetLink"/>
                  <w:rFonts w:ascii="Times New Roman;serif" w:hAnsi="Times New Roman;serif"/>
                  <w:b w:val="false"/>
                  <w:color w:val="000080"/>
                  <w:sz w:val="19"/>
                  <w:u w:val="single"/>
                </w:rPr>
                <w:t>5</w:t>
              </w:r>
            </w:hyperlink>
            <w:hyperlink r:id="rId25">
              <w:r>
                <w:rPr>
                  <w:rStyle w:val="InternetLink"/>
                  <w:rFonts w:ascii="Times New Roman;serif" w:hAnsi="Times New Roman;serif"/>
                  <w:b w:val="false"/>
                  <w:color w:val="000080"/>
                  <w:sz w:val="19"/>
                  <w:u w:val="single"/>
                </w:rPr>
                <w:t>).</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19"/>
                  <w:u w:val="single"/>
                </w:rPr>
                <w:t>Description of the Company’s Securities, (incorporated by reference to Exhibit 4.1 to the Form 10-K, File No. 000-35700, filed by the Company with the SEC on February 26, 2025).</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19"/>
                  <w:u w:val="single"/>
                </w:rPr>
                <w:t>Indenture, dated as of December 5, 2019, between Diamondback Energy, Inc. and Computershare Trust Company, National Association, as successor trustee to Wells Fargo Bank, National Association (incorporated by reference to Exhibit 4.1 to the Form 8-K, File No. 001-35700, filed by the Company with the SEC on December 5, 2019).</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19"/>
                  <w:u w:val="single"/>
                </w:rPr>
                <w:t>First Supplemental Indenture, dated as of December 5, 2019, among Diamondback Energy, Inc., Diamondback E&amp;P LLC, as successor by merger to Diamondback O&amp;G LLC, and Computershare Trust Company, National Association, as successor trustee to Wells Fargo Bank, National Association (including the forms of 3.250% Senior Notes due 2026 and 3.500% Senior Notes due 2029) (incorporated by reference to Exhibit 4.2 to the Form 8-K, File No. 001-35700, filed by the Company with the SEC on December 5, 2019).</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19"/>
                  <w:u w:val="single"/>
                </w:rPr>
                <w:t>Third Supplemental Indenture, dated as of March 24, 2021, among Diamondback Energy, Inc., Diamondback E&amp;P LLC, as successor by merger to Diamondback O&amp;G LLC, and Computershare Trust Company, National Association, as successor trustee to Wells Fargo Bank, National Association (including the forms of 3.125% Senior Notes due 2031 and 4.400% Senior Notes due 2051) (incorporated by reference to Exhibit 4.2 to the Form 8-K, File No. 001-35700, filed by the Company with the SEC on March 24, 2021).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19"/>
                  <w:u w:val="single"/>
                </w:rPr>
                <w:t>Fourth Supplemental Indenture, dated as of June 30, 2021, among Diamondback Energy, Inc., Diamondback E&amp;P LLC and Computershare Trust Company, National Association, as successor trustee to Wells Fargo Bank, National Association (incorporated by reference to Exhibit 10.3 to the Form 10-Q, File No. 001-35700, filed by the Company with the SEC on August 5, 2021).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19"/>
                  <w:u w:val="single"/>
                </w:rPr>
                <w:t>Fifth Supplemental Indenture, dated as of March 17, 2022, among Diamondback Energy, Inc., Diamondback E&amp;P LLC and Computershare Trust Company, National Association, as trustee (including the form of 4.250% Senior Notes due 2052) (incorporated by reference to Exhibit 4.2 to the Form 8-K, File No. 001-35700, filed by the Company with the SEC on March 17, 2022).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19"/>
                  <w:u w:val="single"/>
                </w:rPr>
                <w:t>Sixth Supplemental Indenture, dated as of October 28, 2022, among Diamondback Energy, Inc., Diamondback E&amp;P LLC and Computershare Trust Company, National Association (including the form of 6.250% Senior Notes due 2033) (incorporated by reference to Exhibit 4.2 to the Form 8-K, File No. 001-35700, filed by the Company with the SEC on October 28, 2022).</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19"/>
                  <w:u w:val="single"/>
                </w:rPr>
                <w:t>Amended and Restated Officers’ Certificate, dated as of February 27, 1998, between Energen Corporation and The Bank of New York as trustee, relating to the Medium-Term Notes, Series B, due 2028 (incorporated by reference to Exhibit 4(d)(iii) to the Form 10-K, File No. 001-7810, filed by Energen Corporation with the SEC on February 28, 2018).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0"/>
        <w:gridCol w:w="282"/>
        <w:gridCol w:w="283"/>
        <w:gridCol w:w="109"/>
        <w:gridCol w:w="109"/>
        <w:gridCol w:w="109"/>
        <w:gridCol w:w="2878"/>
        <w:gridCol w:w="2522"/>
        <w:gridCol w:w="3593"/>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593"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Description</w:t>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19"/>
                  <w:u w:val="single"/>
                </w:rPr>
                <w:t>Indenture, dated as of March 1, 2012, between QEP Resources, Inc. and Wells Fargo Bank, National Association as trustee (incorporated by reference to Exhibit 4.1 to the Form 8-K, File No. 001-34778, filed by QEP Resources, Inc. with the SEC on March 1, 2012).</w:t>
              </w:r>
            </w:hyperlink>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3"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19"/>
                  <w:u w:val="single"/>
                </w:rPr>
                <w:t>First Supplemental Indenture, dated as of March 23, 2021, among QEP Resources, Inc. and Wells Fargo Bank, National Association, as trustee (incorporated by reference to Exhibit 4.3 to the Form 8-K, File No. 001-35700, filed by the Company with the SEC on March 24, 2021).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19"/>
                  <w:u w:val="single"/>
                </w:rPr>
                <w:t>Indenture, dated as of December 13, 2022, between Diamondback Energy, Inc. and Computershare Trust Company, National Association, as trustee (incorporated by reference to Exhibit 4.1 to the Form 8-K, File No. 001-35700, filed by the Company with the SEC on December 13, 2022).</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erif" w:hAnsi="Times New Roman;serif"/>
                  <w:b w:val="false"/>
                  <w:color w:val="0000FF"/>
                  <w:sz w:val="19"/>
                  <w:u w:val="single"/>
                </w:rPr>
                <w:t>First Supplemental Indenture, dated as of December 13, 2022, among Diamondback Energy, Inc., Diamondback E&amp;P LLC and Computershare Trust Company, National Association, as trustee (including the form of 6.250% Senior Notes due 2053) (incorporated by reference to Exhibit 4.2 to the Form 8-K, File No. 001-35700, filed by the Company with the SEC on December 13, 2022).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erif" w:hAnsi="Times New Roman;serif"/>
                  <w:b w:val="false"/>
                  <w:color w:val="0000FF"/>
                  <w:sz w:val="19"/>
                  <w:u w:val="single"/>
                </w:rPr>
                <w:t>Second Supplemental Indenture, dated as of April 18, 2024, by and among Diamondback Energy, Inc., Diamondback E&amp;P LLC and Computershare Trust Company, National Association, as Trustee (including forms of 5.200% Senior Notes due 2027, 5.150% Senior Notes due 2030, 5.400% Senior Notes due 2034, 5.750% Senior Notes due 2054 and 5.900% Senior Notes due 2064) (incorporated by reference to Exhibit 4.2 to the Form 8-K, File No. 001-35700, filed by the Company with the SEC on April 18, 2024).</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erif" w:hAnsi="Times New Roman;serif"/>
                  <w:b w:val="false"/>
                  <w:color w:val="0000FF"/>
                  <w:sz w:val="19"/>
                  <w:u w:val="single"/>
                </w:rPr>
                <w:t>Third Supplemental Indenture, dated as of March 20, 2025, between Diamondback Energy, Inc., Diamondback E&amp;P LLC and Computershare Trust Company, National Association, as Trustee (incorporated by reference to Exhibit 4.2 to the Form 8-K, File No. 001-35700, filed by the Company with the SEC on March 20, 2025).</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erif" w:hAnsi="Times New Roman;serif"/>
                  <w:b w:val="false"/>
                  <w:color w:val="0000FF"/>
                  <w:sz w:val="19"/>
                  <w:u w:val="single"/>
                </w:rPr>
                <w:t>Indenture, dated as of July 23, 2025, between Viper Energy Partners LLC and Computershare Trust Company, National Association, as Trustee (incorporated by reference to Exhibit 4.1 to the Form 8-K, File No. 001-36505, filed by Former Viper with the SEC on July 23, 2025).</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erif" w:hAnsi="Times New Roman;serif"/>
                  <w:b w:val="false"/>
                  <w:color w:val="0000FF"/>
                  <w:sz w:val="19"/>
                  <w:u w:val="single"/>
                </w:rPr>
                <w:t>First Supplemental Indenture, dated as of July 23, 2025, by and among Viper Energy Partners LLC, Former Viper and Computershare Trust Company, National Association, as Trustee (including the form of the Notes) (incorporated by reference to Exhibit 4.2 to the Form 8-K, File No. 001-36505, filed by Former Viper with the SEC on July 23, 2025).</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3">
              <w:r>
                <w:rPr>
                  <w:rStyle w:val="InternetLink"/>
                  <w:rFonts w:ascii="Times New Roman;serif" w:hAnsi="Times New Roman;serif"/>
                  <w:b w:val="false"/>
                  <w:color w:val="0000FF"/>
                  <w:sz w:val="19"/>
                  <w:u w:val="single"/>
                </w:rPr>
                <w:t>Second Supplemental Indenture, dated as of August 19, 2025, by and among Viper Energy Partners LLC, New Viper and Computershare Trust Company, National Association (incorporated by reference to Exhibit 4.8 to the Form 8-K12B, File No. 001-42807, filed by New Viper with the SEC on August 19, 2025).</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Times New Roman;serif" w:hAnsi="Times New Roman;serif"/>
                  <w:b w:val="false"/>
                  <w:color w:val="0000FF"/>
                  <w:sz w:val="19"/>
                  <w:u w:val="single"/>
                </w:rPr>
                <w:t>Stockholders Agreement, by and among the Company and the initial stockholders named therein, dated September 10, 2024 (incorporated by reference to Exhibit 10.1 to the Form 8-K, File No. 001-35700, filed by the Company with the SEC on September 10, 2024).</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Times New Roman;serif" w:hAnsi="Times New Roman;serif"/>
                  <w:b w:val="false"/>
                  <w:color w:val="0000FF"/>
                  <w:sz w:val="19"/>
                  <w:u w:val="single"/>
                </w:rPr>
                <w:t>2021 Amended and Restated Diamondback Energy, Inc. Equity Incentive Plan (incorporated by reference to Appendix B to Schedule DEF 14A, File No. 001-35700, filed by the Company with the SEC on April 23, 2021).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6">
              <w:r>
                <w:rPr>
                  <w:rStyle w:val="InternetLink"/>
                  <w:rFonts w:ascii="Times New Roman;serif" w:hAnsi="Times New Roman;serif"/>
                  <w:b w:val="false"/>
                  <w:color w:val="0000FF"/>
                  <w:sz w:val="19"/>
                  <w:u w:val="single"/>
                </w:rPr>
                <w:t>Amendment No. 1 to 2021 Amended and Restated Diamondback Energy, Inc. Equity Incentive Plan, adopted effective as of February 11, 2024 (incorporated by reference to Exhibit 10.2 to the Form 10-K, File No. 001-35700, filed by the Company with the SEC on February 22, 2024).</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7">
              <w:r>
                <w:rPr>
                  <w:rStyle w:val="InternetLink"/>
                  <w:rFonts w:ascii="Times New Roman;serif" w:hAnsi="Times New Roman;serif"/>
                  <w:b w:val="false"/>
                  <w:color w:val="0000FF"/>
                  <w:sz w:val="19"/>
                  <w:u w:val="single"/>
                </w:rPr>
                <w:t>2023 Form of Time-based Restricted Stock Unit Award Agreement (incorporated by reference to Exhibit 10.8 to the Form 10-K, File No. 001-35700, filed by the Company with the SEC on February 23, 2023).</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erif" w:hAnsi="Times New Roman;serif"/>
                  <w:b w:val="false"/>
                  <w:color w:val="0000FF"/>
                  <w:sz w:val="19"/>
                  <w:u w:val="single"/>
                </w:rPr>
                <w:t>2023 Form of Performance-based Restricted Stock Unit Agreement (incorporated by reference to Exhibit 10.9 to the Form 10-K, File No. 001-35700, filed by the Company with the SEC on February 23, 2023).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erif" w:hAnsi="Times New Roman;serif"/>
                  <w:b w:val="false"/>
                  <w:color w:val="0000FF"/>
                  <w:sz w:val="19"/>
                  <w:u w:val="single"/>
                </w:rPr>
                <w:t>2024 Form of Time-based Restricted Stock Unit Award Agreement (incorporated by reference to Exhibit 10.9 to the Form 10-K, File No. 001-35700, filed by the Company with the SEC on February 22, 2024).</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erif" w:hAnsi="Times New Roman;serif"/>
                  <w:b w:val="false"/>
                  <w:color w:val="0000FF"/>
                  <w:sz w:val="19"/>
                  <w:u w:val="single"/>
                </w:rPr>
                <w:t>2024 Form of Performance-based Restricted Stock Unit Agreement (incorporated by reference to Exhibit 10.10 to the Form 10-K, File No. 001-35700, filed by the Company with the SEC on February 22, 2024).</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1">
              <w:r>
                <w:rPr>
                  <w:rStyle w:val="InternetLink"/>
                  <w:rFonts w:ascii="Times New Roman;serif" w:hAnsi="Times New Roman;serif"/>
                  <w:b w:val="false"/>
                  <w:color w:val="0000FF"/>
                  <w:sz w:val="19"/>
                  <w:u w:val="single"/>
                </w:rPr>
                <w:t>2025 Form of Time-based Restricted Stock Unit Award Agreement (incorporated by reference to Exhibit 10.11 to the Form 10-K, File No. 001-35700, filed by the Company with the SEC on February 26, 2025).</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2">
              <w:r>
                <w:rPr>
                  <w:rStyle w:val="InternetLink"/>
                  <w:rFonts w:ascii="Times New Roman;serif" w:hAnsi="Times New Roman;serif"/>
                  <w:b w:val="false"/>
                  <w:color w:val="0000FF"/>
                  <w:sz w:val="19"/>
                  <w:u w:val="single"/>
                </w:rPr>
                <w:t>2025 Form of Performance-based Restricted Stock Unit Agreement (incorporated by reference to Exhibit 10.12 to the Form 10-K, File No. 001-35700, filed by the Company with the SEC on February 26, 2025).</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109.htm">
              <w:r>
                <w:rPr>
                  <w:rStyle w:val="InternetLink"/>
                  <w:rFonts w:ascii="Times New Roman;serif" w:hAnsi="Times New Roman;serif"/>
                  <w:b w:val="false"/>
                  <w:color w:val="0000FF"/>
                  <w:sz w:val="19"/>
                  <w:u w:val="single"/>
                </w:rPr>
                <w:t>2026 Form of Time-based Restricted Stock Unit Award Agreement.</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1010.htm">
              <w:r>
                <w:rPr>
                  <w:rStyle w:val="InternetLink"/>
                  <w:rFonts w:ascii="Times New Roman;serif" w:hAnsi="Times New Roman;serif"/>
                  <w:b w:val="false"/>
                  <w:color w:val="000080"/>
                  <w:sz w:val="19"/>
                  <w:u w:val="single"/>
                </w:rPr>
                <w:t>2</w:t>
              </w:r>
            </w:hyperlink>
            <w:hyperlink w:anchor="diamondback202510-kxex1010.htm">
              <w:r>
                <w:rPr>
                  <w:rStyle w:val="InternetLink"/>
                  <w:rFonts w:ascii="Times New Roman;serif" w:hAnsi="Times New Roman;serif"/>
                  <w:b w:val="false"/>
                  <w:color w:val="000080"/>
                  <w:sz w:val="19"/>
                  <w:u w:val="single"/>
                </w:rPr>
                <w:t>026 Form of Performance-</w:t>
              </w:r>
            </w:hyperlink>
            <w:hyperlink w:anchor="diamondback202510-kxex1010.htm">
              <w:r>
                <w:rPr>
                  <w:rStyle w:val="InternetLink"/>
                  <w:rFonts w:ascii="Times New Roman;serif" w:hAnsi="Times New Roman;serif"/>
                  <w:b w:val="false"/>
                  <w:color w:val="000080"/>
                  <w:sz w:val="19"/>
                  <w:u w:val="single"/>
                </w:rPr>
                <w:t>based</w:t>
              </w:r>
            </w:hyperlink>
            <w:hyperlink w:anchor="diamondback202510-kxex1010.htm">
              <w:r>
                <w:rPr>
                  <w:rStyle w:val="InternetLink"/>
                  <w:rFonts w:ascii="Times New Roman;serif" w:hAnsi="Times New Roman;serif"/>
                  <w:b w:val="false"/>
                  <w:color w:val="000080"/>
                  <w:sz w:val="19"/>
                  <w:u w:val="single"/>
                </w:rPr>
                <w:t xml:space="preserve"> Restricted Stock Unit Agreement.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5"/>
        <w:gridCol w:w="278"/>
        <w:gridCol w:w="279"/>
        <w:gridCol w:w="109"/>
        <w:gridCol w:w="109"/>
        <w:gridCol w:w="109"/>
        <w:gridCol w:w="2634"/>
        <w:gridCol w:w="2634"/>
        <w:gridCol w:w="3738"/>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Description</w:t>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3">
              <w:r>
                <w:rPr>
                  <w:rStyle w:val="InternetLink"/>
                  <w:rFonts w:ascii="Times New Roman;serif" w:hAnsi="Times New Roman;serif"/>
                  <w:b w:val="false"/>
                  <w:color w:val="0000FF"/>
                  <w:sz w:val="19"/>
                  <w:u w:val="single"/>
                </w:rPr>
                <w:t>Form of Director and Officer Indemnification Agreement (incorporated by reference to Exhibit 10.15 to Amendment No. 4 to the Registration Statement on Form S-1, File No. 333-179502, filed by the Company with the SEC on August 20, 2012).</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4">
              <w:r>
                <w:rPr>
                  <w:rStyle w:val="InternetLink"/>
                  <w:rFonts w:ascii="Times New Roman;serif" w:hAnsi="Times New Roman;serif"/>
                  <w:b w:val="false"/>
                  <w:color w:val="0000FF"/>
                  <w:sz w:val="19"/>
                  <w:u w:val="single"/>
                </w:rPr>
                <w:t>Diamondback Energy, Inc. Amended and Restated Senior Management Severance Plan, adopted effective as of April 6, 2025 (including a form of participation agreement attached thereto as Schedule C) (incorporated by reference to Exhibit 10.1 to the Form 10-Q, File No. 001-35700, filed by the Company with the SEC on May 7, 2025).</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5">
              <w:r>
                <w:rPr>
                  <w:rStyle w:val="InternetLink"/>
                  <w:rFonts w:ascii="Times New Roman;serif" w:hAnsi="Times New Roman;serif"/>
                  <w:b w:val="false"/>
                  <w:color w:val="0000FF"/>
                  <w:sz w:val="19"/>
                  <w:u w:val="single"/>
                </w:rPr>
                <w:t>Form of Participation Agreement (incorporated by reference from Schedule C to Diamondback Energy, Inc. Senior Management Severance Plan filed as Exhibit 10.1 to the Form 10-Q, File No. 001-35700, filed by the Company with the SEC on May 7, 2025).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6">
              <w:r>
                <w:rPr>
                  <w:rStyle w:val="InternetLink"/>
                  <w:rFonts w:ascii="Times New Roman;serif" w:hAnsi="Times New Roman;serif"/>
                  <w:b w:val="false"/>
                  <w:color w:val="0000FF"/>
                  <w:sz w:val="19"/>
                  <w:u w:val="single"/>
                </w:rPr>
                <w:t>Executive Annual Incentive Compensation Plan adopted in February 2021 (incorporated by reference to Exhibit 10.11 to the Form 10-K, File No. 001-35700, filed by the Company with the SEC on February 25, 2021).</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7">
              <w:r>
                <w:rPr>
                  <w:rStyle w:val="InternetLink"/>
                  <w:rFonts w:ascii="Times New Roman;serif" w:hAnsi="Times New Roman;serif"/>
                  <w:b w:val="false"/>
                  <w:color w:val="0000FF"/>
                  <w:sz w:val="19"/>
                  <w:u w:val="single"/>
                </w:rPr>
                <w:t>Letter Agreement, by and between the Company and Travis D. Stice, dated February 20, 2025 (incorporated by reference to Exhibit 10.1 to the Form 8-K, File No. 001-35700, filed by the Company with the SEC on February 20, 2025).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8">
              <w:r>
                <w:rPr>
                  <w:rStyle w:val="InternetLink"/>
                  <w:rFonts w:ascii="Times New Roman;serif" w:hAnsi="Times New Roman;serif"/>
                  <w:b w:val="false"/>
                  <w:color w:val="0000FF"/>
                  <w:sz w:val="19"/>
                  <w:u w:val="single"/>
                </w:rPr>
                <w:t>Second Amended and Restated Credit Agreement, dated as of November 1, 2013, among Diamondback Energy, Inc., as parent guarantor, Diamondback O&amp;G LLC, as borrower, Wells Fargo Bank, National Association, as administrative agent, and the lenders party thereto (incorporated by reference to Exhibit 10.3 to the Form 10-Q, File No. 001-35700, filed by the Company with the SEC on November 5, 2013).</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9">
              <w:r>
                <w:rPr>
                  <w:rStyle w:val="InternetLink"/>
                  <w:rFonts w:ascii="Times New Roman;serif" w:hAnsi="Times New Roman;serif"/>
                  <w:b w:val="false"/>
                  <w:color w:val="0000FF"/>
                  <w:sz w:val="19"/>
                  <w:u w:val="single"/>
                </w:rPr>
                <w:t>First Amendment, dated June 9, 2014, to the Second Amended and Restated Credit Agreement, originally dated November 1, 2013, by and among the Company, as parent guarantor, Diamondback O&amp;G LLC, as borrower, each of the guarantors party thereto, each of the lenders party thereto and Wells Fargo Bank, National Association, as administrative agent (incorporated by reference to Exhibit 10.4 to the Form 10-Q, File No. 001-35700, filed by the Company with the SEC on August 7, 2014).</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60">
              <w:r>
                <w:rPr>
                  <w:rStyle w:val="InternetLink"/>
                  <w:rFonts w:ascii="Times New Roman;serif" w:hAnsi="Times New Roman;serif"/>
                  <w:b w:val="false"/>
                  <w:color w:val="0000FF"/>
                  <w:sz w:val="19"/>
                  <w:u w:val="single"/>
                </w:rPr>
                <w:t>Second Amendment to the Second Amended and Restated Credit Agreement, dated as of November 13, 2014, among Diamondback Energy, Inc., as parent guarantor, Diamondback O&amp;G LLC, as borrower, the guarantors, Wells Fargo Bank, National Association, as administrative agent, and the lenders party thereto (incorporated by reference to Exhibit 10.2 to the Form 8-K, File No. 001-35700, filed by the Company with the SEC on November 18, 2014).</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1">
              <w:r>
                <w:rPr>
                  <w:rStyle w:val="InternetLink"/>
                  <w:rFonts w:ascii="Times New Roman;serif" w:hAnsi="Times New Roman;serif"/>
                  <w:b w:val="false"/>
                  <w:color w:val="0000FF"/>
                  <w:sz w:val="19"/>
                  <w:u w:val="single"/>
                </w:rPr>
                <w:t>Third Amendment, dated as of June 21, 2016,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June 27, 2016).</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62">
              <w:r>
                <w:rPr>
                  <w:rStyle w:val="InternetLink"/>
                  <w:rFonts w:ascii="Times New Roman;serif" w:hAnsi="Times New Roman;serif"/>
                  <w:b w:val="false"/>
                  <w:color w:val="0000FF"/>
                  <w:sz w:val="19"/>
                  <w:u w:val="single"/>
                </w:rPr>
                <w:t>Fourth Amendment, dated as of December 15, 2016,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10.2 to the Form 8-K, File No. 001-35700, filed by the Company with the SEC on December 20, 2016).</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3">
              <w:r>
                <w:rPr>
                  <w:rStyle w:val="InternetLink"/>
                  <w:rFonts w:ascii="Times New Roman;serif" w:hAnsi="Times New Roman;serif"/>
                  <w:b w:val="false"/>
                  <w:color w:val="0000FF"/>
                  <w:sz w:val="19"/>
                  <w:u w:val="single"/>
                </w:rPr>
                <w:t>Fifth Amendment to the Second Amended and Restated Credit Agreement, dated as of November 28, 2017,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December 4, 2017).</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64">
              <w:r>
                <w:rPr>
                  <w:rStyle w:val="InternetLink"/>
                  <w:rFonts w:ascii="Times New Roman;serif" w:hAnsi="Times New Roman;serif"/>
                  <w:b w:val="false"/>
                  <w:color w:val="000080"/>
                  <w:sz w:val="19"/>
                  <w:u w:val="single"/>
                </w:rPr>
                <w:t>S</w:t>
              </w:r>
            </w:hyperlink>
            <w:hyperlink r:id="rId65">
              <w:r>
                <w:rPr>
                  <w:rStyle w:val="InternetLink"/>
                  <w:rFonts w:ascii="Times New Roman;serif" w:hAnsi="Times New Roman;serif"/>
                  <w:b w:val="false"/>
                  <w:color w:val="000080"/>
                  <w:sz w:val="19"/>
                  <w:u w:val="single"/>
                </w:rPr>
                <w:t>ixth Amendment</w:t>
              </w:r>
            </w:hyperlink>
            <w:hyperlink r:id="rId66">
              <w:r>
                <w:rPr>
                  <w:rStyle w:val="InternetLink"/>
                  <w:rFonts w:ascii="Times New Roman;serif" w:hAnsi="Times New Roman;serif"/>
                  <w:b w:val="false"/>
                  <w:color w:val="000080"/>
                  <w:sz w:val="19"/>
                  <w:u w:val="single"/>
                </w:rPr>
                <w:t xml:space="preserve"> to the Second Amended and Restated Credit Agreement and Third Amend</w:t>
              </w:r>
            </w:hyperlink>
            <w:hyperlink r:id="rId67">
              <w:r>
                <w:rPr>
                  <w:rStyle w:val="InternetLink"/>
                  <w:rFonts w:ascii="Times New Roman;serif" w:hAnsi="Times New Roman;serif"/>
                  <w:b w:val="false"/>
                  <w:color w:val="000080"/>
                  <w:sz w:val="19"/>
                  <w:u w:val="single"/>
                </w:rPr>
                <w:t>men</w:t>
              </w:r>
            </w:hyperlink>
            <w:hyperlink r:id="rId68">
              <w:r>
                <w:rPr>
                  <w:rStyle w:val="InternetLink"/>
                  <w:rFonts w:ascii="Times New Roman;serif" w:hAnsi="Times New Roman;serif"/>
                  <w:b w:val="false"/>
                  <w:color w:val="000080"/>
                  <w:sz w:val="19"/>
                  <w:u w:val="single"/>
                </w:rPr>
                <w:t>t to Amended and Restated Guaranty and Collateral Agreement</w:t>
              </w:r>
            </w:hyperlink>
            <w:hyperlink r:id="rId69">
              <w:r>
                <w:rPr>
                  <w:rStyle w:val="InternetLink"/>
                  <w:rFonts w:ascii="Times New Roman;serif" w:hAnsi="Times New Roman;serif"/>
                  <w:b w:val="false"/>
                  <w:color w:val="000080"/>
                  <w:sz w:val="19"/>
                  <w:u w:val="single"/>
                </w:rPr>
                <w:t>, dated as of May 25, 2018,</w:t>
              </w:r>
            </w:hyperlink>
            <w:hyperlink r:id="rId70">
              <w:r>
                <w:rPr>
                  <w:rStyle w:val="InternetLink"/>
                  <w:rFonts w:ascii="Times New Roman;serif" w:hAnsi="Times New Roman;serif"/>
                  <w:b w:val="false"/>
                  <w:color w:val="000080"/>
                  <w:sz w:val="19"/>
                  <w:u w:val="single"/>
                </w:rPr>
                <w:t xml:space="preserve"> by and amon</w:t>
              </w:r>
            </w:hyperlink>
            <w:hyperlink r:id="rId71">
              <w:r>
                <w:rPr>
                  <w:rStyle w:val="InternetLink"/>
                  <w:rFonts w:ascii="Times New Roman;serif" w:hAnsi="Times New Roman;serif"/>
                  <w:b w:val="false"/>
                  <w:color w:val="000080"/>
                  <w:sz w:val="19"/>
                  <w:u w:val="single"/>
                </w:rPr>
                <w:t>g</w:t>
              </w:r>
            </w:hyperlink>
            <w:hyperlink r:id="rId72">
              <w:r>
                <w:rPr>
                  <w:rStyle w:val="InternetLink"/>
                  <w:rFonts w:ascii="Times New Roman;serif" w:hAnsi="Times New Roman;serif"/>
                  <w:b w:val="false"/>
                  <w:color w:val="000080"/>
                  <w:sz w:val="19"/>
                  <w:u w:val="single"/>
                </w:rPr>
                <w:t xml:space="preserve"> Di</w:t>
              </w:r>
            </w:hyperlink>
            <w:hyperlink r:id="rId73">
              <w:r>
                <w:rPr>
                  <w:rStyle w:val="InternetLink"/>
                  <w:rFonts w:ascii="Times New Roman;serif" w:hAnsi="Times New Roman;serif"/>
                  <w:b w:val="false"/>
                  <w:color w:val="000080"/>
                  <w:sz w:val="19"/>
                  <w:u w:val="single"/>
                </w:rPr>
                <w:t>amondback Energy, Inc</w:t>
              </w:r>
            </w:hyperlink>
            <w:hyperlink r:id="rId74">
              <w:r>
                <w:rPr>
                  <w:rStyle w:val="InternetLink"/>
                  <w:rFonts w:ascii="Times New Roman;serif" w:hAnsi="Times New Roman;serif"/>
                  <w:b w:val="false"/>
                  <w:color w:val="000080"/>
                  <w:sz w:val="19"/>
                  <w:u w:val="single"/>
                </w:rPr>
                <w:t>., as parent guar</w:t>
              </w:r>
            </w:hyperlink>
            <w:hyperlink r:id="rId75">
              <w:r>
                <w:rPr>
                  <w:rStyle w:val="InternetLink"/>
                  <w:rFonts w:ascii="Times New Roman;serif" w:hAnsi="Times New Roman;serif"/>
                  <w:b w:val="false"/>
                  <w:color w:val="000080"/>
                  <w:sz w:val="19"/>
                  <w:u w:val="single"/>
                </w:rPr>
                <w:t>antor, Diamondback O&amp;G LLC, as borrower, certain other subsidiaries of Diamondback Energy, Inc</w:t>
              </w:r>
            </w:hyperlink>
            <w:hyperlink r:id="rId76">
              <w:r>
                <w:rPr>
                  <w:rStyle w:val="InternetLink"/>
                  <w:rFonts w:ascii="Times New Roman;serif" w:hAnsi="Times New Roman;serif"/>
                  <w:b w:val="false"/>
                  <w:color w:val="000080"/>
                  <w:sz w:val="19"/>
                  <w:u w:val="single"/>
                </w:rPr>
                <w:t>., as guarantors</w:t>
              </w:r>
            </w:hyperlink>
            <w:hyperlink r:id="rId77">
              <w:r>
                <w:rPr>
                  <w:rStyle w:val="InternetLink"/>
                  <w:rFonts w:ascii="Times New Roman;serif" w:hAnsi="Times New Roman;serif"/>
                  <w:b w:val="false"/>
                  <w:color w:val="000080"/>
                  <w:sz w:val="19"/>
                  <w:u w:val="single"/>
                </w:rPr>
                <w:t>, Wells Fargo Bank</w:t>
              </w:r>
            </w:hyperlink>
            <w:hyperlink r:id="rId78">
              <w:r>
                <w:rPr>
                  <w:rStyle w:val="InternetLink"/>
                  <w:rFonts w:ascii="Times New Roman;serif" w:hAnsi="Times New Roman;serif"/>
                  <w:b w:val="false"/>
                  <w:color w:val="000080"/>
                  <w:sz w:val="19"/>
                  <w:u w:val="single"/>
                </w:rPr>
                <w:t>, Natio</w:t>
              </w:r>
            </w:hyperlink>
            <w:hyperlink r:id="rId79">
              <w:r>
                <w:rPr>
                  <w:rStyle w:val="InternetLink"/>
                  <w:rFonts w:ascii="Times New Roman;serif" w:hAnsi="Times New Roman;serif"/>
                  <w:b w:val="false"/>
                  <w:color w:val="000080"/>
                  <w:sz w:val="19"/>
                  <w:u w:val="single"/>
                </w:rPr>
                <w:t>nal A</w:t>
              </w:r>
            </w:hyperlink>
            <w:hyperlink r:id="rId80">
              <w:r>
                <w:rPr>
                  <w:rStyle w:val="InternetLink"/>
                  <w:rFonts w:ascii="Times New Roman;serif" w:hAnsi="Times New Roman;serif"/>
                  <w:b w:val="false"/>
                  <w:color w:val="000080"/>
                  <w:sz w:val="19"/>
                  <w:u w:val="single"/>
                </w:rPr>
                <w:t>ssociation, as</w:t>
              </w:r>
            </w:hyperlink>
            <w:hyperlink r:id="rId81">
              <w:r>
                <w:rPr>
                  <w:rStyle w:val="InternetLink"/>
                  <w:rFonts w:ascii="Times New Roman;serif" w:hAnsi="Times New Roman;serif"/>
                  <w:b w:val="false"/>
                  <w:color w:val="000080"/>
                  <w:sz w:val="19"/>
                  <w:u w:val="single"/>
                </w:rPr>
                <w:t xml:space="preserve"> administrative agent, and the lenders party thereto</w:t>
              </w:r>
            </w:hyperlink>
            <w:hyperlink r:id="rId82">
              <w:r>
                <w:rPr>
                  <w:rStyle w:val="InternetLink"/>
                  <w:rFonts w:ascii="Times New Roman;serif" w:hAnsi="Times New Roman;serif"/>
                  <w:b w:val="false"/>
                  <w:color w:val="000080"/>
                  <w:sz w:val="19"/>
                  <w:u w:val="single"/>
                </w:rPr>
                <w:t xml:space="preserve"> (incorporated by reference to Ex</w:t>
              </w:r>
            </w:hyperlink>
            <w:hyperlink r:id="rId83">
              <w:r>
                <w:rPr>
                  <w:rStyle w:val="InternetLink"/>
                  <w:rFonts w:ascii="Times New Roman;serif" w:hAnsi="Times New Roman;serif"/>
                  <w:b w:val="false"/>
                  <w:color w:val="000080"/>
                  <w:sz w:val="19"/>
                  <w:u w:val="single"/>
                </w:rPr>
                <w:t>hibit 10.1 to the Form 8-K, File No. 001-35700</w:t>
              </w:r>
            </w:hyperlink>
            <w:hyperlink r:id="rId84">
              <w:r>
                <w:rPr>
                  <w:rStyle w:val="InternetLink"/>
                  <w:rFonts w:ascii="Times New Roman;serif" w:hAnsi="Times New Roman;serif"/>
                  <w:b w:val="false"/>
                  <w:color w:val="000080"/>
                  <w:sz w:val="19"/>
                  <w:u w:val="single"/>
                </w:rPr>
                <w:t>, filed by the Company wi</w:t>
              </w:r>
            </w:hyperlink>
            <w:hyperlink r:id="rId85">
              <w:r>
                <w:rPr>
                  <w:rStyle w:val="InternetLink"/>
                  <w:rFonts w:ascii="Times New Roman;serif" w:hAnsi="Times New Roman;serif"/>
                  <w:b w:val="false"/>
                  <w:color w:val="000080"/>
                  <w:sz w:val="19"/>
                  <w:u w:val="single"/>
                </w:rPr>
                <w:t>th the SEC on June 1, 2018).</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6">
              <w:r>
                <w:rPr>
                  <w:rStyle w:val="InternetLink"/>
                  <w:rFonts w:ascii="Times New Roman;serif" w:hAnsi="Times New Roman;serif"/>
                  <w:b w:val="false"/>
                  <w:color w:val="0000FF"/>
                  <w:sz w:val="19"/>
                  <w:u w:val="single"/>
                </w:rPr>
                <w:t>Seventh Amendment to the Second Amended and Restated Credit Agreement, dated as of August 31,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September 7, 2018).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5"/>
        <w:gridCol w:w="278"/>
        <w:gridCol w:w="279"/>
        <w:gridCol w:w="109"/>
        <w:gridCol w:w="109"/>
        <w:gridCol w:w="109"/>
        <w:gridCol w:w="2658"/>
        <w:gridCol w:w="2620"/>
        <w:gridCol w:w="3728"/>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Description</w:t>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87">
              <w:r>
                <w:rPr>
                  <w:rStyle w:val="InternetLink"/>
                  <w:rFonts w:ascii="Times New Roman;serif" w:hAnsi="Times New Roman;serif"/>
                  <w:b w:val="false"/>
                  <w:color w:val="0000FF"/>
                  <w:sz w:val="19"/>
                  <w:u w:val="single"/>
                </w:rPr>
                <w:t>Eighth Amendment to the Second Amended and Restated Credit Agreement, dated as of October 26,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November 1, 2018).</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8">
              <w:r>
                <w:rPr>
                  <w:rStyle w:val="InternetLink"/>
                  <w:rFonts w:ascii="Times New Roman;serif" w:hAnsi="Times New Roman;serif"/>
                  <w:b w:val="false"/>
                  <w:color w:val="0000FF"/>
                  <w:sz w:val="19"/>
                  <w:u w:val="single"/>
                </w:rPr>
                <w:t>Ninth Amendment to Second Amended and Restated Credit Agreement and Fourth Amendment to Amended and Restated Guaranty and Collateral Agreement, dated as of November 29,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December 6, 2018).</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89">
              <w:r>
                <w:rPr>
                  <w:rStyle w:val="InternetLink"/>
                  <w:rFonts w:ascii="Times New Roman;serif" w:hAnsi="Times New Roman;serif"/>
                  <w:b w:val="false"/>
                  <w:color w:val="0000FF"/>
                  <w:sz w:val="19"/>
                  <w:u w:val="single"/>
                </w:rPr>
                <w:t>Tenth Amendment to Second Amended and Restated Credit Agreement, dated as of March 25, 2019, between Diamondback,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March 29, 2019).</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0">
              <w:r>
                <w:rPr>
                  <w:rStyle w:val="InternetLink"/>
                  <w:rFonts w:ascii="Times New Roman;serif" w:hAnsi="Times New Roman;serif"/>
                  <w:b w:val="false"/>
                  <w:color w:val="0000FF"/>
                  <w:sz w:val="19"/>
                  <w:u w:val="single"/>
                </w:rPr>
                <w:t>Eleventh Amendment to Second Amended and Restated Credit Agreement, dated as of June 28, 2019, between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July 3, 2019).</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1">
              <w:r>
                <w:rPr>
                  <w:rStyle w:val="InternetLink"/>
                  <w:rFonts w:ascii="Times New Roman;serif" w:hAnsi="Times New Roman;serif"/>
                  <w:b w:val="false"/>
                  <w:color w:val="0000FF"/>
                  <w:sz w:val="19"/>
                  <w:u w:val="single"/>
                </w:rPr>
                <w:t>Twelfth Amendment to Second Amended and Restated Credit Agreement and First Amendment to Second Amended and Restated Guaranty Agreement, dated as of June 2, 2021, between Diamondback Energy, Inc., as parent guarantor, Diamondback O&amp;G LLC, as borrower, Wells Fargo Bank, National Association, as administrative agent, and the lenders party thereto (incorporated by reference to Exhibit 10.1 to the Form 8-K, File No. 001-35700, filed by the Company with the SEC on June 8, 2021).</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2">
              <w:r>
                <w:rPr>
                  <w:rStyle w:val="InternetLink"/>
                  <w:rFonts w:ascii="Times New Roman;serif" w:hAnsi="Times New Roman;serif"/>
                  <w:b w:val="false"/>
                  <w:color w:val="0000FF"/>
                  <w:sz w:val="19"/>
                  <w:u w:val="single"/>
                </w:rPr>
                <w:t>Thirteenth Amendment to Second Amended and Restated Credit Agreement, dated as of June 2, 2022, between Diamondback Energy, Inc., as parent guarantor, Diamondback E&amp;P LLC, as borrower, Wells Fargo Bank, National Association, as administrative agent, and the lenders party thereto (incorporated by reference to Exhibit 10.1 to the Form 8-K, File No. 001-35700, filed by the Company with the SEC on June 7, 2022).</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3">
              <w:r>
                <w:rPr>
                  <w:rStyle w:val="InternetLink"/>
                  <w:rFonts w:ascii="Times New Roman;serif" w:hAnsi="Times New Roman;serif"/>
                  <w:b w:val="false"/>
                  <w:color w:val="0000FF"/>
                  <w:sz w:val="19"/>
                  <w:u w:val="single"/>
                </w:rPr>
                <w:t>Fourteenth Amendment to Second Amended and Restated Credit Agreement, dated as of March 6, 2024, by and among the Company, as borrower, the lenders and other parties party thereto, and Wells Fargo Bank, National Association, as administrative agent (incorporated by reference to Exhibit 10.2 to the Form 8-K, File No. 001-35700, filed by the Company with the SEC on March 6, 2024).</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4">
              <w:r>
                <w:rPr>
                  <w:rStyle w:val="InternetLink"/>
                  <w:rFonts w:ascii="Times New Roman;serif" w:hAnsi="Times New Roman;serif"/>
                  <w:b w:val="false"/>
                  <w:color w:val="0000FF"/>
                  <w:sz w:val="19"/>
                  <w:u w:val="single"/>
                </w:rPr>
                <w:t>Fifteenth Amendment to Second Amended and Restated Credit Agreement, dated as of March 21, 2025, by and among the Company, as borrower, the lenders and other parties party thereto, and Wells Fargo Bank, National Association, as administrative agent (incorporated by reference to Exhibit 10.2 to the Form 8-K, File No 001-35700, filed by the Company with the SEC on March 21, 2025).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5">
              <w:r>
                <w:rPr>
                  <w:rStyle w:val="InternetLink"/>
                  <w:rFonts w:ascii="Times New Roman;serif" w:hAnsi="Times New Roman;serif"/>
                  <w:b w:val="false"/>
                  <w:color w:val="0000FF"/>
                  <w:sz w:val="19"/>
                  <w:u w:val="single"/>
                </w:rPr>
                <w:t>Sixteenth Amendment to Second Amended and Restated Credit Agreement, dated as of June 12, 2025, by and among the Company, as borrower, the lenders and other parties party thereto, and Wells Fargo Bank, National Association, as administrative agent (incorporated by reference to Exhibit 10.1 to the Form 8-K, File No 001-35700, filed by the Company with the SEC on June 12, 2025).</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6">
              <w:r>
                <w:rPr>
                  <w:rStyle w:val="InternetLink"/>
                  <w:rFonts w:ascii="Times New Roman;serif" w:hAnsi="Times New Roman;serif"/>
                  <w:b w:val="false"/>
                  <w:color w:val="0000FF"/>
                  <w:sz w:val="19"/>
                  <w:u w:val="single"/>
                </w:rPr>
                <w:t>Credit Agreement, dated as of June 12, 2025, by and among Former Viper, the Borrower, the lenders and guarantors party thereto, and Wells Fargo Bank, National Association, as Administrative Agent (incorporated by reference to Exhibit 10.1 to the Form 8-K, File No. 001-36505, filed by Former Viper with the SEC on June 12, 2025).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7">
              <w:r>
                <w:rPr>
                  <w:rStyle w:val="InternetLink"/>
                  <w:rFonts w:ascii="Times New Roman;serif" w:hAnsi="Times New Roman;serif"/>
                  <w:b w:val="false"/>
                  <w:color w:val="0000FF"/>
                  <w:sz w:val="19"/>
                  <w:u w:val="single"/>
                </w:rPr>
                <w:t>Term Loan Credit Agreement, dated as of February 29, 2024, by and among the Company, as borrower, the lenders party thereto, and Citibank, N.A., as administrative agent (incorporated by reference to Exhibit 10.1 to the Form 8-K, File No. 001-35700, filed by the Company with the SEC on March 6, 2024).</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8">
              <w:r>
                <w:rPr>
                  <w:rStyle w:val="InternetLink"/>
                  <w:rFonts w:ascii="Times New Roman;serif" w:hAnsi="Times New Roman;serif"/>
                  <w:b w:val="false"/>
                  <w:color w:val="0000FF"/>
                  <w:sz w:val="19"/>
                  <w:u w:val="single"/>
                </w:rPr>
                <w:t>Term Loan Credit Agreement, dated as of March 21, 2025, by and among the Company, as borrower, the lenders party thereto, and Bank of America, N.A., as administrative agent (incorporated by reference to Exhibit 10.1 to the Form 8-K, File No 001-35700, filed by the Company with the SEC on March 21, 2025).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9">
              <w:r>
                <w:rPr>
                  <w:rStyle w:val="InternetLink"/>
                  <w:rFonts w:ascii="Times New Roman;serif" w:hAnsi="Times New Roman;serif"/>
                  <w:b w:val="false"/>
                  <w:color w:val="0000FF"/>
                  <w:sz w:val="19"/>
                  <w:u w:val="single"/>
                </w:rPr>
                <w:t>Term Loan Credit Agreement, dated as of July 23, 2025, by and among Viper Energy Partners LLC, Former Viper, the lenders party thereto and Goldman Sachs Bank USA, as administrative agent (incorporated by reference to Exhibit 4.3 to the Form 8-K, File No. 001-36505, filed by Former Viper with the SEC on July 23,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27ba2a247b584e1aae74c0210baff60c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9"/>
        <w:gridCol w:w="290"/>
        <w:gridCol w:w="291"/>
        <w:gridCol w:w="109"/>
        <w:gridCol w:w="109"/>
        <w:gridCol w:w="109"/>
        <w:gridCol w:w="2619"/>
        <w:gridCol w:w="2619"/>
        <w:gridCol w:w="3730"/>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Description</w:t>
            </w:r>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0">
              <w:r>
                <w:rPr>
                  <w:rStyle w:val="InternetLink"/>
                  <w:rFonts w:ascii="Times New Roman;serif" w:hAnsi="Times New Roman;serif"/>
                  <w:b w:val="false"/>
                  <w:color w:val="0000FF"/>
                  <w:sz w:val="19"/>
                  <w:u w:val="single"/>
                </w:rPr>
                <w:t>Consent Letter dated August 28, 2019, between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September 4, 2019).</w:t>
              </w:r>
            </w:hyperlink>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01">
              <w:r>
                <w:rPr>
                  <w:rStyle w:val="InternetLink"/>
                  <w:rFonts w:ascii="Times New Roman;serif" w:hAnsi="Times New Roman;serif"/>
                  <w:b w:val="false"/>
                  <w:color w:val="0000FF"/>
                  <w:sz w:val="19"/>
                  <w:u w:val="single"/>
                </w:rPr>
                <w:t>Letter Agreement, dated November 28, 2025, by and between Diamondback Energy, Inc., a Delaware corporation, and SGF FANG Holdings, LP, a Delaware limited partnership (incorporated by reference to Exhibit 99.1 to the Form Schedule 13D/A, File No. 005-87028, filed by SGF FANG Holdings, LP with the SEC on December 2, 2025).</w:t>
              </w:r>
            </w:hyperlink>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2">
              <w:r>
                <w:rPr>
                  <w:rStyle w:val="InternetLink"/>
                  <w:rFonts w:ascii="Times New Roman;serif" w:hAnsi="Times New Roman;serif"/>
                  <w:b w:val="false"/>
                  <w:color w:val="0000FF"/>
                  <w:sz w:val="19"/>
                  <w:u w:val="single"/>
                </w:rPr>
                <w:t>Insider Trading Policy (incorporated by reference to Exhibit 19.1 to the Form 10-K, File No. 001-35700, filed by the Company with the SEC on February 26, 2025).</w:t>
              </w:r>
            </w:hyperlink>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03">
              <w:r>
                <w:rPr>
                  <w:rStyle w:val="InternetLink"/>
                  <w:rFonts w:ascii="Times New Roman;serif" w:hAnsi="Times New Roman;serif"/>
                  <w:b w:val="false"/>
                  <w:color w:val="0000FF"/>
                  <w:sz w:val="19"/>
                  <w:u w:val="single"/>
                </w:rPr>
                <w:t>Sixth Amended and Restated Supplemental Policy Concerning Trading in Securities of the Company and its Subsidiaries by Certain Designated Persons (incorporated by reference to Exhibit 19.2 to the Form 10-K, File No. 001-35700, filed by the Company with the SEC on February 26, 2025).</w:t>
              </w:r>
            </w:hyperlink>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211.htm">
              <w:r>
                <w:rPr>
                  <w:rStyle w:val="InternetLink"/>
                  <w:rFonts w:ascii="Times New Roman;serif" w:hAnsi="Times New Roman;serif"/>
                  <w:b w:val="false"/>
                  <w:color w:val="0000FF"/>
                  <w:sz w:val="19"/>
                  <w:u w:val="single"/>
                </w:rPr>
                <w:t>List of Subsidiaries of Diamondback Energy, Inc.</w:t>
              </w:r>
            </w:hyperlink>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04">
              <w:r>
                <w:rPr>
                  <w:rStyle w:val="InternetLink"/>
                  <w:rFonts w:ascii="Times New Roman;serif" w:hAnsi="Times New Roman;serif"/>
                  <w:b w:val="false"/>
                  <w:color w:val="0000FF"/>
                  <w:sz w:val="19"/>
                  <w:u w:val="single"/>
                </w:rPr>
                <w:t>List of Issuers and Guarantor Subsidiaries (incorporated by reference to Exhibit 22.1 to the Form 10-Q, File No. 001-35700, filed by the Company with the SEC on August 5, 2021).</w:t>
              </w:r>
            </w:hyperlink>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231.htm">
              <w:r>
                <w:rPr>
                  <w:rStyle w:val="InternetLink"/>
                  <w:rFonts w:ascii="Times New Roman;serif" w:hAnsi="Times New Roman;serif"/>
                  <w:b w:val="false"/>
                  <w:color w:val="0000FF"/>
                  <w:sz w:val="19"/>
                  <w:u w:val="single"/>
                </w:rPr>
                <w:t>Consent of Grant Thornton LLP.</w:t>
              </w:r>
            </w:hyperlink>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232.htm">
              <w:r>
                <w:rPr>
                  <w:rStyle w:val="InternetLink"/>
                  <w:rFonts w:ascii="Times New Roman;serif" w:hAnsi="Times New Roman;serif"/>
                  <w:b w:val="false"/>
                  <w:color w:val="0000FF"/>
                  <w:sz w:val="19"/>
                  <w:u w:val="single"/>
                </w:rPr>
                <w:t>Consent of Ryder Scott Company, L.P. with respect to the audit of Diamondback Energy, Inc. estimated reserves.</w:t>
              </w:r>
            </w:hyperlink>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233.htm">
              <w:r>
                <w:rPr>
                  <w:rStyle w:val="InternetLink"/>
                  <w:rFonts w:ascii="Times New Roman;serif" w:hAnsi="Times New Roman;serif"/>
                  <w:b w:val="false"/>
                  <w:color w:val="0000FF"/>
                  <w:sz w:val="19"/>
                  <w:u w:val="single"/>
                </w:rPr>
                <w:t>Consent of Ryder Scott Company, L.P. with respect to the audit of Viper Energy, Inc. estimated reserves.</w:t>
              </w:r>
            </w:hyperlink>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311.htm">
              <w:r>
                <w:rPr>
                  <w:rStyle w:val="InternetLink"/>
                  <w:rFonts w:ascii="Times New Roman;serif" w:hAnsi="Times New Roman;serif"/>
                  <w:b w:val="false"/>
                  <w:color w:val="0000FF"/>
                  <w:sz w:val="19"/>
                  <w:u w:val="single"/>
                </w:rPr>
                <w:t>Certification of Chief Executive Officer of the Registrant pursuant to Rule 13a-14(a) promulgated under the Securities Exchange Act of 1934, as amended.</w:t>
              </w:r>
            </w:hyperlink>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312.htm">
              <w:r>
                <w:rPr>
                  <w:rStyle w:val="InternetLink"/>
                  <w:rFonts w:ascii="Times New Roman;serif" w:hAnsi="Times New Roman;serif"/>
                  <w:b w:val="false"/>
                  <w:color w:val="0000FF"/>
                  <w:sz w:val="19"/>
                  <w:u w:val="single"/>
                </w:rPr>
                <w:t>Certification of Chief Financial Officer of the Registrant pursuant to Rule 13a-14(a) promulgated under the Securities Exchange Act of 1934, as amended.</w:t>
              </w:r>
            </w:hyperlink>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321.htm">
              <w:r>
                <w:rPr>
                  <w:rStyle w:val="InternetLink"/>
                  <w:rFonts w:ascii="Times New Roman;serif" w:hAnsi="Times New Roman;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322.htm">
              <w:r>
                <w:rPr>
                  <w:rStyle w:val="InternetLink"/>
                  <w:rFonts w:ascii="Times New Roman;serif" w:hAnsi="Times New Roman;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971.htm">
              <w:r>
                <w:rPr>
                  <w:rStyle w:val="InternetLink"/>
                  <w:rFonts w:ascii="Times New Roman;serif" w:hAnsi="Times New Roman;serif"/>
                  <w:b w:val="false"/>
                  <w:color w:val="000080"/>
                  <w:sz w:val="19"/>
                  <w:u w:val="single"/>
                </w:rPr>
                <w:t>Diamondback Energy, Inc. Clawback Policy</w:t>
              </w:r>
            </w:hyperlink>
            <w:hyperlink w:anchor="diamondback202510-kxex971.htm">
              <w:r>
                <w:rPr>
                  <w:rStyle w:val="InternetLink"/>
                  <w:rFonts w:ascii="Times New Roman;serif" w:hAnsi="Times New Roman;serif"/>
                  <w:b w:val="false"/>
                  <w:color w:val="000080"/>
                  <w:sz w:val="19"/>
                  <w:u w:val="single"/>
                </w:rPr>
                <w:t>.</w:t>
              </w:r>
            </w:hyperlink>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991.htm">
              <w:r>
                <w:rPr>
                  <w:rStyle w:val="InternetLink"/>
                  <w:rFonts w:ascii="Times New Roman;serif" w:hAnsi="Times New Roman;serif"/>
                  <w:b w:val="false"/>
                  <w:color w:val="000080"/>
                  <w:sz w:val="19"/>
                  <w:u w:val="single"/>
                </w:rPr>
                <w:t>Audit Report of Ryder Scott Company, L.P., dated January 13, 202</w:t>
              </w:r>
            </w:hyperlink>
            <w:hyperlink w:anchor="diamondback202510-kxex991.htm">
              <w:r>
                <w:rPr>
                  <w:rStyle w:val="InternetLink"/>
                  <w:rFonts w:ascii="Times New Roman;serif" w:hAnsi="Times New Roman;serif"/>
                  <w:b w:val="false"/>
                  <w:color w:val="000080"/>
                  <w:sz w:val="19"/>
                  <w:u w:val="single"/>
                </w:rPr>
                <w:t>6</w:t>
              </w:r>
            </w:hyperlink>
            <w:hyperlink w:anchor="diamondback202510-kxex991.htm">
              <w:r>
                <w:rPr>
                  <w:rStyle w:val="InternetLink"/>
                  <w:rFonts w:ascii="Times New Roman;serif" w:hAnsi="Times New Roman;serif"/>
                  <w:b w:val="false"/>
                  <w:color w:val="000080"/>
                  <w:sz w:val="19"/>
                  <w:u w:val="single"/>
                </w:rPr>
                <w:t>, with respect to an audit of the proved reserves, future production and income attributable to certain leasehold interests of Diamondback Energy, Inc. as of December 31, 202</w:t>
              </w:r>
            </w:hyperlink>
            <w:hyperlink w:anchor="diamondback202510-kxex991.htm">
              <w:r>
                <w:rPr>
                  <w:rStyle w:val="InternetLink"/>
                  <w:rFonts w:ascii="Times New Roman;serif" w:hAnsi="Times New Roman;serif"/>
                  <w:b w:val="false"/>
                  <w:color w:val="000080"/>
                  <w:sz w:val="19"/>
                  <w:u w:val="single"/>
                </w:rPr>
                <w:t>5</w:t>
              </w:r>
            </w:hyperlink>
            <w:hyperlink w:anchor="diamondback202510-kxex991.htm">
              <w:r>
                <w:rPr>
                  <w:rStyle w:val="InternetLink"/>
                  <w:rFonts w:ascii="Times New Roman;serif" w:hAnsi="Times New Roman;serif"/>
                  <w:b w:val="false"/>
                  <w:color w:val="000080"/>
                  <w:sz w:val="19"/>
                  <w:u w:val="single"/>
                </w:rPr>
                <w:t>.</w:t>
              </w:r>
            </w:hyperlink>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diamondback202510-kxex992.htm">
              <w:r>
                <w:rPr>
                  <w:rStyle w:val="InternetLink"/>
                  <w:rFonts w:ascii="Times New Roman;serif" w:hAnsi="Times New Roman;serif"/>
                  <w:b w:val="false"/>
                  <w:color w:val="000080"/>
                  <w:sz w:val="19"/>
                  <w:u w:val="single"/>
                </w:rPr>
                <w:t>Audit Report of Ryder Scott Company, L.P., dated January 1</w:t>
              </w:r>
            </w:hyperlink>
            <w:hyperlink w:anchor="diamondback202510-kxex992.htm">
              <w:r>
                <w:rPr>
                  <w:rStyle w:val="InternetLink"/>
                  <w:rFonts w:ascii="Times New Roman;serif" w:hAnsi="Times New Roman;serif"/>
                  <w:b w:val="false"/>
                  <w:color w:val="000080"/>
                  <w:sz w:val="19"/>
                  <w:u w:val="single"/>
                </w:rPr>
                <w:t>3</w:t>
              </w:r>
            </w:hyperlink>
            <w:hyperlink w:anchor="diamondback202510-kxex992.htm">
              <w:r>
                <w:rPr>
                  <w:rStyle w:val="InternetLink"/>
                  <w:rFonts w:ascii="Times New Roman;serif" w:hAnsi="Times New Roman;serif"/>
                  <w:b w:val="false"/>
                  <w:color w:val="000080"/>
                  <w:sz w:val="19"/>
                  <w:u w:val="single"/>
                </w:rPr>
                <w:t>, 202</w:t>
              </w:r>
            </w:hyperlink>
            <w:hyperlink w:anchor="diamondback202510-kxex992.htm">
              <w:r>
                <w:rPr>
                  <w:rStyle w:val="InternetLink"/>
                  <w:rFonts w:ascii="Times New Roman;serif" w:hAnsi="Times New Roman;serif"/>
                  <w:b w:val="false"/>
                  <w:color w:val="000080"/>
                  <w:sz w:val="19"/>
                  <w:u w:val="single"/>
                </w:rPr>
                <w:t>6</w:t>
              </w:r>
            </w:hyperlink>
            <w:hyperlink w:anchor="diamondback202510-kxex992.htm">
              <w:r>
                <w:rPr>
                  <w:rStyle w:val="InternetLink"/>
                  <w:rFonts w:ascii="Times New Roman;serif" w:hAnsi="Times New Roman;serif"/>
                  <w:b w:val="false"/>
                  <w:color w:val="000080"/>
                  <w:sz w:val="19"/>
                  <w:u w:val="single"/>
                </w:rPr>
                <w:t>, with respect to an audit of the proved reserves, future production and income attributable to certain royalty interests of Viper Energy, Inc., a subsidiary of Diamondback Energy, Inc., as of December 31, 202</w:t>
              </w:r>
            </w:hyperlink>
            <w:hyperlink w:anchor="diamondback202510-kxex992.htm">
              <w:r>
                <w:rPr>
                  <w:rStyle w:val="InternetLink"/>
                  <w:rFonts w:ascii="Times New Roman;serif" w:hAnsi="Times New Roman;serif"/>
                  <w:b w:val="false"/>
                  <w:color w:val="000080"/>
                  <w:sz w:val="19"/>
                  <w:u w:val="single"/>
                </w:rPr>
                <w:t>5</w:t>
              </w:r>
            </w:hyperlink>
            <w:hyperlink w:anchor="diamondback202510-kxex992.htm">
              <w:r>
                <w:rPr>
                  <w:rStyle w:val="InternetLink"/>
                  <w:rFonts w:ascii="Times New Roman;serif" w:hAnsi="Times New Roman;serif"/>
                  <w:b w:val="false"/>
                  <w:color w:val="000080"/>
                  <w:sz w:val="19"/>
                  <w:u w:val="single"/>
                </w:rPr>
                <w:t>.</w:t>
              </w:r>
            </w:hyperlink>
          </w:p>
        </w:tc>
      </w:tr>
      <w:tr>
        <w:trPr/>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The following financial information from the Company’s Annual Report on Form 10-K for the year ended December 31, 2025, formatted in Inline XBRL: (i) Consolidated Statements of Operations, (ii) Consolidated Balance Sheets, (iii) Consolidated Statements of Cash Flows, (iv) Consolidated Statement of Changes in Stockholders’ Equity, and (v) Notes to Consolidated Financial Statements.</w:t>
            </w:r>
          </w:p>
        </w:tc>
      </w:tr>
      <w:tr>
        <w:trPr/>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Cover Page Interactive Data File (formatted as Inline XBRL and contained in Exhibit 101).</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Management contract,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The schedules (or similar attachments) referenced in this agreement have been omitted in accordance with Item 601(a)(5) of Regulation S-K. A copy of any omitted schedule (or similar attachment) will be furnished supplementally to the Securities and Exchange Commission upon request.</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both"/>
        <w:rPr/>
      </w:pPr>
      <w:hyperlink w:anchor="i27ba2a247b584e1aae74c0210baff60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547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877"/>
        <w:gridCol w:w="877"/>
        <w:gridCol w:w="12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left"/>
        <w:rPr/>
      </w:pPr>
      <w:r>
        <w:rPr/>
      </w:r>
    </w:p>
    <w:tbl>
      <w:tblPr>
        <w:tblW w:w="9517" w:type="dxa"/>
        <w:jc w:val="left"/>
        <w:tblInd w:w="0" w:type="dxa"/>
        <w:tblLayout w:type="fixed"/>
        <w:tblCellMar>
          <w:top w:w="28" w:type="dxa"/>
          <w:left w:w="28" w:type="dxa"/>
          <w:bottom w:w="28" w:type="dxa"/>
          <w:right w:w="28" w:type="dxa"/>
        </w:tblCellMar>
      </w:tblPr>
      <w:tblGrid>
        <w:gridCol w:w="689"/>
        <w:gridCol w:w="606"/>
        <w:gridCol w:w="609"/>
        <w:gridCol w:w="109"/>
        <w:gridCol w:w="109"/>
        <w:gridCol w:w="109"/>
        <w:gridCol w:w="1821"/>
        <w:gridCol w:w="1821"/>
        <w:gridCol w:w="1848"/>
        <w:gridCol w:w="109"/>
        <w:gridCol w:w="109"/>
        <w:gridCol w:w="109"/>
        <w:gridCol w:w="428"/>
        <w:gridCol w:w="428"/>
        <w:gridCol w:w="613"/>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Vincent K. Brooks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Vincent K. Brooks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Darin G. Holderness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Darin G. Holderness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Rebecca A.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Rebecca A.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Stephanie K. Mains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Stephanie K. Mains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Charles A. Meloy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Charles A. Meloy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Mark L. Plaumann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 L. Plaumann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K. Reeves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Robert K. Reeves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Lance W.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Lance W.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Executive 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Melanie M. 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Melanie M. 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Frank D. Tsuru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Frank D. Tsuru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 Jere W. Thompson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 Executive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Jere W. Thompson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Accounting Officer, Executive Vice President and Assistant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10.9</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lineRule="auto" w:line="240" w:before="0" w:after="240"/>
        <w:ind w:left="0" w:right="0" w:firstLine="720"/>
        <w:jc w:val="right"/>
        <w:rPr>
          <w:rFonts w:ascii="Times New Roman;serif" w:hAnsi="Times New Roman;serif"/>
          <w:b/>
          <w:i/>
          <w:color w:val="000000"/>
          <w:sz w:val="20"/>
        </w:rPr>
      </w:pPr>
      <w:r>
        <w:rPr>
          <w:rFonts w:ascii="Times New Roman;serif" w:hAnsi="Times New Roman;serif"/>
          <w:b/>
          <w:i/>
          <w:color w:val="000000"/>
          <w:sz w:val="20"/>
        </w:rPr>
        <w:t>Restricted Stock Unit Award (#) O-RSU26-___</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DIAMONDBACK ENERGY, INC.</w:t>
        <w:br/>
        <w:t>2021 AMENDED AND RESTATED EQUITY INCENTIVE PLAN</w:t>
        <w:br/>
        <w:t>RESTRICTED STOCK UNIT AWARD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IS TO CERTIFY that Diamondback Energy, Inc., a Delaware corporation (the </w:t>
      </w:r>
      <w:r>
        <w:rPr>
          <w:color w:val="000000"/>
        </w:rPr>
        <w:t>“</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granted you (</w:t>
      </w:r>
      <w:r>
        <w:rPr>
          <w:color w:val="000000"/>
        </w:rPr>
        <w:t>“</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xml:space="preserve">) time-based Restricted Stock Units under the Company’s 2021 Amended and Restated Equity Incentive Plan (the </w:t>
      </w:r>
      <w:r>
        <w:rPr>
          <w:color w:val="000000"/>
        </w:rPr>
        <w:t>“</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as set forth below. Capitalized terms not otherwise defined herein have the meanings ascribed to them in the Plan.</w:t>
      </w:r>
    </w:p>
    <w:tbl>
      <w:tblPr>
        <w:tblW w:w="10205" w:type="dxa"/>
        <w:jc w:val="left"/>
        <w:tblInd w:w="0" w:type="dxa"/>
        <w:tblLayout w:type="fixed"/>
        <w:tblCellMar>
          <w:top w:w="28" w:type="dxa"/>
          <w:left w:w="28" w:type="dxa"/>
          <w:bottom w:w="28" w:type="dxa"/>
          <w:right w:w="28" w:type="dxa"/>
        </w:tblCellMar>
      </w:tblPr>
      <w:tblGrid>
        <w:gridCol w:w="828"/>
        <w:gridCol w:w="726"/>
        <w:gridCol w:w="730"/>
        <w:gridCol w:w="1329"/>
        <w:gridCol w:w="1259"/>
        <w:gridCol w:w="1196"/>
        <w:gridCol w:w="1441"/>
        <w:gridCol w:w="1114"/>
        <w:gridCol w:w="1582"/>
      </w:tblGrid>
      <w:tr>
        <w:trPr/>
        <w:tc>
          <w:tcPr>
            <w:tcW w:w="82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Name of Participant:</w:t>
            </w:r>
          </w:p>
        </w:tc>
        <w:tc>
          <w:tcPr>
            <w:tcW w:w="7921" w:type="dxa"/>
            <w:gridSpan w:val="6"/>
            <w:tcBorders/>
            <w:tcMar>
              <w:top w:w="0" w:type="dxa"/>
              <w:left w:w="0" w:type="dxa"/>
              <w:bottom w:w="0" w:type="dxa"/>
              <w:right w:w="0" w:type="dxa"/>
            </w:tcMar>
            <w:vAlign w:val="center"/>
          </w:tcPr>
          <w:p>
            <w:pPr>
              <w:pStyle w:val="TableContents"/>
              <w:bidi w:val="0"/>
              <w:spacing w:lineRule="auto" w:line="240" w:before="0" w:after="24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________________</w:t>
            </w:r>
          </w:p>
        </w:tc>
      </w:tr>
      <w:tr>
        <w:trPr/>
        <w:tc>
          <w:tcPr>
            <w:tcW w:w="22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Number of Restricted </w:t>
            </w:r>
          </w:p>
          <w:p>
            <w:pPr>
              <w:pStyle w:val="TableContents"/>
              <w:bidi w:val="0"/>
              <w:spacing w:lineRule="auto" w:line="288" w:before="0" w:after="24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Stock Units Granted:</w:t>
            </w:r>
          </w:p>
        </w:tc>
        <w:tc>
          <w:tcPr>
            <w:tcW w:w="7921" w:type="dxa"/>
            <w:gridSpan w:val="6"/>
            <w:tcBorders/>
            <w:tcMar>
              <w:top w:w="0" w:type="dxa"/>
              <w:left w:w="0" w:type="dxa"/>
              <w:bottom w:w="0" w:type="dxa"/>
              <w:right w:w="0" w:type="dxa"/>
            </w:tcMar>
            <w:vAlign w:val="center"/>
          </w:tcPr>
          <w:p>
            <w:pPr>
              <w:pStyle w:val="TableContents"/>
              <w:bidi w:val="0"/>
              <w:spacing w:lineRule="auto" w:line="240" w:before="0" w:after="24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_____________</w:t>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Date of Grant:</w:t>
            </w:r>
          </w:p>
        </w:tc>
        <w:tc>
          <w:tcPr>
            <w:tcW w:w="7921" w:type="dxa"/>
            <w:gridSpan w:val="6"/>
            <w:tcBorders/>
            <w:tcMar>
              <w:top w:w="0" w:type="dxa"/>
              <w:left w:w="0" w:type="dxa"/>
              <w:bottom w:w="0" w:type="dxa"/>
              <w:right w:w="0" w:type="dxa"/>
            </w:tcMar>
            <w:vAlign w:val="center"/>
          </w:tcPr>
          <w:p>
            <w:pPr>
              <w:pStyle w:val="TableContents"/>
              <w:bidi w:val="0"/>
              <w:spacing w:lineRule="auto" w:line="240" w:before="0" w:after="24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March 1, 2026</w:t>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Vesting Schedule and Payment/Settlement Dates:</w:t>
            </w:r>
          </w:p>
        </w:tc>
        <w:tc>
          <w:tcPr>
            <w:tcW w:w="7921" w:type="dxa"/>
            <w:gridSpan w:val="6"/>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Shares of Common Stock will vest on the Vesting Dates specified below and will be settled within 10 business days after each Vesting Date specified below (the date of such settlements, the “</w:t>
            </w:r>
            <w:r>
              <w:rPr>
                <w:rFonts w:ascii="Times New Roman;serif" w:hAnsi="Times New Roman;serif"/>
                <w:b/>
                <w:i/>
                <w:color w:val="000000"/>
                <w:sz w:val="24"/>
              </w:rPr>
              <w:t>Payment/Settlement Dates</w:t>
            </w:r>
            <w:r>
              <w:rPr>
                <w:color w:val="000000"/>
              </w:rPr>
              <w:t>”</w:t>
            </w:r>
            <w:r>
              <w:rPr>
                <w:rFonts w:ascii="Times New Roman;serif" w:hAnsi="Times New Roman;serif"/>
                <w:b w:val="false"/>
                <w:color w:val="000000"/>
                <w:sz w:val="24"/>
              </w:rPr>
              <w:t xml:space="preserve">). </w:t>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color w:val="000000"/>
                <w:sz w:val="24"/>
                <w:u w:val="single"/>
              </w:rPr>
            </w:pPr>
            <w:r>
              <w:rPr>
                <w:rFonts w:ascii="Times New Roman;serif" w:hAnsi="Times New Roman;serif"/>
                <w:b/>
                <w:color w:val="000000"/>
                <w:sz w:val="24"/>
                <w:u w:val="single"/>
              </w:rPr>
              <w:t>Vesting Date</w:t>
            </w:r>
          </w:p>
        </w:tc>
        <w:tc>
          <w:tcPr>
            <w:tcW w:w="3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 Vested Shares</w:t>
            </w:r>
          </w:p>
        </w:tc>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March 1, 2026</w:t>
            </w:r>
          </w:p>
        </w:tc>
        <w:tc>
          <w:tcPr>
            <w:tcW w:w="3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w:t>
            </w:r>
          </w:p>
        </w:tc>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March 1, 2027</w:t>
            </w:r>
          </w:p>
        </w:tc>
        <w:tc>
          <w:tcPr>
            <w:tcW w:w="3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w:t>
            </w:r>
          </w:p>
        </w:tc>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March 1, 2028</w:t>
            </w:r>
          </w:p>
        </w:tc>
        <w:tc>
          <w:tcPr>
            <w:tcW w:w="3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w:t>
            </w:r>
          </w:p>
        </w:tc>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before="0" w:after="0"/>
              <w:ind w:left="0" w:right="0" w:firstLine="720"/>
              <w:jc w:val="both"/>
              <w:rPr/>
            </w:pPr>
            <w:r>
              <w:rPr/>
            </w:r>
          </w:p>
        </w:tc>
        <w:tc>
          <w:tcPr>
            <w:tcW w:w="3784" w:type="dxa"/>
            <w:gridSpan w:val="3"/>
            <w:tcBorders/>
            <w:tcMar>
              <w:top w:w="0" w:type="dxa"/>
              <w:left w:w="0" w:type="dxa"/>
              <w:bottom w:w="0" w:type="dxa"/>
              <w:right w:w="0" w:type="dxa"/>
            </w:tcMar>
            <w:vAlign w:val="center"/>
          </w:tcPr>
          <w:p>
            <w:pPr>
              <w:pStyle w:val="TableContents"/>
              <w:bidi w:val="0"/>
              <w:spacing w:before="0" w:after="0"/>
              <w:ind w:left="0" w:right="0" w:firstLine="720"/>
              <w:jc w:val="both"/>
              <w:rPr/>
            </w:pPr>
            <w:r>
              <w:rPr/>
            </w:r>
          </w:p>
        </w:tc>
        <w:tc>
          <w:tcPr>
            <w:tcW w:w="4137" w:type="dxa"/>
            <w:gridSpan w:val="3"/>
            <w:tcBorders/>
            <w:tcMar>
              <w:top w:w="0" w:type="dxa"/>
              <w:left w:w="0" w:type="dxa"/>
              <w:bottom w:w="0" w:type="dxa"/>
              <w:right w:w="0" w:type="dxa"/>
            </w:tcMar>
            <w:vAlign w:val="center"/>
          </w:tcPr>
          <w:p>
            <w:pPr>
              <w:pStyle w:val="TableContents"/>
              <w:bidi w:val="0"/>
              <w:spacing w:before="0" w:after="0"/>
              <w:ind w:left="0" w:right="0" w:firstLine="720"/>
              <w:jc w:val="both"/>
              <w:rPr/>
            </w:pPr>
            <w:r>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erif" w:hAnsi="Times New Roman;serif"/>
          <w:b w:val="false"/>
          <w:i/>
          <w:color w:val="000000"/>
          <w:sz w:val="24"/>
        </w:rPr>
        <w:t>Annex I</w:t>
      </w:r>
      <w:r>
        <w:rPr>
          <w:rFonts w:ascii="Times New Roman;serif" w:hAnsi="Times New Roman;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p>
                  </w:txbxContent>
                </v:textbox>
                <w10:wrap type="none"/>
              </v:rect>
            </w:pict>
          </mc:Fallback>
        </mc:AlternateContent>
      </w:r>
    </w:p>
    <w:p>
      <w:pPr>
        <w:pStyle w:val="TextBody"/>
        <w:bidi w:val="0"/>
        <w:spacing w:before="0" w:after="240"/>
        <w:ind w:left="0" w:right="0" w:firstLine="720"/>
        <w:jc w:val="both"/>
        <w:rPr/>
      </w:pPr>
      <w:r>
        <w:rPr/>
      </w:r>
    </w:p>
    <w:tbl>
      <w:tblPr>
        <w:tblW w:w="9720" w:type="dxa"/>
        <w:jc w:val="left"/>
        <w:tblInd w:w="0" w:type="dxa"/>
        <w:tblLayout w:type="fixed"/>
        <w:tblCellMar>
          <w:top w:w="28" w:type="dxa"/>
          <w:left w:w="28" w:type="dxa"/>
          <w:bottom w:w="28" w:type="dxa"/>
          <w:right w:w="28" w:type="dxa"/>
        </w:tblCellMar>
      </w:tblPr>
      <w:tblGrid>
        <w:gridCol w:w="1754"/>
        <w:gridCol w:w="1542"/>
        <w:gridCol w:w="1549"/>
        <w:gridCol w:w="1426"/>
        <w:gridCol w:w="1426"/>
        <w:gridCol w:w="2023"/>
      </w:tblGrid>
      <w:tr>
        <w:trPr/>
        <w:tc>
          <w:tcPr>
            <w:tcW w:w="175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PARTICIPANT</w:t>
            </w:r>
          </w:p>
        </w:tc>
        <w:tc>
          <w:tcPr>
            <w:tcW w:w="4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DIAMONDBACK ENERGY, INC.</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Kaes Van't Hof, Chief Executive Officer</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 __, 2026</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 __,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Annex I</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994410"/>
                <wp:effectExtent l="0" t="0" r="0" b="0"/>
                <wp:wrapNone/>
                <wp:docPr id="137" name="Frame136"/>
                <a:graphic xmlns:a="http://schemas.openxmlformats.org/drawingml/2006/main">
                  <a:graphicData uri="http://schemas.microsoft.com/office/word/2010/wordprocessingShape">
                    <wps:wsp>
                      <wps:cNvSpPr txBox="1"/>
                      <wps:spPr>
                        <a:xfrm>
                          <a:off x="0" y="0"/>
                          <a:ext cx="6480175" cy="99441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3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DIAMONDBACK ENERGY, INC.</w:t>
        <w:br/>
        <w:t>2021 AMENDED AND RESTATED EQUITY INCENTIVE PLAN</w:t>
        <w:br/>
        <w:t>RESTRICTED STOCK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Restricted Stock Unit Award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on the execution date of the Restricted Stock Unit Award Certificate to which it is attached (the “</w:t>
      </w:r>
      <w:r>
        <w:rPr>
          <w:rFonts w:ascii="Times New Roman;serif" w:hAnsi="Times New Roman;serif"/>
          <w:b/>
          <w:i/>
          <w:color w:val="000000"/>
          <w:sz w:val="24"/>
        </w:rPr>
        <w:t>Certificate</w:t>
      </w:r>
      <w:r>
        <w:rPr>
          <w:color w:val="000000"/>
        </w:rPr>
        <w:t>”</w:t>
      </w:r>
      <w:r>
        <w:rPr>
          <w:rFonts w:ascii="Times New Roman;serif" w:hAnsi="Times New Roman;serif"/>
          <w:b w:val="false"/>
          <w:color w:val="000000"/>
          <w:sz w:val="24"/>
        </w:rPr>
        <w:t>), by and between Diamondback Energy,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and the </w:t>
      </w:r>
      <w:r>
        <w:rPr>
          <w:rFonts w:ascii="Times New Roman;serif" w:hAnsi="Times New Roman;serif"/>
          <w:b/>
          <w:color w:val="000000"/>
          <w:sz w:val="24"/>
        </w:rPr>
        <w:t>Participant</w:t>
      </w:r>
      <w:r>
        <w:rPr>
          <w:color w:val="000000"/>
        </w:rPr>
        <w:t xml:space="preserve"> </w:t>
      </w:r>
      <w:r>
        <w:rPr>
          <w:rFonts w:ascii="Times New Roman;serif" w:hAnsi="Times New Roman;serif"/>
          <w:b w:val="false"/>
          <w:color w:val="000000"/>
          <w:sz w:val="24"/>
        </w:rPr>
        <w:t>named in the Certificate (“</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Diamondback Energy, Inc. 2021 Amended and Restated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the Administrator has authorized the grant to Participant of the number of Restricted Stock Units set forth in the Certificate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88" w:before="0" w:after="240"/>
        <w:ind w:left="0" w:right="0" w:firstLine="720"/>
        <w:jc w:val="both"/>
        <w:rPr/>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color w:val="010000"/>
          <w:sz w:val="24"/>
        </w:rPr>
        <w:t>1.    </w:t>
      </w:r>
      <w:r>
        <w:rPr>
          <w:rFonts w:ascii="Times New Roman;serif" w:hAnsi="Times New Roman;serif"/>
          <w:b/>
          <w:color w:val="000000"/>
          <w:sz w:val="24"/>
        </w:rPr>
        <w:t>Basis for Award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Award is made pursuant to Section 7(a)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88" w:before="0" w:after="240"/>
        <w:ind w:left="0" w:right="0" w:firstLine="720"/>
        <w:jc w:val="both"/>
        <w:rPr/>
      </w:pPr>
      <w:r>
        <w:rPr>
          <w:rFonts w:ascii="Times New Roman;serif" w:hAnsi="Times New Roman;serif"/>
          <w:b/>
          <w:color w:val="010000"/>
          <w:sz w:val="24"/>
        </w:rPr>
        <w:t>2.    </w:t>
      </w:r>
      <w:r>
        <w:rPr>
          <w:rFonts w:ascii="Times New Roman;serif" w:hAnsi="Times New Roman;serif"/>
          <w:b/>
          <w:color w:val="000000"/>
          <w:sz w:val="24"/>
        </w:rPr>
        <w:t>Restricted Stock Units Awarded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2.1    </w:t>
      </w:r>
      <w:r>
        <w:rPr>
          <w:rFonts w:ascii="Times New Roman;serif" w:hAnsi="Times New Roman;serif"/>
          <w:b w:val="false"/>
          <w:color w:val="000000"/>
          <w:sz w:val="24"/>
        </w:rPr>
        <w:t>The Company hereby grants to Participant the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w:t>
      </w:r>
    </w:p>
    <w:p>
      <w:pPr>
        <w:pStyle w:val="TextBody"/>
        <w:bidi w:val="0"/>
        <w:spacing w:lineRule="auto" w:line="288" w:before="0" w:after="240"/>
        <w:ind w:left="0" w:right="0" w:firstLine="1440"/>
        <w:jc w:val="both"/>
        <w:rPr/>
      </w:pPr>
      <w:r>
        <w:rPr>
          <w:rFonts w:ascii="Times New Roman;serif" w:hAnsi="Times New Roman;serif"/>
          <w:b w:val="false"/>
          <w:color w:val="010000"/>
          <w:sz w:val="24"/>
        </w:rPr>
        <w:t>2.2    </w:t>
      </w:r>
      <w:r>
        <w:rPr>
          <w:rFonts w:ascii="Times New Roman;serif" w:hAnsi="Times New Roman;serif"/>
          <w:b w:val="false"/>
          <w:color w:val="000000"/>
          <w:sz w:val="24"/>
        </w:rPr>
        <w:t>The Company will, in accordance with the Plan, establish and maintain an account (the “</w:t>
      </w:r>
      <w:r>
        <w:rPr>
          <w:rFonts w:ascii="Times New Roman;serif" w:hAnsi="Times New Roman;serif"/>
          <w:b/>
          <w:i/>
          <w:color w:val="000000"/>
          <w:sz w:val="24"/>
        </w:rPr>
        <w:t>Restricted Stock Unit Account</w:t>
      </w:r>
      <w:r>
        <w:rPr>
          <w:color w:val="000000"/>
        </w:rPr>
        <w:t>”</w:t>
      </w:r>
      <w:r>
        <w:rPr>
          <w:rFonts w:ascii="Times New Roman;serif" w:hAnsi="Times New Roman;serif"/>
          <w:b w:val="false"/>
          <w:color w:val="000000"/>
          <w:sz w:val="24"/>
        </w:rPr>
        <w:t>) for Participant, and will credit such account for the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spacing w:lineRule="auto" w:line="288" w:before="0" w:after="240"/>
        <w:ind w:left="0" w:right="0" w:firstLine="720"/>
        <w:jc w:val="both"/>
        <w:rPr/>
      </w:pPr>
      <w:r>
        <w:rPr>
          <w:rFonts w:ascii="Times New Roman;serif" w:hAnsi="Times New Roman;serif"/>
          <w:b/>
          <w:color w:val="010000"/>
          <w:sz w:val="24"/>
        </w:rPr>
        <w:t>3.    </w:t>
      </w:r>
      <w:r>
        <w:rPr>
          <w:rFonts w:ascii="Times New Roman;serif" w:hAnsi="Times New Roman;serif"/>
          <w:b/>
          <w:color w:val="000000"/>
          <w:sz w:val="24"/>
        </w:rPr>
        <w:t>Vesting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3.1    </w:t>
      </w:r>
      <w:r>
        <w:rPr>
          <w:rFonts w:ascii="Times New Roman;serif" w:hAnsi="Times New Roman;serif"/>
          <w:b w:val="false"/>
          <w:color w:val="000000"/>
          <w:sz w:val="24"/>
        </w:rPr>
        <w:t>The Restricted Stock Units will vest pursuant to the Vesting Schedule set forth in the Certificate. Except as otherwise provided in a severance plan participation agreement between Participant and the Company or an Affiliate (a “</w:t>
      </w:r>
      <w:r>
        <w:rPr>
          <w:rFonts w:ascii="Times New Roman;serif" w:hAnsi="Times New Roman;serif"/>
          <w:b/>
          <w:i/>
          <w:color w:val="000000"/>
          <w:sz w:val="24"/>
        </w:rPr>
        <w:t>Severance Agreement</w:t>
      </w:r>
      <w:r>
        <w:rPr>
          <w:color w:val="000000"/>
        </w:rPr>
        <w:t>”</w:t>
      </w:r>
      <w:r>
        <w:rPr>
          <w:rFonts w:ascii="Times New Roman;serif" w:hAnsi="Times New Roman;serif"/>
          <w:b w:val="false"/>
          <w:color w:val="000000"/>
          <w:sz w:val="24"/>
        </w:rPr>
        <w:t xml:space="preserve">) or as provided in Sections 3.2, 3.3 or 3.4 below, if Participant ceases Continuous Service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78815"/>
                <wp:effectExtent l="0" t="0" r="0" b="0"/>
                <wp:wrapNone/>
                <wp:docPr id="138" name="Frame137"/>
                <a:graphic xmlns:a="http://schemas.openxmlformats.org/drawingml/2006/main">
                  <a:graphicData uri="http://schemas.microsoft.com/office/word/2010/wordprocessingShape">
                    <wps:wsp>
                      <wps:cNvSpPr txBox="1"/>
                      <wps:spPr>
                        <a:xfrm>
                          <a:off x="0" y="0"/>
                          <a:ext cx="6480175" cy="67881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3.2    </w:t>
      </w:r>
      <w:r>
        <w:rPr>
          <w:rFonts w:ascii="Times New Roman;serif" w:hAnsi="Times New Roman;serif"/>
          <w:b w:val="false"/>
          <w:color w:val="000000"/>
          <w:sz w:val="24"/>
        </w:rPr>
        <w:t>Except as otherwise provided in a Severance Agreement, in the event of a termination of Participant’s Continuous Service (a) by the Company or an Affiliate other than for Cause (and not as a result of Participant’s death or Disability) or (b) as a result of Participant’s resignation for Good Reason (as defined for purposes of the Company’s Senior Management Severance Plan), in either case, upon the consummation of or within 24 months after the occurrence of a Change in Control, (an “</w:t>
      </w:r>
      <w:r>
        <w:rPr>
          <w:rFonts w:ascii="Times New Roman;serif" w:hAnsi="Times New Roman;serif"/>
          <w:b/>
          <w:i/>
          <w:color w:val="000000"/>
          <w:sz w:val="24"/>
        </w:rPr>
        <w:t>Acceleration Event</w:t>
      </w:r>
      <w:r>
        <w:rPr>
          <w:color w:val="000000"/>
        </w:rPr>
        <w:t>”</w:t>
      </w:r>
      <w:r>
        <w:rPr>
          <w:rFonts w:ascii="Times New Roman;serif" w:hAnsi="Times New Roman;serif"/>
          <w:b w:val="false"/>
          <w:color w:val="000000"/>
          <w:sz w:val="24"/>
        </w:rPr>
        <w:t xml:space="preserve">), the unvested Restricted Stock Units, including any unpaid Dividend Equivalents credited to the Restricted Stock Unit Account, will vest immediately upon the occurrence of an Acceleration Event.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3.3    </w:t>
      </w:r>
      <w:r>
        <w:rPr>
          <w:rFonts w:ascii="Times New Roman;serif" w:hAnsi="Times New Roman;serif"/>
          <w:b w:val="false"/>
          <w:color w:val="000000"/>
          <w:sz w:val="24"/>
        </w:rPr>
        <w:t>Except as otherwise provided in a Severance Agreement, upon a termination of Participant’s Continuous 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pStyle w:val="TextBody"/>
        <w:bidi w:val="0"/>
        <w:spacing w:lineRule="auto" w:line="288" w:before="0" w:after="240"/>
        <w:ind w:left="0" w:right="0" w:firstLine="1440"/>
        <w:jc w:val="both"/>
        <w:rPr/>
      </w:pPr>
      <w:r>
        <w:rPr>
          <w:rFonts w:ascii="Times New Roman;serif" w:hAnsi="Times New Roman;serif"/>
          <w:b w:val="false"/>
          <w:color w:val="010000"/>
          <w:sz w:val="24"/>
        </w:rPr>
        <w:t>3.4    </w:t>
      </w:r>
      <w:r>
        <w:rPr>
          <w:rFonts w:ascii="Times New Roman;serif" w:hAnsi="Times New Roman;serif"/>
          <w:b w:val="false"/>
          <w:color w:val="000000"/>
          <w:sz w:val="24"/>
        </w:rPr>
        <w:t xml:space="preserve">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 </w:t>
      </w:r>
    </w:p>
    <w:p>
      <w:pPr>
        <w:pStyle w:val="TextBody"/>
        <w:bidi w:val="0"/>
        <w:spacing w:lineRule="auto" w:line="288" w:before="0" w:after="240"/>
        <w:ind w:left="0" w:right="0" w:firstLine="720"/>
        <w:jc w:val="both"/>
        <w:rPr/>
      </w:pPr>
      <w:r>
        <w:rPr>
          <w:rFonts w:ascii="Times New Roman;serif" w:hAnsi="Times New Roman;serif"/>
          <w:b/>
          <w:color w:val="010000"/>
          <w:sz w:val="24"/>
        </w:rPr>
        <w:t>4.    </w:t>
      </w:r>
      <w:r>
        <w:rPr>
          <w:rFonts w:ascii="Times New Roman;serif" w:hAnsi="Times New Roman;serif"/>
          <w:b/>
          <w:color w:val="000000"/>
          <w:sz w:val="24"/>
        </w:rPr>
        <w:t>Dividend Equivalents</w:t>
      </w:r>
      <w:r>
        <w:rPr>
          <w:rFonts w:ascii="Times New Roman;serif" w:hAnsi="Times New Roman;serif"/>
          <w:b w:val="false"/>
          <w:color w:val="000000"/>
          <w:sz w:val="24"/>
        </w:rPr>
        <w:t>. If the Company pays any cash dividend on its outstanding Common Stock for which the 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Times New Roman;serif" w:hAnsi="Times New Roman;serif"/>
          <w:b/>
          <w:i/>
          <w:color w:val="000000"/>
          <w:sz w:val="24"/>
        </w:rPr>
        <w:t>Dividend Equivalents</w:t>
      </w:r>
      <w:r>
        <w:rPr>
          <w:color w:val="000000"/>
        </w:rPr>
        <w:t>”</w:t>
      </w:r>
      <w:r>
        <w:rPr>
          <w:rFonts w:ascii="Times New Roman;serif" w:hAnsi="Times New Roman;serif"/>
          <w:b w:val="false"/>
          <w:color w:val="000000"/>
          <w:sz w:val="24"/>
        </w:rPr>
        <w:t>). Except as otherwise provided in Section 3, Dividend Equivalents will vest and be paid to Participant on the dividend payment date if Participant is in Continuous Service or otherwise holds vested but have not been settled Restricted Stock Units on the dividend payment date declared by the Company.</w:t>
      </w:r>
    </w:p>
    <w:p>
      <w:pPr>
        <w:pStyle w:val="TextBody"/>
        <w:bidi w:val="0"/>
        <w:spacing w:lineRule="auto" w:line="288" w:before="0" w:after="240"/>
        <w:ind w:left="0" w:right="0" w:firstLine="720"/>
        <w:jc w:val="both"/>
        <w:rPr/>
      </w:pPr>
      <w:r>
        <w:rPr>
          <w:rFonts w:ascii="Times New Roman;serif" w:hAnsi="Times New Roman;serif"/>
          <w:b/>
          <w:color w:val="010000"/>
          <w:sz w:val="24"/>
        </w:rPr>
        <w:t>5.    </w:t>
      </w:r>
      <w:r>
        <w:rPr>
          <w:rFonts w:ascii="Times New Roman;serif" w:hAnsi="Times New Roman;serif"/>
          <w:b/>
          <w:color w:val="000000"/>
          <w:sz w:val="24"/>
        </w:rPr>
        <w:t>Payment/Settlement</w:t>
      </w:r>
      <w:r>
        <w:rPr>
          <w:rFonts w:ascii="Times New Roman;serif" w:hAnsi="Times New Roman;serif"/>
          <w:b w:val="false"/>
          <w:color w:val="000000"/>
          <w:sz w:val="24"/>
        </w:rPr>
        <w:t xml:space="preserve">.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Administrator will enter Participant’s name as a stockholder of record with respect to such shares of Common Stock on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440055"/>
                <wp:effectExtent l="0" t="0" r="0" b="0"/>
                <wp:wrapNone/>
                <wp:docPr id="139" name="Frame138"/>
                <a:graphic xmlns:a="http://schemas.openxmlformats.org/drawingml/2006/main">
                  <a:graphicData uri="http://schemas.microsoft.com/office/word/2010/wordprocessingShape">
                    <wps:wsp>
                      <wps:cNvSpPr txBox="1"/>
                      <wps:spPr>
                        <a:xfrm>
                          <a:off x="0" y="0"/>
                          <a:ext cx="6480175" cy="440055"/>
                        </a:xfrm>
                        <a:prstGeom prst="rect"/>
                        <a:solidFill>
                          <a:srgbClr val="FFFFFF"/>
                        </a:solidFill>
                      </wps:spPr>
                      <wps:txbx>
                        <w:txbxContent>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pStyle w:val="TextBody"/>
        <w:bidi w:val="0"/>
        <w:spacing w:lineRule="auto" w:line="288" w:before="0" w:after="240"/>
        <w:ind w:left="0" w:right="0" w:firstLine="720"/>
        <w:jc w:val="both"/>
        <w:rPr/>
      </w:pPr>
      <w:r>
        <w:rPr>
          <w:rFonts w:ascii="Times New Roman;serif" w:hAnsi="Times New Roman;serif"/>
          <w:b/>
          <w:color w:val="010000"/>
          <w:sz w:val="24"/>
        </w:rPr>
        <w:t>6.    </w:t>
      </w:r>
      <w:r>
        <w:rPr>
          <w:rFonts w:ascii="Times New Roman;serif" w:hAnsi="Times New Roman;serif"/>
          <w:b/>
          <w:color w:val="000000"/>
          <w:sz w:val="24"/>
        </w:rPr>
        <w:t>Compliance with Laws and Regulations</w:t>
      </w:r>
      <w:r>
        <w:rPr>
          <w:rFonts w:ascii="Times New Roman;serif" w:hAnsi="Times New Roman;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any state securities commission, foreign securities regulatory authority, or any securities exchange to effect such compliance.</w:t>
      </w:r>
    </w:p>
    <w:p>
      <w:pPr>
        <w:pStyle w:val="TextBody"/>
        <w:bidi w:val="0"/>
        <w:spacing w:lineRule="auto" w:line="288" w:before="0" w:after="240"/>
        <w:ind w:left="0" w:right="0" w:firstLine="720"/>
        <w:jc w:val="both"/>
        <w:rPr/>
      </w:pPr>
      <w:r>
        <w:rPr>
          <w:rFonts w:ascii="Times New Roman;serif" w:hAnsi="Times New Roman;serif"/>
          <w:b/>
          <w:color w:val="010000"/>
          <w:sz w:val="24"/>
        </w:rPr>
        <w:t>7.    </w:t>
      </w:r>
      <w:r>
        <w:rPr>
          <w:rFonts w:ascii="Times New Roman;serif" w:hAnsi="Times New Roman;serif"/>
          <w:b/>
          <w:color w:val="000000"/>
          <w:sz w:val="24"/>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7.1    </w:t>
      </w:r>
      <w:r>
        <w:rPr>
          <w:rFonts w:ascii="Times New Roman;serif" w:hAnsi="Times New Roman;serif"/>
          <w:b w:val="false"/>
          <w:color w:val="000000"/>
          <w:sz w:val="24"/>
        </w:rPr>
        <w:t>As a condition to payment under Section 5 hereof, Participant agrees that on or before the 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88" w:before="0" w:after="240"/>
        <w:ind w:left="0" w:right="0" w:firstLine="1440"/>
        <w:jc w:val="both"/>
        <w:rPr/>
      </w:pPr>
      <w:r>
        <w:rPr>
          <w:rFonts w:ascii="Times New Roman;serif" w:hAnsi="Times New Roman;serif"/>
          <w:b w:val="false"/>
          <w:color w:val="010000"/>
          <w:sz w:val="24"/>
        </w:rPr>
        <w:t>7.2    </w:t>
      </w:r>
      <w:r>
        <w:rPr>
          <w:rFonts w:ascii="Times New Roman;serif" w:hAnsi="Times New Roman;serif"/>
          <w:b w:val="false"/>
          <w:color w:val="000000"/>
          <w:sz w:val="24"/>
        </w:rPr>
        <w:t>Participant will pay the amounts due under this Section 7 to the Company by Stock Withholding or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88" w:before="0" w:after="240"/>
        <w:ind w:left="0" w:right="0" w:firstLine="720"/>
        <w:jc w:val="both"/>
        <w:rPr/>
      </w:pPr>
      <w:r>
        <w:rPr>
          <w:rFonts w:ascii="Times New Roman;serif" w:hAnsi="Times New Roman;serif"/>
          <w:b/>
          <w:color w:val="010000"/>
          <w:sz w:val="24"/>
        </w:rPr>
        <w:t>8.    </w:t>
      </w:r>
      <w:r>
        <w:rPr>
          <w:rFonts w:ascii="Times New Roman;serif" w:hAnsi="Times New Roman;serif"/>
          <w:b/>
          <w:color w:val="000000"/>
          <w:sz w:val="24"/>
        </w:rPr>
        <w:t>Not Transferrable</w:t>
      </w:r>
      <w:r>
        <w:rPr>
          <w:rFonts w:ascii="Times New Roman;serif" w:hAnsi="Times New Roman;serif"/>
          <w:b w:val="false"/>
          <w:color w:val="000000"/>
          <w:sz w:val="24"/>
        </w:rPr>
        <w:t xml:space="preserve">. Until Common Stock is issued on the applicable Payment/Settlement Date, the Restricted Stock Units, any related Dividend Equivalents credited to the Restricted Stock Unit Account and any related securities, other property or amounts nominally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40055"/>
                <wp:effectExtent l="0" t="0" r="0" b="0"/>
                <wp:wrapNone/>
                <wp:docPr id="140" name="Frame139"/>
                <a:graphic xmlns:a="http://schemas.openxmlformats.org/drawingml/2006/main">
                  <a:graphicData uri="http://schemas.microsoft.com/office/word/2010/wordprocessingShape">
                    <wps:wsp>
                      <wps:cNvSpPr txBox="1"/>
                      <wps:spPr>
                        <a:xfrm>
                          <a:off x="0" y="0"/>
                          <a:ext cx="6480175" cy="440055"/>
                        </a:xfrm>
                        <a:prstGeom prst="rect"/>
                        <a:solidFill>
                          <a:srgbClr val="FFFFFF"/>
                        </a:solidFill>
                      </wps:spPr>
                      <wps:txbx>
                        <w:txbxContent>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 </w:t>
      </w:r>
    </w:p>
    <w:p>
      <w:pPr>
        <w:pStyle w:val="TextBody"/>
        <w:bidi w:val="0"/>
        <w:spacing w:lineRule="auto" w:line="288" w:before="0" w:after="240"/>
        <w:ind w:left="0" w:right="0" w:firstLine="720"/>
        <w:jc w:val="both"/>
        <w:rPr/>
      </w:pPr>
      <w:r>
        <w:rPr>
          <w:rFonts w:ascii="Times New Roman;serif" w:hAnsi="Times New Roman;serif"/>
          <w:b/>
          <w:color w:val="010000"/>
          <w:sz w:val="24"/>
        </w:rPr>
        <w:t>9.    </w:t>
      </w:r>
      <w:r>
        <w:rPr>
          <w:rFonts w:ascii="Times New Roman;serif" w:hAnsi="Times New Roman;serif"/>
          <w:b/>
          <w:color w:val="000000"/>
          <w:sz w:val="24"/>
        </w:rPr>
        <w:t>No Right to Continued Service</w:t>
      </w:r>
      <w:r>
        <w:rPr>
          <w:rFonts w:ascii="Times New Roman;serif" w:hAnsi="Times New Roman;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88" w:before="0" w:after="240"/>
        <w:ind w:left="0" w:right="0" w:firstLine="720"/>
        <w:jc w:val="both"/>
        <w:rPr/>
      </w:pPr>
      <w:r>
        <w:rPr>
          <w:rFonts w:ascii="Times New Roman;serif" w:hAnsi="Times New Roman;serif"/>
          <w:b/>
          <w:color w:val="010000"/>
          <w:sz w:val="24"/>
        </w:rPr>
        <w:t>10.    </w:t>
      </w:r>
      <w:r>
        <w:rPr>
          <w:rFonts w:ascii="Times New Roman;serif" w:hAnsi="Times New Roman;serif"/>
          <w:b/>
          <w:color w:val="000000"/>
          <w:sz w:val="24"/>
        </w:rPr>
        <w:t>Participant’s Representations, Warranties and Acknowledgements</w:t>
      </w:r>
      <w:r>
        <w:rPr>
          <w:rFonts w:ascii="Times New Roman;serif" w:hAnsi="Times New Roman;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further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88" w:before="0" w:after="240"/>
        <w:ind w:left="0" w:right="0" w:firstLine="720"/>
        <w:jc w:val="both"/>
        <w:rPr/>
      </w:pPr>
      <w:r>
        <w:rPr>
          <w:rFonts w:ascii="Times New Roman;serif" w:hAnsi="Times New Roman;serif"/>
          <w:b/>
          <w:color w:val="010000"/>
          <w:sz w:val="24"/>
        </w:rPr>
        <w:t>11.    </w:t>
      </w:r>
      <w:r>
        <w:rPr>
          <w:rFonts w:ascii="Times New Roman;serif" w:hAnsi="Times New Roman;serif"/>
          <w:b/>
          <w:color w:val="000000"/>
          <w:sz w:val="24"/>
        </w:rPr>
        <w:t>No Interest in Company Assets</w:t>
      </w:r>
      <w:r>
        <w:rPr>
          <w:rFonts w:ascii="Times New Roman;serif" w:hAnsi="Times New Roman;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88" w:before="0" w:after="240"/>
        <w:ind w:left="0" w:right="0" w:firstLine="720"/>
        <w:jc w:val="both"/>
        <w:rPr/>
      </w:pPr>
      <w:r>
        <w:rPr>
          <w:rFonts w:ascii="Times New Roman;serif" w:hAnsi="Times New Roman;serif"/>
          <w:b/>
          <w:color w:val="010000"/>
          <w:sz w:val="24"/>
        </w:rPr>
        <w:t>12.    </w:t>
      </w:r>
      <w:r>
        <w:rPr>
          <w:rFonts w:ascii="Times New Roman;serif" w:hAnsi="Times New Roman;serif"/>
          <w:b/>
          <w:color w:val="000000"/>
          <w:sz w:val="24"/>
        </w:rPr>
        <w:t>No Stockholder Rights before Delivery</w:t>
      </w:r>
      <w:r>
        <w:rPr>
          <w:rFonts w:ascii="Times New Roman;serif" w:hAnsi="Times New Roman;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88" w:before="0" w:after="240"/>
        <w:ind w:left="0" w:right="0" w:firstLine="720"/>
        <w:jc w:val="both"/>
        <w:rPr/>
      </w:pPr>
      <w:r>
        <w:rPr>
          <w:rFonts w:ascii="Times New Roman;serif" w:hAnsi="Times New Roman;serif"/>
          <w:b/>
          <w:color w:val="010000"/>
          <w:sz w:val="24"/>
        </w:rPr>
        <w:t>13.    </w:t>
      </w:r>
      <w:r>
        <w:rPr>
          <w:rFonts w:ascii="Times New Roman;serif" w:hAnsi="Times New Roman;serif"/>
          <w:b/>
          <w:color w:val="000000"/>
          <w:sz w:val="24"/>
        </w:rPr>
        <w:t>Modification</w:t>
      </w:r>
      <w:r>
        <w:rPr>
          <w:rFonts w:ascii="Times New Roman;serif" w:hAnsi="Times New Roman;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88" w:before="0" w:after="240"/>
        <w:ind w:left="0" w:right="0" w:firstLine="720"/>
        <w:jc w:val="both"/>
        <w:rPr/>
      </w:pPr>
      <w:r>
        <w:rPr>
          <w:rFonts w:ascii="Times New Roman;serif" w:hAnsi="Times New Roman;serif"/>
          <w:b/>
          <w:color w:val="010000"/>
          <w:sz w:val="24"/>
        </w:rPr>
        <w:t>14.    </w:t>
      </w:r>
      <w:r>
        <w:rPr>
          <w:rFonts w:ascii="Times New Roman;serif" w:hAnsi="Times New Roman;serif"/>
          <w:b/>
          <w:color w:val="000000"/>
          <w:sz w:val="24"/>
        </w:rPr>
        <w:t>Interpretation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 dispute regarding the interpretation of this Agreement must be submitted by Participant or the Company to the Administrator for review. The resolution of such a dispute by the Administrator will be final and binding on the Company and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440055"/>
                <wp:effectExtent l="0" t="0" r="0" b="0"/>
                <wp:wrapNone/>
                <wp:docPr id="141" name="Frame140"/>
                <a:graphic xmlns:a="http://schemas.openxmlformats.org/drawingml/2006/main">
                  <a:graphicData uri="http://schemas.microsoft.com/office/word/2010/wordprocessingShape">
                    <wps:wsp>
                      <wps:cNvSpPr txBox="1"/>
                      <wps:spPr>
                        <a:xfrm>
                          <a:off x="0" y="0"/>
                          <a:ext cx="6480175" cy="440055"/>
                        </a:xfrm>
                        <a:prstGeom prst="rect"/>
                        <a:solidFill>
                          <a:srgbClr val="FFFFFF"/>
                        </a:solidFill>
                      </wps:spPr>
                      <wps:txbx>
                        <w:txbxContent>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10000"/>
          <w:sz w:val="24"/>
        </w:rPr>
        <w:t>15.    </w:t>
      </w:r>
      <w:r>
        <w:rPr>
          <w:rFonts w:ascii="Times New Roman;serif" w:hAnsi="Times New Roman;serif"/>
          <w:b/>
          <w:color w:val="000000"/>
          <w:sz w:val="24"/>
        </w:rPr>
        <w:t>Entire Agreement</w:t>
      </w:r>
      <w:r>
        <w:rPr>
          <w:rFonts w:ascii="Times New Roman;serif" w:hAnsi="Times New Roman;serif"/>
          <w:b w:val="false"/>
          <w:color w:val="000000"/>
          <w:sz w:val="24"/>
        </w:rPr>
        <w:t>. The Plan and the Certificate are incorporated herein by reference. This Agreement, the 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pStyle w:val="TextBody"/>
        <w:bidi w:val="0"/>
        <w:spacing w:lineRule="auto" w:line="288" w:before="0" w:after="240"/>
        <w:ind w:left="0" w:right="0" w:firstLine="720"/>
        <w:jc w:val="both"/>
        <w:rPr/>
      </w:pPr>
      <w:r>
        <w:rPr>
          <w:rFonts w:ascii="Times New Roman;serif" w:hAnsi="Times New Roman;serif"/>
          <w:b/>
          <w:color w:val="010000"/>
          <w:sz w:val="24"/>
        </w:rPr>
        <w:t>16.    </w:t>
      </w:r>
      <w:r>
        <w:rPr>
          <w:rFonts w:ascii="Times New Roman;serif" w:hAnsi="Times New Roman;serif"/>
          <w:b/>
          <w:color w:val="000000"/>
          <w:sz w:val="24"/>
        </w:rPr>
        <w:t>Successors and Assigns</w:t>
      </w:r>
      <w:r>
        <w:rPr>
          <w:rFonts w:ascii="Times New Roman;serif" w:hAnsi="Times New Roman;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88" w:before="0" w:after="240"/>
        <w:ind w:left="0" w:right="0" w:firstLine="720"/>
        <w:jc w:val="both"/>
        <w:rPr/>
      </w:pPr>
      <w:r>
        <w:rPr>
          <w:rFonts w:ascii="Times New Roman;serif" w:hAnsi="Times New Roman;serif"/>
          <w:b/>
          <w:color w:val="010000"/>
          <w:sz w:val="24"/>
        </w:rPr>
        <w:t>17.    </w:t>
      </w:r>
      <w:r>
        <w:rPr>
          <w:rFonts w:ascii="Times New Roman;serif" w:hAnsi="Times New Roman;serif"/>
          <w:b/>
          <w:color w:val="000000"/>
          <w:sz w:val="24"/>
        </w:rPr>
        <w:t>Governing Law</w:t>
      </w:r>
      <w:r>
        <w:rPr>
          <w:rFonts w:ascii="Times New Roman;serif" w:hAnsi="Times New Roman;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440055"/>
                <wp:effectExtent l="0" t="0" r="0" b="0"/>
                <wp:wrapNone/>
                <wp:docPr id="142" name="Frame141"/>
                <a:graphic xmlns:a="http://schemas.openxmlformats.org/drawingml/2006/main">
                  <a:graphicData uri="http://schemas.microsoft.com/office/word/2010/wordprocessingShape">
                    <wps:wsp>
                      <wps:cNvSpPr txBox="1"/>
                      <wps:spPr>
                        <a:xfrm>
                          <a:off x="0" y="0"/>
                          <a:ext cx="6480175" cy="440055"/>
                        </a:xfrm>
                        <a:prstGeom prst="rect"/>
                        <a:solidFill>
                          <a:srgbClr val="FFFFFF"/>
                        </a:solidFill>
                      </wps:spPr>
                      <wps:txbx>
                        <w:txbxContent>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r>
                              <w:br w:type="page"/>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Diamondback Energy, Inc. 2021 Amended and Restated Equity Incentive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10.10</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righ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240"/>
        <w:ind w:left="0" w:right="0" w:firstLine="720"/>
        <w:jc w:val="right"/>
        <w:rPr>
          <w:rFonts w:ascii="Times New Roman;serif" w:hAnsi="Times New Roman;serif"/>
          <w:b/>
          <w:i/>
          <w:color w:val="000000"/>
          <w:sz w:val="20"/>
        </w:rPr>
      </w:pPr>
      <w:r>
        <w:rPr>
          <w:rFonts w:ascii="Times New Roman;serif" w:hAnsi="Times New Roman;serif"/>
          <w:b/>
          <w:i/>
          <w:color w:val="000000"/>
          <w:sz w:val="20"/>
        </w:rPr>
        <w:t>Restricted Stock Unit Award (#) O-PSU26-___</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DIAMONDBACK ENERGY, INC.</w:t>
        <w:br/>
        <w:t>2021 AMENDED AND RESTATED EQUITY INCENTIVE PLAN</w:t>
        <w:br/>
        <w:t>RESTRICTED STOCK UNIT AWARD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IS TO CERTIFY that Diamondback Energy, Inc., a Delaware corporation (the </w:t>
      </w:r>
      <w:r>
        <w:rPr>
          <w:color w:val="000000"/>
        </w:rPr>
        <w:t>“</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granted you (</w:t>
      </w:r>
      <w:r>
        <w:rPr>
          <w:color w:val="000000"/>
        </w:rPr>
        <w:t>“</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performance-based Restricted Stock Units (this “</w:t>
      </w:r>
      <w:r>
        <w:rPr>
          <w:rFonts w:ascii="Times New Roman;serif" w:hAnsi="Times New Roman;serif"/>
          <w:b/>
          <w:i/>
          <w:color w:val="000000"/>
          <w:sz w:val="24"/>
        </w:rPr>
        <w:t>Performance Award</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under the Company’s 2021 Amended and Restated Equity Incentive Plan (the </w:t>
      </w:r>
      <w:r>
        <w:rPr>
          <w:color w:val="000000"/>
        </w:rPr>
        <w:t>“</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as set forth below. Capitalized terms not otherwise defined herein have the meanings ascribed to them in the Plan.</w:t>
      </w:r>
    </w:p>
    <w:tbl>
      <w:tblPr>
        <w:tblW w:w="10205" w:type="dxa"/>
        <w:jc w:val="left"/>
        <w:tblInd w:w="0" w:type="dxa"/>
        <w:tblLayout w:type="fixed"/>
        <w:tblCellMar>
          <w:top w:w="28" w:type="dxa"/>
          <w:left w:w="28" w:type="dxa"/>
          <w:bottom w:w="28" w:type="dxa"/>
          <w:right w:w="28" w:type="dxa"/>
        </w:tblCellMar>
      </w:tblPr>
      <w:tblGrid>
        <w:gridCol w:w="731"/>
        <w:gridCol w:w="489"/>
        <w:gridCol w:w="492"/>
        <w:gridCol w:w="3104"/>
        <w:gridCol w:w="2232"/>
        <w:gridCol w:w="3157"/>
      </w:tblGrid>
      <w:tr>
        <w:trPr/>
        <w:tc>
          <w:tcPr>
            <w:tcW w:w="73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Name of Participant:</w:t>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Target Number of Restricted Stock Units Granted:</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Date of Grant:</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___________</w:t>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Payment/Settlement Dates:</w:t>
            </w:r>
          </w:p>
          <w:p>
            <w:pPr>
              <w:pStyle w:val="TableContents"/>
              <w:bidi w:val="0"/>
              <w:spacing w:before="0" w:after="120"/>
              <w:jc w:val="left"/>
              <w:rPr/>
            </w:pPr>
            <w:r>
              <w:rPr/>
            </w:r>
          </w:p>
          <w:p>
            <w:pPr>
              <w:pStyle w:val="TableContents"/>
              <w:bidi w:val="0"/>
              <w:spacing w:before="0" w:after="120"/>
              <w:jc w:val="both"/>
              <w:rPr/>
            </w:pPr>
            <w:r>
              <w:rPr/>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Fully vested Restricted Stock Units will be settled by the payment of shares of Common Stock within 10 business days after the date on which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 </w:t>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Performance Period:</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January 1, 2026 through December 31, 2028</w:t>
            </w:r>
          </w:p>
        </w:tc>
      </w:tr>
      <w:tr>
        <w:trP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Performance Vesting Goals and Schedule:</w:t>
            </w:r>
          </w:p>
        </w:tc>
        <w:tc>
          <w:tcPr>
            <w:tcW w:w="8493"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4"/>
              </w:rPr>
              <w:t xml:space="preserve">The actual number of Restricted Stock Units with respect to which Participant will be entitled to receive shares of Common Stock will equal the product of (i) the Target Grant Vesting Percentage, multiplied by (ii) the Target Number of Restricted Stock Units Granted, multiplied by (iii) the Absolute TSR Modifier (as defined in </w:t>
            </w:r>
            <w:r>
              <w:rPr>
                <w:rFonts w:ascii="Times New Roman;serif" w:hAnsi="Times New Roman;serif"/>
                <w:b w:val="false"/>
                <w:i/>
                <w:color w:val="000000"/>
                <w:sz w:val="24"/>
              </w:rPr>
              <w:t>Annex I</w:t>
            </w:r>
            <w:r>
              <w:rPr>
                <w:color w:val="000000"/>
              </w:rPr>
              <w:t xml:space="preserve"> </w:t>
            </w:r>
            <w:r>
              <w:rPr>
                <w:rFonts w:ascii="Times New Roman;serif" w:hAnsi="Times New Roman;serif"/>
                <w:b w:val="false"/>
                <w:color w:val="000000"/>
                <w:sz w:val="24"/>
              </w:rPr>
              <w:t xml:space="preserve">attached hereto). The Target Grant Vesting Percentage will be determined based on the attainment of (i) Continuous Service through the last day of the Performance Period, and (ii) achieving the Relative Total Stockholder Return Percentile (as defined in </w:t>
            </w:r>
            <w:r>
              <w:rPr>
                <w:rFonts w:ascii="Times New Roman;serif" w:hAnsi="Times New Roman;serif"/>
                <w:b w:val="false"/>
                <w:i/>
                <w:color w:val="000000"/>
                <w:sz w:val="24"/>
              </w:rPr>
              <w:t>Annex I</w:t>
            </w:r>
            <w:r>
              <w:rPr>
                <w:color w:val="000000"/>
              </w:rPr>
              <w:t xml:space="preserve"> </w:t>
            </w:r>
            <w:r>
              <w:rPr>
                <w:rFonts w:ascii="Times New Roman;serif" w:hAnsi="Times New Roman;serif"/>
                <w:b w:val="false"/>
                <w:color w:val="000000"/>
                <w:sz w:val="24"/>
              </w:rPr>
              <w:t>attached hereto) and Company’s Absolute Total Stockholder Return performance goals set forth below:</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8"/>
        <w:gridCol w:w="1739"/>
        <w:gridCol w:w="1747"/>
        <w:gridCol w:w="109"/>
        <w:gridCol w:w="109"/>
        <w:gridCol w:w="109"/>
        <w:gridCol w:w="1291"/>
        <w:gridCol w:w="1291"/>
        <w:gridCol w:w="1832"/>
      </w:tblGrid>
      <w:tr>
        <w:trPr/>
        <w:tc>
          <w:tcPr>
            <w:tcW w:w="197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5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Relative Total Stockholder Return 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pPr>
            <w:r>
              <w:rPr>
                <w:rFonts w:ascii="Times New Roman;serif" w:hAnsi="Times New Roman;serif"/>
                <w:b/>
                <w:color w:val="000000"/>
                <w:sz w:val="24"/>
              </w:rPr>
              <w:t>Target Grant Vesting Percentage</w:t>
            </w:r>
            <w:r>
              <w:rPr>
                <w:rFonts w:ascii="Times New Roman;serif" w:hAnsi="Times New Roman;serif"/>
                <w:b/>
                <w:color w:val="000000"/>
                <w:sz w:val="16"/>
              </w:rPr>
              <w:t>1</w:t>
            </w:r>
          </w:p>
        </w:tc>
      </w:tr>
      <w:tr>
        <w:trPr/>
        <w:tc>
          <w:tcPr>
            <w:tcW w:w="54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0% of Target</w:t>
            </w:r>
          </w:p>
        </w:tc>
      </w:tr>
      <w:tr>
        <w:trPr/>
        <w:tc>
          <w:tcPr>
            <w:tcW w:w="546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erif" w:hAnsi="Times New Roman;serif"/>
                <w:b w:val="false"/>
                <w:color w:val="000000"/>
                <w:sz w:val="24"/>
              </w:rPr>
              <w:t>Between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Peer Group and up to but less than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Straight line interpolation between 50% and 150% of Target</w:t>
            </w:r>
          </w:p>
        </w:tc>
      </w:tr>
      <w:tr>
        <w:trPr/>
        <w:tc>
          <w:tcPr>
            <w:tcW w:w="546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pPr>
            <w:r>
              <w:rPr>
                <w:rFonts w:ascii="Times New Roman;serif" w:hAnsi="Times New Roman;serif"/>
                <w:b w:val="false"/>
                <w:color w:val="000000"/>
                <w:sz w:val="24"/>
              </w:rPr>
              <w:t>At or above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200% of Target</w:t>
            </w:r>
          </w:p>
        </w:tc>
      </w:tr>
      <w:tr>
        <w:trPr/>
        <w:tc>
          <w:tcPr>
            <w:tcW w:w="5464"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
              <w:jc w:val="center"/>
              <w:rPr>
                <w:rFonts w:ascii="Times New Roman;serif" w:hAnsi="Times New Roman;serif"/>
                <w:b/>
                <w:color w:val="000000"/>
                <w:sz w:val="24"/>
              </w:rPr>
            </w:pPr>
            <w:r>
              <w:rPr>
                <w:rFonts w:ascii="Times New Roman;serif" w:hAnsi="Times New Roman;serif"/>
                <w:b/>
                <w:color w:val="000000"/>
                <w:sz w:val="24"/>
              </w:rPr>
              <w:t>Company’s Absolute Total Stockholder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
              <w:jc w:val="center"/>
              <w:rPr>
                <w:rFonts w:ascii="Times New Roman;serif" w:hAnsi="Times New Roman;serif"/>
                <w:b/>
                <w:color w:val="000000"/>
                <w:sz w:val="24"/>
              </w:rPr>
            </w:pPr>
            <w:r>
              <w:rPr>
                <w:rFonts w:ascii="Times New Roman;serif" w:hAnsi="Times New Roman;serif"/>
                <w:b/>
                <w:color w:val="000000"/>
                <w:sz w:val="24"/>
              </w:rPr>
              <w:t>Absolute TSR Modifier</w:t>
            </w:r>
          </w:p>
        </w:tc>
      </w:tr>
      <w:tr>
        <w:trPr/>
        <w:tc>
          <w:tcPr>
            <w:tcW w:w="54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both"/>
              <w:rPr>
                <w:rFonts w:ascii="Times New Roman;serif" w:hAnsi="Times New Roman;serif"/>
                <w:b w:val="false"/>
                <w:color w:val="000000"/>
                <w:sz w:val="24"/>
              </w:rPr>
            </w:pPr>
            <w:r>
              <w:rPr>
                <w:rFonts w:ascii="Times New Roman;serif" w:hAnsi="Times New Roman;serif"/>
                <w:b w:val="false"/>
                <w:color w:val="000000"/>
                <w:sz w:val="24"/>
              </w:rPr>
              <w:t>Below 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546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rFonts w:ascii="Times New Roman;serif" w:hAnsi="Times New Roman;serif"/>
                <w:b w:val="false"/>
                <w:color w:val="000000"/>
                <w:sz w:val="24"/>
              </w:rPr>
            </w:pPr>
            <w:r>
              <w:rPr>
                <w:rFonts w:ascii="Times New Roman;serif" w:hAnsi="Times New Roman;serif"/>
                <w:b w:val="false"/>
                <w:color w:val="000000"/>
                <w:sz w:val="24"/>
              </w:rPr>
              <w:t>Between 0% to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546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both"/>
              <w:rPr>
                <w:rFonts w:ascii="Times New Roman;serif" w:hAnsi="Times New Roman;serif"/>
                <w:b w:val="false"/>
                <w:color w:val="000000"/>
                <w:sz w:val="24"/>
              </w:rPr>
            </w:pPr>
            <w:r>
              <w:rPr>
                <w:rFonts w:ascii="Times New Roman;serif" w:hAnsi="Times New Roman;serif"/>
                <w:b w:val="false"/>
                <w:color w:val="000000"/>
                <w:sz w:val="24"/>
              </w:rPr>
              <w:t>Above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8"/>
              <w:jc w:val="center"/>
              <w:rPr>
                <w:rFonts w:ascii="Times New Roman;serif" w:hAnsi="Times New Roman;serif"/>
                <w:b w:val="false"/>
                <w:color w:val="000000"/>
                <w:sz w:val="24"/>
              </w:rPr>
            </w:pPr>
            <w:r>
              <w:rPr>
                <w:rFonts w:ascii="Times New Roman;serif" w:hAnsi="Times New Roman;serif"/>
                <w:b w:val="false"/>
                <w:color w:val="000000"/>
                <w:sz w:val="24"/>
              </w:rPr>
              <w:t>125%</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erif" w:hAnsi="Times New Roman;serif"/>
          <w:b w:val="false"/>
          <w:i/>
          <w:color w:val="000000"/>
          <w:sz w:val="24"/>
        </w:rPr>
        <w:t>Annex II</w:t>
      </w:r>
      <w:r>
        <w:rPr>
          <w:rFonts w:ascii="Times New Roman;serif" w:hAnsi="Times New Roman;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pStyle w:val="TextBody"/>
        <w:bidi w:val="0"/>
        <w:spacing w:before="0" w:after="240"/>
        <w:ind w:left="0" w:right="0" w:firstLine="720"/>
        <w:jc w:val="both"/>
        <w:rPr/>
      </w:pPr>
      <w:r>
        <w:rPr/>
      </w:r>
    </w:p>
    <w:p>
      <w:pPr>
        <w:pStyle w:val="TextBody"/>
        <w:bidi w:val="0"/>
        <w:spacing w:lineRule="auto" w:line="288" w:before="60" w:after="6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but less than the 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p>
                  </w:txbxContent>
                </v:textbox>
                <w10:wrap type="none"/>
              </v:rect>
            </w:pict>
          </mc:Fallback>
        </mc:AlternateContent>
      </w:r>
    </w:p>
    <w:tbl>
      <w:tblPr>
        <w:tblW w:w="9074" w:type="dxa"/>
        <w:jc w:val="left"/>
        <w:tblInd w:w="0" w:type="dxa"/>
        <w:tblLayout w:type="fixed"/>
        <w:tblCellMar>
          <w:top w:w="28" w:type="dxa"/>
          <w:left w:w="28" w:type="dxa"/>
          <w:bottom w:w="28" w:type="dxa"/>
          <w:right w:w="28" w:type="dxa"/>
        </w:tblCellMar>
      </w:tblPr>
      <w:tblGrid>
        <w:gridCol w:w="1694"/>
        <w:gridCol w:w="1490"/>
        <w:gridCol w:w="1495"/>
        <w:gridCol w:w="1285"/>
        <w:gridCol w:w="1285"/>
        <w:gridCol w:w="1825"/>
      </w:tblGrid>
      <w:tr>
        <w:trPr/>
        <w:tc>
          <w:tcPr>
            <w:tcW w:w="169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PARTICIPANT</w:t>
            </w:r>
          </w:p>
        </w:tc>
        <w:tc>
          <w:tcPr>
            <w:tcW w:w="43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DIAMONDBACK ENERGY, INC.</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Kaes Van't Hof, Chief Executive Officer</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[_________________], 2026</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[_________________],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Annex I</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Certificate</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Definition of “Relative Total Stockholder Return Percentile”</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this Performance Award, “</w:t>
      </w:r>
      <w:r>
        <w:rPr>
          <w:rFonts w:ascii="Times New Roman;serif" w:hAnsi="Times New Roman;serif"/>
          <w:b/>
          <w:i/>
          <w:color w:val="000000"/>
          <w:sz w:val="24"/>
        </w:rPr>
        <w:t>Relative</w:t>
      </w:r>
      <w:r>
        <w:rPr>
          <w:color w:val="000000"/>
        </w:rPr>
        <w:t xml:space="preserve"> </w:t>
      </w:r>
      <w:r>
        <w:rPr>
          <w:rFonts w:ascii="Times New Roman;serif" w:hAnsi="Times New Roman;serif"/>
          <w:b/>
          <w:i/>
          <w:color w:val="000000"/>
          <w:sz w:val="24"/>
        </w:rPr>
        <w:t>Total Stockholder Return Percentile</w:t>
      </w:r>
      <w:r>
        <w:rPr>
          <w:color w:val="000000"/>
        </w:rPr>
        <w:t xml:space="preserve">” </w:t>
      </w:r>
      <w:r>
        <w:rPr>
          <w:rFonts w:ascii="Times New Roman;serif" w:hAnsi="Times New Roman;serif"/>
          <w:b w:val="false"/>
          <w:color w:val="000000"/>
          <w:sz w:val="24"/>
        </w:rPr>
        <w:t xml:space="preserve">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percentile ranking among the Peer Group Total Stockholder Return is calculated by ranking the Company’s Total Stockholder Return as part of the Total Stockholder Return for the Peer Group as a whole.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Total Stockholder Return</w:t>
      </w:r>
      <w:r>
        <w:rPr>
          <w:color w:val="000000"/>
        </w:rPr>
        <w:t xml:space="preserve">” </w:t>
      </w:r>
      <w:r>
        <w:rPr>
          <w:rFonts w:ascii="Times New Roman;serif" w:hAnsi="Times New Roman;serif"/>
          <w:b w:val="false"/>
          <w:color w:val="000000"/>
          <w:sz w:val="24"/>
        </w:rPr>
        <w:t>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month of December 2028 compared to the average share price for month of December 2025; by (2) the average share price for the month of December 2025.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Pb = average share price for the month of December 2025;</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 = average share price for the month of December 2028,</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Dividends = dividends paid over the Performance Period;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TSR = Total Stockholder Return.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Company’s “</w:t>
      </w:r>
      <w:r>
        <w:rPr>
          <w:rFonts w:ascii="Times New Roman;serif" w:hAnsi="Times New Roman;serif"/>
          <w:b/>
          <w:i/>
          <w:color w:val="000000"/>
          <w:sz w:val="24"/>
        </w:rPr>
        <w:t>Peer Group</w:t>
      </w:r>
      <w:r>
        <w:rPr>
          <w:color w:val="000000"/>
        </w:rPr>
        <w:t xml:space="preserve">” </w:t>
      </w:r>
      <w:r>
        <w:rPr>
          <w:rFonts w:ascii="Times New Roman;serif" w:hAnsi="Times New Roman;serif"/>
          <w:b w:val="false"/>
          <w:color w:val="000000"/>
          <w:sz w:val="24"/>
        </w:rPr>
        <w:t>consists of the following members: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of the following companies: APA Corporation (APA); Chevron Corporation (CVX); ConocoPhillips Company (COP); Devon Energy Corporation (DVN); EOG Resources, Inc. (EOG); Matador Resources Company (MTDR); Ovintiv Inc. (OVV); Occidental Petroleum (OXY); Permian Resources (PR);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SPDR S&amp;P Oil &amp; Gas Exploration &amp; Production ETF Index (XOP) (weighted once);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S&amp;P 500 Index (SPX) (weighted once).</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during the Performance Period a member of the Company’s Peer Group publicly announces it has entered into a definitive agreement with respect to an acquisition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32765"/>
                <wp:effectExtent l="0" t="0" r="0" b="0"/>
                <wp:wrapNone/>
                <wp:docPr id="147" name="Frame146"/>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 subsequent to the consummation of such transaction such peer ceases to be a publicly traded company, then (subject to the Compensation Committee’s right as Administrator of the Plan to exercise discretion to make any appropriate further adjustments taking into account all relevant information at the time) the Total Stockholder Return for such peer shall be calculated such that “Pe” in the formula above shall equal the closing share price for such peer on the date such peer first publicly announces such transaction (or the date immediately following such date if such transaction is announced after market).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if during the Performance Period a member of the Company’s Peer Group experiences a bankruptcy or becomes insolvent, such Peer Group member will remain a part of the Peer Group and its Total Stockholder Return will be –100%.</w:t>
      </w:r>
    </w:p>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Definition of “Absolute TSR Modifier”</w:t>
      </w:r>
    </w:p>
    <w:p>
      <w:pPr>
        <w:pStyle w:val="TextBody"/>
        <w:bidi w:val="0"/>
        <w:spacing w:lineRule="auto" w:line="288" w:before="0" w:after="0"/>
        <w:ind w:left="0" w:right="0" w:firstLine="720"/>
        <w:jc w:val="both"/>
        <w:rPr/>
      </w:pPr>
      <w:r>
        <w:rPr>
          <w:rFonts w:ascii="Times New Roman;serif" w:hAnsi="Times New Roman;serif"/>
          <w:b w:val="false"/>
          <w:color w:val="000000"/>
          <w:sz w:val="24"/>
        </w:rPr>
        <w:t>For purposes of this Performance Award, “</w:t>
      </w:r>
      <w:r>
        <w:rPr>
          <w:rFonts w:ascii="Times New Roman;serif" w:hAnsi="Times New Roman;serif"/>
          <w:b/>
          <w:i/>
          <w:color w:val="000000"/>
          <w:sz w:val="24"/>
        </w:rPr>
        <w:t>Absolute TSR Modifier</w:t>
      </w:r>
      <w:r>
        <w:rPr>
          <w:color w:val="000000"/>
        </w:rPr>
        <w:t xml:space="preserve">” </w:t>
      </w:r>
      <w:r>
        <w:rPr>
          <w:rFonts w:ascii="Times New Roman;serif" w:hAnsi="Times New Roman;serif"/>
          <w:b w:val="false"/>
          <w:color w:val="000000"/>
          <w:sz w:val="24"/>
        </w:rPr>
        <w:t>means the percentage determined for the Performance Period as specified in the schedule set forth above based on the Company’s absolute Total Stockholder Return for the Performance Period.</w:t>
      </w:r>
    </w:p>
    <w:p>
      <w:pPr>
        <w:pStyle w:val="TextBody"/>
        <w:bidi w:val="0"/>
        <w:spacing w:before="0" w:after="240"/>
        <w:ind w:left="0" w:right="0" w:firstLine="72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i/>
          <w:color w:val="000000"/>
          <w:sz w:val="24"/>
        </w:rPr>
      </w:pPr>
      <w:r>
        <w:rPr>
          <w:rFonts w:ascii="Times New Roman;serif" w:hAnsi="Times New Roman;serif"/>
          <w:b/>
          <w:i/>
          <w:color w:val="000000"/>
          <w:sz w:val="24"/>
        </w:rPr>
        <w:t>Annex II</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32765"/>
                <wp:effectExtent l="0" t="0" r="0" b="0"/>
                <wp:wrapNone/>
                <wp:docPr id="148" name="Frame147"/>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435.85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DIAMONDBACK ENERGY, INC.</w:t>
        <w:br/>
        <w:t>2021 AMENDED AND RESTATED EQUITY INCENTIVE PLAN</w:t>
        <w:br/>
        <w:t>RESTRICTED STOCK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Restricted Stock Unit Award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on the execution date of the Restricted Stock Unit Award Certificate to which it is attached (the “</w:t>
      </w:r>
      <w:r>
        <w:rPr>
          <w:rFonts w:ascii="Times New Roman;serif" w:hAnsi="Times New Roman;serif"/>
          <w:b/>
          <w:i/>
          <w:color w:val="000000"/>
          <w:sz w:val="24"/>
        </w:rPr>
        <w:t>Certificate</w:t>
      </w:r>
      <w:r>
        <w:rPr>
          <w:color w:val="000000"/>
        </w:rPr>
        <w:t>”</w:t>
      </w:r>
      <w:r>
        <w:rPr>
          <w:rFonts w:ascii="Times New Roman;serif" w:hAnsi="Times New Roman;serif"/>
          <w:b w:val="false"/>
          <w:color w:val="000000"/>
          <w:sz w:val="24"/>
        </w:rPr>
        <w:t>), by and between Diamondback Energy,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and the </w:t>
      </w:r>
      <w:r>
        <w:rPr>
          <w:rFonts w:ascii="Times New Roman;serif" w:hAnsi="Times New Roman;serif"/>
          <w:b/>
          <w:color w:val="000000"/>
          <w:sz w:val="24"/>
        </w:rPr>
        <w:t>Participant</w:t>
      </w:r>
      <w:r>
        <w:rPr>
          <w:color w:val="000000"/>
        </w:rPr>
        <w:t xml:space="preserve"> </w:t>
      </w:r>
      <w:r>
        <w:rPr>
          <w:rFonts w:ascii="Times New Roman;serif" w:hAnsi="Times New Roman;serif"/>
          <w:b w:val="false"/>
          <w:color w:val="000000"/>
          <w:sz w:val="24"/>
        </w:rPr>
        <w:t>named in the Certificate (“</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Diamondback Energy, Inc. 2021 Amended and Restated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the Administrator has authorized the grant to Participant of the number of Restricted Stock Units set forth in the Certificate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88" w:before="0" w:after="240"/>
        <w:ind w:left="0" w:right="0" w:firstLine="720"/>
        <w:jc w:val="both"/>
        <w:rPr/>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color w:val="010000"/>
          <w:sz w:val="24"/>
        </w:rPr>
        <w:t>1.    </w:t>
      </w:r>
      <w:r>
        <w:rPr>
          <w:rFonts w:ascii="Times New Roman;serif" w:hAnsi="Times New Roman;serif"/>
          <w:b/>
          <w:color w:val="000000"/>
          <w:sz w:val="24"/>
        </w:rPr>
        <w:t>Basis for Award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Award is made pursuant to Section 7(a)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88" w:before="0" w:after="240"/>
        <w:ind w:left="0" w:right="0" w:firstLine="720"/>
        <w:jc w:val="both"/>
        <w:rPr/>
      </w:pPr>
      <w:r>
        <w:rPr>
          <w:rFonts w:ascii="Times New Roman;serif" w:hAnsi="Times New Roman;serif"/>
          <w:b/>
          <w:color w:val="010000"/>
          <w:sz w:val="24"/>
        </w:rPr>
        <w:t>2.    </w:t>
      </w:r>
      <w:r>
        <w:rPr>
          <w:rFonts w:ascii="Times New Roman;serif" w:hAnsi="Times New Roman;serif"/>
          <w:b/>
          <w:color w:val="000000"/>
          <w:sz w:val="24"/>
        </w:rPr>
        <w:t>Restricted Stock Units Awarded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2.1    </w:t>
      </w:r>
      <w:r>
        <w:rPr>
          <w:rFonts w:ascii="Times New Roman;serif" w:hAnsi="Times New Roman;serif"/>
          <w:b w:val="false"/>
          <w:color w:val="000000"/>
          <w:sz w:val="24"/>
        </w:rPr>
        <w:t>The Company hereby grants to Participant the target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pStyle w:val="TextBody"/>
        <w:bidi w:val="0"/>
        <w:spacing w:lineRule="auto" w:line="288" w:before="0" w:after="240"/>
        <w:ind w:left="0" w:right="0" w:firstLine="1440"/>
        <w:jc w:val="both"/>
        <w:rPr/>
      </w:pPr>
      <w:r>
        <w:rPr>
          <w:rFonts w:ascii="Times New Roman;serif" w:hAnsi="Times New Roman;serif"/>
          <w:b w:val="false"/>
          <w:color w:val="010000"/>
          <w:sz w:val="24"/>
        </w:rPr>
        <w:t>2.2    </w:t>
      </w:r>
      <w:r>
        <w:rPr>
          <w:rFonts w:ascii="Times New Roman;serif" w:hAnsi="Times New Roman;serif"/>
          <w:b w:val="false"/>
          <w:color w:val="000000"/>
          <w:sz w:val="24"/>
        </w:rPr>
        <w:t>The Company will, in accordance with the Plan, establish and maintain an account (the “</w:t>
      </w:r>
      <w:r>
        <w:rPr>
          <w:rFonts w:ascii="Times New Roman;serif" w:hAnsi="Times New Roman;serif"/>
          <w:b/>
          <w:i/>
          <w:color w:val="000000"/>
          <w:sz w:val="24"/>
        </w:rPr>
        <w:t>Restricted Stock Unit Account</w:t>
      </w:r>
      <w:r>
        <w:rPr>
          <w:color w:val="000000"/>
        </w:rPr>
        <w:t>”</w:t>
      </w:r>
      <w:r>
        <w:rPr>
          <w:rFonts w:ascii="Times New Roman;serif" w:hAnsi="Times New Roman;serif"/>
          <w:b w:val="false"/>
          <w:color w:val="000000"/>
          <w:sz w:val="24"/>
        </w:rPr>
        <w:t>) for Participant, and will credit such account for the target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32765"/>
                <wp:effectExtent l="0" t="0" r="0" b="0"/>
                <wp:wrapNone/>
                <wp:docPr id="149" name="Frame148"/>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10000"/>
          <w:sz w:val="24"/>
        </w:rPr>
        <w:t>3.    </w:t>
      </w:r>
      <w:r>
        <w:rPr>
          <w:rFonts w:ascii="Times New Roman;serif" w:hAnsi="Times New Roman;serif"/>
          <w:b/>
          <w:color w:val="000000"/>
          <w:sz w:val="24"/>
        </w:rPr>
        <w:t>Vesting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3.1    </w:t>
      </w:r>
      <w:r>
        <w:rPr>
          <w:rFonts w:ascii="Times New Roman;serif" w:hAnsi="Times New Roman;serif"/>
          <w:b w:val="false"/>
          <w:color w:val="000000"/>
          <w:sz w:val="24"/>
        </w:rPr>
        <w:t>The Restricted Stock Units will vest based on the Target Grant Vesting Percentage as adjusted by the Absolute TSR Modifier, in each case, as determined under the Performance Vesting Goals and Schedules set forth in the Certificate. Except as otherwise provided in a severance plan participation agreement between Participant and the Company or an Affiliate (a “</w:t>
      </w:r>
      <w:r>
        <w:rPr>
          <w:rFonts w:ascii="Times New Roman;serif" w:hAnsi="Times New Roman;serif"/>
          <w:b/>
          <w:i/>
          <w:color w:val="000000"/>
          <w:sz w:val="24"/>
        </w:rPr>
        <w:t>Severance Agreement</w:t>
      </w:r>
      <w:r>
        <w:rPr>
          <w:color w:val="000000"/>
        </w:rPr>
        <w:t>”</w:t>
      </w:r>
      <w:r>
        <w:rPr>
          <w:rFonts w:ascii="Times New Roman;serif" w:hAnsi="Times New Roman;serif"/>
          <w:b w:val="false"/>
          <w:color w:val="000000"/>
          <w:sz w:val="24"/>
        </w:rPr>
        <w:t xml:space="preserve">)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3.2    </w:t>
      </w:r>
      <w:r>
        <w:rPr>
          <w:rFonts w:ascii="Times New Roman;serif" w:hAnsi="Times New Roman;serif"/>
          <w:b w:val="false"/>
          <w:color w:val="000000"/>
          <w:sz w:val="24"/>
        </w:rPr>
        <w:t>Except as otherwise provided in a Severance Agreement, in the event of a termination of Participant’s Continuous Service (a) by the Company or an Affiliate other than for Cause (and not as a result of Participant’s death or Disability) or (b) Participant’s resignation for Good Reason (as defined for purposes of the Company’s Senior Management Severance Plan), in either case, upon the consummation of or within 24 months after the occurrence of a Change in Control, (an “</w:t>
      </w:r>
      <w:r>
        <w:rPr>
          <w:rFonts w:ascii="Times New Roman;serif" w:hAnsi="Times New Roman;serif"/>
          <w:b/>
          <w:i/>
          <w:color w:val="000000"/>
          <w:sz w:val="24"/>
        </w:rPr>
        <w:t>Acceleration Event</w:t>
      </w:r>
      <w:r>
        <w:rPr>
          <w:color w:val="000000"/>
        </w:rPr>
        <w:t>”</w:t>
      </w:r>
      <w:r>
        <w:rPr>
          <w:rFonts w:ascii="Times New Roman;serif" w:hAnsi="Times New Roman;serif"/>
          <w:b w:val="false"/>
          <w:color w:val="000000"/>
          <w:sz w:val="24"/>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in Control is consummated (the “</w:t>
      </w:r>
      <w:r>
        <w:rPr>
          <w:rFonts w:ascii="Times New Roman;serif" w:hAnsi="Times New Roman;serif"/>
          <w:b/>
          <w:i/>
          <w:color w:val="000000"/>
          <w:sz w:val="24"/>
        </w:rPr>
        <w:t>Accelerated Performance Period</w:t>
      </w:r>
      <w:r>
        <w:rPr>
          <w:color w:val="000000"/>
        </w:rPr>
        <w:t>”</w:t>
      </w:r>
      <w:r>
        <w:rPr>
          <w:rFonts w:ascii="Times New Roman;serif" w:hAnsi="Times New Roman;serif"/>
          <w:b w:val="false"/>
          <w:color w:val="000000"/>
          <w:sz w:val="24"/>
        </w:rPr>
        <w:t xml:space="preserve">). The Total Stockholder Return of each member of the Peer Group will be measured based on the reported 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upon the occurrence of such Acceleration Event.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3.3    </w:t>
      </w:r>
      <w:r>
        <w:rPr>
          <w:rFonts w:ascii="Times New Roman;serif" w:hAnsi="Times New Roman;serif"/>
          <w:b w:val="false"/>
          <w:color w:val="000000"/>
          <w:sz w:val="24"/>
        </w:rPr>
        <w:t xml:space="preserve">Upon a termination of Participant’s Continuous Service as a result of Participant’s death or Disability, the Target Grant Vesting Percentage will be determined at the end of the Performance Period and the Restricted Stock Units, including any unpaid Dividend Equivalents credited to the Restricted Stock Unit Account, will be settled and paid at the same Payment/Settlement Date as if Participant remained in Continuous Service through the end of the Performance Period. </w:t>
      </w:r>
    </w:p>
    <w:p>
      <w:pPr>
        <w:pStyle w:val="TextBody"/>
        <w:bidi w:val="0"/>
        <w:spacing w:lineRule="auto" w:line="288" w:before="0" w:after="240"/>
        <w:ind w:left="0" w:right="0" w:firstLine="1440"/>
        <w:jc w:val="both"/>
        <w:rPr/>
      </w:pPr>
      <w:r>
        <w:rPr>
          <w:rFonts w:ascii="Times New Roman;serif" w:hAnsi="Times New Roman;serif"/>
          <w:b w:val="false"/>
          <w:color w:val="010000"/>
          <w:sz w:val="24"/>
        </w:rPr>
        <w:t>3.4    </w:t>
      </w:r>
      <w:r>
        <w:rPr>
          <w:rFonts w:ascii="Times New Roman;serif" w:hAnsi="Times New Roman;serif"/>
          <w:b w:val="false"/>
          <w:color w:val="000000"/>
          <w:sz w:val="24"/>
        </w:rPr>
        <w:t>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32765"/>
                <wp:effectExtent l="0" t="0" r="0" b="0"/>
                <wp:wrapNone/>
                <wp:docPr id="150" name="Frame149"/>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10000"/>
          <w:sz w:val="24"/>
        </w:rPr>
        <w:t>4.    </w:t>
      </w:r>
      <w:r>
        <w:rPr>
          <w:rFonts w:ascii="Times New Roman;serif" w:hAnsi="Times New Roman;serif"/>
          <w:b/>
          <w:color w:val="000000"/>
          <w:sz w:val="24"/>
        </w:rPr>
        <w:t>Dividend Equivalents</w:t>
      </w:r>
      <w:r>
        <w:rPr>
          <w:rFonts w:ascii="Times New Roman;serif" w:hAnsi="Times New Roman;serif"/>
          <w:b w:val="false"/>
          <w:color w:val="000000"/>
          <w:sz w:val="24"/>
        </w:rPr>
        <w:t>. If the Company pays any cash dividend on its outstanding Common Stock for which the 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Times New Roman;serif" w:hAnsi="Times New Roman;serif"/>
          <w:b/>
          <w:i/>
          <w:color w:val="000000"/>
          <w:sz w:val="24"/>
        </w:rPr>
        <w:t>Dividend Equivalents</w:t>
      </w:r>
      <w:r>
        <w:rPr>
          <w:color w:val="000000"/>
        </w:rPr>
        <w:t>”</w:t>
      </w:r>
      <w:r>
        <w:rPr>
          <w:rFonts w:ascii="Times New Roman;serif" w:hAnsi="Times New Roman;serif"/>
          <w:b w:val="false"/>
          <w:color w:val="000000"/>
          <w:sz w:val="24"/>
        </w:rPr>
        <w:t>). Except as otherwise provided in Section 3, Dividend Equivalents will vest and be paid to Participant on the dividend payment date if Participant is in Continuous Service or otherwise holds vested but have not been settled Restricted Stock Units on the dividend payment date declared by the Company.</w:t>
      </w:r>
    </w:p>
    <w:p>
      <w:pPr>
        <w:pStyle w:val="TextBody"/>
        <w:bidi w:val="0"/>
        <w:spacing w:lineRule="auto" w:line="288" w:before="0" w:after="240"/>
        <w:ind w:left="0" w:right="0" w:firstLine="720"/>
        <w:jc w:val="both"/>
        <w:rPr/>
      </w:pPr>
      <w:r>
        <w:rPr>
          <w:rFonts w:ascii="Times New Roman;serif" w:hAnsi="Times New Roman;serif"/>
          <w:b/>
          <w:color w:val="010000"/>
          <w:sz w:val="24"/>
        </w:rPr>
        <w:t>5.    </w:t>
      </w:r>
      <w:r>
        <w:rPr>
          <w:rFonts w:ascii="Times New Roman;serif" w:hAnsi="Times New Roman;serif"/>
          <w:b/>
          <w:color w:val="000000"/>
          <w:sz w:val="24"/>
        </w:rPr>
        <w:t>Payment/Settlement</w:t>
      </w:r>
      <w:r>
        <w:rPr>
          <w:rFonts w:ascii="Times New Roman;serif" w:hAnsi="Times New Roman;serif"/>
          <w:b w:val="false"/>
          <w:color w:val="000000"/>
          <w:sz w:val="24"/>
        </w:rPr>
        <w:t>.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pStyle w:val="TextBody"/>
        <w:bidi w:val="0"/>
        <w:spacing w:lineRule="auto" w:line="288" w:before="0" w:after="240"/>
        <w:ind w:left="0" w:right="0" w:firstLine="720"/>
        <w:jc w:val="both"/>
        <w:rPr/>
      </w:pPr>
      <w:r>
        <w:rPr>
          <w:rFonts w:ascii="Times New Roman;serif" w:hAnsi="Times New Roman;serif"/>
          <w:b/>
          <w:color w:val="010000"/>
          <w:sz w:val="24"/>
        </w:rPr>
        <w:t>6.    </w:t>
      </w:r>
      <w:r>
        <w:rPr>
          <w:rFonts w:ascii="Times New Roman;serif" w:hAnsi="Times New Roman;serif"/>
          <w:b/>
          <w:color w:val="000000"/>
          <w:sz w:val="24"/>
        </w:rPr>
        <w:t>Compliance with Laws and Regulations</w:t>
      </w:r>
      <w:r>
        <w:rPr>
          <w:rFonts w:ascii="Times New Roman;serif" w:hAnsi="Times New Roman;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any state securities commission, foreign securities regulatory authority, or any securities exchange to effect such compliance.</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32765"/>
                <wp:effectExtent l="0" t="0" r="0" b="0"/>
                <wp:wrapNone/>
                <wp:docPr id="151" name="Frame150"/>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10000"/>
          <w:sz w:val="24"/>
        </w:rPr>
        <w:t>7.    </w:t>
      </w:r>
      <w:r>
        <w:rPr>
          <w:rFonts w:ascii="Times New Roman;serif" w:hAnsi="Times New Roman;serif"/>
          <w:b/>
          <w:color w:val="000000"/>
          <w:sz w:val="24"/>
        </w:rPr>
        <w:t>Tax Withholding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7.1    </w:t>
      </w:r>
      <w:r>
        <w:rPr>
          <w:rFonts w:ascii="Times New Roman;serif" w:hAnsi="Times New Roman;serif"/>
          <w:b w:val="false"/>
          <w:color w:val="000000"/>
          <w:sz w:val="24"/>
        </w:rPr>
        <w:t>As a condition to payment under Section 5 hereof, Participant agrees that on or before the 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88" w:before="0" w:after="240"/>
        <w:ind w:left="0" w:right="0" w:firstLine="1440"/>
        <w:jc w:val="both"/>
        <w:rPr/>
      </w:pPr>
      <w:r>
        <w:rPr>
          <w:rFonts w:ascii="Times New Roman;serif" w:hAnsi="Times New Roman;serif"/>
          <w:b w:val="false"/>
          <w:color w:val="010000"/>
          <w:sz w:val="24"/>
        </w:rPr>
        <w:t>7.2    </w:t>
      </w:r>
      <w:r>
        <w:rPr>
          <w:rFonts w:ascii="Times New Roman;serif" w:hAnsi="Times New Roman;serif"/>
          <w:b w:val="false"/>
          <w:color w:val="000000"/>
          <w:sz w:val="24"/>
        </w:rPr>
        <w:t>Participant will pay the amounts due under this Section 7 to the Company by Stock Withholding, or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88" w:before="0" w:after="240"/>
        <w:ind w:left="0" w:right="0" w:firstLine="720"/>
        <w:jc w:val="both"/>
        <w:rPr/>
      </w:pPr>
      <w:r>
        <w:rPr>
          <w:rFonts w:ascii="Times New Roman;serif" w:hAnsi="Times New Roman;serif"/>
          <w:b/>
          <w:color w:val="010000"/>
          <w:sz w:val="24"/>
        </w:rPr>
        <w:t>8.    </w:t>
      </w:r>
      <w:r>
        <w:rPr>
          <w:rFonts w:ascii="Times New Roman;serif" w:hAnsi="Times New Roman;serif"/>
          <w:b/>
          <w:color w:val="000000"/>
          <w:sz w:val="24"/>
        </w:rPr>
        <w:t>Not Transferrable</w:t>
      </w:r>
      <w:r>
        <w:rPr>
          <w:rFonts w:ascii="Times New Roman;serif" w:hAnsi="Times New Roman;serif"/>
          <w:b w:val="false"/>
          <w:color w:val="000000"/>
          <w:sz w:val="24"/>
        </w:rPr>
        <w:t>. Until Common Stock is issued on the applicable Payment/Settlement Date, the Restricted 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pStyle w:val="TextBody"/>
        <w:bidi w:val="0"/>
        <w:spacing w:lineRule="auto" w:line="288" w:before="0" w:after="240"/>
        <w:ind w:left="0" w:right="0" w:firstLine="720"/>
        <w:jc w:val="both"/>
        <w:rPr/>
      </w:pPr>
      <w:r>
        <w:rPr>
          <w:rFonts w:ascii="Times New Roman;serif" w:hAnsi="Times New Roman;serif"/>
          <w:b/>
          <w:color w:val="010000"/>
          <w:sz w:val="24"/>
        </w:rPr>
        <w:t>9.    </w:t>
      </w:r>
      <w:r>
        <w:rPr>
          <w:rFonts w:ascii="Times New Roman;serif" w:hAnsi="Times New Roman;serif"/>
          <w:b/>
          <w:color w:val="000000"/>
          <w:sz w:val="24"/>
        </w:rPr>
        <w:t>No Right to Continued Service</w:t>
      </w:r>
      <w:r>
        <w:rPr>
          <w:rFonts w:ascii="Times New Roman;serif" w:hAnsi="Times New Roman;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88" w:before="0" w:after="240"/>
        <w:ind w:left="0" w:right="0" w:firstLine="720"/>
        <w:jc w:val="both"/>
        <w:rPr/>
      </w:pPr>
      <w:r>
        <w:rPr>
          <w:rFonts w:ascii="Times New Roman;serif" w:hAnsi="Times New Roman;serif"/>
          <w:b/>
          <w:color w:val="010000"/>
          <w:sz w:val="24"/>
        </w:rPr>
        <w:t>10.    </w:t>
      </w:r>
      <w:r>
        <w:rPr>
          <w:rFonts w:ascii="Times New Roman;serif" w:hAnsi="Times New Roman;serif"/>
          <w:b/>
          <w:color w:val="000000"/>
          <w:sz w:val="24"/>
        </w:rPr>
        <w:t>Participant’s Representations, Warranties and Acknowledgements</w:t>
      </w:r>
      <w:r>
        <w:rPr>
          <w:rFonts w:ascii="Times New Roman;serif" w:hAnsi="Times New Roman;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further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32765"/>
                <wp:effectExtent l="0" t="0" r="0" b="0"/>
                <wp:wrapNone/>
                <wp:docPr id="152" name="Frame151"/>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88" w:before="0" w:after="240"/>
        <w:ind w:left="0" w:right="0" w:firstLine="720"/>
        <w:jc w:val="both"/>
        <w:rPr/>
      </w:pPr>
      <w:r>
        <w:rPr>
          <w:rFonts w:ascii="Times New Roman;serif" w:hAnsi="Times New Roman;serif"/>
          <w:b/>
          <w:color w:val="010000"/>
          <w:sz w:val="24"/>
        </w:rPr>
        <w:t>11.    </w:t>
      </w:r>
      <w:r>
        <w:rPr>
          <w:rFonts w:ascii="Times New Roman;serif" w:hAnsi="Times New Roman;serif"/>
          <w:b/>
          <w:color w:val="000000"/>
          <w:sz w:val="24"/>
        </w:rPr>
        <w:t>No Interest in Company Assets</w:t>
      </w:r>
      <w:r>
        <w:rPr>
          <w:rFonts w:ascii="Times New Roman;serif" w:hAnsi="Times New Roman;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88" w:before="0" w:after="240"/>
        <w:ind w:left="0" w:right="0" w:firstLine="720"/>
        <w:jc w:val="both"/>
        <w:rPr/>
      </w:pPr>
      <w:r>
        <w:rPr>
          <w:rFonts w:ascii="Times New Roman;serif" w:hAnsi="Times New Roman;serif"/>
          <w:b/>
          <w:color w:val="010000"/>
          <w:sz w:val="24"/>
        </w:rPr>
        <w:t>12.    </w:t>
      </w:r>
      <w:r>
        <w:rPr>
          <w:rFonts w:ascii="Times New Roman;serif" w:hAnsi="Times New Roman;serif"/>
          <w:b/>
          <w:color w:val="000000"/>
          <w:sz w:val="24"/>
        </w:rPr>
        <w:t>No Stockholder Rights before Delivery</w:t>
      </w:r>
      <w:r>
        <w:rPr>
          <w:rFonts w:ascii="Times New Roman;serif" w:hAnsi="Times New Roman;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88" w:before="0" w:after="240"/>
        <w:ind w:left="0" w:right="0" w:firstLine="720"/>
        <w:jc w:val="both"/>
        <w:rPr/>
      </w:pPr>
      <w:r>
        <w:rPr>
          <w:rFonts w:ascii="Times New Roman;serif" w:hAnsi="Times New Roman;serif"/>
          <w:b/>
          <w:color w:val="010000"/>
          <w:sz w:val="24"/>
        </w:rPr>
        <w:t>13.    </w:t>
      </w:r>
      <w:r>
        <w:rPr>
          <w:rFonts w:ascii="Times New Roman;serif" w:hAnsi="Times New Roman;serif"/>
          <w:b/>
          <w:color w:val="000000"/>
          <w:sz w:val="24"/>
        </w:rPr>
        <w:t>Modification</w:t>
      </w:r>
      <w:r>
        <w:rPr>
          <w:rFonts w:ascii="Times New Roman;serif" w:hAnsi="Times New Roman;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88" w:before="0" w:after="240"/>
        <w:ind w:left="0" w:right="0" w:firstLine="720"/>
        <w:jc w:val="both"/>
        <w:rPr/>
      </w:pPr>
      <w:r>
        <w:rPr>
          <w:rFonts w:ascii="Times New Roman;serif" w:hAnsi="Times New Roman;serif"/>
          <w:b/>
          <w:color w:val="010000"/>
          <w:sz w:val="24"/>
        </w:rPr>
        <w:t>14.    </w:t>
      </w:r>
      <w:r>
        <w:rPr>
          <w:rFonts w:ascii="Times New Roman;serif" w:hAnsi="Times New Roman;serif"/>
          <w:b/>
          <w:color w:val="000000"/>
          <w:sz w:val="24"/>
        </w:rPr>
        <w:t>Interpretation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 dispute regarding the interpretation of this Agreement must be submitted by Participant or the Company to the Administrator for review. The resolution of such a dispute by the Administrator will be final and binding on the Company and Participant.</w:t>
      </w:r>
    </w:p>
    <w:p>
      <w:pPr>
        <w:pStyle w:val="TextBody"/>
        <w:bidi w:val="0"/>
        <w:spacing w:lineRule="auto" w:line="288" w:before="0" w:after="240"/>
        <w:ind w:left="0" w:right="0" w:firstLine="720"/>
        <w:jc w:val="both"/>
        <w:rPr/>
      </w:pPr>
      <w:r>
        <w:rPr>
          <w:rFonts w:ascii="Times New Roman;serif" w:hAnsi="Times New Roman;serif"/>
          <w:b/>
          <w:color w:val="010000"/>
          <w:sz w:val="24"/>
        </w:rPr>
        <w:t>15.    </w:t>
      </w:r>
      <w:r>
        <w:rPr>
          <w:rFonts w:ascii="Times New Roman;serif" w:hAnsi="Times New Roman;serif"/>
          <w:b/>
          <w:color w:val="000000"/>
          <w:sz w:val="24"/>
        </w:rPr>
        <w:t>Entire Agreement</w:t>
      </w:r>
      <w:r>
        <w:rPr>
          <w:rFonts w:ascii="Times New Roman;serif" w:hAnsi="Times New Roman;serif"/>
          <w:b w:val="false"/>
          <w:color w:val="000000"/>
          <w:sz w:val="24"/>
        </w:rPr>
        <w:t>. The Plan and the Certificate are incorporated herein by reference. This Agreement, the 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pStyle w:val="TextBody"/>
        <w:bidi w:val="0"/>
        <w:spacing w:lineRule="auto" w:line="288" w:before="0" w:after="240"/>
        <w:ind w:left="0" w:right="0" w:firstLine="720"/>
        <w:jc w:val="both"/>
        <w:rPr/>
      </w:pPr>
      <w:r>
        <w:rPr>
          <w:rFonts w:ascii="Times New Roman;serif" w:hAnsi="Times New Roman;serif"/>
          <w:b/>
          <w:color w:val="010000"/>
          <w:sz w:val="24"/>
        </w:rPr>
        <w:t>16.    </w:t>
      </w:r>
      <w:r>
        <w:rPr>
          <w:rFonts w:ascii="Times New Roman;serif" w:hAnsi="Times New Roman;serif"/>
          <w:b/>
          <w:color w:val="000000"/>
          <w:sz w:val="24"/>
        </w:rPr>
        <w:t>Successors and Assigns</w:t>
      </w:r>
      <w:r>
        <w:rPr>
          <w:rFonts w:ascii="Times New Roman;serif" w:hAnsi="Times New Roman;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88" w:before="0" w:after="240"/>
        <w:ind w:left="0" w:right="0" w:firstLine="720"/>
        <w:jc w:val="both"/>
        <w:rPr/>
      </w:pPr>
      <w:r>
        <w:rPr>
          <w:rFonts w:ascii="Times New Roman;serif" w:hAnsi="Times New Roman;serif"/>
          <w:b/>
          <w:color w:val="010000"/>
          <w:sz w:val="24"/>
        </w:rPr>
        <w:t>17.    </w:t>
      </w:r>
      <w:r>
        <w:rPr>
          <w:rFonts w:ascii="Times New Roman;serif" w:hAnsi="Times New Roman;serif"/>
          <w:b/>
          <w:color w:val="000000"/>
          <w:sz w:val="24"/>
        </w:rPr>
        <w:t>Clawback</w:t>
      </w:r>
      <w:r>
        <w:rPr>
          <w:rFonts w:ascii="Times New Roman;serif" w:hAnsi="Times New Roman;serif"/>
          <w:b w:val="false"/>
          <w:color w:val="000000"/>
          <w:sz w:val="24"/>
        </w:rPr>
        <w:t xml:space="preserve">. Notwithstanding any provision in this Agreement to the contrary, if required by Listing Standard 5608 adopted by The Nasdaq Stock Market to implement Rule 10D-1 under the Securities Exchange Act of 1934, as amended, the Sarbanes-Oxley Act of 2002 or by other applicable law or Company policy in effect from time to time, the Award shall be conditioned on repayment or forfeiture in accordance with such applicable laws and/or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32765"/>
                <wp:effectExtent l="0" t="0" r="0" b="0"/>
                <wp:wrapNone/>
                <wp:docPr id="153" name="Frame152"/>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policy. By accepting the Award, Participant consents to any such clawback, repayment or forfeiture condition.</w:t>
      </w:r>
    </w:p>
    <w:p>
      <w:pPr>
        <w:pStyle w:val="TextBody"/>
        <w:bidi w:val="0"/>
        <w:spacing w:lineRule="auto" w:line="288" w:before="0" w:after="240"/>
        <w:ind w:left="0" w:right="0" w:firstLine="720"/>
        <w:jc w:val="both"/>
        <w:rPr/>
      </w:pPr>
      <w:r>
        <w:rPr>
          <w:rFonts w:ascii="Times New Roman;serif" w:hAnsi="Times New Roman;serif"/>
          <w:b/>
          <w:color w:val="010000"/>
          <w:sz w:val="24"/>
        </w:rPr>
        <w:t>18.    </w:t>
      </w:r>
      <w:r>
        <w:rPr>
          <w:rFonts w:ascii="Times New Roman;serif" w:hAnsi="Times New Roman;serif"/>
          <w:b/>
          <w:color w:val="000000"/>
          <w:sz w:val="24"/>
        </w:rPr>
        <w:t>Governing Law</w:t>
      </w:r>
      <w:r>
        <w:rPr>
          <w:rFonts w:ascii="Times New Roman;serif" w:hAnsi="Times New Roman;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32765"/>
                <wp:effectExtent l="0" t="0" r="0" b="0"/>
                <wp:wrapNone/>
                <wp:docPr id="154" name="Frame153"/>
                <a:graphic xmlns:a="http://schemas.openxmlformats.org/drawingml/2006/main">
                  <a:graphicData uri="http://schemas.microsoft.com/office/word/2010/wordprocessingShape">
                    <wps:wsp>
                      <wps:cNvSpPr txBox="1"/>
                      <wps:spPr>
                        <a:xfrm>
                          <a:off x="0" y="0"/>
                          <a:ext cx="6480175" cy="53276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r>
                              <w:br w:type="page"/>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Annex II</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Diamondback Energy, Inc. Restricted Stock Unit Award Agreement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 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Diamondback Energy, Inc. 2021 Amended and Restated Equity Incentive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Significant Subsidiaries of Registrant</w:t>
      </w:r>
    </w:p>
    <w:tbl>
      <w:tblPr>
        <w:tblW w:w="5428" w:type="dxa"/>
        <w:jc w:val="left"/>
        <w:tblInd w:w="0" w:type="dxa"/>
        <w:tblLayout w:type="fixed"/>
        <w:tblCellMar>
          <w:top w:w="28" w:type="dxa"/>
          <w:left w:w="28" w:type="dxa"/>
          <w:bottom w:w="28" w:type="dxa"/>
          <w:right w:w="28" w:type="dxa"/>
        </w:tblCellMar>
      </w:tblPr>
      <w:tblGrid>
        <w:gridCol w:w="1015"/>
        <w:gridCol w:w="893"/>
        <w:gridCol w:w="896"/>
        <w:gridCol w:w="767"/>
        <w:gridCol w:w="767"/>
        <w:gridCol w:w="1090"/>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E&amp;P LLC</w:t>
            </w:r>
          </w:p>
        </w:tc>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Eclipse Merger Sub II,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Endeavor Energy Resources, L.P.</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QEP Energy Company</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Viper Energy Partners LP</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VNOM Holding Company LLC</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Coachwhip LLC</w:t>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have issued our reports dated February 25, 2026, with respect to the consolidated financial statements and internal control over financial reporting included in the Annual Report of Diamondback Energy, Inc. on Form 10-K for the year ended December 31, 2025. We consent to the incorporation by reference of said reports in the Registration Statements of Diamondback Energy, Inc. on Forms S-3 (File No. 333-282225; File No. 333-286424; and File No. 333-291708) and on Forms S-8 (File No. 333-188552; File No. 333-215798; File No. 333-228637; File No. 333-235671; and File No. 333-257561).</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 GRANT THORNTON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Oklahoma City, Oklahoma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February 25,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2"/>
        </w:rPr>
      </w:pPr>
      <w:r>
        <w:rPr>
          <w:rFonts w:ascii="Times New Roman;serif" w:hAnsi="Times New Roman;serif"/>
          <w:b/>
          <w:color w:val="000000"/>
          <w:sz w:val="22"/>
        </w:rPr>
        <w:t>Exhibit 23.2</w: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CONSENT OF RYDER SCOTT COMPANY, L.P.</w:t>
      </w:r>
    </w:p>
    <w:p>
      <w:pPr>
        <w:pStyle w:val="TextBody"/>
        <w:bidi w:val="0"/>
        <w:spacing w:before="0" w:after="0"/>
        <w:jc w:val="left"/>
        <w:rPr/>
      </w:pPr>
      <w:r>
        <w:rPr/>
      </w:r>
    </w:p>
    <w:p>
      <w:pPr>
        <w:pStyle w:val="TextBody"/>
        <w:bidi w:val="0"/>
        <w:spacing w:lineRule="auto" w:line="288" w:before="0" w:after="1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issued our summary report dated January 13, 2026 on the audit of estimated quantities of proved reserves, future production and income attributable to certain leasehold interest of Diamondback Energy, Inc. (“Diamondback”) as of December 31, 2025. As independent oil and gas consultants, we hereby consent to the inclusion of our audit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333-282225; File No. 333-286424; and File No. 333-291708) and on Forms S-8 (File No. 333-188552; File No. 333-215798; File No. 333-228637; File No. 333-235671; and File No. 333-257561).</w:t>
      </w:r>
    </w:p>
    <w:p>
      <w:pPr>
        <w:pStyle w:val="TextBody"/>
        <w:bidi w:val="0"/>
        <w:spacing w:before="0" w:after="100"/>
        <w:ind w:left="0" w:right="0" w:firstLine="720"/>
        <w:jc w:val="both"/>
        <w:rPr/>
      </w:pPr>
      <w:r>
        <w:rPr/>
      </w:r>
    </w:p>
    <w:tbl>
      <w:tblPr>
        <w:tblW w:w="476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5"/>
        <w:gridCol w:w="585"/>
        <w:gridCol w:w="585"/>
        <w:gridCol w:w="585"/>
        <w:gridCol w:w="585"/>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TBPELS Firm Registration No. F-1580</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Houston, Texas</w: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February 25, 2026 </w:t>
      </w:r>
    </w:p>
    <w:p>
      <w:pPr>
        <w:pStyle w:val="TextBody"/>
        <w:bidi w:val="0"/>
        <w:spacing w:before="2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2"/>
        </w:rPr>
      </w:pPr>
      <w:r>
        <w:rPr>
          <w:rFonts w:ascii="Times New Roman;serif" w:hAnsi="Times New Roman;serif"/>
          <w:b/>
          <w:color w:val="000000"/>
          <w:sz w:val="22"/>
        </w:rPr>
        <w:t>Exhibit 23.3</w: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CONSENT OF RYDER SCOTT COMPANY, L.P.</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issued our summary report dated January 13, 2026 on the audit of estimated quantities of proved reserves, future production and income attributable to certain royalty interests of Viper Energy, Inc., a subsidiary of Diamondback Energy, Inc. (“Diamondback”), as of December 31, 2025. As independent oil and gas consultants, we hereby consent to the inclusion of our audit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333-282225; File No. 333-286424; and File No. 333-291708) and on Forms S-8 (File No. 333-188552; File No. 333-215798; File No. 333-228637; File No. 333-235671; and File No. 333-257561).</w:t>
      </w:r>
    </w:p>
    <w:p>
      <w:pPr>
        <w:pStyle w:val="TextBody"/>
        <w:bidi w:val="0"/>
        <w:spacing w:before="0" w:after="0"/>
        <w:jc w:val="left"/>
        <w:rPr/>
      </w:pPr>
      <w:r>
        <w:rPr/>
      </w:r>
    </w:p>
    <w:tbl>
      <w:tblPr>
        <w:tblW w:w="476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5"/>
        <w:gridCol w:w="585"/>
        <w:gridCol w:w="585"/>
        <w:gridCol w:w="585"/>
        <w:gridCol w:w="585"/>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TBPELS Firm Registration No. F-1580</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Houston, Texas</w: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February 25, 2026 </w:t>
      </w:r>
    </w:p>
    <w:p>
      <w:pPr>
        <w:pStyle w:val="TextBody"/>
        <w:bidi w:val="0"/>
        <w:spacing w:before="16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Kaes Van't Hof,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Diamondback Energy, Inc. (the "registrant");</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6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Jere W. Thompson III, certify that: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Diamondback Energy, Inc. (the "registrant");</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120"/>
        <w:jc w:val="both"/>
        <w:rPr>
          <w:color w:val="000000"/>
        </w:rPr>
      </w:pPr>
      <w:r>
        <w:rPr>
          <w:color w:val="000000"/>
        </w:rPr>
        <w:t> </w:t>
      </w:r>
    </w:p>
    <w:tbl>
      <w:tblPr>
        <w:tblW w:w="458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19"/>
        <w:gridCol w:w="619"/>
        <w:gridCol w:w="8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 Kaes Van't Hof, Chief Executive Officer of Diamondback Energy, Inc. (the “Company”), certify, pursuant to Section 906 of the Sarbanes-Oxley Act of 2002, 18 U.S.C. Section 1350, that, to the best of my knowledge: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(1) the Annual Report on Form 10-K of the Company for the year ended December 31, 2025 (the “Report”) fully complies with the requirements of Section 13 (a) or 15(d) of the Securities Exchange Act of 1934 (15 U.S.C. 78m or 78o(d)); and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 Jere W. Thompson III, Chief Financial Officer of Diamondback Energy, Inc. (the “Company”), certify, pursuant to Section 906 of the Sarbanes-Oxley Act of 2002, 18 U.S.C. Section 1350, that, to the best of my knowledge: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(1) the Annual Report on Form 10-K of the Company for the year ended December 31, 2025 (the “Report”) fully complies with the requirements of Section 13 (a) or 15(d) of the Securities Exchange Act of 1934 (15 U.S.C. 78m or 78o(d)); and </w:t>
      </w:r>
    </w:p>
    <w:p>
      <w:pPr>
        <w:pStyle w:val="TextBody"/>
        <w:bidi w:val="0"/>
        <w:spacing w:lineRule="auto" w:line="288" w:before="18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60"/>
        <w:jc w:val="left"/>
        <w:rPr>
          <w:color w:val="000000"/>
        </w:rPr>
      </w:pPr>
      <w:r>
        <w:rPr>
          <w:color w:val="000000"/>
        </w:rPr>
        <w:t> </w:t>
      </w:r>
    </w:p>
    <w:tbl>
      <w:tblPr>
        <w:tblW w:w="458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19"/>
        <w:gridCol w:w="619"/>
        <w:gridCol w:w="8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97.1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DIAMONDBACK ENERGY, INC.</w:t>
        <w:br/>
        <w:t>CLAWBACK POLICY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(Effective Date: February 4, 2026)</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Purpose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Diamondback Energy,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 committed to conducting business with integrity, in accordance with high ethical standards and in compliance with all applicable laws, rules and regulations, including those regarding the presentation of the Company’s financial information to the public. As a result, the Board of Directors of the Company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has adopted this Clawback Policy (as amended from time to time, this “</w:t>
      </w:r>
      <w:r>
        <w:rPr>
          <w:rFonts w:ascii="Times New Roman;serif" w:hAnsi="Times New Roman;serif"/>
          <w:b/>
          <w:i/>
          <w:color w:val="000000"/>
          <w:sz w:val="22"/>
        </w:rPr>
        <w:t>Policy</w:t>
      </w:r>
      <w:r>
        <w:rPr>
          <w:color w:val="000000"/>
        </w:rPr>
        <w:t>”</w:t>
      </w:r>
      <w:r>
        <w:rPr>
          <w:rFonts w:ascii="Times New Roman;serif" w:hAnsi="Times New Roman;serif"/>
          <w:b w:val="false"/>
          <w:color w:val="000000"/>
          <w:sz w:val="22"/>
        </w:rPr>
        <w:t>) effective as of the Effective Date set forth above, which replaces and supersedes that certain Clawback Policy dated October 2,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Administration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This Policy is administered by the Compensation Committee of the Board (the “</w:t>
      </w:r>
      <w:r>
        <w:rPr>
          <w:rFonts w:ascii="Times New Roman;serif" w:hAnsi="Times New Roman;serif"/>
          <w:b/>
          <w:i/>
          <w:color w:val="000000"/>
          <w:sz w:val="22"/>
        </w:rPr>
        <w:t>Committee</w:t>
      </w:r>
      <w:r>
        <w:rPr>
          <w:color w:val="000000"/>
        </w:rPr>
        <w:t>”</w:t>
      </w:r>
      <w:r>
        <w:rPr>
          <w:rFonts w:ascii="Times New Roman;serif" w:hAnsi="Times New Roman;serif"/>
          <w:b w:val="false"/>
          <w:color w:val="000000"/>
          <w:sz w:val="22"/>
        </w:rPr>
        <w:t>) and is intended to comply with, and as applicable to be administered and interpreted consistent with, and subject to the exceptions set forth in, Listing Standard 5608 adopted by the Nasdaq Stock Market to implement Rule 10D-1 under the Securities Exchange Act of 1934, as amended (collectively, “</w:t>
      </w:r>
      <w:r>
        <w:rPr>
          <w:rFonts w:ascii="Times New Roman;serif" w:hAnsi="Times New Roman;serif"/>
          <w:b/>
          <w:i/>
          <w:color w:val="000000"/>
          <w:sz w:val="22"/>
        </w:rPr>
        <w:t>Rule 10D-1</w:t>
      </w:r>
      <w:r>
        <w:rPr>
          <w:color w:val="000000"/>
        </w:rPr>
        <w:t>”</w:t>
      </w:r>
      <w:r>
        <w:rPr>
          <w:rFonts w:ascii="Times New Roman;serif" w:hAnsi="Times New Roman;serif"/>
          <w:b w:val="false"/>
          <w:color w:val="000000"/>
          <w:sz w:val="22"/>
        </w:rPr>
        <w:t>). Except as limited by law, the Committee has full power, authority, and discretion to construe, interpret and apply this Policy. Any determinations made by the Committee will be made in compliance with the Nasdaq Stock Market listing rules and Rule 10D-1 and are final, conclusive and binding on all affected individuals.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Policy will be interpreted and applied in a manner that is consistent with the requirements of the Nasdaq Stock Market listing rules and Rule 10D-1, and to the extent this Policy is inconsistent with such rules, it shall be deemed amended to the extent necessary to ensure it is consistent therewith. The Board or Committee may amend, modify or terminate this Policy in whole or in part at any time in its sole discretion and may adopt such rules and procedures that it deems necessary or appropriate to implement this Policy or to comply with applicable laws and regulations. In addition, this Policy will terminate automatically when the Company does not have a class of securities listed on a national securities exchange or association and will be limited to the extent that any provision of the Nasdaq Stock Market listing rules and/or Rule 10D-1 is no longer in effect or applicable to the Company. The Company is authorized to take appropriate steps to implement this Policy with respect to Incentive-Based Compensation arrangements with Covered Executives.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Recoupment of Incentive-Based Compensation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In the event the Company is required to prepare an accounting restatement of the Company’s financial statements due to material non-compliance with any financial reporting requirement under the federal securities laws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without regard to any taxes paid with respect to such compensation. The Company will maintain and will provide to the Nasdaq Stock Market documentation of all determinations and actions taken in complying with this Policy. Any determinations made by the Committee under this Policy shall be final and binding on all affected individuals.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may effect any recovery pursuant to this Policy by requiring payment of such amount(s) to the Company, by set-off, by reducing future compensation, or by such other means or combination of means as the Committee determines to be appropriate and to the extent permitted by law. The Company need not recover the excess amount of Incentive-Based Compensation if and to the extent that the Committee determines that such recovery is “impracticable,” within the meaning of,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Definitions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2"/>
        </w:rPr>
        <w:t>Covered Executives</w:t>
      </w:r>
      <w:r>
        <w:rPr>
          <w:color w:val="000000"/>
        </w:rPr>
        <w:t xml:space="preserve">” </w:t>
      </w:r>
      <w:r>
        <w:rPr>
          <w:rFonts w:ascii="Times New Roman;serif" w:hAnsi="Times New Roman;serif"/>
          <w:b w:val="false"/>
          <w:color w:val="000000"/>
          <w:sz w:val="22"/>
        </w:rPr>
        <w:t>means any “officer” of the Company as defined under Rule 16a-1(f) under the Securities Exchange Act of 1934, as amended.</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2"/>
        </w:rPr>
        <w:t>Incentive-Based Compensation</w:t>
      </w:r>
      <w:r>
        <w:rPr>
          <w:color w:val="000000"/>
        </w:rPr>
        <w:t xml:space="preserve">” </w:t>
      </w:r>
      <w:r>
        <w:rPr>
          <w:rFonts w:ascii="Times New Roman;serif" w:hAnsi="Times New Roman;serif"/>
          <w:b w:val="false"/>
          <w:color w:val="000000"/>
          <w:sz w:val="22"/>
        </w:rPr>
        <w:t>means any compensation granted, earned, or vested based in whole or in part on the Company’s attainment of a financial reporting measure that was Received by a person (i) on or after October 2, 2023 and after the person began service as a Covered Executive, (ii) who served as a Covered Executive at any time during the performance period for the Incentive-Based Compensation, and (iii) while the Company has a class of securities listed on a national securities exchange or association.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Incentive-Based Compensation is deemed to be “</w:t>
      </w:r>
      <w:r>
        <w:rPr>
          <w:rFonts w:ascii="Times New Roman;serif" w:hAnsi="Times New Roman;serif"/>
          <w:b/>
          <w:i/>
          <w:color w:val="000000"/>
          <w:sz w:val="22"/>
        </w:rPr>
        <w:t>Received</w:t>
      </w:r>
      <w:r>
        <w:rPr>
          <w:color w:val="000000"/>
        </w:rPr>
        <w:t xml:space="preserve">” </w:t>
      </w:r>
      <w:r>
        <w:rPr>
          <w:rFonts w:ascii="Times New Roman;serif" w:hAnsi="Times New Roman;serif"/>
          <w:b w:val="false"/>
          <w:color w:val="000000"/>
          <w:sz w:val="22"/>
        </w:rPr>
        <w:t xml:space="preserve">in the fiscal period during which the relevant financial reporting measure is attained, regardless of when the compensation is actually paid or awarded. </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erif" w:hAnsi="Times New Roman;serif"/>
          <w:b/>
          <w:i/>
          <w:color w:val="000000"/>
          <w:sz w:val="22"/>
        </w:rPr>
        <w:t>Recovery Period</w:t>
      </w:r>
      <w:r>
        <w:rPr>
          <w:color w:val="000000"/>
        </w:rPr>
        <w:t xml:space="preserve">” </w:t>
      </w:r>
      <w:r>
        <w:rPr>
          <w:rFonts w:ascii="Times New Roman;serif" w:hAnsi="Times New Roman;serif"/>
          <w:b w:val="false"/>
          <w:color w:val="000000"/>
          <w:sz w:val="22"/>
        </w:rPr>
        <w:t>means the three completed fiscal years immediately preceding the date that the Company is required to prepare the accounting restatement described in this Policy, all as determined pursuant to the Nasdaq Stock Market listing rules and Rule 10D-1, and any transition period (that results from a change in the Company’s fiscal year) of less than nine months that is within or immediately following such three fiscal years.</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 Exclusive; Limitation on Duplicative Recovery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reimbursement or cancellation under this Policy is in addition to, and not in lieu of, any other remedies or rights that may be available to the Company, including (i) pursuant to the terms of any Company plan or policy or any agreement with the Covered Executive, (ii) disciplinary action up to and including termination, and (iii) institution of civil or criminal proceedings. Any right of recoupment under this Policy is in addition to, and is not in lieu of, any actions imposed by law enforcement agencies, regulators or other authorities. Notwithstanding the generality of the foregoing, to the extent that the requirements under the provisions of Section 304 of the Sarbanes-Oxley Act of 2002 are broader than the provisions in this Policy, the provisions of such law will apply to the Company’s Chief Executive Officer and Chief Financial Officer. Notwithstanding the foregoing, unless otherwise prohibited by the Nasdaq Stock Market listing rules and/or Rule 10D-1, to the extent this Policy provides for recovery of erroneously awarded Incentive-Based Compensation already recovered by the Company pursuant to Section 304 of the Sarbanes-Oxley Act of 2002, the amount of erroneously awarded Incentive-Based Compensation already recovered by the Company from the recipient of such erroneously awarded Incentive-Based Compensation will be credited to the amount of erroneously awarded Incentive-Based Compensation required to be recovered pursuant to this Policy from such person.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 Indemnification; No Personal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will not indemnify any Covered Executive against any loss pursuant to this Policy, nor will the Company pay, agree to pay, or reimburse any insurance premium to cover any loss hereunder.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 and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Severability</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DIAMONDBACK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Estimated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Attributable to Certain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Leasehold and Royalty Interests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of</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December 31,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326" w:type="dxa"/>
        <w:jc w:val="left"/>
        <w:tblInd w:w="0" w:type="dxa"/>
        <w:tblLayout w:type="fixed"/>
        <w:tblCellMar>
          <w:top w:w="28" w:type="dxa"/>
          <w:left w:w="28" w:type="dxa"/>
          <w:bottom w:w="28" w:type="dxa"/>
          <w:right w:w="28" w:type="dxa"/>
        </w:tblCellMar>
      </w:tblPr>
      <w:tblGrid>
        <w:gridCol w:w="1171"/>
        <w:gridCol w:w="1031"/>
        <w:gridCol w:w="1037"/>
        <w:gridCol w:w="109"/>
        <w:gridCol w:w="109"/>
        <w:gridCol w:w="109"/>
        <w:gridCol w:w="807"/>
        <w:gridCol w:w="807"/>
        <w:gridCol w:w="1146"/>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 Marsha E. Wellmann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 Raza Rizvi</w:t>
            </w:r>
          </w:p>
        </w:tc>
      </w:tr>
      <w:tr>
        <w:trPr/>
        <w:tc>
          <w:tcPr>
            <w:tcW w:w="3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Marsha E. Wellmann, P.E.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Raza Rizvi</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TBPELS License No. 116149</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Managing Senior Vice President</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4554" w:type="dxa"/>
        <w:jc w:val="center"/>
        <w:tblInd w:w="0" w:type="dxa"/>
        <w:tblLayout w:type="fixed"/>
        <w:tblCellMar>
          <w:top w:w="28" w:type="dxa"/>
          <w:left w:w="28" w:type="dxa"/>
          <w:bottom w:w="28" w:type="dxa"/>
          <w:right w:w="28" w:type="dxa"/>
        </w:tblCellMar>
      </w:tblPr>
      <w:tblGrid>
        <w:gridCol w:w="124"/>
        <w:gridCol w:w="109"/>
        <w:gridCol w:w="109"/>
        <w:gridCol w:w="1278"/>
        <w:gridCol w:w="1278"/>
        <w:gridCol w:w="128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James Wells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James Wells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Petroleum Engineer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RYDER SCOTT COMPANY, 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Firm Registration No. F-1580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6840"/>
                <wp:effectExtent l="0" t="0" r="0" b="0"/>
                <wp:wrapNone/>
                <wp:docPr id="167" name="Frame1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drawing>
          <wp:inline distT="0" distB="0" distL="0" distR="0">
            <wp:extent cx="495300" cy="571500"/>
            <wp:effectExtent l="0" t="0" r="0" b="0"/>
            <wp:docPr id="16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 descr=""/>
                    <pic:cNvPicPr>
                      <a:picLocks noChangeAspect="1" noChangeArrowheads="1"/>
                    </pic:cNvPicPr>
                  </pic:nvPicPr>
                  <pic:blipFill>
                    <a:blip r:embed="rId105"/>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16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 descr=""/>
                    <pic:cNvPicPr>
                      <a:picLocks noChangeAspect="1" noChangeArrowheads="1"/>
                    </pic:cNvPicPr>
                  </pic:nvPicPr>
                  <pic:blipFill>
                    <a:blip r:embed="rId106"/>
                    <a:stretch>
                      <a:fillRect/>
                    </a:stretch>
                  </pic:blipFill>
                  <pic:spPr bwMode="auto">
                    <a:xfrm>
                      <a:off x="0" y="0"/>
                      <a:ext cx="1847850" cy="457200"/>
                    </a:xfrm>
                    <a:prstGeom prst="rect">
                      <a:avLst/>
                    </a:prstGeom>
                  </pic:spPr>
                </pic:pic>
              </a:graphicData>
            </a:graphic>
          </wp:inline>
        </w:drawing>
      </w:r>
    </w:p>
    <w:tbl>
      <w:tblPr>
        <w:tblW w:w="6284" w:type="dxa"/>
        <w:jc w:val="left"/>
        <w:tblInd w:w="0" w:type="dxa"/>
        <w:tblLayout w:type="fixed"/>
        <w:tblCellMar>
          <w:top w:w="28" w:type="dxa"/>
          <w:left w:w="28" w:type="dxa"/>
          <w:bottom w:w="28" w:type="dxa"/>
          <w:right w:w="28" w:type="dxa"/>
        </w:tblCellMar>
      </w:tblPr>
      <w:tblGrid>
        <w:gridCol w:w="765"/>
        <w:gridCol w:w="675"/>
        <w:gridCol w:w="675"/>
        <w:gridCol w:w="729"/>
        <w:gridCol w:w="729"/>
        <w:gridCol w:w="732"/>
        <w:gridCol w:w="578"/>
        <w:gridCol w:w="578"/>
        <w:gridCol w:w="823"/>
      </w:tblGrid>
      <w:tr>
        <w:trPr/>
        <w:tc>
          <w:tcPr>
            <w:tcW w:w="76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43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5"/>
              </w:rPr>
            </w:pPr>
            <w:r>
              <w:rPr>
                <w:rFonts w:ascii="Times New Roman;serif" w:hAnsi="Times New Roman;serif"/>
                <w:b w:val="false"/>
                <w:color w:val="000000"/>
                <w:sz w:val="15"/>
              </w:rPr>
              <w:t>TBPELS REGISTERED ENGINEERING FIRM F-1580</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1100 LOUISIANA SUITE 4600 </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HOUSTON, TEXAS 77002-5294 </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TELEPHONE (713) 651-9191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January 13, 2026</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500 West Texas, Suite 1210</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Midland, Texas 79701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At the request of Diamondback Energy, Inc. (Diamondback), Ryder Scott Company, L.P. (Ryder Scott) has conducted a reserves audit of the estimates of the proved reserves, future production and discounted future net income as of December 31, 2025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7, 2026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leasehold and royalty interests in certain properties owned by Diamondback and the portion of those reserves and income data reviewed by Ryder Scott, as of December 31, 2025. The properties reviewed by Ryder Scott incorporate Diamondback reserves determinations and are located in the states of New Mexico and Texas.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reviewed by Ryder Scott represent 100 percent of Diamondback’s total net proved liquid hydrocarbon and gas reserves as of December 31, 2025.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0"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5"/>
                              </w:rPr>
                              <w:t>SUITE 2800, 350 7TH AVENUE, S.W.    CALGARY, ALBERTA T2P 3N9    TEL (403) 262-2799</w:t>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5"/>
                              </w:rPr>
                              <w:t>555 17TH STREET, SUITE 985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5"/>
                        </w:rPr>
                        <w:t>SUITE 2800, 350 7TH AVENUE, S.W.    CALGARY, ALBERTA T2P 3N9    TEL (403) 262-2799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5"/>
                        </w:rPr>
                        <w:t>555 17TH STREET, SUITE 985    DENVER, COLORADO 80202    TEL (303) 339-8110</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2025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are related to hydrocarbon prices. Diamondback has informed us that in the preparation of their reserves and income projections, as of December 31, 2025,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Diamondback's interest in properties that we reviewed are summarized below:</w:t>
      </w:r>
    </w:p>
    <w:p>
      <w:pPr>
        <w:pStyle w:val="TextBody"/>
        <w:bidi w:val="0"/>
        <w:spacing w:before="0" w:after="0"/>
        <w:jc w:val="left"/>
        <w:rPr/>
      </w:pPr>
      <w:r>
        <w:rPr/>
      </w:r>
    </w:p>
    <w:tbl>
      <w:tblPr>
        <w:tblW w:w="4944" w:type="dxa"/>
        <w:jc w:val="left"/>
        <w:tblInd w:w="0" w:type="dxa"/>
        <w:tblLayout w:type="fixed"/>
        <w:tblCellMar>
          <w:top w:w="28" w:type="dxa"/>
          <w:left w:w="28" w:type="dxa"/>
          <w:bottom w:w="28" w:type="dxa"/>
          <w:right w:w="28" w:type="dxa"/>
        </w:tblCellMar>
      </w:tblPr>
      <w:tblGrid>
        <w:gridCol w:w="124"/>
        <w:gridCol w:w="109"/>
        <w:gridCol w:w="109"/>
        <w:gridCol w:w="1409"/>
        <w:gridCol w:w="1409"/>
        <w:gridCol w:w="14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SEC PARAMETERS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Estimated Net Reserves and Income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Certain Royalty Interests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Diamondback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As of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83" w:type="dxa"/>
        <w:jc w:val="left"/>
        <w:tblInd w:w="0" w:type="dxa"/>
        <w:tblLayout w:type="fixed"/>
        <w:tblCellMar>
          <w:top w:w="28" w:type="dxa"/>
          <w:left w:w="28" w:type="dxa"/>
          <w:bottom w:w="28" w:type="dxa"/>
          <w:right w:w="28" w:type="dxa"/>
        </w:tblCellMar>
      </w:tblPr>
      <w:tblGrid>
        <w:gridCol w:w="918"/>
        <w:gridCol w:w="807"/>
        <w:gridCol w:w="809"/>
        <w:gridCol w:w="109"/>
        <w:gridCol w:w="109"/>
        <w:gridCol w:w="109"/>
        <w:gridCol w:w="393"/>
        <w:gridCol w:w="393"/>
        <w:gridCol w:w="400"/>
        <w:gridCol w:w="109"/>
        <w:gridCol w:w="109"/>
        <w:gridCol w:w="109"/>
        <w:gridCol w:w="410"/>
        <w:gridCol w:w="410"/>
        <w:gridCol w:w="411"/>
        <w:gridCol w:w="109"/>
        <w:gridCol w:w="109"/>
        <w:gridCol w:w="109"/>
        <w:gridCol w:w="391"/>
        <w:gridCol w:w="391"/>
        <w:gridCol w:w="569"/>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42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Developed</w:t>
            </w:r>
          </w:p>
        </w:tc>
        <w:tc>
          <w:tcPr>
            <w:tcW w:w="1885" w:type="dxa"/>
            <w:gridSpan w:val="9"/>
            <w:tcBorders>
              <w:top w:val="single" w:sz="6" w:space="0" w:color="000000"/>
            </w:tcBorders>
            <w:tcMar>
              <w:left w:w="0" w:type="dxa"/>
              <w:bottom w:w="0" w:type="dxa"/>
              <w:right w:w="0" w:type="dxa"/>
            </w:tcMar>
            <w:vAlign w:val="center"/>
          </w:tcPr>
          <w:p>
            <w:pPr>
              <w:pStyle w:val="TableContents"/>
              <w:bidi w:val="0"/>
              <w:spacing w:before="0" w:after="0"/>
              <w:jc w:val="both"/>
              <w:rPr/>
            </w:pPr>
            <w:r>
              <w:rPr/>
            </w:r>
          </w:p>
        </w:tc>
        <w:tc>
          <w:tcPr>
            <w:tcW w:w="13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Producing</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Audited by Ryder Scott</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Net Reserves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351"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Oil/Condensate – MBBLS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1,026,600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554,614</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1,581,215</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Plant Products – MBBLS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617,717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239,968</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857,685</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Gas – MMCF</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3,360,058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1,277,478</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4,637,536</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MBOE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2,204,327</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1,007,495</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3,211,822</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Income Data ($M)</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Future Gross Revenue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$78,561,753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$40,144,166</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$118,705,919</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33,443,872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19,143,921</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52,587,793</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Future Net Income (FNI)</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$45,117,881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$21,000,245</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$ 66,118,126</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Discounted FNI @ 10%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$25,646,325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$10,841,349</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$ 36,487,675</w:t>
            </w:r>
          </w:p>
        </w:tc>
      </w:tr>
    </w:tbl>
    <w:p>
      <w:pPr>
        <w:pStyle w:val="TextBody"/>
        <w:bidi w:val="0"/>
        <w:spacing w:before="0" w:after="0"/>
        <w:jc w:val="both"/>
        <w:rPr/>
      </w:pPr>
      <w:r>
        <w:rPr/>
      </w:r>
    </w:p>
    <w:p>
      <w:pPr>
        <w:pStyle w:val="TextBody"/>
        <w:bidi w:val="0"/>
        <w:spacing w:lineRule="auto" w:line="288"/>
        <w:jc w:val="both"/>
        <w:rPr/>
      </w:pPr>
      <w:r>
        <w:rPr>
          <w:color w:val="242424"/>
          <w:shd w:fill="FFFFFF" w:val="clear"/>
        </w:rPr>
        <w:t>    </w:t>
      </w:r>
      <w:r>
        <w:rPr>
          <w:rFonts w:ascii="Arial;sans-serif" w:hAnsi="Arial;sans-serif"/>
          <w:b/>
          <w:i/>
          <w:color w:val="242424"/>
          <w:sz w:val="20"/>
          <w:shd w:fill="FFFFFF" w:val="clear"/>
        </w:rPr>
        <w:t>Values may not sum to total due to rounding</w:t>
      </w:r>
      <w:r>
        <w:rPr>
          <w:rFonts w:ascii="Arial;sans-serif" w:hAnsi="Arial;sans-serif"/>
          <w:b/>
          <w:color w:val="242424"/>
          <w:sz w:val="20"/>
          <w:shd w:fill="FFFFFF" w:val="clear"/>
        </w:rPr>
        <w: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6840"/>
                <wp:effectExtent l="0" t="0" r="0" b="0"/>
                <wp:wrapNone/>
                <wp:docPr id="171" name="Frame1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gross revenue is after the deduction of production taxes. The deductions incorporate the normal direct costs of operating the wells, ad valorem taxes, development costs, and certain abandonment costs. The future net income is before the deduction of state and federal income taxes and general administrative overhead, and has not been adjusted for outstanding loans that may exist nor does it include any adjustment for cash on hand or undistributed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Reserves Included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proved reserves status categories are defined in the attachment entitled “PETROLEUM RESERVES STATUS DEFINITIONS AND GUIDELINES”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 xml:space="preserve">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6840"/>
                <wp:effectExtent l="0" t="0" r="0" b="0"/>
                <wp:wrapNone/>
                <wp:docPr id="172" name="Frame1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included in this report are estimates only and should not be construed as being exact quantities. They may or may not be actually recovered,</w:t>
      </w:r>
      <w:r>
        <w:rPr>
          <w:color w:val="000000"/>
        </w:rPr>
        <w:t xml:space="preserve"> </w:t>
      </w:r>
      <w:r>
        <w:rPr>
          <w:rFonts w:ascii="Arial;sans-serif" w:hAnsi="Arial;sans-serif"/>
          <w:b w:val="false"/>
          <w:color w:val="000000"/>
          <w:sz w:val="22"/>
        </w:rPr>
        <w:t>and if recovered,</w:t>
      </w:r>
      <w:r>
        <w:rPr>
          <w:color w:val="000000"/>
        </w:rPr>
        <w:t xml:space="preserve"> </w:t>
      </w:r>
      <w:r>
        <w:rPr>
          <w:rFonts w:ascii="Arial;sans-serif" w:hAnsi="Arial;sans-serif"/>
          <w:b w:val="false"/>
          <w:color w:val="000000"/>
          <w:sz w:val="22"/>
        </w:rPr>
        <w:t>the revenues therefrom, and the actual costs related thereto, could be more or less than the estimated amounts.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Data, Methodology, Procedure and Assumptions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2025 in those cases where such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6840"/>
                <wp:effectExtent l="0" t="0" r="0" b="0"/>
                <wp:wrapNone/>
                <wp:docPr id="173" name="Frame1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attributable to the undeveloped status category that we reviewed were estimated by analogy.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initial SEC hydrocarbon benchmark prices in effect on December 31, 2025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product prices that were actually used by Diamondback to determine the future gross revenue for each property reviewed by us reflect adjustments to the benchmark prices for gravity, quality, local conditions, and/or distance from market, referred to herein as “differentials.” The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6840"/>
                <wp:effectExtent l="0" t="0" r="0" b="0"/>
                <wp:wrapNone/>
                <wp:docPr id="174" name="Frame1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differentials used by Diamondback were accepted as factual data and reviewed by us for their reasonableness; however, we have not conducted an independent verification of the data used by Diamondback.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table below summarizes Diamondback’s net volume weighted benchmark prices adjusted for differentials for the properties reviewed by us and referred to herein as Diamondback’s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8305" w:type="dxa"/>
        <w:jc w:val="left"/>
        <w:tblInd w:w="0" w:type="dxa"/>
        <w:tblLayout w:type="fixed"/>
        <w:tblCellMar>
          <w:top w:w="28" w:type="dxa"/>
          <w:left w:w="28" w:type="dxa"/>
          <w:bottom w:w="28" w:type="dxa"/>
          <w:right w:w="28" w:type="dxa"/>
        </w:tblCellMar>
      </w:tblPr>
      <w:tblGrid>
        <w:gridCol w:w="647"/>
        <w:gridCol w:w="567"/>
        <w:gridCol w:w="570"/>
        <w:gridCol w:w="538"/>
        <w:gridCol w:w="538"/>
        <w:gridCol w:w="543"/>
        <w:gridCol w:w="459"/>
        <w:gridCol w:w="459"/>
        <w:gridCol w:w="461"/>
        <w:gridCol w:w="544"/>
        <w:gridCol w:w="544"/>
        <w:gridCol w:w="546"/>
        <w:gridCol w:w="552"/>
        <w:gridCol w:w="552"/>
        <w:gridCol w:w="78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Geographic Area</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Product</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Reference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Benchmark</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 Realized</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North America</w:t>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88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both"/>
              <w:rPr/>
            </w:pPr>
            <w:r>
              <w:rPr/>
            </w:r>
          </w:p>
        </w:tc>
      </w:tr>
      <w:tr>
        <w:trPr/>
        <w:tc>
          <w:tcPr>
            <w:tcW w:w="17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Oil/Condensate</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$65.34/Bbl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$65.01/Bbl</w:t>
            </w:r>
          </w:p>
        </w:tc>
      </w:tr>
      <w:tr>
        <w:trPr/>
        <w:tc>
          <w:tcPr>
            <w:tcW w:w="178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United States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NGLs</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$65.34/Bbl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$18.85/Bbl</w:t>
            </w:r>
          </w:p>
        </w:tc>
      </w:tr>
      <w:tr>
        <w:trPr/>
        <w:tc>
          <w:tcPr>
            <w:tcW w:w="17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Gas</w:t>
            </w:r>
          </w:p>
        </w:tc>
        <w:tc>
          <w:tcPr>
            <w:tcW w:w="13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Henry Hub</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$3.387/MMBTU</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$1.33/Mcf</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Diamondback’s individual property evaluations.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Accumulated gas production imbalances, if any, were not taken into account in the proved gas reserves estimates reviewed. The proved gas volumes presented herein do not include volumes of gas consumed in operations as reserves.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Arial;sans-serif" w:hAnsi="Arial;sans-serif"/>
          <w:b/>
          <w:color w:val="000000"/>
          <w:sz w:val="22"/>
        </w:rPr>
        <w:t>.</w:t>
      </w:r>
      <w:r>
        <w:rPr>
          <w:color w:val="000000"/>
        </w:rPr>
        <w:t xml:space="preserve"> </w:t>
      </w:r>
      <w:r>
        <w:rPr>
          <w:rFonts w:ascii="Arial;sans-serif" w:hAnsi="Arial;sans-serif"/>
          <w:b w:val="false"/>
          <w:color w:val="000000"/>
          <w:sz w:val="22"/>
        </w:rPr>
        <w:t>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estimated cost of abandonment was included by Diamondback for properties where certain abandonment costs were provided by Diamondback and for which they requested be included in our report. Diamondback’s estimates of the abandonment costs were accepted without independent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16840"/>
                <wp:effectExtent l="0" t="0" r="0" b="0"/>
                <wp:wrapNone/>
                <wp:docPr id="175" name="Frame1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verification.</w:t>
      </w:r>
      <w:r>
        <w:rPr>
          <w:color w:val="000000"/>
        </w:rPr>
        <w:t xml:space="preserve"> </w:t>
      </w:r>
      <w:r>
        <w:rPr>
          <w:rFonts w:ascii="Arial;sans-serif" w:hAnsi="Arial;sans-serif"/>
          <w:b w:val="false"/>
          <w:color w:val="000000"/>
          <w:sz w:val="22"/>
        </w:rPr>
        <w:t>We have made no inspections to determine if any additional abandonment, decommissioning, and /or restoration costs may be necessary in addition to the costs provided by Diamondback and included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The proved undeveloped reserves for the properties reviewed by us have been incorporated herein in accordance with Diamondback’s plans to develop these reserves as of December 31, 2025.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sans-serif" w:hAnsi="Arial;sans-serif"/>
          <w:b/>
          <w:color w:val="000000"/>
          <w:sz w:val="22"/>
        </w:rPr>
        <w:t xml:space="preserve">. </w:t>
      </w:r>
      <w:r>
        <w:rPr>
          <w:rFonts w:ascii="Arial;sans-serif" w:hAnsi="Arial;sans-serif"/>
          <w:b w:val="false"/>
          <w:color w:val="000000"/>
          <w:sz w:val="22"/>
        </w:rPr>
        <w:t>Additionally, Diamondback has informed us that they are not aware of any legal, regulatory, or political obstacles that would significantly alter their plans. While these plans could change from those under existing economic conditions as of December 31, 2025, such changes were, in accordance with rules adopted by the SEC, omitted from consideration in making this evaluation.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Diamondback were held constant throughout the life of the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6840"/>
                <wp:effectExtent l="0" t="0" r="0" b="0"/>
                <wp:wrapNone/>
                <wp:docPr id="176" name="Frame1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proved reserves presented herein were based upon a review of the properties in which Diamondback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w:t>
      </w:r>
      <w:r>
        <w:rPr>
          <w:color w:val="000000"/>
        </w:rPr>
        <w:t xml:space="preserve"> </w:t>
      </w:r>
      <w:r>
        <w:rPr>
          <w:rFonts w:ascii="Arial;sans-serif" w:hAnsi="Arial;sans-serif"/>
          <w:b w:val="false"/>
          <w:color w:val="000000"/>
          <w:sz w:val="22"/>
        </w:rPr>
        <w:t>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Opinion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2025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proved reserves to be effective and, in the aggregate, we found no bias in the utilization and analysis of data in estimates for these properties.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We were in reasonable agreement with Diamondback's estimates of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Diamondback.</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16840"/>
                <wp:effectExtent l="0" t="0" r="0" b="0"/>
                <wp:wrapNone/>
                <wp:docPr id="177" name="Frame1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Diamondback. Neither we nor any of our employees have any financial interest in the subject properties, and neither the employment to do this work nor the compensation is contingent on our estimates of reserves for the properties which were reviewed.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results of our third party audit, presented in report form herein, were prepared in accordance with the disclosure requirements set forth in the SEC regulations and intended for public disclosure as an exhibit in filings made with the SEC by Diamondback. </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pPr>
      <w:r>
        <w:rPr>
          <w:rFonts w:ascii="Arial;sans-serif" w:hAnsi="Arial;sans-serif"/>
          <w:b w:val="false"/>
          <w:color w:val="000000"/>
          <w:sz w:val="22"/>
        </w:rPr>
        <w:t>Diamondback makes periodic filings on Form 10-K with the SEC under the 1934 Exchange Act. Furthermore, Diamondback has certain registration statements filed with the SEC under the 1933 Securities Act</w:t>
      </w:r>
      <w:r>
        <w:rPr>
          <w:color w:val="000000"/>
        </w:rPr>
        <w:t xml:space="preserve"> </w:t>
      </w:r>
      <w:r>
        <w:rPr>
          <w:rFonts w:ascii="Arial;sans-serif" w:hAnsi="Arial;sans-serif"/>
          <w:b w:val="false"/>
          <w:color w:val="000000"/>
          <w:sz w:val="22"/>
        </w:rPr>
        <w:t>into which any subsequently filed Form 10-K</w:t>
      </w:r>
      <w:r>
        <w:rPr>
          <w:color w:val="000000"/>
        </w:rPr>
        <w:t xml:space="preserve"> </w:t>
      </w:r>
      <w:r>
        <w:rPr>
          <w:rFonts w:ascii="Arial;sans-serif" w:hAnsi="Arial;sans-serif"/>
          <w:b w:val="false"/>
          <w:color w:val="000000"/>
          <w:sz w:val="22"/>
        </w:rPr>
        <w:t>is incorporated by reference. We have consented to the incorporation by reference in the registration statements on Form S-3 of Diamondback, of the references to our name, as well as to the references to our third party report for Diamondback, which appears in the December 31, 2025 annual report on Form 10-K</w:t>
      </w:r>
      <w:r>
        <w:rPr>
          <w:color w:val="000000"/>
        </w:rPr>
        <w:t xml:space="preserve"> </w:t>
      </w:r>
      <w:r>
        <w:rPr>
          <w:rFonts w:ascii="Arial;sans-serif" w:hAnsi="Arial;sans-serif"/>
          <w:b w:val="false"/>
          <w:color w:val="000000"/>
          <w:sz w:val="22"/>
        </w:rPr>
        <w:t xml:space="preserve">of Diamondback.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Diamondback Energy, Inc.</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6840"/>
                <wp:effectExtent l="0" t="0" r="0" b="0"/>
                <wp:wrapNone/>
                <wp:docPr id="178" name="Frame1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10</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Our written consent for such use is included as a separate exhibit to the filings made with the SEC by Diamondback.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bidi w:val="0"/>
        <w:spacing w:before="0" w:after="0"/>
        <w:ind w:left="0" w:right="0" w:firstLine="720"/>
        <w:jc w:val="both"/>
        <w:rPr/>
      </w:pPr>
      <w:r>
        <w:rPr/>
      </w:r>
    </w:p>
    <w:tbl>
      <w:tblPr>
        <w:tblW w:w="6624" w:type="dxa"/>
        <w:jc w:val="left"/>
        <w:tblInd w:w="0" w:type="dxa"/>
        <w:tblLayout w:type="fixed"/>
        <w:tblCellMar>
          <w:top w:w="28" w:type="dxa"/>
          <w:left w:w="28" w:type="dxa"/>
          <w:bottom w:w="28" w:type="dxa"/>
          <w:right w:w="28" w:type="dxa"/>
        </w:tblCellMar>
      </w:tblPr>
      <w:tblGrid>
        <w:gridCol w:w="446"/>
        <w:gridCol w:w="392"/>
        <w:gridCol w:w="392"/>
        <w:gridCol w:w="392"/>
        <w:gridCol w:w="392"/>
        <w:gridCol w:w="399"/>
        <w:gridCol w:w="109"/>
        <w:gridCol w:w="109"/>
        <w:gridCol w:w="109"/>
        <w:gridCol w:w="1133"/>
        <w:gridCol w:w="1133"/>
        <w:gridCol w:w="1618"/>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 Marsha E. Wellmann</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Marsha E. Wellmann, P.E.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License No. 116149</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Managing Senior Vice President</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[SEAL]</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 Raza Rizvi</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Raza Rizvi</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 James Wells</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James Wells</w:t>
            </w:r>
          </w:p>
        </w:tc>
      </w:tr>
      <w:tr>
        <w:trPr/>
        <w:tc>
          <w:tcPr>
            <w:tcW w:w="2413"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MEW-RR-JW (DRO)/pl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6840"/>
                <wp:effectExtent l="0" t="0" r="0" b="0"/>
                <wp:wrapNone/>
                <wp:docPr id="179" name="Frame1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Professional Qualifications of Primary Technical Person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2025 continuing education hours, Ms. Wellmann attended 29</w:t>
      </w:r>
      <w:r>
        <w:rPr>
          <w:color w:val="000000"/>
        </w:rPr>
        <w:t xml:space="preserve"> </w:t>
      </w:r>
      <w:r>
        <w:rPr>
          <w:rFonts w:ascii="Arial;sans-serif" w:hAnsi="Arial;sans-serif"/>
          <w:b w:val="false"/>
          <w:color w:val="000000"/>
          <w:sz w:val="22"/>
        </w:rPr>
        <w:t xml:space="preserve">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Based on her educational background, professional training and more than 15 years of practical experience in the estimation and evaluation of petroleum reserves, Ms. Wellmann has attained the professional qualifications as a Reserves Estimator and Reserves Auditor set forth in Article III of the “Standards Pertaining to the Estimating and Auditing of Oil and Gas Reserves Information” promulgated by the Society of Petroleum Engineers as of June 2019.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6840"/>
                <wp:effectExtent l="0" t="0" r="0" b="0"/>
                <wp:wrapNone/>
                <wp:docPr id="180" name="Frame1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PREAMBLE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6840"/>
                <wp:effectExtent l="0" t="0" r="0" b="0"/>
                <wp:wrapNone/>
                <wp:docPr id="181" name="Frame1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6840"/>
                <wp:effectExtent l="0" t="0" r="0" b="0"/>
                <wp:wrapNone/>
                <wp:docPr id="182" name="Frame1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6840"/>
                <wp:effectExtent l="0" t="0" r="0" b="0"/>
                <wp:wrapNone/>
                <wp:docPr id="183" name="Frame1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and</w:t>
      </w:r>
    </w:p>
    <w:p>
      <w:pPr>
        <w:pStyle w:val="TextBody"/>
        <w:bidi w:val="0"/>
        <w:spacing w:before="0" w:after="0"/>
        <w:jc w:val="center"/>
        <w:rPr/>
      </w:pPr>
      <w:r>
        <w:rPr/>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bidi w:val="0"/>
        <w:spacing w:before="40" w:after="40"/>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6840"/>
                <wp:effectExtent l="0" t="0" r="0" b="0"/>
                <wp:wrapNone/>
                <wp:docPr id="184" name="Frame1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u w:val="single"/>
        </w:rPr>
        <w:t>Developed Producing Reserves</w:t>
      </w:r>
      <w:r>
        <w:rPr>
          <w:color w:val="000000"/>
        </w:rPr>
        <w:t xml:space="preserve">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    completion intervals that are open at the time of the estimate but which have not yet started producing;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    wells which were shut-in for market conditions or pipeline connections; or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    wells not capable of production for mechanical reasons.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both"/>
        <w:rPr/>
      </w:pPr>
      <w:r>
        <w:rPr/>
      </w:r>
    </w:p>
    <w:p>
      <w:pPr>
        <w:pStyle w:val="TextBody"/>
        <w:bidi w:val="0"/>
        <w:spacing w:lineRule="auto" w:line="288" w:before="0" w:after="0"/>
        <w:ind w:left="0" w:right="0" w:hanging="16"/>
        <w:jc w:val="both"/>
        <w:rPr>
          <w:rFonts w:ascii="Arial;sans-serif" w:hAnsi="Arial;sans-serif"/>
          <w:b w:val="false"/>
          <w:i/>
          <w:color w:val="000000"/>
          <w:sz w:val="22"/>
        </w:rPr>
      </w:pPr>
      <w:r>
        <w:rPr>
          <w:rFonts w:ascii="Arial;sans-serif" w:hAnsi="Arial;sans-serif"/>
          <w:b w:val="false"/>
          <w:i/>
          <w:color w:val="000000"/>
          <w:sz w:val="22"/>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jc w:val="both"/>
        <w:rPr/>
      </w:pPr>
      <w:r>
        <w:rPr/>
      </w:r>
    </w:p>
    <w:p>
      <w:pPr>
        <w:pStyle w:val="TextBody"/>
        <w:bidi w:val="0"/>
        <w:spacing w:lineRule="auto" w:line="288"/>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6840"/>
                <wp:effectExtent l="0" t="0" r="0" b="0"/>
                <wp:wrapNone/>
                <wp:docPr id="185" name="Frame1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RYDER SCOTT COMPANY PETROLEUM CONSULTANTS</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VIPER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Estimated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Attributable to Certain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Royalty Interests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of</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December 31,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326" w:type="dxa"/>
        <w:jc w:val="left"/>
        <w:tblInd w:w="0" w:type="dxa"/>
        <w:tblLayout w:type="fixed"/>
        <w:tblCellMar>
          <w:top w:w="28" w:type="dxa"/>
          <w:left w:w="28" w:type="dxa"/>
          <w:bottom w:w="28" w:type="dxa"/>
          <w:right w:w="28" w:type="dxa"/>
        </w:tblCellMar>
      </w:tblPr>
      <w:tblGrid>
        <w:gridCol w:w="1171"/>
        <w:gridCol w:w="1031"/>
        <w:gridCol w:w="1037"/>
        <w:gridCol w:w="109"/>
        <w:gridCol w:w="109"/>
        <w:gridCol w:w="109"/>
        <w:gridCol w:w="807"/>
        <w:gridCol w:w="807"/>
        <w:gridCol w:w="1146"/>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 Marsha E. Wellmann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 Raza Rizvi</w:t>
            </w:r>
          </w:p>
        </w:tc>
      </w:tr>
      <w:tr>
        <w:trPr/>
        <w:tc>
          <w:tcPr>
            <w:tcW w:w="3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Marsha E. Wellmann, P.E.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Raza Rizvi</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TBPELS License No. 116149</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Managing Senior Vice President</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6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54" w:type="dxa"/>
        <w:jc w:val="center"/>
        <w:tblInd w:w="0" w:type="dxa"/>
        <w:tblLayout w:type="fixed"/>
        <w:tblCellMar>
          <w:top w:w="28" w:type="dxa"/>
          <w:left w:w="28" w:type="dxa"/>
          <w:bottom w:w="28" w:type="dxa"/>
          <w:right w:w="28" w:type="dxa"/>
        </w:tblCellMar>
      </w:tblPr>
      <w:tblGrid>
        <w:gridCol w:w="124"/>
        <w:gridCol w:w="109"/>
        <w:gridCol w:w="109"/>
        <w:gridCol w:w="1278"/>
        <w:gridCol w:w="1278"/>
        <w:gridCol w:w="128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James Wells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James Wells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Petroleum Engineer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RYDER SCOTT COMPANY, 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Firm Registration No. F-1580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18110"/>
                <wp:effectExtent l="0" t="0" r="0" b="0"/>
                <wp:wrapNone/>
                <wp:docPr id="186" name="Frame18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pPr>
      <w:r>
        <w:rPr/>
        <w:drawing>
          <wp:inline distT="0" distB="0" distL="0" distR="0">
            <wp:extent cx="495300" cy="571500"/>
            <wp:effectExtent l="0" t="0" r="0" b="0"/>
            <wp:docPr id="18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4" descr=""/>
                    <pic:cNvPicPr>
                      <a:picLocks noChangeAspect="1" noChangeArrowheads="1"/>
                    </pic:cNvPicPr>
                  </pic:nvPicPr>
                  <pic:blipFill>
                    <a:blip r:embed="rId107"/>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18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5" descr=""/>
                    <pic:cNvPicPr>
                      <a:picLocks noChangeAspect="1" noChangeArrowheads="1"/>
                    </pic:cNvPicPr>
                  </pic:nvPicPr>
                  <pic:blipFill>
                    <a:blip r:embed="rId108"/>
                    <a:stretch>
                      <a:fillRect/>
                    </a:stretch>
                  </pic:blipFill>
                  <pic:spPr bwMode="auto">
                    <a:xfrm>
                      <a:off x="0" y="0"/>
                      <a:ext cx="1847850" cy="457200"/>
                    </a:xfrm>
                    <a:prstGeom prst="rect">
                      <a:avLst/>
                    </a:prstGeom>
                  </pic:spPr>
                </pic:pic>
              </a:graphicData>
            </a:graphic>
          </wp:inline>
        </w:drawing>
      </w:r>
      <w:r>
        <w:rPr>
          <w:color w:val="000000"/>
        </w:rPr>
        <w:t>        </w:t>
      </w:r>
    </w:p>
    <w:tbl>
      <w:tblPr>
        <w:tblW w:w="7199" w:type="dxa"/>
        <w:jc w:val="left"/>
        <w:tblInd w:w="0" w:type="dxa"/>
        <w:tblLayout w:type="fixed"/>
        <w:tblCellMar>
          <w:top w:w="28" w:type="dxa"/>
          <w:left w:w="28" w:type="dxa"/>
          <w:bottom w:w="28" w:type="dxa"/>
          <w:right w:w="28" w:type="dxa"/>
        </w:tblCellMar>
      </w:tblPr>
      <w:tblGrid>
        <w:gridCol w:w="875"/>
        <w:gridCol w:w="770"/>
        <w:gridCol w:w="770"/>
        <w:gridCol w:w="826"/>
        <w:gridCol w:w="826"/>
        <w:gridCol w:w="838"/>
        <w:gridCol w:w="670"/>
        <w:gridCol w:w="670"/>
        <w:gridCol w:w="954"/>
      </w:tblGrid>
      <w:tr>
        <w:trPr/>
        <w:tc>
          <w:tcPr>
            <w:tcW w:w="8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49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TBPELS REGISTERED ENGINEERING FIRM F-1580</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1100 LOUISIANA SUITE 4600 </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HOUSTON, TEXAS 77002-5294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TELEPHONE (713) 651-9191</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January 13, 2026</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c/o Diamondback Energy, Inc.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500 West Texas, Suite 1210</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Midland, Texas 79701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At the request of Diamondback Energy, Inc. (Diamondback), Ryder Scott Company, L.P. (Ryder Scott) has conducted a reserves audit of the estimates of the proved reserves, future production and discounted future net income attributable to Viper Energy, Inc. (Viper), a subsidiary of Diamondback Energy, Inc., as of December 31, 2025, and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7, 2026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royalty interests in certain properties owned by Viper and the portion of those reserves and income data reviewed by Ryder Scott, as of December 31, 2025. The properties in which Viper owns an interest and reviewed by Ryder Scott are located in the states of Colorado, Montana, North Dakota, New Mexico, Texas and Wyoming.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reviewed by Ryder Scott represent 100 percent of Viper’s total net proved liquid hydrocarbon and gas reserves as of December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9"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sans-serif" w:hAnsi="sans-serif"/>
                                <w:b w:val="false"/>
                                <w:color w:val="000000"/>
                                <w:sz w:val="15"/>
                              </w:rPr>
                              <w:t>SUITE 2800, 350 7TH AVENUE, S.W.    CALGARY, ALBERTA T2P 3N9    TEL (403) 262-2799</w:t>
                            </w:r>
                            <w:r>
                              <w:br w:type="page"/>
                            </w:r>
                          </w:p>
                          <w:p>
                            <w:pPr>
                              <w:pStyle w:val="TextBody"/>
                              <w:bidi w:val="0"/>
                              <w:spacing w:lineRule="auto" w:line="288" w:before="0" w:after="0"/>
                              <w:jc w:val="center"/>
                              <w:rPr>
                                <w:color w:val="000000"/>
                              </w:rPr>
                            </w:pPr>
                            <w:r>
                              <w:rPr>
                                <w:color w:val="000000"/>
                              </w:rPr>
                              <w:t>    </w:t>
                            </w:r>
                            <w:r>
                              <w:rPr>
                                <w:rFonts w:ascii="sans-serif" w:hAnsi="sans-serif"/>
                                <w:b w:val="false"/>
                                <w:color w:val="000000"/>
                                <w:sz w:val="15"/>
                              </w:rPr>
                              <w:t>555 17TH STREET, SUITE 985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sans-serif" w:hAnsi="sans-serif"/>
                          <w:b w:val="false"/>
                          <w:color w:val="000000"/>
                          <w:sz w:val="15"/>
                        </w:rPr>
                        <w:t>SUITE 2800, 350 7TH AVENUE, S.W.    CALGARY, ALBERTA T2P 3N9    TEL (403) 262-2799</w:t>
                      </w:r>
                    </w:p>
                    <w:p>
                      <w:pPr>
                        <w:pStyle w:val="TextBody"/>
                        <w:bidi w:val="0"/>
                        <w:spacing w:lineRule="auto" w:line="288" w:before="0" w:after="0"/>
                        <w:jc w:val="center"/>
                        <w:rPr>
                          <w:color w:val="000000"/>
                        </w:rPr>
                      </w:pPr>
                      <w:r>
                        <w:rPr>
                          <w:color w:val="000000"/>
                        </w:rPr>
                        <w:t>    </w:t>
                      </w:r>
                      <w:r>
                        <w:rPr>
                          <w:rFonts w:ascii="sans-serif" w:hAnsi="sans-serif"/>
                          <w:b w:val="false"/>
                          <w:color w:val="000000"/>
                          <w:sz w:val="15"/>
                        </w:rPr>
                        <w:t>555 17TH STREET, SUITE 985    DENVER, COLORADO 80202    TEL (303) 339-8110</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2025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are related to hydrocarbon prices. Diamondback has informed us that in the preparation of their reserves and income projections, as of December 31, 2025,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Viper's interest in properties that we reviewed are summarized below:</w:t>
      </w:r>
    </w:p>
    <w:p>
      <w:pPr>
        <w:pStyle w:val="TextBody"/>
        <w:bidi w:val="0"/>
        <w:spacing w:before="0" w:after="0"/>
        <w:ind w:left="0" w:right="0" w:firstLine="720"/>
        <w:jc w:val="both"/>
        <w:rPr/>
      </w:pPr>
      <w:r>
        <w:rPr/>
      </w:r>
    </w:p>
    <w:tbl>
      <w:tblPr>
        <w:tblW w:w="4944" w:type="dxa"/>
        <w:jc w:val="center"/>
        <w:tblInd w:w="0" w:type="dxa"/>
        <w:tblLayout w:type="fixed"/>
        <w:tblCellMar>
          <w:top w:w="28" w:type="dxa"/>
          <w:left w:w="28" w:type="dxa"/>
          <w:bottom w:w="28" w:type="dxa"/>
          <w:right w:w="28" w:type="dxa"/>
        </w:tblCellMar>
      </w:tblPr>
      <w:tblGrid>
        <w:gridCol w:w="124"/>
        <w:gridCol w:w="109"/>
        <w:gridCol w:w="109"/>
        <w:gridCol w:w="1409"/>
        <w:gridCol w:w="1409"/>
        <w:gridCol w:w="14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SEC PARAMETERS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Estimated Net Reserves and Income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Certain Royalty Interests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Viper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As of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23" w:type="dxa"/>
        <w:jc w:val="left"/>
        <w:tblInd w:w="0" w:type="dxa"/>
        <w:tblLayout w:type="fixed"/>
        <w:tblCellMar>
          <w:top w:w="28" w:type="dxa"/>
          <w:left w:w="28" w:type="dxa"/>
          <w:bottom w:w="28" w:type="dxa"/>
          <w:right w:w="28" w:type="dxa"/>
        </w:tblCellMar>
      </w:tblPr>
      <w:tblGrid>
        <w:gridCol w:w="918"/>
        <w:gridCol w:w="807"/>
        <w:gridCol w:w="809"/>
        <w:gridCol w:w="109"/>
        <w:gridCol w:w="109"/>
        <w:gridCol w:w="109"/>
        <w:gridCol w:w="403"/>
        <w:gridCol w:w="403"/>
        <w:gridCol w:w="410"/>
        <w:gridCol w:w="109"/>
        <w:gridCol w:w="109"/>
        <w:gridCol w:w="109"/>
        <w:gridCol w:w="410"/>
        <w:gridCol w:w="410"/>
        <w:gridCol w:w="411"/>
        <w:gridCol w:w="109"/>
        <w:gridCol w:w="109"/>
        <w:gridCol w:w="109"/>
        <w:gridCol w:w="365"/>
        <w:gridCol w:w="365"/>
        <w:gridCol w:w="531"/>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Developed</w:t>
            </w:r>
          </w:p>
        </w:tc>
        <w:tc>
          <w:tcPr>
            <w:tcW w:w="1885" w:type="dxa"/>
            <w:gridSpan w:val="9"/>
            <w:tcBorders>
              <w:top w:val="single" w:sz="6" w:space="0" w:color="000000"/>
            </w:tcBorders>
            <w:tcMar>
              <w:left w:w="0" w:type="dxa"/>
              <w:bottom w:w="0" w:type="dxa"/>
              <w:right w:w="0" w:type="dxa"/>
            </w:tcMar>
            <w:vAlign w:val="center"/>
          </w:tcPr>
          <w:p>
            <w:pPr>
              <w:pStyle w:val="TableContents"/>
              <w:bidi w:val="0"/>
              <w:spacing w:before="0" w:after="0"/>
              <w:jc w:val="both"/>
              <w:rPr/>
            </w:pPr>
            <w:r>
              <w:rPr/>
            </w:r>
          </w:p>
        </w:tc>
        <w:tc>
          <w:tcPr>
            <w:tcW w:w="12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Producing</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Audited by Ryder Scott</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Net Reserves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op w:val="single" w:sz="6" w:space="0" w:color="000000"/>
            </w:tcBorders>
            <w:tcMar>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Oil/Condensate – MBBLS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147,036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46,170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193,206</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Plant Products – MBBLS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84,282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22,499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106,781</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Gas – MMCF</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512,302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123,983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636,285</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MBOE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316,702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89,333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406,035</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Income Data ($M)</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Future Gross Revenue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$11,168,455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$3,407,380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$14,575,835</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210,809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67,668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20"/>
              </w:rPr>
              <w:t>278,477</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Future Net Income (FNI)</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$10,957,646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$3,339,712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$14,297,358</w:t>
            </w:r>
          </w:p>
        </w:tc>
      </w:tr>
      <w:tr>
        <w:trPr/>
        <w:tc>
          <w:tcPr>
            <w:tcW w:w="253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Discounted FNI @ 10%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$ 5,459,102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$1,922,975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$ 7,382,078</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242424"/>
          <w:sz w:val="20"/>
          <w:shd w:fill="FFFFFF" w:val="clear"/>
        </w:rPr>
        <w:t>Values may not sum to total due to rounding</w:t>
      </w:r>
      <w:r>
        <w:rPr>
          <w:rFonts w:ascii="Arial;sans-serif" w:hAnsi="Arial;sans-serif"/>
          <w:b/>
          <w:color w:val="242424"/>
          <w:sz w:val="20"/>
          <w:shd w:fill="FFFFFF" w:val="clear"/>
        </w:rPr>
        <w:t>.</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18110"/>
                <wp:effectExtent l="0" t="0" r="0" b="0"/>
                <wp:wrapNone/>
                <wp:docPr id="190" name="Frame18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The future gross revenue is after the deduction of production taxes. Because the interests evaluated herein are royalty interests, the deductions include only ad valorem taxes, while the normal direct costs of operating the wells and development costs are used to estimate economic lives.</w:t>
      </w:r>
      <w:r>
        <w:rPr>
          <w:color w:val="000000"/>
        </w:rPr>
        <w:t xml:space="preserve"> </w:t>
      </w:r>
      <w:r>
        <w:rPr>
          <w:rFonts w:ascii="Arial;sans-serif" w:hAnsi="Arial;sans-serif"/>
          <w:b w:val="false"/>
          <w:color w:val="000000"/>
          <w:sz w:val="22"/>
        </w:rPr>
        <w:t xml:space="preserve">The future net income is before the deduction of state and federal income taxes and general administrative overhead, and has not been adjusted for outstanding loans that may exist nor does it include any adjustment for cash on hand or undistributed income.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Reserves Included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proved reserves status categories are defined in the attachment entitled “PETROLEUM RESERVES STATUS DEFINITIONS AND GUIDELINES”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 xml:space="preserve">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18110"/>
                <wp:effectExtent l="0" t="0" r="0" b="0"/>
                <wp:wrapNone/>
                <wp:docPr id="191" name="Frame18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r>
        <w:rPr>
          <w:color w:val="000000"/>
        </w:rPr>
        <w:t xml:space="preserve"> </w:t>
      </w:r>
      <w:r>
        <w:rPr>
          <w:rFonts w:ascii="Arial;sans-serif" w:hAnsi="Arial;sans-serif"/>
          <w:b w:val="false"/>
          <w:color w:val="000000"/>
          <w:sz w:val="22"/>
        </w:rPr>
        <w:t>and if recovered,</w:t>
      </w:r>
      <w:r>
        <w:rPr>
          <w:color w:val="000000"/>
        </w:rPr>
        <w:t xml:space="preserve"> </w:t>
      </w:r>
      <w:r>
        <w:rPr>
          <w:rFonts w:ascii="Arial;sans-serif" w:hAnsi="Arial;sans-serif"/>
          <w:b w:val="false"/>
          <w:color w:val="000000"/>
          <w:sz w:val="22"/>
        </w:rPr>
        <w:t>the revenues therefrom, and the actual costs related thereto, could be more or less than the estimated amounts.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Data, Methodology, Procedure and Assumptions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18110"/>
                <wp:effectExtent l="0" t="0" r="0" b="0"/>
                <wp:wrapNone/>
                <wp:docPr id="192" name="Frame18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2025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attributable to the undeveloped status category that we reviewed were estimated by analogy.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initial SEC hydrocarbon benchmark prices in effect on December 31, 2025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18110"/>
                <wp:effectExtent l="0" t="0" r="0" b="0"/>
                <wp:wrapNone/>
                <wp:docPr id="193" name="Frame18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area reviewed by us. In certain geographic areas, the price reference and benchmark prices may be defined by contractual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table below summarizes Diamondback’s net volume weighted benchmark prices adjusted for differentials for the Viper properties reviewed by us and referred to herein as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8305" w:type="dxa"/>
        <w:jc w:val="left"/>
        <w:tblInd w:w="0" w:type="dxa"/>
        <w:tblLayout w:type="fixed"/>
        <w:tblCellMar>
          <w:top w:w="28" w:type="dxa"/>
          <w:left w:w="28" w:type="dxa"/>
          <w:bottom w:w="28" w:type="dxa"/>
          <w:right w:w="28" w:type="dxa"/>
        </w:tblCellMar>
      </w:tblPr>
      <w:tblGrid>
        <w:gridCol w:w="647"/>
        <w:gridCol w:w="567"/>
        <w:gridCol w:w="570"/>
        <w:gridCol w:w="538"/>
        <w:gridCol w:w="538"/>
        <w:gridCol w:w="543"/>
        <w:gridCol w:w="459"/>
        <w:gridCol w:w="459"/>
        <w:gridCol w:w="461"/>
        <w:gridCol w:w="544"/>
        <w:gridCol w:w="544"/>
        <w:gridCol w:w="546"/>
        <w:gridCol w:w="552"/>
        <w:gridCol w:w="552"/>
        <w:gridCol w:w="78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Geographic Area</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Product</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Reference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Benchmark</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Average Realized</w:t>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Prices</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North America</w:t>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88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both"/>
              <w:rPr/>
            </w:pPr>
            <w:r>
              <w:rPr/>
            </w:r>
          </w:p>
        </w:tc>
      </w:tr>
      <w:tr>
        <w:trPr/>
        <w:tc>
          <w:tcPr>
            <w:tcW w:w="17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Oil/Condensate</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$65.34/Bbl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$64.80/Bbl</w:t>
            </w:r>
          </w:p>
        </w:tc>
      </w:tr>
      <w:tr>
        <w:trPr/>
        <w:tc>
          <w:tcPr>
            <w:tcW w:w="178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2"/>
              </w:rPr>
              <w:t>United States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NGLs</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$65.34/Bbl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$18.95/Bbl</w:t>
            </w:r>
          </w:p>
        </w:tc>
      </w:tr>
      <w:tr>
        <w:trPr/>
        <w:tc>
          <w:tcPr>
            <w:tcW w:w="17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0"/>
              <w:jc w:val="both"/>
              <w:rPr/>
            </w:pPr>
            <w:r>
              <w:rPr/>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Gas</w:t>
            </w:r>
          </w:p>
        </w:tc>
        <w:tc>
          <w:tcPr>
            <w:tcW w:w="13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Henry Hub</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$3.387/MMBTU</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$1.31/Mcf</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Diamondback’s individual property evaluations.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Accumulated gas production imbalances, if any, were not taken into account in the proved gas reserves estimates reviewed. The proved gas volumes presented herein do not include volumes of gas consumed in operations as reserves.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Viper is a royalty interest owner, no operating, development, or abandonment costs are shown in the detailed cash flow. However, these costs were incorporated into the economic evaluation to determine the commercially recoverable reserves reported herein.</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Arial;sans-serif" w:hAnsi="Arial;sans-serif"/>
          <w:b w:val="false"/>
          <w:color w:val="000000"/>
          <w:sz w:val="22"/>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Arial;sans-serif" w:hAnsi="Arial;sans-serif"/>
          <w:b/>
          <w:color w:val="000000"/>
          <w:sz w:val="22"/>
        </w:rPr>
        <w:t>.</w:t>
      </w:r>
      <w:r>
        <w:rPr>
          <w:color w:val="000000"/>
        </w:rPr>
        <w:t xml:space="preserve"> </w:t>
      </w:r>
      <w:r>
        <w:rPr>
          <w:rFonts w:ascii="Arial;sans-serif" w:hAnsi="Arial;sans-serif"/>
          <w:b w:val="false"/>
          <w:color w:val="000000"/>
          <w:sz w:val="22"/>
        </w:rPr>
        <w:t>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8110"/>
                <wp:effectExtent l="0" t="0" r="0" b="0"/>
                <wp:wrapNone/>
                <wp:docPr id="194" name="Frame18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color w:val="000000"/>
          <w:sz w:val="22"/>
        </w:rPr>
        <w:t>The proved undeveloped reserves for the properties reviewed by us have been incorporated herein in accordance with Diamondback’s plans to develop these reserves as of December 31, 2025 or based on timing received directly from outside operators which they believe to be reasonable and accurate due to the joint operational partnerships between Diamondback and the respective operators in each of these areas.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sans-serif" w:hAnsi="Arial;sans-serif"/>
          <w:b/>
          <w:color w:val="000000"/>
          <w:sz w:val="22"/>
        </w:rPr>
        <w:t xml:space="preserve">. </w:t>
      </w:r>
      <w:r>
        <w:rPr>
          <w:rFonts w:ascii="Arial;sans-serif" w:hAnsi="Arial;sans-serif"/>
          <w:b w:val="false"/>
          <w:color w:val="000000"/>
          <w:sz w:val="22"/>
        </w:rPr>
        <w:t>Additionally, Diamondback has informed us that they are not aware of any legal, regulatory, or political obstacles that would significantly alter their plans. While these plans could change from those under existing economic conditions as of December 31, 2025, such changes were, in accordance with rules adopted by the SEC, omitted from consideration in making this evaluation.</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Diamondback were held constant throughout the life of the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8110"/>
                <wp:effectExtent l="0" t="0" r="0" b="0"/>
                <wp:wrapNone/>
                <wp:docPr id="195" name="Frame19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proved reserves presented herein were based upon a review of the properties in which Viper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w:t>
      </w:r>
      <w:r>
        <w:rPr>
          <w:color w:val="000000"/>
        </w:rPr>
        <w:t xml:space="preserve"> </w:t>
      </w:r>
      <w:r>
        <w:rPr>
          <w:rFonts w:ascii="Arial;sans-serif" w:hAnsi="Arial;sans-serif"/>
          <w:b w:val="false"/>
          <w:color w:val="000000"/>
          <w:sz w:val="22"/>
        </w:rPr>
        <w:t>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Audit Opinion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Based on our review, including the data, technical processes and interpretations presented by Diamondback, it is our opinion that the overall procedures and methodologies utilized by Diamondback in preparing estimates of Viper’s proved reserves, future production and discounted future net income as of December 31, 2025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Viper’s proved reserves to be effective and, in the aggregate, we found no bias in the utilization and analysis of data in estimates for these properties.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We were in reasonable agreement with Diamondback’s estimates of Viper’s proved reserves, future production and discounted future net income for the properties which we reviewed; although in certain cases there was more than an acceptable variance between Diamondback’s estimates and our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18110"/>
                <wp:effectExtent l="0" t="0" r="0" b="0"/>
                <wp:wrapNone/>
                <wp:docPr id="196" name="Frame19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Viper.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bidi w:val="0"/>
        <w:spacing w:before="0" w:after="0"/>
        <w:jc w:val="both"/>
        <w:rPr/>
      </w:pPr>
      <w:r>
        <w:rPr/>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results of our third party audit, presented in report form herein, were prepared in accordance with the disclosure requirements set forth in the SEC regulations and intended for public disclosure as an exhibit in filings made with the SEC by Diamondback.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Viper Energy, Inc.</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8110"/>
                <wp:effectExtent l="0" t="0" r="0" b="0"/>
                <wp:wrapNone/>
                <wp:docPr id="197" name="Frame19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January 13, 2026</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10</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val="false"/>
          <w:color w:val="000000"/>
          <w:sz w:val="22"/>
        </w:rPr>
        <w:t>Diamondback makes periodic filings on Form 10-K with the SEC under the 1934 Exchange Act. Furthermore, Diamondback has certain registration statements filed with the SEC under the 1933 Securities Act</w:t>
      </w:r>
      <w:r>
        <w:rPr>
          <w:color w:val="000000"/>
        </w:rPr>
        <w:t xml:space="preserve"> </w:t>
      </w:r>
      <w:r>
        <w:rPr>
          <w:rFonts w:ascii="Arial;sans-serif" w:hAnsi="Arial;sans-serif"/>
          <w:b w:val="false"/>
          <w:color w:val="000000"/>
          <w:sz w:val="22"/>
        </w:rPr>
        <w:t>into which any subsequently filed Form 10-K</w:t>
      </w:r>
      <w:r>
        <w:rPr>
          <w:color w:val="000000"/>
        </w:rPr>
        <w:t xml:space="preserve"> </w:t>
      </w:r>
      <w:r>
        <w:rPr>
          <w:rFonts w:ascii="Arial;sans-serif" w:hAnsi="Arial;sans-serif"/>
          <w:b w:val="false"/>
          <w:color w:val="000000"/>
          <w:sz w:val="22"/>
        </w:rPr>
        <w:t>is incorporated by reference. We have consented to the incorporation by reference in the registration statements on Form S-3 of Diamondback, of the references to our name, as well as to the references to our third party report for Diamondback, which appears in the December 31, 2025 annual report on Form 10-K</w:t>
      </w:r>
      <w:r>
        <w:rPr>
          <w:color w:val="000000"/>
        </w:rPr>
        <w:t xml:space="preserve"> </w:t>
      </w:r>
      <w:r>
        <w:rPr>
          <w:rFonts w:ascii="Arial;sans-serif" w:hAnsi="Arial;sans-serif"/>
          <w:b w:val="false"/>
          <w:color w:val="000000"/>
          <w:sz w:val="22"/>
        </w:rPr>
        <w:t>of Diamondback. Our written consent for such use is included as a separate exhibit to the filings made with the SEC by Diamondback.</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bidi w:val="0"/>
        <w:spacing w:before="0" w:after="0"/>
        <w:jc w:val="both"/>
        <w:rPr/>
      </w:pPr>
      <w:r>
        <w:rPr/>
      </w:r>
    </w:p>
    <w:tbl>
      <w:tblPr>
        <w:tblW w:w="6624" w:type="dxa"/>
        <w:jc w:val="left"/>
        <w:tblInd w:w="0" w:type="dxa"/>
        <w:tblLayout w:type="fixed"/>
        <w:tblCellMar>
          <w:top w:w="28" w:type="dxa"/>
          <w:left w:w="28" w:type="dxa"/>
          <w:bottom w:w="28" w:type="dxa"/>
          <w:right w:w="28" w:type="dxa"/>
        </w:tblCellMar>
      </w:tblPr>
      <w:tblGrid>
        <w:gridCol w:w="446"/>
        <w:gridCol w:w="392"/>
        <w:gridCol w:w="392"/>
        <w:gridCol w:w="392"/>
        <w:gridCol w:w="392"/>
        <w:gridCol w:w="399"/>
        <w:gridCol w:w="109"/>
        <w:gridCol w:w="109"/>
        <w:gridCol w:w="109"/>
        <w:gridCol w:w="1133"/>
        <w:gridCol w:w="1133"/>
        <w:gridCol w:w="1618"/>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 Marsha E. Wellmann</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Marsha E. Wellmann, P.E.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License No. 116149</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Managing Senior Vice President</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[SEAL]</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/s/ Raza Rizvi</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Raza Rizvi</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 James Wells</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James Wells</w:t>
            </w:r>
          </w:p>
        </w:tc>
      </w:tr>
      <w:tr>
        <w:trPr/>
        <w:tc>
          <w:tcPr>
            <w:tcW w:w="2413"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MEW-RR-JW (DRO)/pl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18110"/>
                <wp:effectExtent l="0" t="0" r="0" b="0"/>
                <wp:wrapNone/>
                <wp:docPr id="198" name="Frame19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Professional Qualifications of Primary Technical Person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2025 continuing education hours, Ms. Wellmann attended 29</w:t>
      </w:r>
      <w:r>
        <w:rPr>
          <w:color w:val="000000"/>
        </w:rPr>
        <w:t xml:space="preserve"> </w:t>
      </w:r>
      <w:r>
        <w:rPr>
          <w:rFonts w:ascii="Arial;sans-serif" w:hAnsi="Arial;sans-serif"/>
          <w:b w:val="false"/>
          <w:color w:val="000000"/>
          <w:sz w:val="22"/>
        </w:rPr>
        <w:t xml:space="preserve">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Based on her educational background, professional training and more than 15 years of practical experience in the estimation and evaluation of petroleum reserves, Ms. Wellmann has attained the professional qualifications as a Reserves Estimator and Reserves Auditor set forth in Article III of the “Standards Pertaining to the Estimating and Auditing of Oil and Gas Reserves Information” promulgated by the Society of Petroleum Engineers as of June 2019.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8110"/>
                <wp:effectExtent l="0" t="0" r="0" b="0"/>
                <wp:wrapNone/>
                <wp:docPr id="199" name="Frame19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PREAMBLE</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bidi w:val="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18110"/>
                <wp:effectExtent l="0" t="0" r="0" b="0"/>
                <wp:wrapNone/>
                <wp:docPr id="200" name="Frame19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8110"/>
                <wp:effectExtent l="0" t="0" r="0" b="0"/>
                <wp:wrapNone/>
                <wp:docPr id="201" name="Frame19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8110"/>
                <wp:effectExtent l="0" t="0" r="0" b="0"/>
                <wp:wrapNone/>
                <wp:docPr id="202" name="Frame19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and</w:t>
      </w:r>
    </w:p>
    <w:p>
      <w:pPr>
        <w:pStyle w:val="TextBody"/>
        <w:bidi w:val="0"/>
        <w:spacing w:before="0" w:after="0"/>
        <w:jc w:val="center"/>
        <w:rPr/>
      </w:pPr>
      <w:r>
        <w:rPr/>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bidi w:val="0"/>
        <w:spacing w:before="40" w:after="40"/>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bidi w:val="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8110"/>
                <wp:effectExtent l="0" t="0" r="0" b="0"/>
                <wp:wrapNone/>
                <wp:docPr id="203" name="Frame19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2"/>
          <w:u w:val="single"/>
        </w:rPr>
        <w:t>Developed Producing Reserves</w:t>
      </w:r>
      <w:r>
        <w:rPr>
          <w:color w:val="000000"/>
        </w:rPr>
        <w:t xml:space="preserve"> </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    completion intervals that are open at the time of the estimate but which have not yet started producing;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    wells which were shut-in for market conditions or pipeline connections; or </w:t>
      </w:r>
    </w:p>
    <w:p>
      <w:pPr>
        <w:pStyle w:val="TextBody"/>
        <w:bidi w:val="0"/>
        <w:spacing w:lineRule="auto" w:line="288"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    wells not capable of production for mechanical reasons.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both"/>
        <w:rPr/>
      </w:pPr>
      <w:r>
        <w:rPr/>
      </w:r>
    </w:p>
    <w:p>
      <w:pPr>
        <w:pStyle w:val="TextBody"/>
        <w:bidi w:val="0"/>
        <w:spacing w:lineRule="auto" w:line="288" w:before="0" w:after="0"/>
        <w:ind w:left="0" w:right="0" w:hanging="16"/>
        <w:jc w:val="both"/>
        <w:rPr>
          <w:rFonts w:ascii="Arial;sans-serif" w:hAnsi="Arial;sans-serif"/>
          <w:b w:val="false"/>
          <w:i/>
          <w:color w:val="000000"/>
          <w:sz w:val="22"/>
        </w:rPr>
      </w:pPr>
      <w:r>
        <w:rPr>
          <w:rFonts w:ascii="Arial;sans-serif" w:hAnsi="Arial;sans-serif"/>
          <w:b w:val="false"/>
          <w:i/>
          <w:color w:val="000000"/>
          <w:sz w:val="22"/>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jc w:val="both"/>
        <w:rPr/>
      </w:pPr>
      <w:r>
        <w:rPr/>
      </w:r>
    </w:p>
    <w:p>
      <w:pPr>
        <w:pStyle w:val="TextBody"/>
        <w:bidi w:val="0"/>
        <w:spacing w:lineRule="auto" w:line="288"/>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8110"/>
                <wp:effectExtent l="0" t="0" r="0" b="0"/>
                <wp:wrapNone/>
                <wp:docPr id="204" name="Frame19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RYDER SCOTT COMPANY PETROLEUM CONSULTANTS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39838/000119312522151938/d338417dex21.htm" TargetMode="External"/><Relationship Id="rId4" Type="http://schemas.openxmlformats.org/officeDocument/2006/relationships/hyperlink" Target="https://www.sec.gov/Archives/edgar/data/1539838/000114036124006881/ny20021341x1_ex2-1.htm" TargetMode="External"/><Relationship Id="rId5" Type="http://schemas.openxmlformats.org/officeDocument/2006/relationships/hyperlink" Target="https://www.sec.gov/Archives/edgar/data/1539838/000114036124013891/ny20021341x11_ex2-1.htm" TargetMode="External"/><Relationship Id="rId6" Type="http://schemas.openxmlformats.org/officeDocument/2006/relationships/hyperlink" Target="https://www.sec.gov/Archives/edgar/data/1539838/000153983823000086/diamondbackex31-6x14x23.htm" TargetMode="External"/><Relationship Id="rId7" Type="http://schemas.openxmlformats.org/officeDocument/2006/relationships/hyperlink" Target="https://www.sec.gov/Archives/edgar/data/1539838/000114036124040726/ef20035628_ex3-1.htm" TargetMode="External"/><Relationship Id="rId8" Type="http://schemas.openxmlformats.org/officeDocument/2006/relationships/hyperlink" Target="https://www.sec.gov/Archives/edgar/data/1539838/000153983825000147/q32025diamondback10-qxex33.htm" TargetMode="External"/><Relationship Id="rId9" Type="http://schemas.openxmlformats.org/officeDocument/2006/relationships/hyperlink" Target="https://www.sec.gov/Archives/edgar/data/1539838/000153983825000147/q32025diamondback10-qxex33.htm" TargetMode="External"/><Relationship Id="rId10" Type="http://schemas.openxmlformats.org/officeDocument/2006/relationships/hyperlink" Target="https://www.sec.gov/Archives/edgar/data/1539838/000153983825000147/q32025diamondback10-qxex33.htm" TargetMode="External"/><Relationship Id="rId11" Type="http://schemas.openxmlformats.org/officeDocument/2006/relationships/hyperlink" Target="https://www.sec.gov/Archives/edgar/data/1539838/000153983825000147/q32025diamondback10-qxex33.htm" TargetMode="External"/><Relationship Id="rId12" Type="http://schemas.openxmlformats.org/officeDocument/2006/relationships/hyperlink" Target="https://www.sec.gov/Archives/edgar/data/1539838/000153983825000147/q32025diamondback10-qxex33.htm" TargetMode="External"/><Relationship Id="rId13" Type="http://schemas.openxmlformats.org/officeDocument/2006/relationships/hyperlink" Target="https://www.sec.gov/Archives/edgar/data/1539838/000153983825000147/q32025diamondback10-qxex33.htm" TargetMode="External"/><Relationship Id="rId14" Type="http://schemas.openxmlformats.org/officeDocument/2006/relationships/hyperlink" Target="https://www.sec.gov/Archives/edgar/data/1539838/000153983825000147/q32025diamondback10-qxex33.htm" TargetMode="External"/><Relationship Id="rId15" Type="http://schemas.openxmlformats.org/officeDocument/2006/relationships/hyperlink" Target="https://www.sec.gov/Archives/edgar/data/1539838/000153983825000147/q32025diamondback10-qxex33.htm" TargetMode="External"/><Relationship Id="rId16" Type="http://schemas.openxmlformats.org/officeDocument/2006/relationships/hyperlink" Target="https://www.sec.gov/Archives/edgar/data/1539838/000153983825000147/q32025diamondback10-qxex33.htm" TargetMode="External"/><Relationship Id="rId17" Type="http://schemas.openxmlformats.org/officeDocument/2006/relationships/hyperlink" Target="https://www.sec.gov/Archives/edgar/data/1539838/000153983825000147/q32025diamondback10-qxex33.htm" TargetMode="External"/><Relationship Id="rId18" Type="http://schemas.openxmlformats.org/officeDocument/2006/relationships/hyperlink" Target="https://www.sec.gov/Archives/edgar/data/1539838/000153983825000147/q32025diamondback10-qxex33.htm" TargetMode="External"/><Relationship Id="rId19" Type="http://schemas.openxmlformats.org/officeDocument/2006/relationships/hyperlink" Target="https://www.sec.gov/Archives/edgar/data/1539838/000153983825000147/q32025diamondback10-qxex33.htm" TargetMode="External"/><Relationship Id="rId20" Type="http://schemas.openxmlformats.org/officeDocument/2006/relationships/hyperlink" Target="https://www.sec.gov/Archives/edgar/data/1539838/000153983825000147/q32025diamondback10-qxex33.htm" TargetMode="External"/><Relationship Id="rId21" Type="http://schemas.openxmlformats.org/officeDocument/2006/relationships/hyperlink" Target="https://www.sec.gov/Archives/edgar/data/1539838/000153983825000147/q32025diamondback10-qxex33.htm" TargetMode="External"/><Relationship Id="rId22" Type="http://schemas.openxmlformats.org/officeDocument/2006/relationships/hyperlink" Target="https://www.sec.gov/Archives/edgar/data/1539838/000153983825000147/q32025diamondback10-qxex33.htm" TargetMode="External"/><Relationship Id="rId23" Type="http://schemas.openxmlformats.org/officeDocument/2006/relationships/hyperlink" Target="https://www.sec.gov/Archives/edgar/data/1539838/000153983825000147/q32025diamondback10-qxex33.htm" TargetMode="External"/><Relationship Id="rId24" Type="http://schemas.openxmlformats.org/officeDocument/2006/relationships/hyperlink" Target="https://www.sec.gov/Archives/edgar/data/1539838/000153983825000147/q32025diamondback10-qxex33.htm" TargetMode="External"/><Relationship Id="rId25" Type="http://schemas.openxmlformats.org/officeDocument/2006/relationships/hyperlink" Target="https://www.sec.gov/Archives/edgar/data/1539838/000153983825000147/q32025diamondback10-qxex33.htm" TargetMode="External"/><Relationship Id="rId26" Type="http://schemas.openxmlformats.org/officeDocument/2006/relationships/hyperlink" Target="https://www.sec.gov/Archives/edgar/data/1539838/000153983825000021/diamondback202410-kxex41.htm" TargetMode="External"/><Relationship Id="rId27" Type="http://schemas.openxmlformats.org/officeDocument/2006/relationships/hyperlink" Target="https://www.sec.gov/Archives/edgar/data/1539838/000119312512360997/d295327dex41.htm" TargetMode="External"/><Relationship Id="rId28" Type="http://schemas.openxmlformats.org/officeDocument/2006/relationships/hyperlink" Target="https://www.sec.gov/Archives/edgar/data/1539838/000153983819000127/diamondbackex41-12x5x19.htm" TargetMode="External"/><Relationship Id="rId29" Type="http://schemas.openxmlformats.org/officeDocument/2006/relationships/hyperlink" Target="https://www.sec.gov/Archives/edgar/data/1539838/000153983819000127/diamondbackex42-12x5x19.htm" TargetMode="External"/><Relationship Id="rId30" Type="http://schemas.openxmlformats.org/officeDocument/2006/relationships/hyperlink" Target="https://www.sec.gov/Archives/edgar/data/1539838/000110465921040981/tm218746d8_ex4-2.htm" TargetMode="External"/><Relationship Id="rId31" Type="http://schemas.openxmlformats.org/officeDocument/2006/relationships/hyperlink" Target="https://www.sec.gov/Archives/edgar/data/1539838/000153983821000117/diamondbackex103-8221.htm" TargetMode="External"/><Relationship Id="rId32" Type="http://schemas.openxmlformats.org/officeDocument/2006/relationships/hyperlink" Target="https://www.sec.gov/Archives/edgar/data/1539838/000110465922035018/tm229566d1_ex4-2.htm" TargetMode="External"/><Relationship Id="rId33" Type="http://schemas.openxmlformats.org/officeDocument/2006/relationships/hyperlink" Target="https://www.sec.gov/Archives/edgar/data/1539838/000110465922112432/tm2229096d1_ex4-2.htm" TargetMode="External"/><Relationship Id="rId34" Type="http://schemas.openxmlformats.org/officeDocument/2006/relationships/hyperlink" Target="https://www.sec.gov/Archives/edgar/data/3146/000095014401509873/g73137ex4-diii.txt" TargetMode="External"/><Relationship Id="rId35" Type="http://schemas.openxmlformats.org/officeDocument/2006/relationships/hyperlink" Target="https://www.sec.gov/Archives/edgar/data/1108827/000119312512091528/d310241dex41.htm" TargetMode="External"/><Relationship Id="rId36" Type="http://schemas.openxmlformats.org/officeDocument/2006/relationships/hyperlink" Target="https://www.sec.gov/Archives/edgar/data/1539838/000110465921040981/tm218746d8_ex4-3.htm" TargetMode="External"/><Relationship Id="rId37" Type="http://schemas.openxmlformats.org/officeDocument/2006/relationships/hyperlink" Target="https://www.sec.gov/Archives/edgar/data/1539838/000110465922126629/tm2232530d1_ex4-1.htm" TargetMode="External"/><Relationship Id="rId38" Type="http://schemas.openxmlformats.org/officeDocument/2006/relationships/hyperlink" Target="https://www.sec.gov/Archives/edgar/data/1539838/000110465922126629/tm2232530d1_ex4-2.htm" TargetMode="External"/><Relationship Id="rId39" Type="http://schemas.openxmlformats.org/officeDocument/2006/relationships/hyperlink" Target="https://www.sec.gov/Archives/edgar/data/1539838/000114036124020511/ef20027000_ex4-2.htm" TargetMode="External"/><Relationship Id="rId40" Type="http://schemas.openxmlformats.org/officeDocument/2006/relationships/hyperlink" Target="https://www.sec.gov/Archives/edgar/data/1539838/000114036125009701/ef20045911_ex4-2.htm" TargetMode="External"/><Relationship Id="rId41" Type="http://schemas.openxmlformats.org/officeDocument/2006/relationships/hyperlink" Target="https://www.sec.gov/Archives/edgar/data/1602065/000119312525163455/d901207dex41.htm" TargetMode="External"/><Relationship Id="rId42" Type="http://schemas.openxmlformats.org/officeDocument/2006/relationships/hyperlink" Target="https://www.sec.gov/Archives/edgar/data/1602065/000119312525163455/d901207dex42.htm" TargetMode="External"/><Relationship Id="rId43" Type="http://schemas.openxmlformats.org/officeDocument/2006/relationships/hyperlink" Target="https://www.sec.gov/Archives/edgar/data/2074176/000119312525183036/d66098dex48.htm" TargetMode="External"/><Relationship Id="rId44" Type="http://schemas.openxmlformats.org/officeDocument/2006/relationships/hyperlink" Target="https://www.sec.gov/Archives/edgar/data/1539838/000114036124040726/ef20035628_ex10-1.htm" TargetMode="External"/><Relationship Id="rId45" Type="http://schemas.openxmlformats.org/officeDocument/2006/relationships/hyperlink" Target="https://www.sec.gov/Archives/edgar/data/1539838/000130817921000252/lfang2021_def14a.htm" TargetMode="External"/><Relationship Id="rId46" Type="http://schemas.openxmlformats.org/officeDocument/2006/relationships/hyperlink" Target="https://www.sec.gov/Archives/edgar/data/1539838/000153983824000019/diamondback202310-kxex102.htm" TargetMode="External"/><Relationship Id="rId47" Type="http://schemas.openxmlformats.org/officeDocument/2006/relationships/hyperlink" Target="https://www.sec.gov/Archives/edgar/data/1539838/000153983823000022/diamondback202210-kxex108.htm" TargetMode="External"/><Relationship Id="rId48" Type="http://schemas.openxmlformats.org/officeDocument/2006/relationships/hyperlink" Target="https://www.sec.gov/Archives/edgar/data/1539838/000153983823000022/diamondback202210-kxex109.htm" TargetMode="External"/><Relationship Id="rId49" Type="http://schemas.openxmlformats.org/officeDocument/2006/relationships/hyperlink" Target="https://www.sec.gov/Archives/edgar/data/1539838/000153983824000019/diamondback202310-kxex109.htm" TargetMode="External"/><Relationship Id="rId50" Type="http://schemas.openxmlformats.org/officeDocument/2006/relationships/hyperlink" Target="https://www.sec.gov/Archives/edgar/data/1539838/000153983824000019/diamondback202310-kxex1010.htm" TargetMode="External"/><Relationship Id="rId51" Type="http://schemas.openxmlformats.org/officeDocument/2006/relationships/hyperlink" Target="https://www.sec.gov/Archives/edgar/data/1539838/000153983825000021/diamondback202410-kxex1011.htm" TargetMode="External"/><Relationship Id="rId52" Type="http://schemas.openxmlformats.org/officeDocument/2006/relationships/hyperlink" Target="https://www.sec.gov/Archives/edgar/data/1539838/000153983825000021/diamondback202410-kxex1012.htm" TargetMode="External"/><Relationship Id="rId53" Type="http://schemas.openxmlformats.org/officeDocument/2006/relationships/hyperlink" Target="https://www.sec.gov/Archives/edgar/data/1539838/000119312512360997/d295327dex1015.htm" TargetMode="External"/><Relationship Id="rId54" Type="http://schemas.openxmlformats.org/officeDocument/2006/relationships/hyperlink" Target="https://www.sec.gov/Archives/edgar/data/1539838/000153983825000066/q12025diamondback10-qxex101.htm" TargetMode="External"/><Relationship Id="rId55" Type="http://schemas.openxmlformats.org/officeDocument/2006/relationships/hyperlink" Target="https://www.sec.gov/Archives/edgar/data/1539838/000153983825000066/q12025diamondback10-qxex101.htm" TargetMode="External"/><Relationship Id="rId56" Type="http://schemas.openxmlformats.org/officeDocument/2006/relationships/hyperlink" Target="https://www.sec.gov/Archives/edgar/data/1539838/000153983821000015/diamondback202010-kxex1011.htm" TargetMode="External"/><Relationship Id="rId57" Type="http://schemas.openxmlformats.org/officeDocument/2006/relationships/hyperlink" Target="https://www.sec.gov/Archives/edgar/data/1539838/000114036125005267/ef20043983_ex10-1.htm" TargetMode="External"/><Relationship Id="rId58" Type="http://schemas.openxmlformats.org/officeDocument/2006/relationships/hyperlink" Target="https://www.sec.gov/Archives/edgar/data/1539838/000153983813000093/ex10_3diamondbacksecondame.htm" TargetMode="External"/><Relationship Id="rId59" Type="http://schemas.openxmlformats.org/officeDocument/2006/relationships/hyperlink" Target="https://www.sec.gov/Archives/edgar/data/1539838/000153983814000081/ex10_4firstamendmenttoseco.htm" TargetMode="External"/><Relationship Id="rId60" Type="http://schemas.openxmlformats.org/officeDocument/2006/relationships/hyperlink" Target="https://www.sec.gov/Archives/edgar/data/1539838/000119312514416704/d822128dex102.htm" TargetMode="External"/><Relationship Id="rId61" Type="http://schemas.openxmlformats.org/officeDocument/2006/relationships/hyperlink" Target="https://www.sec.gov/Archives/edgar/data/1539838/000153983816000195/diamondbackexhibit101-6x27.htm" TargetMode="External"/><Relationship Id="rId62" Type="http://schemas.openxmlformats.org/officeDocument/2006/relationships/hyperlink" Target="https://www.sec.gov/Archives/edgar/data/1539838/000153983816000270/diamondbackex102-12x20x16.htm" TargetMode="External"/><Relationship Id="rId63" Type="http://schemas.openxmlformats.org/officeDocument/2006/relationships/hyperlink" Target="https://www.sec.gov/Archives/edgar/data/1539838/000153983817000135/diamondbackex101-12x4x17.htm" TargetMode="External"/><Relationship Id="rId64" Type="http://schemas.openxmlformats.org/officeDocument/2006/relationships/hyperlink" Target="https://www.sec.gov/Archives/edgar/data/1539838/000153983818000062/diamondbackex101-6x1x18.htm" TargetMode="External"/><Relationship Id="rId65" Type="http://schemas.openxmlformats.org/officeDocument/2006/relationships/hyperlink" Target="https://www.sec.gov/Archives/edgar/data/1539838/000153983818000062/diamondbackex101-6x1x18.htm" TargetMode="External"/><Relationship Id="rId66" Type="http://schemas.openxmlformats.org/officeDocument/2006/relationships/hyperlink" Target="https://www.sec.gov/Archives/edgar/data/1539838/000153983818000062/diamondbackex101-6x1x18.htm" TargetMode="External"/><Relationship Id="rId67" Type="http://schemas.openxmlformats.org/officeDocument/2006/relationships/hyperlink" Target="https://www.sec.gov/Archives/edgar/data/1539838/000153983818000062/diamondbackex101-6x1x18.htm" TargetMode="External"/><Relationship Id="rId68" Type="http://schemas.openxmlformats.org/officeDocument/2006/relationships/hyperlink" Target="https://www.sec.gov/Archives/edgar/data/1539838/000153983818000062/diamondbackex101-6x1x18.htm" TargetMode="External"/><Relationship Id="rId69" Type="http://schemas.openxmlformats.org/officeDocument/2006/relationships/hyperlink" Target="https://www.sec.gov/Archives/edgar/data/1539838/000153983818000062/diamondbackex101-6x1x18.htm" TargetMode="External"/><Relationship Id="rId70" Type="http://schemas.openxmlformats.org/officeDocument/2006/relationships/hyperlink" Target="https://www.sec.gov/Archives/edgar/data/1539838/000153983818000062/diamondbackex101-6x1x18.htm" TargetMode="External"/><Relationship Id="rId71" Type="http://schemas.openxmlformats.org/officeDocument/2006/relationships/hyperlink" Target="https://www.sec.gov/Archives/edgar/data/1539838/000153983818000062/diamondbackex101-6x1x18.htm" TargetMode="External"/><Relationship Id="rId72" Type="http://schemas.openxmlformats.org/officeDocument/2006/relationships/hyperlink" Target="https://www.sec.gov/Archives/edgar/data/1539838/000153983818000062/diamondbackex101-6x1x18.htm" TargetMode="External"/><Relationship Id="rId73" Type="http://schemas.openxmlformats.org/officeDocument/2006/relationships/hyperlink" Target="https://www.sec.gov/Archives/edgar/data/1539838/000153983818000062/diamondbackex101-6x1x18.htm" TargetMode="External"/><Relationship Id="rId74" Type="http://schemas.openxmlformats.org/officeDocument/2006/relationships/hyperlink" Target="https://www.sec.gov/Archives/edgar/data/1539838/000153983818000062/diamondbackex101-6x1x18.htm" TargetMode="External"/><Relationship Id="rId75" Type="http://schemas.openxmlformats.org/officeDocument/2006/relationships/hyperlink" Target="https://www.sec.gov/Archives/edgar/data/1539838/000153983818000062/diamondbackex101-6x1x18.htm" TargetMode="External"/><Relationship Id="rId76" Type="http://schemas.openxmlformats.org/officeDocument/2006/relationships/hyperlink" Target="https://www.sec.gov/Archives/edgar/data/1539838/000153983818000062/diamondbackex101-6x1x18.htm" TargetMode="External"/><Relationship Id="rId77" Type="http://schemas.openxmlformats.org/officeDocument/2006/relationships/hyperlink" Target="https://www.sec.gov/Archives/edgar/data/1539838/000153983818000062/diamondbackex101-6x1x18.htm" TargetMode="External"/><Relationship Id="rId78" Type="http://schemas.openxmlformats.org/officeDocument/2006/relationships/hyperlink" Target="https://www.sec.gov/Archives/edgar/data/1539838/000153983818000062/diamondbackex101-6x1x18.htm" TargetMode="External"/><Relationship Id="rId79" Type="http://schemas.openxmlformats.org/officeDocument/2006/relationships/hyperlink" Target="https://www.sec.gov/Archives/edgar/data/1539838/000153983818000062/diamondbackex101-6x1x18.htm" TargetMode="External"/><Relationship Id="rId80" Type="http://schemas.openxmlformats.org/officeDocument/2006/relationships/hyperlink" Target="https://www.sec.gov/Archives/edgar/data/1539838/000153983818000062/diamondbackex101-6x1x18.htm" TargetMode="External"/><Relationship Id="rId81" Type="http://schemas.openxmlformats.org/officeDocument/2006/relationships/hyperlink" Target="https://www.sec.gov/Archives/edgar/data/1539838/000153983818000062/diamondbackex101-6x1x18.htm" TargetMode="External"/><Relationship Id="rId82" Type="http://schemas.openxmlformats.org/officeDocument/2006/relationships/hyperlink" Target="https://www.sec.gov/Archives/edgar/data/1539838/000153983818000062/diamondbackex101-6x1x18.htm" TargetMode="External"/><Relationship Id="rId83" Type="http://schemas.openxmlformats.org/officeDocument/2006/relationships/hyperlink" Target="https://www.sec.gov/Archives/edgar/data/1539838/000153983818000062/diamondbackex101-6x1x18.htm" TargetMode="External"/><Relationship Id="rId84" Type="http://schemas.openxmlformats.org/officeDocument/2006/relationships/hyperlink" Target="https://www.sec.gov/Archives/edgar/data/1539838/000153983818000062/diamondbackex101-6x1x18.htm" TargetMode="External"/><Relationship Id="rId85" Type="http://schemas.openxmlformats.org/officeDocument/2006/relationships/hyperlink" Target="https://www.sec.gov/Archives/edgar/data/1539838/000153983818000062/diamondbackex101-6x1x18.htm" TargetMode="External"/><Relationship Id="rId86" Type="http://schemas.openxmlformats.org/officeDocument/2006/relationships/hyperlink" Target="https://www.sec.gov/Archives/edgar/data/1539838/000153983818000097/diamondbackex101-9x7x18.htm" TargetMode="External"/><Relationship Id="rId87" Type="http://schemas.openxmlformats.org/officeDocument/2006/relationships/hyperlink" Target="https://www.sec.gov/Archives/edgar/data/1539838/000153983818000111/diamondbackex101-11x1x18.htm" TargetMode="External"/><Relationship Id="rId88" Type="http://schemas.openxmlformats.org/officeDocument/2006/relationships/hyperlink" Target="https://www.sec.gov/Archives/edgar/data/1539838/000119312518343869/d661873dex101.htm" TargetMode="External"/><Relationship Id="rId89" Type="http://schemas.openxmlformats.org/officeDocument/2006/relationships/hyperlink" Target="https://www.sec.gov/Archives/edgar/data/1539838/000153983819000043/diamondbackex101-3x29x19.htm" TargetMode="External"/><Relationship Id="rId90" Type="http://schemas.openxmlformats.org/officeDocument/2006/relationships/hyperlink" Target="https://www.sec.gov/Archives/edgar/data/1539838/000153983819000082/diamondbackex10-1x7x3x19.htm" TargetMode="External"/><Relationship Id="rId91" Type="http://schemas.openxmlformats.org/officeDocument/2006/relationships/hyperlink" Target="https://www.sec.gov/Archives/edgar/data/1539838/000153983821000095/diamondback-ex101x6x2x21.htm" TargetMode="External"/><Relationship Id="rId92" Type="http://schemas.openxmlformats.org/officeDocument/2006/relationships/hyperlink" Target="https://www.sec.gov/Archives/edgar/data/1539838/000153983822000073/diamondback-ex101x6x2x22.htm" TargetMode="External"/><Relationship Id="rId93" Type="http://schemas.openxmlformats.org/officeDocument/2006/relationships/hyperlink" Target="https://www.sec.gov/Archives/edgar/data/1539838/000114036124011751/ny20021341x9_ex10-2.htm" TargetMode="External"/><Relationship Id="rId94" Type="http://schemas.openxmlformats.org/officeDocument/2006/relationships/hyperlink" Target="https://www.sec.gov/Archives/edgar/data/1539838/000114036125009880/ef20045931_ex10-2.htm" TargetMode="External"/><Relationship Id="rId95" Type="http://schemas.openxmlformats.org/officeDocument/2006/relationships/hyperlink" Target="https://www.sec.gov/Archives/edgar/data/1539838/000119312525139993/d38138dex101.htm" TargetMode="External"/><Relationship Id="rId96" Type="http://schemas.openxmlformats.org/officeDocument/2006/relationships/hyperlink" Target="https://www.sec.gov/Archives/edgar/data/1602065/000119312525139995/d88464dex101.htm" TargetMode="External"/><Relationship Id="rId97" Type="http://schemas.openxmlformats.org/officeDocument/2006/relationships/hyperlink" Target="https://www.sec.gov/Archives/edgar/data/1539838/000114036124011751/ny20021341x9_ex10-1.htm" TargetMode="External"/><Relationship Id="rId98" Type="http://schemas.openxmlformats.org/officeDocument/2006/relationships/hyperlink" Target="https://www.sec.gov/Archives/edgar/data/1539838/000114036125009880/ef20045931_ex10-1.htm" TargetMode="External"/><Relationship Id="rId99" Type="http://schemas.openxmlformats.org/officeDocument/2006/relationships/hyperlink" Target="https://www.sec.gov/Archives/edgar/data/1602065/000119312525163455/d901207dex43.htm" TargetMode="External"/><Relationship Id="rId100" Type="http://schemas.openxmlformats.org/officeDocument/2006/relationships/hyperlink" Target="https://www.sec.gov/Archives/edgar/data/1539838/000153983819000103/diamondbackex101-9x4x19.htm" TargetMode="External"/><Relationship Id="rId101" Type="http://schemas.openxmlformats.org/officeDocument/2006/relationships/hyperlink" Target="https://www.sec.gov/Archives/edgar/data/1539838/000114036125044026/ef20060289_ex99-1.htm" TargetMode="External"/><Relationship Id="rId102" Type="http://schemas.openxmlformats.org/officeDocument/2006/relationships/hyperlink" Target="https://www.sec.gov/Archives/edgar/data/1539838/000153983825000021/diamondback202410-kxex191.htm" TargetMode="External"/><Relationship Id="rId103" Type="http://schemas.openxmlformats.org/officeDocument/2006/relationships/hyperlink" Target="https://www.sec.gov/Archives/edgar/data/1539838/000153983825000021/diamondback202410-kxex192.htm" TargetMode="External"/><Relationship Id="rId104" Type="http://schemas.openxmlformats.org/officeDocument/2006/relationships/hyperlink" Target="https://www.sec.gov/Archives/edgar/data/1539838/000153983821000117/diamondback-ex211x821.htm" TargetMode="External"/><Relationship Id="rId105" Type="http://schemas.openxmlformats.org/officeDocument/2006/relationships/image" Target="media/image2.png"/><Relationship Id="rId106" Type="http://schemas.openxmlformats.org/officeDocument/2006/relationships/image" Target="media/image3.png"/><Relationship Id="rId107" Type="http://schemas.openxmlformats.org/officeDocument/2006/relationships/image" Target="media/image2.png"/><Relationship Id="rId108" Type="http://schemas.openxmlformats.org/officeDocument/2006/relationships/image" Target="media/image3.png"/><Relationship Id="rId109" Type="http://schemas.openxmlformats.org/officeDocument/2006/relationships/fontTable" Target="fontTable.xml"/><Relationship Id="rId1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107376</Words>
  <Characters>600268</Characters>
  <CharactersWithSpaces>703348</CharactersWithSpaces>
  <Paragraphs>7108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