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52705</wp:posOffset>
            </wp:positionV>
            <wp:extent cx="26142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41275</wp:posOffset>
            </wp:positionV>
            <wp:extent cx="26142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206" w:lineRule="exact"/>
        <w:rPr>
          <w:sz w:val="24"/>
          <w:szCs w:val="24"/>
          <w:color w:val="auto"/>
        </w:rPr>
      </w:pPr>
    </w:p>
    <w:p>
      <w:pPr>
        <w:ind w:left="980" w:right="360" w:hanging="617"/>
        <w:spacing w:after="0" w:line="235" w:lineRule="auto"/>
        <w:tabs>
          <w:tab w:leader="none" w:pos="9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3" w:lineRule="exact"/>
        <w:rPr>
          <w:sz w:val="24"/>
          <w:szCs w:val="24"/>
          <w:color w:val="auto"/>
        </w:rPr>
      </w:pPr>
    </w:p>
    <w:p>
      <w:pPr>
        <w:ind w:left="980" w:right="360" w:hanging="617"/>
        <w:spacing w:after="0" w:line="235" w:lineRule="auto"/>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SECURITIES EXCHANGE ACT OF 1934</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205740</wp:posOffset>
            </wp:positionV>
            <wp:extent cx="26142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Diamondback Energy,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81915</wp:posOffset>
            </wp:positionV>
            <wp:extent cx="26142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84" w:lineRule="exact"/>
        <w:rPr>
          <w:sz w:val="24"/>
          <w:szCs w:val="24"/>
          <w:color w:val="auto"/>
        </w:rPr>
      </w:pPr>
    </w:p>
    <w:tbl>
      <w:tblPr>
        <w:tblLayout w:type="fixed"/>
        <w:tblInd w:w="1020" w:type="dxa"/>
        <w:tblCellMar>
          <w:top w:w="0" w:type="dxa"/>
          <w:left w:w="0" w:type="dxa"/>
          <w:bottom w:w="0" w:type="dxa"/>
          <w:right w:w="0" w:type="dxa"/>
        </w:tblCellMar>
      </w:tblPr>
      <w:tr>
        <w:trPr>
          <w:trHeight w:val="210"/>
        </w:trPr>
        <w:tc>
          <w:tcPr>
            <w:tcW w:w="4980" w:type="dxa"/>
            <w:vAlign w:val="bottom"/>
          </w:tcPr>
          <w:p>
            <w:pPr>
              <w:jc w:val="center"/>
              <w:ind w:right="1082"/>
              <w:spacing w:after="0"/>
              <w:rPr>
                <w:sz w:val="20"/>
                <w:szCs w:val="20"/>
                <w:color w:val="auto"/>
              </w:rPr>
            </w:pPr>
            <w:r>
              <w:rPr>
                <w:rFonts w:ascii="Arial" w:cs="Arial" w:eastAsia="Arial" w:hAnsi="Arial"/>
                <w:sz w:val="16"/>
                <w:szCs w:val="16"/>
                <w:b w:val="1"/>
                <w:bCs w:val="1"/>
                <w:color w:val="auto"/>
                <w:w w:val="98"/>
              </w:rPr>
              <w:t>DE</w:t>
            </w:r>
          </w:p>
        </w:tc>
        <w:tc>
          <w:tcPr>
            <w:tcW w:w="3640" w:type="dxa"/>
            <w:vAlign w:val="bottom"/>
          </w:tcPr>
          <w:p>
            <w:pPr>
              <w:jc w:val="right"/>
              <w:ind w:right="784"/>
              <w:spacing w:after="0"/>
              <w:rPr>
                <w:sz w:val="20"/>
                <w:szCs w:val="20"/>
                <w:color w:val="auto"/>
              </w:rPr>
            </w:pPr>
            <w:r>
              <w:rPr>
                <w:rFonts w:ascii="Arial" w:cs="Arial" w:eastAsia="Arial" w:hAnsi="Arial"/>
                <w:sz w:val="16"/>
                <w:szCs w:val="16"/>
                <w:b w:val="1"/>
                <w:bCs w:val="1"/>
                <w:color w:val="auto"/>
              </w:rPr>
              <w:t>45-4502447</w:t>
            </w:r>
          </w:p>
        </w:tc>
      </w:tr>
      <w:tr>
        <w:trPr>
          <w:trHeight w:val="399"/>
        </w:trPr>
        <w:tc>
          <w:tcPr>
            <w:tcW w:w="4980" w:type="dxa"/>
            <w:vAlign w:val="bottom"/>
          </w:tcPr>
          <w:p>
            <w:pPr>
              <w:jc w:val="center"/>
              <w:ind w:right="1082"/>
              <w:spacing w:after="0"/>
              <w:rPr>
                <w:sz w:val="20"/>
                <w:szCs w:val="20"/>
                <w:color w:val="auto"/>
              </w:rPr>
            </w:pPr>
            <w:r>
              <w:rPr>
                <w:rFonts w:ascii="Arial" w:cs="Arial" w:eastAsia="Arial" w:hAnsi="Arial"/>
                <w:sz w:val="14"/>
                <w:szCs w:val="14"/>
                <w:b w:val="1"/>
                <w:bCs w:val="1"/>
                <w:color w:val="auto"/>
                <w:w w:val="94"/>
              </w:rPr>
              <w:t>(State or Other Jurisdiction of Incorporation or Organization)</w:t>
            </w:r>
          </w:p>
        </w:tc>
        <w:tc>
          <w:tcPr>
            <w:tcW w:w="3640" w:type="dxa"/>
            <w:vAlign w:val="bottom"/>
          </w:tcPr>
          <w:p>
            <w:pPr>
              <w:jc w:val="center"/>
              <w:ind w:left="1064"/>
              <w:spacing w:after="0"/>
              <w:rPr>
                <w:sz w:val="20"/>
                <w:szCs w:val="20"/>
                <w:color w:val="auto"/>
              </w:rPr>
            </w:pPr>
            <w:r>
              <w:rPr>
                <w:rFonts w:ascii="Arial" w:cs="Arial" w:eastAsia="Arial" w:hAnsi="Arial"/>
                <w:sz w:val="14"/>
                <w:szCs w:val="14"/>
                <w:b w:val="1"/>
                <w:bCs w:val="1"/>
                <w:color w:val="auto"/>
                <w:w w:val="96"/>
              </w:rPr>
              <w:t>(I.R.S. Employer Identification Number)</w:t>
            </w:r>
          </w:p>
        </w:tc>
      </w:tr>
      <w:tr>
        <w:trPr>
          <w:trHeight w:val="560"/>
        </w:trPr>
        <w:tc>
          <w:tcPr>
            <w:tcW w:w="4980" w:type="dxa"/>
            <w:vAlign w:val="bottom"/>
          </w:tcPr>
          <w:p>
            <w:pPr>
              <w:jc w:val="center"/>
              <w:ind w:right="1082"/>
              <w:spacing w:after="0"/>
              <w:rPr>
                <w:sz w:val="20"/>
                <w:szCs w:val="20"/>
                <w:color w:val="auto"/>
              </w:rPr>
            </w:pPr>
            <w:r>
              <w:rPr>
                <w:rFonts w:ascii="Arial" w:cs="Arial" w:eastAsia="Arial" w:hAnsi="Arial"/>
                <w:sz w:val="16"/>
                <w:szCs w:val="16"/>
                <w:b w:val="1"/>
                <w:bCs w:val="1"/>
                <w:color w:val="auto"/>
                <w:w w:val="87"/>
              </w:rPr>
              <w:t>500 West Texas Ave.</w:t>
            </w:r>
          </w:p>
        </w:tc>
        <w:tc>
          <w:tcPr>
            <w:tcW w:w="3640" w:type="dxa"/>
            <w:vAlign w:val="bottom"/>
          </w:tcPr>
          <w:p>
            <w:pPr>
              <w:spacing w:after="0"/>
              <w:rPr>
                <w:sz w:val="24"/>
                <w:szCs w:val="24"/>
                <w:color w:val="auto"/>
              </w:rPr>
            </w:pPr>
          </w:p>
        </w:tc>
      </w:tr>
      <w:tr>
        <w:trPr>
          <w:trHeight w:val="216"/>
        </w:trPr>
        <w:tc>
          <w:tcPr>
            <w:tcW w:w="4980" w:type="dxa"/>
            <w:vAlign w:val="bottom"/>
          </w:tcPr>
          <w:p>
            <w:pPr>
              <w:jc w:val="center"/>
              <w:ind w:right="1082"/>
              <w:spacing w:after="0"/>
              <w:rPr>
                <w:sz w:val="20"/>
                <w:szCs w:val="20"/>
                <w:color w:val="auto"/>
              </w:rPr>
            </w:pPr>
            <w:r>
              <w:rPr>
                <w:rFonts w:ascii="Arial" w:cs="Arial" w:eastAsia="Arial" w:hAnsi="Arial"/>
                <w:sz w:val="16"/>
                <w:szCs w:val="16"/>
                <w:b w:val="1"/>
                <w:bCs w:val="1"/>
                <w:color w:val="auto"/>
                <w:w w:val="88"/>
              </w:rPr>
              <w:t>Suite 100</w:t>
            </w:r>
          </w:p>
        </w:tc>
        <w:tc>
          <w:tcPr>
            <w:tcW w:w="3640" w:type="dxa"/>
            <w:vAlign w:val="bottom"/>
          </w:tcPr>
          <w:p>
            <w:pPr>
              <w:spacing w:after="0"/>
              <w:rPr>
                <w:sz w:val="18"/>
                <w:szCs w:val="18"/>
                <w:color w:val="auto"/>
              </w:rPr>
            </w:pPr>
          </w:p>
        </w:tc>
      </w:tr>
      <w:tr>
        <w:trPr>
          <w:trHeight w:val="213"/>
        </w:trPr>
        <w:tc>
          <w:tcPr>
            <w:tcW w:w="4980" w:type="dxa"/>
            <w:vAlign w:val="bottom"/>
          </w:tcPr>
          <w:p>
            <w:pPr>
              <w:jc w:val="center"/>
              <w:ind w:right="1082"/>
              <w:spacing w:after="0"/>
              <w:rPr>
                <w:sz w:val="20"/>
                <w:szCs w:val="20"/>
                <w:color w:val="auto"/>
              </w:rPr>
            </w:pPr>
            <w:r>
              <w:rPr>
                <w:rFonts w:ascii="Arial" w:cs="Arial" w:eastAsia="Arial" w:hAnsi="Arial"/>
                <w:sz w:val="16"/>
                <w:szCs w:val="16"/>
                <w:b w:val="1"/>
                <w:bCs w:val="1"/>
                <w:color w:val="auto"/>
              </w:rPr>
              <w:t>Midland, TX</w:t>
            </w:r>
          </w:p>
        </w:tc>
        <w:tc>
          <w:tcPr>
            <w:tcW w:w="3640" w:type="dxa"/>
            <w:vAlign w:val="bottom"/>
          </w:tcPr>
          <w:p>
            <w:pPr>
              <w:jc w:val="right"/>
              <w:ind w:right="984"/>
              <w:spacing w:after="0"/>
              <w:rPr>
                <w:sz w:val="20"/>
                <w:szCs w:val="20"/>
                <w:color w:val="auto"/>
              </w:rPr>
            </w:pPr>
            <w:r>
              <w:rPr>
                <w:rFonts w:ascii="Arial" w:cs="Arial" w:eastAsia="Arial" w:hAnsi="Arial"/>
                <w:sz w:val="16"/>
                <w:szCs w:val="16"/>
                <w:b w:val="1"/>
                <w:bCs w:val="1"/>
                <w:color w:val="auto"/>
              </w:rPr>
              <w:t>79701</w:t>
            </w:r>
          </w:p>
        </w:tc>
      </w:tr>
      <w:tr>
        <w:trPr>
          <w:trHeight w:val="186"/>
        </w:trPr>
        <w:tc>
          <w:tcPr>
            <w:tcW w:w="4980" w:type="dxa"/>
            <w:vAlign w:val="bottom"/>
          </w:tcPr>
          <w:p>
            <w:pPr>
              <w:jc w:val="center"/>
              <w:ind w:right="1082"/>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640" w:type="dxa"/>
            <w:vAlign w:val="bottom"/>
          </w:tcPr>
          <w:p>
            <w:pPr>
              <w:jc w:val="center"/>
              <w:ind w:left="1064"/>
              <w:spacing w:after="0"/>
              <w:rPr>
                <w:sz w:val="20"/>
                <w:szCs w:val="20"/>
                <w:color w:val="auto"/>
              </w:rPr>
            </w:pPr>
            <w:r>
              <w:rPr>
                <w:rFonts w:ascii="Arial" w:cs="Arial" w:eastAsia="Arial" w:hAnsi="Arial"/>
                <w:sz w:val="14"/>
                <w:szCs w:val="14"/>
                <w:b w:val="1"/>
                <w:bCs w:val="1"/>
                <w:color w:val="auto"/>
                <w:w w:val="92"/>
              </w:rPr>
              <w:t>(Zip code)</w:t>
            </w:r>
          </w:p>
        </w:tc>
      </w:tr>
    </w:tbl>
    <w:p>
      <w:pPr>
        <w:spacing w:after="0" w:line="10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(432) 221-7400</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32"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Securities registered pursuant to Section 12(b) of the Securities Exchange Act of 1934:</w:t>
      </w:r>
    </w:p>
    <w:p>
      <w:pPr>
        <w:sectPr>
          <w:pgSz w:w="11900" w:h="16838" w:orient="portrait"/>
          <w:cols w:equalWidth="0" w:num="1">
            <w:col w:w="11240"/>
          </w:cols>
          <w:pgMar w:left="320" w:top="463" w:right="339" w:bottom="1440" w:gutter="0" w:footer="0" w:header="0"/>
        </w:sectPr>
      </w:pPr>
    </w:p>
    <w:p>
      <w:pPr>
        <w:spacing w:after="0" w:line="154" w:lineRule="exact"/>
        <w:rPr>
          <w:sz w:val="24"/>
          <w:szCs w:val="24"/>
          <w:color w:val="auto"/>
        </w:rPr>
      </w:pPr>
    </w:p>
    <w:p>
      <w:pPr>
        <w:ind w:left="150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59" w:lineRule="exact"/>
        <w:rPr>
          <w:sz w:val="24"/>
          <w:szCs w:val="24"/>
          <w:color w:val="auto"/>
        </w:rPr>
      </w:pPr>
    </w:p>
    <w:p>
      <w:pPr>
        <w:sectPr>
          <w:pgSz w:w="11900" w:h="16838" w:orient="portrait"/>
          <w:cols w:equalWidth="0" w:num="3">
            <w:col w:w="4260" w:space="720"/>
            <w:col w:w="1920" w:space="720"/>
            <w:col w:w="3620"/>
          </w:cols>
          <w:pgMar w:left="320" w:top="463" w:right="339" w:bottom="1440" w:gutter="0" w:footer="0" w:header="0"/>
          <w:type w:val="continuous"/>
        </w:sectPr>
      </w:pPr>
    </w:p>
    <w:p>
      <w:pPr>
        <w:ind w:left="1600"/>
        <w:spacing w:after="0"/>
        <w:rPr>
          <w:sz w:val="20"/>
          <w:szCs w:val="20"/>
          <w:color w:val="auto"/>
        </w:rPr>
      </w:pPr>
      <w:r>
        <w:rPr>
          <w:rFonts w:ascii="Arial" w:cs="Arial" w:eastAsia="Arial" w:hAnsi="Arial"/>
          <w:sz w:val="14"/>
          <w:szCs w:val="14"/>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FANG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The Nasdaq Stock Market LLC</w:t>
      </w:r>
    </w:p>
    <w:p>
      <w:pPr>
        <w:spacing w:after="0" w:line="55" w:lineRule="exact"/>
        <w:rPr>
          <w:sz w:val="24"/>
          <w:szCs w:val="24"/>
          <w:color w:val="auto"/>
        </w:rPr>
      </w:pPr>
    </w:p>
    <w:p>
      <w:pPr>
        <w:sectPr>
          <w:pgSz w:w="11900" w:h="16838" w:orient="portrait"/>
          <w:cols w:equalWidth="0" w:num="3">
            <w:col w:w="4680" w:space="720"/>
            <w:col w:w="1980" w:space="720"/>
            <w:col w:w="3140"/>
          </w:cols>
          <w:pgMar w:left="320" w:top="463" w:right="339" w:bottom="1440" w:gutter="0" w:footer="0" w:header="0"/>
          <w:type w:val="continuous"/>
        </w:sectPr>
      </w:pPr>
    </w:p>
    <w:p>
      <w:pPr>
        <w:ind w:left="8020"/>
        <w:spacing w:after="0"/>
        <w:rPr>
          <w:sz w:val="20"/>
          <w:szCs w:val="20"/>
          <w:color w:val="auto"/>
        </w:rPr>
      </w:pPr>
      <w:r>
        <w:rPr>
          <w:rFonts w:ascii="Arial" w:cs="Arial" w:eastAsia="Arial" w:hAnsi="Arial"/>
          <w:sz w:val="15"/>
          <w:szCs w:val="15"/>
          <w:color w:val="auto"/>
        </w:rPr>
        <w:t>(NASDAQ Global Select Market)</w:t>
      </w:r>
    </w:p>
    <w:p>
      <w:pPr>
        <w:sectPr>
          <w:pgSz w:w="11900" w:h="16838" w:orient="portrait"/>
          <w:cols w:equalWidth="0" w:num="1">
            <w:col w:w="11240"/>
          </w:cols>
          <w:pgMar w:left="320" w:top="463" w:right="339" w:bottom="1440" w:gutter="0" w:footer="0" w:header="0"/>
          <w:type w:val="continuous"/>
        </w:sectPr>
      </w:pPr>
    </w:p>
    <w:p>
      <w:pPr>
        <w:spacing w:after="0" w:line="368" w:lineRule="exact"/>
        <w:rPr>
          <w:sz w:val="24"/>
          <w:szCs w:val="24"/>
          <w:color w:val="auto"/>
        </w:rPr>
      </w:pPr>
    </w:p>
    <w:p>
      <w:pPr>
        <w:jc w:val="both"/>
        <w:spacing w:after="0" w:line="275"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50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71" w:lineRule="exact"/>
        <w:rPr>
          <w:sz w:val="24"/>
          <w:szCs w:val="24"/>
          <w:color w:val="auto"/>
        </w:rPr>
      </w:pPr>
    </w:p>
    <w:p>
      <w:pPr>
        <w:ind w:right="40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No</w:t>
      </w:r>
      <w:r>
        <w:rPr>
          <w:rFonts w:ascii="Arial" w:cs="Arial" w:eastAsia="Arial" w:hAnsi="Arial"/>
          <w:sz w:val="16"/>
          <w:szCs w:val="16"/>
          <w:color w:val="auto"/>
        </w:rPr>
        <w:t xml:space="preserve"> </w:t>
      </w:r>
      <w:r>
        <w:rPr>
          <w:rFonts w:ascii="MS PGothic" w:cs="MS PGothic" w:eastAsia="MS PGothic" w:hAnsi="MS PGothic"/>
          <w:sz w:val="14"/>
          <w:szCs w:val="14"/>
          <w:color w:val="auto"/>
        </w:rPr>
        <w:t>☐</w:t>
      </w:r>
    </w:p>
    <w:p>
      <w:pPr>
        <w:spacing w:after="0" w:line="229" w:lineRule="exact"/>
        <w:rPr>
          <w:sz w:val="24"/>
          <w:szCs w:val="24"/>
          <w:color w:val="auto"/>
        </w:rPr>
      </w:pPr>
    </w:p>
    <w:p>
      <w:pPr>
        <w:jc w:val="both"/>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60"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860"/>
              <w:spacing w:after="0"/>
              <w:rPr>
                <w:sz w:val="20"/>
                <w:szCs w:val="20"/>
                <w:color w:val="auto"/>
              </w:rPr>
            </w:pPr>
            <w:r>
              <w:rPr>
                <w:rFonts w:ascii="Arial" w:cs="Arial" w:eastAsia="Arial" w:hAnsi="Arial"/>
                <w:sz w:val="16"/>
                <w:szCs w:val="16"/>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4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860"/>
              <w:spacing w:after="0"/>
              <w:rPr>
                <w:sz w:val="20"/>
                <w:szCs w:val="20"/>
                <w:color w:val="auto"/>
              </w:rPr>
            </w:pPr>
            <w:r>
              <w:rPr>
                <w:rFonts w:ascii="Arial" w:cs="Arial" w:eastAsia="Arial" w:hAnsi="Arial"/>
                <w:sz w:val="16"/>
                <w:szCs w:val="16"/>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080" w:type="dxa"/>
            <w:vAlign w:val="bottom"/>
          </w:tcPr>
          <w:p>
            <w:pPr>
              <w:ind w:left="2860"/>
              <w:spacing w:after="0"/>
              <w:rPr>
                <w:sz w:val="20"/>
                <w:szCs w:val="20"/>
                <w:color w:val="auto"/>
              </w:rPr>
            </w:pPr>
            <w:r>
              <w:rPr>
                <w:rFonts w:ascii="Arial" w:cs="Arial" w:eastAsia="Arial" w:hAnsi="Arial"/>
                <w:sz w:val="16"/>
                <w:szCs w:val="16"/>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94" w:lineRule="exact"/>
        <w:rPr>
          <w:sz w:val="24"/>
          <w:szCs w:val="24"/>
          <w:color w:val="auto"/>
        </w:rPr>
      </w:pPr>
    </w:p>
    <w:p>
      <w:pPr>
        <w:spacing w:after="0" w:line="21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35" w:lineRule="exact"/>
        <w:rPr>
          <w:sz w:val="24"/>
          <w:szCs w:val="24"/>
          <w:color w:val="auto"/>
        </w:rPr>
      </w:pPr>
    </w:p>
    <w:p>
      <w:pPr>
        <w:spacing w:after="0" w:line="173" w:lineRule="exact"/>
        <w:tabs>
          <w:tab w:leader="none" w:pos="7520" w:val="left"/>
          <w:tab w:leader="none" w:pos="810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82"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4, 2022, the registrant had 175,998,577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219710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DIAMONDBACK ENERGY,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9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0"/>
              </w:rPr>
              <w:t>Page</w:t>
            </w:r>
          </w:p>
        </w:tc>
      </w:tr>
      <w:tr>
        <w:trPr>
          <w:trHeight w:val="189"/>
        </w:trPr>
        <w:tc>
          <w:tcPr>
            <w:tcW w:w="20" w:type="dxa"/>
            <w:vAlign w:val="bottom"/>
            <w:shd w:val="clear" w:color="auto" w:fill="CCEEFF"/>
          </w:tcPr>
          <w:p>
            <w:pPr>
              <w:spacing w:after="0"/>
              <w:rPr>
                <w:sz w:val="16"/>
                <w:szCs w:val="16"/>
                <w:color w:val="auto"/>
              </w:rPr>
            </w:pPr>
          </w:p>
        </w:tc>
        <w:tc>
          <w:tcPr>
            <w:tcW w:w="10560" w:type="dxa"/>
            <w:vAlign w:val="bottom"/>
            <w:gridSpan w:val="23"/>
            <w:shd w:val="clear" w:color="auto" w:fill="CCEEFF"/>
          </w:tcPr>
          <w:p>
            <w:pPr>
              <w:spacing w:after="0" w:line="149" w:lineRule="exact"/>
              <w:rPr>
                <w:sz w:val="20"/>
                <w:szCs w:val="20"/>
                <w:color w:val="auto"/>
              </w:rPr>
            </w:pPr>
            <w:r>
              <w:rPr>
                <w:rFonts w:ascii="Arial" w:cs="Arial" w:eastAsia="Arial" w:hAnsi="Arial"/>
                <w:sz w:val="17"/>
                <w:szCs w:val="17"/>
                <w:color w:val="0000FF"/>
              </w:rPr>
              <w:t>Glossary of Oil and Natural Gas Terms</w:t>
            </w:r>
          </w:p>
        </w:tc>
        <w:tc>
          <w:tcPr>
            <w:tcW w:w="280" w:type="dxa"/>
            <w:vAlign w:val="bottom"/>
            <w:tcBorders>
              <w:right w:val="single" w:sz="8" w:color="CCEEFF"/>
            </w:tcBorders>
            <w:shd w:val="clear" w:color="auto" w:fill="CCEEFF"/>
          </w:tcPr>
          <w:p>
            <w:pPr>
              <w:spacing w:after="0"/>
              <w:rPr>
                <w:sz w:val="16"/>
                <w:szCs w:val="16"/>
                <w:color w:val="auto"/>
              </w:rPr>
            </w:pPr>
          </w:p>
        </w:tc>
        <w:tc>
          <w:tcPr>
            <w:tcW w:w="380" w:type="dxa"/>
            <w:vAlign w:val="bottom"/>
            <w:gridSpan w:val="3"/>
            <w:shd w:val="clear" w:color="auto" w:fill="CCEEFF"/>
          </w:tcPr>
          <w:p>
            <w:pPr>
              <w:jc w:val="center"/>
              <w:ind w:right="280"/>
              <w:spacing w:after="0" w:line="156" w:lineRule="exact"/>
              <w:rPr>
                <w:sz w:val="20"/>
                <w:szCs w:val="20"/>
                <w:color w:val="auto"/>
              </w:rPr>
            </w:pPr>
            <w:r>
              <w:rPr>
                <w:rFonts w:ascii="Arial" w:cs="Arial" w:eastAsia="Arial" w:hAnsi="Arial"/>
                <w:sz w:val="18"/>
                <w:szCs w:val="18"/>
                <w:color w:val="0000FF"/>
              </w:rPr>
              <w:t>ii</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820" w:type="dxa"/>
            <w:vAlign w:val="bottom"/>
            <w:gridSpan w:val="8"/>
          </w:tcPr>
          <w:p>
            <w:pPr>
              <w:spacing w:after="0" w:line="183" w:lineRule="exact"/>
              <w:rPr>
                <w:sz w:val="20"/>
                <w:szCs w:val="20"/>
                <w:color w:val="auto"/>
              </w:rPr>
            </w:pPr>
            <w:r>
              <w:rPr>
                <w:rFonts w:ascii="Arial" w:cs="Arial" w:eastAsia="Arial" w:hAnsi="Arial"/>
                <w:sz w:val="18"/>
                <w:szCs w:val="18"/>
                <w:color w:val="0000FF"/>
              </w:rPr>
              <w:t>Glossary of Certain Other Terms</w:t>
            </w:r>
          </w:p>
        </w:tc>
        <w:tc>
          <w:tcPr>
            <w:tcW w:w="7740" w:type="dxa"/>
            <w:vAlign w:val="bottom"/>
            <w:gridSpan w:val="15"/>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gridSpan w:val="3"/>
          </w:tcPr>
          <w:p>
            <w:pPr>
              <w:jc w:val="center"/>
              <w:ind w:right="260"/>
              <w:spacing w:after="0" w:line="183" w:lineRule="exact"/>
              <w:rPr>
                <w:sz w:val="20"/>
                <w:szCs w:val="20"/>
                <w:color w:val="auto"/>
              </w:rPr>
            </w:pPr>
            <w:r>
              <w:rPr>
                <w:rFonts w:ascii="Arial" w:cs="Arial" w:eastAsia="Arial" w:hAnsi="Arial"/>
                <w:sz w:val="18"/>
                <w:szCs w:val="18"/>
                <w:color w:val="0000FF"/>
                <w:w w:val="99"/>
              </w:rPr>
              <w:t>iii</w:t>
            </w: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0560" w:type="dxa"/>
            <w:vAlign w:val="bottom"/>
            <w:gridSpan w:val="23"/>
            <w:shd w:val="clear" w:color="auto" w:fill="CCEEFF"/>
          </w:tcPr>
          <w:p>
            <w:pPr>
              <w:spacing w:after="0" w:line="189" w:lineRule="exact"/>
              <w:rPr>
                <w:sz w:val="20"/>
                <w:szCs w:val="20"/>
                <w:color w:val="auto"/>
              </w:rPr>
            </w:pPr>
            <w:r>
              <w:rPr>
                <w:rFonts w:ascii="Arial" w:cs="Arial" w:eastAsia="Arial" w:hAnsi="Arial"/>
                <w:sz w:val="18"/>
                <w:szCs w:val="18"/>
                <w:color w:val="0000FF"/>
              </w:rPr>
              <w:t>Cautionary Statement Regarding Forward-Looking Statements</w:t>
            </w:r>
          </w:p>
        </w:tc>
        <w:tc>
          <w:tcPr>
            <w:tcW w:w="280" w:type="dxa"/>
            <w:vAlign w:val="bottom"/>
            <w:tcBorders>
              <w:right w:val="single" w:sz="8" w:color="CCEEFF"/>
            </w:tcBorders>
            <w:shd w:val="clear" w:color="auto" w:fill="CCEEFF"/>
          </w:tcPr>
          <w:p>
            <w:pPr>
              <w:spacing w:after="0"/>
              <w:rPr>
                <w:sz w:val="18"/>
                <w:szCs w:val="18"/>
                <w:color w:val="auto"/>
              </w:rPr>
            </w:pPr>
          </w:p>
        </w:tc>
        <w:tc>
          <w:tcPr>
            <w:tcW w:w="380" w:type="dxa"/>
            <w:vAlign w:val="bottom"/>
            <w:gridSpan w:val="3"/>
            <w:shd w:val="clear" w:color="auto" w:fill="CCEEFF"/>
          </w:tcPr>
          <w:p>
            <w:pPr>
              <w:jc w:val="center"/>
              <w:ind w:right="260"/>
              <w:spacing w:after="0" w:line="189" w:lineRule="exact"/>
              <w:rPr>
                <w:sz w:val="20"/>
                <w:szCs w:val="20"/>
                <w:color w:val="auto"/>
              </w:rPr>
            </w:pPr>
            <w:r>
              <w:rPr>
                <w:rFonts w:ascii="Arial" w:cs="Arial" w:eastAsia="Arial" w:hAnsi="Arial"/>
                <w:sz w:val="18"/>
                <w:szCs w:val="18"/>
                <w:color w:val="0000FF"/>
                <w:w w:val="91"/>
              </w:rPr>
              <w:t>iv</w:t>
            </w:r>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9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3060" w:type="dxa"/>
            <w:vAlign w:val="bottom"/>
            <w:tcBorders>
              <w:bottom w:val="single" w:sz="8" w:color="0000FF"/>
            </w:tcBorders>
            <w:gridSpan w:val="12"/>
            <w:shd w:val="clear" w:color="auto" w:fill="CCEEFF"/>
          </w:tcPr>
          <w:p>
            <w:pPr>
              <w:jc w:val="center"/>
              <w:spacing w:after="0" w:line="189" w:lineRule="exact"/>
              <w:rPr>
                <w:sz w:val="20"/>
                <w:szCs w:val="20"/>
                <w:color w:val="auto"/>
              </w:rPr>
            </w:pPr>
            <w:r>
              <w:rPr>
                <w:rFonts w:ascii="Arial" w:cs="Arial" w:eastAsia="Arial" w:hAnsi="Arial"/>
                <w:sz w:val="18"/>
                <w:szCs w:val="18"/>
                <w:b w:val="1"/>
                <w:bCs w:val="1"/>
                <w:color w:val="0000FF"/>
              </w:rPr>
              <w:t>PART I. FINANCIAL INFORMATION</w:t>
            </w:r>
          </w:p>
        </w:tc>
        <w:tc>
          <w:tcPr>
            <w:tcW w:w="34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0560" w:type="dxa"/>
            <w:vAlign w:val="bottom"/>
            <w:gridSpan w:val="23"/>
          </w:tcPr>
          <w:p>
            <w:pPr>
              <w:spacing w:after="0" w:line="189" w:lineRule="exact"/>
              <w:rPr>
                <w:sz w:val="20"/>
                <w:szCs w:val="20"/>
                <w:color w:val="auto"/>
              </w:rPr>
            </w:pPr>
            <w:r>
              <w:rPr>
                <w:rFonts w:ascii="Arial" w:cs="Arial" w:eastAsia="Arial" w:hAnsi="Arial"/>
                <w:sz w:val="18"/>
                <w:szCs w:val="18"/>
                <w:color w:val="0000FF"/>
              </w:rPr>
              <w:t>Item 1. Condensed Consolidated Financial Statements (Unaudited)</w:t>
            </w:r>
          </w:p>
        </w:tc>
        <w:tc>
          <w:tcPr>
            <w:tcW w:w="380" w:type="dxa"/>
            <w:vAlign w:val="bottom"/>
            <w:gridSpan w:val="2"/>
          </w:tcPr>
          <w:p>
            <w:pPr>
              <w:jc w:val="center"/>
              <w:ind w:left="190"/>
              <w:spacing w:after="0" w:line="189" w:lineRule="exact"/>
              <w:rPr>
                <w:sz w:val="20"/>
                <w:szCs w:val="20"/>
                <w:color w:val="auto"/>
              </w:rPr>
            </w:pPr>
            <w:r>
              <w:rPr>
                <w:rFonts w:ascii="Arial" w:cs="Arial" w:eastAsia="Arial" w:hAnsi="Arial"/>
                <w:sz w:val="18"/>
                <w:szCs w:val="18"/>
                <w:color w:val="0000FF"/>
                <w:w w:val="99"/>
              </w:rPr>
              <w:t>1</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0000FF"/>
            </w:tcBorders>
            <w:gridSpan w:val="8"/>
            <w:shd w:val="clear" w:color="auto" w:fill="CCEEFF"/>
          </w:tcPr>
          <w:p>
            <w:pPr>
              <w:spacing w:after="0" w:line="182" w:lineRule="exact"/>
              <w:rPr>
                <w:sz w:val="20"/>
                <w:szCs w:val="20"/>
                <w:color w:val="auto"/>
              </w:rPr>
            </w:pPr>
            <w:r>
              <w:rPr>
                <w:rFonts w:ascii="Arial" w:cs="Arial" w:eastAsia="Arial" w:hAnsi="Arial"/>
                <w:sz w:val="18"/>
                <w:szCs w:val="18"/>
                <w:color w:val="0000FF"/>
                <w:w w:val="87"/>
              </w:rPr>
              <w:t>Condensed Consolidated Balance Sheets</w:t>
            </w:r>
          </w:p>
        </w:tc>
        <w:tc>
          <w:tcPr>
            <w:tcW w:w="64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gridSpan w:val="2"/>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center"/>
              <w:ind w:left="190"/>
              <w:spacing w:after="0" w:line="196" w:lineRule="exact"/>
              <w:rPr>
                <w:sz w:val="20"/>
                <w:szCs w:val="20"/>
                <w:color w:val="auto"/>
              </w:rPr>
            </w:pPr>
            <w:r>
              <w:rPr>
                <w:rFonts w:ascii="Arial" w:cs="Arial" w:eastAsia="Arial" w:hAnsi="Arial"/>
                <w:sz w:val="18"/>
                <w:szCs w:val="18"/>
                <w:color w:val="0000FF"/>
                <w:w w:val="99"/>
              </w:rPr>
              <w:t>1</w:t>
            </w:r>
          </w:p>
        </w:tc>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9900" w:type="dxa"/>
            <w:vAlign w:val="bottom"/>
            <w:tcBorders>
              <w:top w:val="single" w:sz="8" w:color="CCEEFF"/>
            </w:tcBorders>
            <w:gridSpan w:val="22"/>
          </w:tcPr>
          <w:p>
            <w:pPr>
              <w:spacing w:after="0" w:line="189" w:lineRule="exact"/>
              <w:rPr>
                <w:sz w:val="20"/>
                <w:szCs w:val="20"/>
                <w:color w:val="auto"/>
              </w:rPr>
            </w:pPr>
            <w:r>
              <w:rPr>
                <w:rFonts w:ascii="Arial" w:cs="Arial" w:eastAsia="Arial" w:hAnsi="Arial"/>
                <w:sz w:val="18"/>
                <w:szCs w:val="18"/>
                <w:color w:val="0000FF"/>
              </w:rPr>
              <w:t>Condensed Consolidated Statements of Operations</w:t>
            </w:r>
          </w:p>
        </w:tc>
        <w:tc>
          <w:tcPr>
            <w:tcW w:w="280" w:type="dxa"/>
            <w:vAlign w:val="bottom"/>
            <w:tcBorders>
              <w:top w:val="single" w:sz="8" w:color="CCEEFF"/>
            </w:tcBorders>
          </w:tcPr>
          <w:p>
            <w:pPr>
              <w:spacing w:after="0"/>
              <w:rPr>
                <w:sz w:val="16"/>
                <w:szCs w:val="16"/>
                <w:color w:val="auto"/>
              </w:rPr>
            </w:pPr>
          </w:p>
        </w:tc>
        <w:tc>
          <w:tcPr>
            <w:tcW w:w="100" w:type="dxa"/>
            <w:vAlign w:val="bottom"/>
            <w:tcBorders>
              <w:top w:val="single" w:sz="8" w:color="0000FF"/>
            </w:tcBorders>
          </w:tcPr>
          <w:p>
            <w:pPr>
              <w:jc w:val="center"/>
              <w:spacing w:after="0" w:line="189" w:lineRule="exact"/>
              <w:rPr>
                <w:sz w:val="20"/>
                <w:szCs w:val="20"/>
                <w:color w:val="auto"/>
              </w:rPr>
            </w:pPr>
            <w:r>
              <w:rPr>
                <w:rFonts w:ascii="Arial" w:cs="Arial" w:eastAsia="Arial" w:hAnsi="Arial"/>
                <w:sz w:val="18"/>
                <w:szCs w:val="18"/>
                <w:color w:val="0000FF"/>
                <w:w w:val="99"/>
              </w:rPr>
              <w:t>3</w:t>
            </w:r>
          </w:p>
        </w:tc>
        <w:tc>
          <w:tcPr>
            <w:tcW w:w="4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900" w:type="dxa"/>
            <w:vAlign w:val="bottom"/>
            <w:gridSpan w:val="22"/>
            <w:shd w:val="clear" w:color="auto" w:fill="CCEEFF"/>
          </w:tcPr>
          <w:p>
            <w:pPr>
              <w:spacing w:after="0" w:line="189" w:lineRule="exact"/>
              <w:rPr>
                <w:sz w:val="20"/>
                <w:szCs w:val="20"/>
                <w:color w:val="auto"/>
              </w:rPr>
            </w:pPr>
            <w:r>
              <w:rPr>
                <w:rFonts w:ascii="Arial" w:cs="Arial" w:eastAsia="Arial" w:hAnsi="Arial"/>
                <w:sz w:val="18"/>
                <w:szCs w:val="18"/>
                <w:color w:val="0000FF"/>
              </w:rPr>
              <w:t>Condensed Consolidated Statements of Stockholders’ Equity</w:t>
            </w:r>
          </w:p>
        </w:tc>
        <w:tc>
          <w:tcPr>
            <w:tcW w:w="380" w:type="dxa"/>
            <w:vAlign w:val="bottom"/>
            <w:gridSpan w:val="2"/>
            <w:shd w:val="clear" w:color="auto" w:fill="CCEEFF"/>
          </w:tcPr>
          <w:p>
            <w:pPr>
              <w:jc w:val="center"/>
              <w:ind w:left="190"/>
              <w:spacing w:after="0" w:line="189" w:lineRule="exact"/>
              <w:rPr>
                <w:sz w:val="20"/>
                <w:szCs w:val="20"/>
                <w:color w:val="auto"/>
              </w:rPr>
            </w:pPr>
            <w:r>
              <w:rPr>
                <w:rFonts w:ascii="Arial" w:cs="Arial" w:eastAsia="Arial" w:hAnsi="Arial"/>
                <w:sz w:val="18"/>
                <w:szCs w:val="18"/>
                <w:color w:val="0000FF"/>
                <w:w w:val="99"/>
              </w:rPr>
              <w:t>4</w:t>
            </w:r>
          </w:p>
        </w:tc>
        <w:tc>
          <w:tcPr>
            <w:tcW w:w="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4380" w:type="dxa"/>
            <w:vAlign w:val="bottom"/>
            <w:tcBorders>
              <w:top w:val="single" w:sz="8" w:color="0000FF"/>
            </w:tcBorders>
            <w:gridSpan w:val="18"/>
          </w:tcPr>
          <w:p>
            <w:pPr>
              <w:spacing w:after="0" w:line="189" w:lineRule="exact"/>
              <w:rPr>
                <w:sz w:val="20"/>
                <w:szCs w:val="20"/>
                <w:color w:val="auto"/>
              </w:rPr>
            </w:pPr>
            <w:r>
              <w:rPr>
                <w:rFonts w:ascii="Arial" w:cs="Arial" w:eastAsia="Arial" w:hAnsi="Arial"/>
                <w:sz w:val="18"/>
                <w:szCs w:val="18"/>
                <w:color w:val="0000FF"/>
              </w:rPr>
              <w:t>Condensed Consolidated Statements of Cash Flows</w:t>
            </w:r>
          </w:p>
        </w:tc>
        <w:tc>
          <w:tcPr>
            <w:tcW w:w="5520" w:type="dxa"/>
            <w:vAlign w:val="bottom"/>
            <w:tcBorders>
              <w:top w:val="single" w:sz="8" w:color="CCEEFF"/>
            </w:tcBorders>
            <w:gridSpan w:val="4"/>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00" w:type="dxa"/>
            <w:vAlign w:val="bottom"/>
            <w:tcBorders>
              <w:top w:val="single" w:sz="8" w:color="0000FF"/>
            </w:tcBorders>
          </w:tcPr>
          <w:p>
            <w:pPr>
              <w:jc w:val="center"/>
              <w:spacing w:after="0" w:line="189" w:lineRule="exact"/>
              <w:rPr>
                <w:sz w:val="20"/>
                <w:szCs w:val="20"/>
                <w:color w:val="auto"/>
              </w:rPr>
            </w:pPr>
            <w:r>
              <w:rPr>
                <w:rFonts w:ascii="Arial" w:cs="Arial" w:eastAsia="Arial" w:hAnsi="Arial"/>
                <w:sz w:val="18"/>
                <w:szCs w:val="18"/>
                <w:color w:val="0000FF"/>
                <w:w w:val="99"/>
              </w:rPr>
              <w:t>6</w:t>
            </w:r>
          </w:p>
        </w:tc>
        <w:tc>
          <w:tcPr>
            <w:tcW w:w="4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900" w:type="dxa"/>
            <w:vAlign w:val="bottom"/>
            <w:gridSpan w:val="22"/>
            <w:shd w:val="clear" w:color="auto" w:fill="CCEEFF"/>
          </w:tcPr>
          <w:p>
            <w:pPr>
              <w:spacing w:after="0" w:line="189" w:lineRule="exact"/>
              <w:rPr>
                <w:sz w:val="20"/>
                <w:szCs w:val="20"/>
                <w:color w:val="auto"/>
              </w:rPr>
            </w:pPr>
            <w:r>
              <w:rPr>
                <w:rFonts w:ascii="Arial" w:cs="Arial" w:eastAsia="Arial" w:hAnsi="Arial"/>
                <w:sz w:val="18"/>
                <w:szCs w:val="18"/>
                <w:color w:val="0000FF"/>
              </w:rPr>
              <w:t>Condensed Notes to Consolidated Financial Statements</w:t>
            </w:r>
          </w:p>
        </w:tc>
        <w:tc>
          <w:tcPr>
            <w:tcW w:w="380" w:type="dxa"/>
            <w:vAlign w:val="bottom"/>
            <w:gridSpan w:val="2"/>
            <w:shd w:val="clear" w:color="auto" w:fill="CCEEFF"/>
          </w:tcPr>
          <w:p>
            <w:pPr>
              <w:jc w:val="center"/>
              <w:ind w:left="190"/>
              <w:spacing w:after="0" w:line="189" w:lineRule="exact"/>
              <w:rPr>
                <w:sz w:val="20"/>
                <w:szCs w:val="20"/>
                <w:color w:val="auto"/>
              </w:rPr>
            </w:pPr>
            <w:r>
              <w:rPr>
                <w:rFonts w:ascii="Arial" w:cs="Arial" w:eastAsia="Arial" w:hAnsi="Arial"/>
                <w:sz w:val="18"/>
                <w:szCs w:val="18"/>
                <w:color w:val="0000FF"/>
                <w:w w:val="99"/>
              </w:rPr>
              <w:t>7</w:t>
            </w:r>
          </w:p>
        </w:tc>
        <w:tc>
          <w:tcPr>
            <w:tcW w:w="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9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0560" w:type="dxa"/>
            <w:vAlign w:val="bottom"/>
            <w:gridSpan w:val="23"/>
            <w:shd w:val="clear" w:color="auto" w:fill="CCEEFF"/>
          </w:tcPr>
          <w:p>
            <w:pPr>
              <w:spacing w:after="0" w:line="189" w:lineRule="exact"/>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660" w:type="dxa"/>
            <w:vAlign w:val="bottom"/>
            <w:gridSpan w:val="4"/>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30</w:t>
            </w:r>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94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0560" w:type="dxa"/>
            <w:vAlign w:val="bottom"/>
            <w:gridSpan w:val="23"/>
            <w:shd w:val="clear" w:color="auto" w:fill="CCEEFF"/>
          </w:tcPr>
          <w:p>
            <w:pPr>
              <w:spacing w:after="0" w:line="189" w:lineRule="exact"/>
              <w:rPr>
                <w:sz w:val="20"/>
                <w:szCs w:val="20"/>
                <w:color w:val="auto"/>
              </w:rPr>
            </w:pPr>
            <w:r>
              <w:rPr>
                <w:rFonts w:ascii="Arial" w:cs="Arial" w:eastAsia="Arial" w:hAnsi="Arial"/>
                <w:sz w:val="18"/>
                <w:szCs w:val="18"/>
                <w:color w:val="0000FF"/>
              </w:rPr>
              <w:t>Item 3. Quantitative and Qualitative Disclosures About Market Risk</w:t>
            </w:r>
          </w:p>
        </w:tc>
        <w:tc>
          <w:tcPr>
            <w:tcW w:w="660" w:type="dxa"/>
            <w:vAlign w:val="bottom"/>
            <w:gridSpan w:val="4"/>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47</w:t>
            </w:r>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9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0560" w:type="dxa"/>
            <w:vAlign w:val="bottom"/>
            <w:gridSpan w:val="23"/>
            <w:shd w:val="clear" w:color="auto" w:fill="CCEEFF"/>
          </w:tcPr>
          <w:p>
            <w:pPr>
              <w:spacing w:after="0" w:line="189" w:lineRule="exact"/>
              <w:rPr>
                <w:sz w:val="20"/>
                <w:szCs w:val="20"/>
                <w:color w:val="auto"/>
              </w:rPr>
            </w:pPr>
            <w:r>
              <w:rPr>
                <w:rFonts w:ascii="Arial" w:cs="Arial" w:eastAsia="Arial" w:hAnsi="Arial"/>
                <w:sz w:val="18"/>
                <w:szCs w:val="18"/>
                <w:color w:val="0000FF"/>
              </w:rPr>
              <w:t>Item 4. Controls and Procedures</w:t>
            </w:r>
          </w:p>
        </w:tc>
        <w:tc>
          <w:tcPr>
            <w:tcW w:w="660" w:type="dxa"/>
            <w:vAlign w:val="bottom"/>
            <w:gridSpan w:val="4"/>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48</w:t>
            </w:r>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9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340" w:type="dxa"/>
            <w:vAlign w:val="bottom"/>
            <w:gridSpan w:val="12"/>
            <w:shd w:val="clear" w:color="auto" w:fill="CCEEFF"/>
          </w:tcPr>
          <w:p>
            <w:pPr>
              <w:jc w:val="center"/>
              <w:ind w:right="3580"/>
              <w:spacing w:after="0" w:line="189" w:lineRule="exact"/>
              <w:rPr>
                <w:sz w:val="20"/>
                <w:szCs w:val="20"/>
                <w:color w:val="auto"/>
              </w:rPr>
            </w:pPr>
            <w:r>
              <w:rPr>
                <w:rFonts w:ascii="Arial" w:cs="Arial" w:eastAsia="Arial" w:hAnsi="Arial"/>
                <w:sz w:val="18"/>
                <w:szCs w:val="18"/>
                <w:b w:val="1"/>
                <w:bCs w:val="1"/>
                <w:color w:val="0000FF"/>
              </w:rPr>
              <w:t>PART II. OTHER INFORMATION</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4220" w:type="dxa"/>
            <w:vAlign w:val="bottom"/>
            <w:tcBorders>
              <w:top w:val="single" w:sz="8" w:color="CCEEFF"/>
            </w:tcBorders>
            <w:gridSpan w:val="11"/>
          </w:tcPr>
          <w:p>
            <w:pPr>
              <w:spacing w:after="0" w:line="189" w:lineRule="exact"/>
              <w:rPr>
                <w:sz w:val="20"/>
                <w:szCs w:val="20"/>
                <w:color w:val="auto"/>
              </w:rPr>
            </w:pPr>
            <w:r>
              <w:rPr>
                <w:rFonts w:ascii="Arial" w:cs="Arial" w:eastAsia="Arial" w:hAnsi="Arial"/>
                <w:sz w:val="18"/>
                <w:szCs w:val="18"/>
                <w:color w:val="0000FF"/>
              </w:rPr>
              <w:t>Item 1. Legal Proceedings</w:t>
            </w:r>
          </w:p>
        </w:tc>
        <w:tc>
          <w:tcPr>
            <w:tcW w:w="2760" w:type="dxa"/>
            <w:vAlign w:val="bottom"/>
            <w:tcBorders>
              <w:top w:val="single" w:sz="8" w:color="0000FF"/>
            </w:tcBorders>
            <w:gridSpan w:val="9"/>
          </w:tcPr>
          <w:p>
            <w:pPr>
              <w:spacing w:after="0"/>
              <w:rPr>
                <w:sz w:val="16"/>
                <w:szCs w:val="16"/>
                <w:color w:val="auto"/>
              </w:rPr>
            </w:pPr>
          </w:p>
        </w:tc>
        <w:tc>
          <w:tcPr>
            <w:tcW w:w="3580" w:type="dxa"/>
            <w:vAlign w:val="bottom"/>
            <w:tcBorders>
              <w:top w:val="single" w:sz="8" w:color="CCEEFF"/>
            </w:tcBorders>
            <w:gridSpan w:val="3"/>
          </w:tcPr>
          <w:p>
            <w:pPr>
              <w:spacing w:after="0"/>
              <w:rPr>
                <w:sz w:val="16"/>
                <w:szCs w:val="16"/>
                <w:color w:val="auto"/>
              </w:rPr>
            </w:pPr>
          </w:p>
        </w:tc>
        <w:tc>
          <w:tcPr>
            <w:tcW w:w="660" w:type="dxa"/>
            <w:vAlign w:val="bottom"/>
            <w:tcBorders>
              <w:top w:val="single" w:sz="8" w:color="CCEEFF"/>
            </w:tcBorders>
            <w:gridSpan w:val="4"/>
          </w:tcPr>
          <w:p>
            <w:pPr>
              <w:jc w:val="center"/>
              <w:spacing w:after="0" w:line="189" w:lineRule="exact"/>
              <w:rPr>
                <w:sz w:val="20"/>
                <w:szCs w:val="20"/>
                <w:color w:val="auto"/>
              </w:rPr>
            </w:pPr>
            <w:r>
              <w:rPr>
                <w:rFonts w:ascii="Arial" w:cs="Arial" w:eastAsia="Arial" w:hAnsi="Arial"/>
                <w:sz w:val="18"/>
                <w:szCs w:val="18"/>
                <w:color w:val="0000FF"/>
                <w:w w:val="89"/>
              </w:rPr>
              <w:t>49</w:t>
            </w: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0560" w:type="dxa"/>
            <w:vAlign w:val="bottom"/>
            <w:gridSpan w:val="23"/>
          </w:tcPr>
          <w:p>
            <w:pPr>
              <w:spacing w:after="0" w:line="189" w:lineRule="exact"/>
              <w:rPr>
                <w:sz w:val="20"/>
                <w:szCs w:val="20"/>
                <w:color w:val="auto"/>
              </w:rPr>
            </w:pPr>
            <w:r>
              <w:rPr>
                <w:rFonts w:ascii="Arial" w:cs="Arial" w:eastAsia="Arial" w:hAnsi="Arial"/>
                <w:sz w:val="18"/>
                <w:szCs w:val="18"/>
                <w:color w:val="0000FF"/>
              </w:rPr>
              <w:t>Item 1A. Risk Factors</w:t>
            </w:r>
          </w:p>
        </w:tc>
        <w:tc>
          <w:tcPr>
            <w:tcW w:w="660" w:type="dxa"/>
            <w:vAlign w:val="bottom"/>
            <w:gridSpan w:val="4"/>
          </w:tcPr>
          <w:p>
            <w:pPr>
              <w:jc w:val="center"/>
              <w:spacing w:after="0" w:line="189" w:lineRule="exact"/>
              <w:rPr>
                <w:sz w:val="20"/>
                <w:szCs w:val="20"/>
                <w:color w:val="auto"/>
              </w:rPr>
            </w:pPr>
            <w:r>
              <w:rPr>
                <w:rFonts w:ascii="Arial" w:cs="Arial" w:eastAsia="Arial" w:hAnsi="Arial"/>
                <w:sz w:val="18"/>
                <w:szCs w:val="18"/>
                <w:color w:val="0000FF"/>
                <w:w w:val="89"/>
              </w:rPr>
              <w:t>49</w:t>
            </w: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0560" w:type="dxa"/>
            <w:vAlign w:val="bottom"/>
            <w:gridSpan w:val="23"/>
          </w:tcPr>
          <w:p>
            <w:pPr>
              <w:spacing w:after="0" w:line="189" w:lineRule="exact"/>
              <w:rPr>
                <w:sz w:val="20"/>
                <w:szCs w:val="20"/>
                <w:color w:val="auto"/>
              </w:rPr>
            </w:pPr>
            <w:r>
              <w:rPr>
                <w:rFonts w:ascii="Arial" w:cs="Arial" w:eastAsia="Arial" w:hAnsi="Arial"/>
                <w:sz w:val="18"/>
                <w:szCs w:val="18"/>
                <w:color w:val="0000FF"/>
              </w:rPr>
              <w:t>Item 2. Unregistered Sales of Equity Securities and Use of Proceeds</w:t>
            </w:r>
          </w:p>
        </w:tc>
        <w:tc>
          <w:tcPr>
            <w:tcW w:w="660" w:type="dxa"/>
            <w:vAlign w:val="bottom"/>
            <w:gridSpan w:val="4"/>
          </w:tcPr>
          <w:p>
            <w:pPr>
              <w:jc w:val="center"/>
              <w:spacing w:after="0" w:line="189" w:lineRule="exact"/>
              <w:rPr>
                <w:sz w:val="20"/>
                <w:szCs w:val="20"/>
                <w:color w:val="auto"/>
              </w:rPr>
            </w:pPr>
            <w:r>
              <w:rPr>
                <w:rFonts w:ascii="Arial" w:cs="Arial" w:eastAsia="Arial" w:hAnsi="Arial"/>
                <w:sz w:val="18"/>
                <w:szCs w:val="18"/>
                <w:color w:val="0000FF"/>
                <w:w w:val="89"/>
              </w:rPr>
              <w:t>49</w:t>
            </w: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0560" w:type="dxa"/>
            <w:vAlign w:val="bottom"/>
            <w:gridSpan w:val="23"/>
          </w:tcPr>
          <w:p>
            <w:pPr>
              <w:spacing w:after="0" w:line="189" w:lineRule="exact"/>
              <w:rPr>
                <w:sz w:val="20"/>
                <w:szCs w:val="20"/>
                <w:color w:val="auto"/>
              </w:rPr>
            </w:pPr>
            <w:r>
              <w:rPr>
                <w:rFonts w:ascii="Arial" w:cs="Arial" w:eastAsia="Arial" w:hAnsi="Arial"/>
                <w:sz w:val="18"/>
                <w:szCs w:val="18"/>
                <w:color w:val="0000FF"/>
              </w:rPr>
              <w:t>Item 6. Exhibits</w:t>
            </w:r>
          </w:p>
        </w:tc>
        <w:tc>
          <w:tcPr>
            <w:tcW w:w="660" w:type="dxa"/>
            <w:vAlign w:val="bottom"/>
            <w:gridSpan w:val="4"/>
          </w:tcPr>
          <w:p>
            <w:pPr>
              <w:jc w:val="center"/>
              <w:spacing w:after="0" w:line="189" w:lineRule="exact"/>
              <w:rPr>
                <w:sz w:val="20"/>
                <w:szCs w:val="20"/>
                <w:color w:val="auto"/>
              </w:rPr>
            </w:pPr>
            <w:r>
              <w:rPr>
                <w:rFonts w:ascii="Arial" w:cs="Arial" w:eastAsia="Arial" w:hAnsi="Arial"/>
                <w:sz w:val="18"/>
                <w:szCs w:val="18"/>
                <w:color w:val="0000FF"/>
                <w:w w:val="89"/>
              </w:rPr>
              <w:t>50</w:t>
            </w: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0560" w:type="dxa"/>
            <w:vAlign w:val="bottom"/>
            <w:gridSpan w:val="23"/>
          </w:tcPr>
          <w:p>
            <w:pPr>
              <w:spacing w:after="0" w:line="189" w:lineRule="exact"/>
              <w:rPr>
                <w:sz w:val="20"/>
                <w:szCs w:val="20"/>
                <w:color w:val="auto"/>
              </w:rPr>
            </w:pPr>
            <w:r>
              <w:rPr>
                <w:rFonts w:ascii="Arial" w:cs="Arial" w:eastAsia="Arial" w:hAnsi="Arial"/>
                <w:sz w:val="18"/>
                <w:szCs w:val="18"/>
                <w:color w:val="0000FF"/>
              </w:rPr>
              <w:t>Signatures</w:t>
            </w:r>
          </w:p>
        </w:tc>
        <w:tc>
          <w:tcPr>
            <w:tcW w:w="660" w:type="dxa"/>
            <w:vAlign w:val="bottom"/>
            <w:gridSpan w:val="4"/>
          </w:tcPr>
          <w:p>
            <w:pPr>
              <w:jc w:val="center"/>
              <w:spacing w:after="0" w:line="189" w:lineRule="exact"/>
              <w:rPr>
                <w:sz w:val="20"/>
                <w:szCs w:val="20"/>
                <w:color w:val="auto"/>
              </w:rPr>
            </w:pPr>
            <w:r>
              <w:rPr>
                <w:rFonts w:ascii="Arial" w:cs="Arial" w:eastAsia="Arial" w:hAnsi="Arial"/>
                <w:sz w:val="18"/>
                <w:szCs w:val="18"/>
                <w:color w:val="0000FF"/>
                <w:w w:val="89"/>
              </w:rPr>
              <w:t>51</w:t>
            </w: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GLOSSARY OF OIL AND NATURAL GAS TERMS</w:t>
      </w:r>
    </w:p>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following is a glossary of certain oil and natural gas industry terms that are used in this Quarterly Report on Form 10-Q (this “report”):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Basin</w:t>
            </w:r>
          </w:p>
        </w:tc>
        <w:tc>
          <w:tcPr>
            <w:tcW w:w="862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7"/>
                <w:szCs w:val="17"/>
                <w:color w:val="auto"/>
              </w:rPr>
              <w:t>A large depression on the earth’s surface in which sediments accumulate.</w:t>
            </w:r>
          </w:p>
        </w:tc>
      </w:tr>
      <w:tr>
        <w:trPr>
          <w:trHeight w:val="162"/>
        </w:trPr>
        <w:tc>
          <w:tcPr>
            <w:tcW w:w="2620" w:type="dxa"/>
            <w:vAlign w:val="bottom"/>
          </w:tcPr>
          <w:p>
            <w:pPr>
              <w:ind w:left="20"/>
              <w:spacing w:after="0" w:line="162" w:lineRule="exact"/>
              <w:rPr>
                <w:sz w:val="20"/>
                <w:szCs w:val="20"/>
                <w:color w:val="auto"/>
              </w:rPr>
            </w:pPr>
            <w:r>
              <w:rPr>
                <w:rFonts w:ascii="Arial" w:cs="Arial" w:eastAsia="Arial" w:hAnsi="Arial"/>
                <w:sz w:val="17"/>
                <w:szCs w:val="17"/>
                <w:color w:val="auto"/>
              </w:rPr>
              <w:t>Bbl or barrel</w:t>
            </w:r>
          </w:p>
        </w:tc>
        <w:tc>
          <w:tcPr>
            <w:tcW w:w="8620" w:type="dxa"/>
            <w:vAlign w:val="bottom"/>
          </w:tcPr>
          <w:p>
            <w:pPr>
              <w:ind w:left="600"/>
              <w:spacing w:after="0" w:line="162" w:lineRule="exact"/>
              <w:rPr>
                <w:sz w:val="20"/>
                <w:szCs w:val="20"/>
                <w:color w:val="auto"/>
              </w:rPr>
            </w:pPr>
            <w:r>
              <w:rPr>
                <w:rFonts w:ascii="Arial" w:cs="Arial" w:eastAsia="Arial" w:hAnsi="Arial"/>
                <w:sz w:val="17"/>
                <w:szCs w:val="17"/>
                <w:color w:val="auto"/>
                <w:w w:val="94"/>
              </w:rPr>
              <w:t>One stock tank barrel, or 42 U.S. gallons liquid volume, used in this report in reference to crude oil or other liquid</w:t>
            </w:r>
          </w:p>
        </w:tc>
      </w:tr>
      <w:tr>
        <w:trPr>
          <w:trHeight w:val="223"/>
        </w:trPr>
        <w:tc>
          <w:tcPr>
            <w:tcW w:w="2620" w:type="dxa"/>
            <w:vAlign w:val="bottom"/>
          </w:tcPr>
          <w:p>
            <w:pPr>
              <w:spacing w:after="0"/>
              <w:rPr>
                <w:sz w:val="19"/>
                <w:szCs w:val="19"/>
                <w:color w:val="auto"/>
              </w:rPr>
            </w:pPr>
          </w:p>
        </w:tc>
        <w:tc>
          <w:tcPr>
            <w:tcW w:w="8620" w:type="dxa"/>
            <w:vAlign w:val="bottom"/>
          </w:tcPr>
          <w:p>
            <w:pPr>
              <w:ind w:left="600"/>
              <w:spacing w:after="0"/>
              <w:rPr>
                <w:sz w:val="20"/>
                <w:szCs w:val="20"/>
                <w:color w:val="auto"/>
              </w:rPr>
            </w:pPr>
            <w:r>
              <w:rPr>
                <w:rFonts w:ascii="Arial" w:cs="Arial" w:eastAsia="Arial" w:hAnsi="Arial"/>
                <w:sz w:val="17"/>
                <w:szCs w:val="17"/>
                <w:color w:val="auto"/>
              </w:rPr>
              <w:t>hydrocarbons.</w:t>
            </w:r>
          </w:p>
        </w:tc>
      </w:tr>
      <w:tr>
        <w:trPr>
          <w:trHeight w:val="236"/>
        </w:trPr>
        <w:tc>
          <w:tcPr>
            <w:tcW w:w="2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BO</w:t>
            </w:r>
          </w:p>
        </w:tc>
        <w:tc>
          <w:tcPr>
            <w:tcW w:w="8620" w:type="dxa"/>
            <w:vAlign w:val="bottom"/>
            <w:shd w:val="clear" w:color="auto" w:fill="CCEEFF"/>
          </w:tcPr>
          <w:p>
            <w:pPr>
              <w:ind w:left="600"/>
              <w:spacing w:after="0"/>
              <w:rPr>
                <w:sz w:val="20"/>
                <w:szCs w:val="20"/>
                <w:color w:val="auto"/>
              </w:rPr>
            </w:pPr>
            <w:r>
              <w:rPr>
                <w:rFonts w:ascii="Arial" w:cs="Arial" w:eastAsia="Arial" w:hAnsi="Arial"/>
                <w:sz w:val="17"/>
                <w:szCs w:val="17"/>
                <w:color w:val="auto"/>
              </w:rPr>
              <w:t>One barrel of crude oil.</w:t>
            </w:r>
          </w:p>
        </w:tc>
      </w:tr>
      <w:tr>
        <w:trPr>
          <w:trHeight w:val="223"/>
        </w:trPr>
        <w:tc>
          <w:tcPr>
            <w:tcW w:w="2620" w:type="dxa"/>
            <w:vAlign w:val="bottom"/>
          </w:tcPr>
          <w:p>
            <w:pPr>
              <w:ind w:left="20"/>
              <w:spacing w:after="0"/>
              <w:rPr>
                <w:sz w:val="20"/>
                <w:szCs w:val="20"/>
                <w:color w:val="auto"/>
              </w:rPr>
            </w:pPr>
            <w:r>
              <w:rPr>
                <w:rFonts w:ascii="Arial" w:cs="Arial" w:eastAsia="Arial" w:hAnsi="Arial"/>
                <w:sz w:val="17"/>
                <w:szCs w:val="17"/>
                <w:color w:val="auto"/>
              </w:rPr>
              <w:t>BO/d</w:t>
            </w:r>
          </w:p>
        </w:tc>
        <w:tc>
          <w:tcPr>
            <w:tcW w:w="8620" w:type="dxa"/>
            <w:vAlign w:val="bottom"/>
          </w:tcPr>
          <w:p>
            <w:pPr>
              <w:ind w:left="600"/>
              <w:spacing w:after="0"/>
              <w:rPr>
                <w:sz w:val="20"/>
                <w:szCs w:val="20"/>
                <w:color w:val="auto"/>
              </w:rPr>
            </w:pPr>
            <w:r>
              <w:rPr>
                <w:rFonts w:ascii="Arial" w:cs="Arial" w:eastAsia="Arial" w:hAnsi="Arial"/>
                <w:sz w:val="17"/>
                <w:szCs w:val="17"/>
                <w:color w:val="auto"/>
              </w:rPr>
              <w:t>One BO per day.</w:t>
            </w:r>
          </w:p>
        </w:tc>
      </w:tr>
      <w:tr>
        <w:trPr>
          <w:trHeight w:val="236"/>
        </w:trPr>
        <w:tc>
          <w:tcPr>
            <w:tcW w:w="2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BOE</w:t>
            </w:r>
          </w:p>
        </w:tc>
        <w:tc>
          <w:tcPr>
            <w:tcW w:w="8620" w:type="dxa"/>
            <w:vAlign w:val="bottom"/>
            <w:shd w:val="clear" w:color="auto" w:fill="CCEEFF"/>
          </w:tcPr>
          <w:p>
            <w:pPr>
              <w:ind w:left="600"/>
              <w:spacing w:after="0"/>
              <w:rPr>
                <w:sz w:val="20"/>
                <w:szCs w:val="20"/>
                <w:color w:val="auto"/>
              </w:rPr>
            </w:pPr>
            <w:r>
              <w:rPr>
                <w:rFonts w:ascii="Arial" w:cs="Arial" w:eastAsia="Arial" w:hAnsi="Arial"/>
                <w:sz w:val="17"/>
                <w:szCs w:val="17"/>
                <w:color w:val="auto"/>
                <w:w w:val="99"/>
              </w:rPr>
              <w:t>One barrel of oil equivalent, with six thousand cubic feet of natural gas being equivalent to one barrel of oil.</w:t>
            </w:r>
          </w:p>
        </w:tc>
      </w:tr>
      <w:tr>
        <w:trPr>
          <w:trHeight w:val="223"/>
        </w:trPr>
        <w:tc>
          <w:tcPr>
            <w:tcW w:w="2620" w:type="dxa"/>
            <w:vAlign w:val="bottom"/>
          </w:tcPr>
          <w:p>
            <w:pPr>
              <w:ind w:left="20"/>
              <w:spacing w:after="0"/>
              <w:rPr>
                <w:sz w:val="20"/>
                <w:szCs w:val="20"/>
                <w:color w:val="auto"/>
              </w:rPr>
            </w:pPr>
            <w:r>
              <w:rPr>
                <w:rFonts w:ascii="Arial" w:cs="Arial" w:eastAsia="Arial" w:hAnsi="Arial"/>
                <w:sz w:val="17"/>
                <w:szCs w:val="17"/>
                <w:color w:val="auto"/>
              </w:rPr>
              <w:t>BOE/d</w:t>
            </w:r>
          </w:p>
        </w:tc>
        <w:tc>
          <w:tcPr>
            <w:tcW w:w="8620" w:type="dxa"/>
            <w:vAlign w:val="bottom"/>
          </w:tcPr>
          <w:p>
            <w:pPr>
              <w:ind w:left="600"/>
              <w:spacing w:after="0"/>
              <w:rPr>
                <w:sz w:val="20"/>
                <w:szCs w:val="20"/>
                <w:color w:val="auto"/>
              </w:rPr>
            </w:pPr>
            <w:r>
              <w:rPr>
                <w:rFonts w:ascii="Arial" w:cs="Arial" w:eastAsia="Arial" w:hAnsi="Arial"/>
                <w:sz w:val="17"/>
                <w:szCs w:val="17"/>
                <w:color w:val="auto"/>
              </w:rPr>
              <w:t>BOE per day.</w:t>
            </w:r>
          </w:p>
        </w:tc>
      </w:tr>
      <w:tr>
        <w:trPr>
          <w:trHeight w:val="236"/>
        </w:trPr>
        <w:tc>
          <w:tcPr>
            <w:tcW w:w="2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British Thermal Unit or Btu</w:t>
            </w:r>
          </w:p>
        </w:tc>
        <w:tc>
          <w:tcPr>
            <w:tcW w:w="8620" w:type="dxa"/>
            <w:vAlign w:val="bottom"/>
            <w:shd w:val="clear" w:color="auto" w:fill="CCEEFF"/>
          </w:tcPr>
          <w:p>
            <w:pPr>
              <w:ind w:left="600"/>
              <w:spacing w:after="0"/>
              <w:rPr>
                <w:sz w:val="20"/>
                <w:szCs w:val="20"/>
                <w:color w:val="auto"/>
              </w:rPr>
            </w:pPr>
            <w:r>
              <w:rPr>
                <w:rFonts w:ascii="Arial" w:cs="Arial" w:eastAsia="Arial" w:hAnsi="Arial"/>
                <w:sz w:val="17"/>
                <w:szCs w:val="17"/>
                <w:color w:val="auto"/>
              </w:rPr>
              <w:t>The quantity of heat required to raise the temperature of one pound of water by one degree Fahrenheit.</w:t>
            </w:r>
          </w:p>
        </w:tc>
      </w:tr>
      <w:tr>
        <w:trPr>
          <w:trHeight w:val="162"/>
        </w:trPr>
        <w:tc>
          <w:tcPr>
            <w:tcW w:w="2620" w:type="dxa"/>
            <w:vAlign w:val="bottom"/>
          </w:tcPr>
          <w:p>
            <w:pPr>
              <w:ind w:left="20"/>
              <w:spacing w:after="0" w:line="162" w:lineRule="exact"/>
              <w:rPr>
                <w:sz w:val="20"/>
                <w:szCs w:val="20"/>
                <w:color w:val="auto"/>
              </w:rPr>
            </w:pPr>
            <w:r>
              <w:rPr>
                <w:rFonts w:ascii="Arial" w:cs="Arial" w:eastAsia="Arial" w:hAnsi="Arial"/>
                <w:sz w:val="17"/>
                <w:szCs w:val="17"/>
                <w:color w:val="auto"/>
              </w:rPr>
              <w:t>Completion</w:t>
            </w:r>
          </w:p>
        </w:tc>
        <w:tc>
          <w:tcPr>
            <w:tcW w:w="8620" w:type="dxa"/>
            <w:vAlign w:val="bottom"/>
          </w:tcPr>
          <w:p>
            <w:pPr>
              <w:ind w:left="600"/>
              <w:spacing w:after="0" w:line="162" w:lineRule="exact"/>
              <w:rPr>
                <w:sz w:val="20"/>
                <w:szCs w:val="20"/>
                <w:color w:val="auto"/>
              </w:rPr>
            </w:pPr>
            <w:r>
              <w:rPr>
                <w:rFonts w:ascii="Arial" w:cs="Arial" w:eastAsia="Arial" w:hAnsi="Arial"/>
                <w:sz w:val="17"/>
                <w:szCs w:val="17"/>
                <w:color w:val="auto"/>
                <w:w w:val="97"/>
              </w:rPr>
              <w:t>The process of treating a drilled well followed by the installation of permanent equipment for the production of</w:t>
            </w:r>
          </w:p>
        </w:tc>
      </w:tr>
      <w:tr>
        <w:trPr>
          <w:trHeight w:val="223"/>
        </w:trPr>
        <w:tc>
          <w:tcPr>
            <w:tcW w:w="2620" w:type="dxa"/>
            <w:vAlign w:val="bottom"/>
          </w:tcPr>
          <w:p>
            <w:pPr>
              <w:spacing w:after="0"/>
              <w:rPr>
                <w:sz w:val="19"/>
                <w:szCs w:val="19"/>
                <w:color w:val="auto"/>
              </w:rPr>
            </w:pPr>
          </w:p>
        </w:tc>
        <w:tc>
          <w:tcPr>
            <w:tcW w:w="8620" w:type="dxa"/>
            <w:vAlign w:val="bottom"/>
          </w:tcPr>
          <w:p>
            <w:pPr>
              <w:ind w:left="600"/>
              <w:spacing w:after="0"/>
              <w:rPr>
                <w:sz w:val="20"/>
                <w:szCs w:val="20"/>
                <w:color w:val="auto"/>
              </w:rPr>
            </w:pPr>
            <w:r>
              <w:rPr>
                <w:rFonts w:ascii="Arial" w:cs="Arial" w:eastAsia="Arial" w:hAnsi="Arial"/>
                <w:sz w:val="17"/>
                <w:szCs w:val="17"/>
                <w:color w:val="auto"/>
              </w:rPr>
              <w:t>natural gas or oil, or in the case of a dry hole, the reporting of abandonment to the appropriate agency.</w:t>
            </w:r>
          </w:p>
        </w:tc>
      </w:tr>
      <w:tr>
        <w:trPr>
          <w:trHeight w:val="236"/>
        </w:trPr>
        <w:tc>
          <w:tcPr>
            <w:tcW w:w="2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acres or gross wells</w:t>
            </w:r>
          </w:p>
        </w:tc>
        <w:tc>
          <w:tcPr>
            <w:tcW w:w="8620" w:type="dxa"/>
            <w:vAlign w:val="bottom"/>
            <w:shd w:val="clear" w:color="auto" w:fill="CCEEFF"/>
          </w:tcPr>
          <w:p>
            <w:pPr>
              <w:ind w:left="600"/>
              <w:spacing w:after="0"/>
              <w:rPr>
                <w:sz w:val="20"/>
                <w:szCs w:val="20"/>
                <w:color w:val="auto"/>
              </w:rPr>
            </w:pPr>
            <w:r>
              <w:rPr>
                <w:rFonts w:ascii="Arial" w:cs="Arial" w:eastAsia="Arial" w:hAnsi="Arial"/>
                <w:sz w:val="17"/>
                <w:szCs w:val="17"/>
                <w:color w:val="auto"/>
              </w:rPr>
              <w:t>The total acres or wells, as the case may be, in which a working interest is owned.</w:t>
            </w:r>
          </w:p>
        </w:tc>
      </w:tr>
      <w:tr>
        <w:trPr>
          <w:trHeight w:val="162"/>
        </w:trPr>
        <w:tc>
          <w:tcPr>
            <w:tcW w:w="2620" w:type="dxa"/>
            <w:vAlign w:val="bottom"/>
          </w:tcPr>
          <w:p>
            <w:pPr>
              <w:ind w:left="20"/>
              <w:spacing w:after="0" w:line="162" w:lineRule="exact"/>
              <w:rPr>
                <w:sz w:val="20"/>
                <w:szCs w:val="20"/>
                <w:color w:val="auto"/>
              </w:rPr>
            </w:pPr>
            <w:r>
              <w:rPr>
                <w:rFonts w:ascii="Arial" w:cs="Arial" w:eastAsia="Arial" w:hAnsi="Arial"/>
                <w:sz w:val="17"/>
                <w:szCs w:val="17"/>
                <w:color w:val="auto"/>
              </w:rPr>
              <w:t>Horizontal wells</w:t>
            </w:r>
          </w:p>
        </w:tc>
        <w:tc>
          <w:tcPr>
            <w:tcW w:w="8620" w:type="dxa"/>
            <w:vAlign w:val="bottom"/>
          </w:tcPr>
          <w:p>
            <w:pPr>
              <w:ind w:left="600"/>
              <w:spacing w:after="0" w:line="162" w:lineRule="exact"/>
              <w:rPr>
                <w:sz w:val="20"/>
                <w:szCs w:val="20"/>
                <w:color w:val="auto"/>
              </w:rPr>
            </w:pPr>
            <w:r>
              <w:rPr>
                <w:rFonts w:ascii="Arial" w:cs="Arial" w:eastAsia="Arial" w:hAnsi="Arial"/>
                <w:sz w:val="17"/>
                <w:szCs w:val="17"/>
                <w:color w:val="auto"/>
                <w:w w:val="93"/>
              </w:rPr>
              <w:t>Wells drilled directionally horizontal to allow for development of structures not reachable through traditional vertical</w:t>
            </w:r>
          </w:p>
        </w:tc>
      </w:tr>
      <w:tr>
        <w:trPr>
          <w:trHeight w:val="223"/>
        </w:trPr>
        <w:tc>
          <w:tcPr>
            <w:tcW w:w="2620" w:type="dxa"/>
            <w:vAlign w:val="bottom"/>
          </w:tcPr>
          <w:p>
            <w:pPr>
              <w:spacing w:after="0"/>
              <w:rPr>
                <w:sz w:val="19"/>
                <w:szCs w:val="19"/>
                <w:color w:val="auto"/>
              </w:rPr>
            </w:pPr>
          </w:p>
        </w:tc>
        <w:tc>
          <w:tcPr>
            <w:tcW w:w="8620" w:type="dxa"/>
            <w:vAlign w:val="bottom"/>
          </w:tcPr>
          <w:p>
            <w:pPr>
              <w:ind w:left="600"/>
              <w:spacing w:after="0"/>
              <w:rPr>
                <w:sz w:val="20"/>
                <w:szCs w:val="20"/>
                <w:color w:val="auto"/>
              </w:rPr>
            </w:pPr>
            <w:r>
              <w:rPr>
                <w:rFonts w:ascii="Arial" w:cs="Arial" w:eastAsia="Arial" w:hAnsi="Arial"/>
                <w:sz w:val="17"/>
                <w:szCs w:val="17"/>
                <w:color w:val="auto"/>
              </w:rPr>
              <w:t>drilling mechanisms.</w:t>
            </w:r>
          </w:p>
        </w:tc>
      </w:tr>
      <w:tr>
        <w:trPr>
          <w:trHeight w:val="236"/>
        </w:trPr>
        <w:tc>
          <w:tcPr>
            <w:tcW w:w="2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MBbl</w:t>
            </w:r>
          </w:p>
        </w:tc>
        <w:tc>
          <w:tcPr>
            <w:tcW w:w="8620" w:type="dxa"/>
            <w:vAlign w:val="bottom"/>
            <w:shd w:val="clear" w:color="auto" w:fill="CCEEFF"/>
          </w:tcPr>
          <w:p>
            <w:pPr>
              <w:ind w:left="600"/>
              <w:spacing w:after="0"/>
              <w:rPr>
                <w:sz w:val="20"/>
                <w:szCs w:val="20"/>
                <w:color w:val="auto"/>
              </w:rPr>
            </w:pPr>
            <w:r>
              <w:rPr>
                <w:rFonts w:ascii="Arial" w:cs="Arial" w:eastAsia="Arial" w:hAnsi="Arial"/>
                <w:sz w:val="17"/>
                <w:szCs w:val="17"/>
                <w:color w:val="auto"/>
              </w:rPr>
              <w:t>One thousand barrels of crude oil and other liquid hydrocarbons.</w:t>
            </w:r>
          </w:p>
        </w:tc>
      </w:tr>
      <w:tr>
        <w:trPr>
          <w:trHeight w:val="223"/>
        </w:trPr>
        <w:tc>
          <w:tcPr>
            <w:tcW w:w="2620" w:type="dxa"/>
            <w:vAlign w:val="bottom"/>
          </w:tcPr>
          <w:p>
            <w:pPr>
              <w:ind w:left="20"/>
              <w:spacing w:after="0"/>
              <w:rPr>
                <w:sz w:val="20"/>
                <w:szCs w:val="20"/>
                <w:color w:val="auto"/>
              </w:rPr>
            </w:pPr>
            <w:r>
              <w:rPr>
                <w:rFonts w:ascii="Arial" w:cs="Arial" w:eastAsia="Arial" w:hAnsi="Arial"/>
                <w:sz w:val="17"/>
                <w:szCs w:val="17"/>
                <w:color w:val="auto"/>
              </w:rPr>
              <w:t>MBOE</w:t>
            </w:r>
          </w:p>
        </w:tc>
        <w:tc>
          <w:tcPr>
            <w:tcW w:w="8620" w:type="dxa"/>
            <w:vAlign w:val="bottom"/>
          </w:tcPr>
          <w:p>
            <w:pPr>
              <w:ind w:left="600"/>
              <w:spacing w:after="0"/>
              <w:rPr>
                <w:sz w:val="20"/>
                <w:szCs w:val="20"/>
                <w:color w:val="auto"/>
              </w:rPr>
            </w:pPr>
            <w:r>
              <w:rPr>
                <w:rFonts w:ascii="Arial" w:cs="Arial" w:eastAsia="Arial" w:hAnsi="Arial"/>
                <w:sz w:val="17"/>
                <w:szCs w:val="17"/>
                <w:color w:val="auto"/>
              </w:rPr>
              <w:t>One thousand BOE.</w:t>
            </w:r>
          </w:p>
        </w:tc>
      </w:tr>
      <w:tr>
        <w:trPr>
          <w:trHeight w:val="236"/>
        </w:trPr>
        <w:tc>
          <w:tcPr>
            <w:tcW w:w="2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MBOE/d</w:t>
            </w:r>
          </w:p>
        </w:tc>
        <w:tc>
          <w:tcPr>
            <w:tcW w:w="8620" w:type="dxa"/>
            <w:vAlign w:val="bottom"/>
            <w:shd w:val="clear" w:color="auto" w:fill="CCEEFF"/>
          </w:tcPr>
          <w:p>
            <w:pPr>
              <w:ind w:left="600"/>
              <w:spacing w:after="0"/>
              <w:rPr>
                <w:sz w:val="20"/>
                <w:szCs w:val="20"/>
                <w:color w:val="auto"/>
              </w:rPr>
            </w:pPr>
            <w:r>
              <w:rPr>
                <w:rFonts w:ascii="Arial" w:cs="Arial" w:eastAsia="Arial" w:hAnsi="Arial"/>
                <w:sz w:val="17"/>
                <w:szCs w:val="17"/>
                <w:color w:val="auto"/>
              </w:rPr>
              <w:t>One thousand BOE per day.</w:t>
            </w:r>
          </w:p>
        </w:tc>
      </w:tr>
      <w:tr>
        <w:trPr>
          <w:trHeight w:val="223"/>
        </w:trPr>
        <w:tc>
          <w:tcPr>
            <w:tcW w:w="2620" w:type="dxa"/>
            <w:vAlign w:val="bottom"/>
          </w:tcPr>
          <w:p>
            <w:pPr>
              <w:ind w:left="20"/>
              <w:spacing w:after="0"/>
              <w:rPr>
                <w:sz w:val="20"/>
                <w:szCs w:val="20"/>
                <w:color w:val="auto"/>
              </w:rPr>
            </w:pPr>
            <w:r>
              <w:rPr>
                <w:rFonts w:ascii="Arial" w:cs="Arial" w:eastAsia="Arial" w:hAnsi="Arial"/>
                <w:sz w:val="17"/>
                <w:szCs w:val="17"/>
                <w:color w:val="auto"/>
              </w:rPr>
              <w:t>Mcf</w:t>
            </w:r>
          </w:p>
        </w:tc>
        <w:tc>
          <w:tcPr>
            <w:tcW w:w="8620" w:type="dxa"/>
            <w:vAlign w:val="bottom"/>
          </w:tcPr>
          <w:p>
            <w:pPr>
              <w:ind w:left="600"/>
              <w:spacing w:after="0"/>
              <w:rPr>
                <w:sz w:val="20"/>
                <w:szCs w:val="20"/>
                <w:color w:val="auto"/>
              </w:rPr>
            </w:pPr>
            <w:r>
              <w:rPr>
                <w:rFonts w:ascii="Arial" w:cs="Arial" w:eastAsia="Arial" w:hAnsi="Arial"/>
                <w:sz w:val="17"/>
                <w:szCs w:val="17"/>
                <w:color w:val="auto"/>
              </w:rPr>
              <w:t>One thousand cubic feet of natural gas.</w:t>
            </w:r>
          </w:p>
        </w:tc>
      </w:tr>
      <w:tr>
        <w:trPr>
          <w:trHeight w:val="169"/>
        </w:trPr>
        <w:tc>
          <w:tcPr>
            <w:tcW w:w="262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rPr>
              <w:t>Mineral interests</w:t>
            </w:r>
          </w:p>
        </w:tc>
        <w:tc>
          <w:tcPr>
            <w:tcW w:w="8620" w:type="dxa"/>
            <w:vAlign w:val="bottom"/>
            <w:shd w:val="clear" w:color="auto" w:fill="CCEEFF"/>
          </w:tcPr>
          <w:p>
            <w:pPr>
              <w:ind w:left="600"/>
              <w:spacing w:after="0" w:line="169" w:lineRule="exact"/>
              <w:rPr>
                <w:sz w:val="20"/>
                <w:szCs w:val="20"/>
                <w:color w:val="auto"/>
              </w:rPr>
            </w:pPr>
            <w:r>
              <w:rPr>
                <w:rFonts w:ascii="Arial" w:cs="Arial" w:eastAsia="Arial" w:hAnsi="Arial"/>
                <w:sz w:val="17"/>
                <w:szCs w:val="17"/>
                <w:color w:val="auto"/>
                <w:w w:val="93"/>
              </w:rPr>
              <w:t>The interests in ownership of the resource and mineral rights, giving an owner the right to profit from the extracted</w:t>
            </w:r>
          </w:p>
        </w:tc>
      </w:tr>
      <w:tr>
        <w:trPr>
          <w:trHeight w:val="229"/>
        </w:trPr>
        <w:tc>
          <w:tcPr>
            <w:tcW w:w="2620" w:type="dxa"/>
            <w:vAlign w:val="bottom"/>
            <w:shd w:val="clear" w:color="auto" w:fill="CCEEFF"/>
          </w:tcPr>
          <w:p>
            <w:pPr>
              <w:spacing w:after="0"/>
              <w:rPr>
                <w:sz w:val="19"/>
                <w:szCs w:val="19"/>
                <w:color w:val="auto"/>
              </w:rPr>
            </w:pPr>
          </w:p>
        </w:tc>
        <w:tc>
          <w:tcPr>
            <w:tcW w:w="8620" w:type="dxa"/>
            <w:vAlign w:val="bottom"/>
            <w:shd w:val="clear" w:color="auto" w:fill="CCEEFF"/>
          </w:tcPr>
          <w:p>
            <w:pPr>
              <w:ind w:left="600"/>
              <w:spacing w:after="0"/>
              <w:rPr>
                <w:sz w:val="20"/>
                <w:szCs w:val="20"/>
                <w:color w:val="auto"/>
              </w:rPr>
            </w:pPr>
            <w:r>
              <w:rPr>
                <w:rFonts w:ascii="Arial" w:cs="Arial" w:eastAsia="Arial" w:hAnsi="Arial"/>
                <w:sz w:val="17"/>
                <w:szCs w:val="17"/>
                <w:color w:val="auto"/>
              </w:rPr>
              <w:t>resources.</w:t>
            </w:r>
          </w:p>
        </w:tc>
      </w:tr>
      <w:tr>
        <w:trPr>
          <w:trHeight w:val="223"/>
        </w:trPr>
        <w:tc>
          <w:tcPr>
            <w:tcW w:w="2620" w:type="dxa"/>
            <w:vAlign w:val="bottom"/>
          </w:tcPr>
          <w:p>
            <w:pPr>
              <w:ind w:left="20"/>
              <w:spacing w:after="0"/>
              <w:rPr>
                <w:sz w:val="20"/>
                <w:szCs w:val="20"/>
                <w:color w:val="auto"/>
              </w:rPr>
            </w:pPr>
            <w:r>
              <w:rPr>
                <w:rFonts w:ascii="Arial" w:cs="Arial" w:eastAsia="Arial" w:hAnsi="Arial"/>
                <w:sz w:val="17"/>
                <w:szCs w:val="17"/>
                <w:color w:val="auto"/>
              </w:rPr>
              <w:t>MMBtu</w:t>
            </w:r>
          </w:p>
        </w:tc>
        <w:tc>
          <w:tcPr>
            <w:tcW w:w="8620" w:type="dxa"/>
            <w:vAlign w:val="bottom"/>
          </w:tcPr>
          <w:p>
            <w:pPr>
              <w:ind w:left="600"/>
              <w:spacing w:after="0"/>
              <w:rPr>
                <w:sz w:val="20"/>
                <w:szCs w:val="20"/>
                <w:color w:val="auto"/>
              </w:rPr>
            </w:pPr>
            <w:r>
              <w:rPr>
                <w:rFonts w:ascii="Arial" w:cs="Arial" w:eastAsia="Arial" w:hAnsi="Arial"/>
                <w:sz w:val="17"/>
                <w:szCs w:val="17"/>
                <w:color w:val="auto"/>
              </w:rPr>
              <w:t>One million British Thermal Units.</w:t>
            </w:r>
          </w:p>
        </w:tc>
      </w:tr>
      <w:tr>
        <w:trPr>
          <w:trHeight w:val="236"/>
        </w:trPr>
        <w:tc>
          <w:tcPr>
            <w:tcW w:w="2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MMcf</w:t>
            </w:r>
          </w:p>
        </w:tc>
        <w:tc>
          <w:tcPr>
            <w:tcW w:w="8620" w:type="dxa"/>
            <w:vAlign w:val="bottom"/>
            <w:shd w:val="clear" w:color="auto" w:fill="CCEEFF"/>
          </w:tcPr>
          <w:p>
            <w:pPr>
              <w:ind w:left="600"/>
              <w:spacing w:after="0"/>
              <w:rPr>
                <w:sz w:val="20"/>
                <w:szCs w:val="20"/>
                <w:color w:val="auto"/>
              </w:rPr>
            </w:pPr>
            <w:r>
              <w:rPr>
                <w:rFonts w:ascii="Arial" w:cs="Arial" w:eastAsia="Arial" w:hAnsi="Arial"/>
                <w:sz w:val="17"/>
                <w:szCs w:val="17"/>
                <w:color w:val="auto"/>
              </w:rPr>
              <w:t>Million cubic feet of natural gas.</w:t>
            </w:r>
          </w:p>
        </w:tc>
      </w:tr>
      <w:tr>
        <w:trPr>
          <w:trHeight w:val="223"/>
        </w:trPr>
        <w:tc>
          <w:tcPr>
            <w:tcW w:w="2620" w:type="dxa"/>
            <w:vAlign w:val="bottom"/>
          </w:tcPr>
          <w:p>
            <w:pPr>
              <w:ind w:left="20"/>
              <w:spacing w:after="0"/>
              <w:rPr>
                <w:sz w:val="20"/>
                <w:szCs w:val="20"/>
                <w:color w:val="auto"/>
              </w:rPr>
            </w:pPr>
            <w:r>
              <w:rPr>
                <w:rFonts w:ascii="Arial" w:cs="Arial" w:eastAsia="Arial" w:hAnsi="Arial"/>
                <w:sz w:val="17"/>
                <w:szCs w:val="17"/>
                <w:color w:val="auto"/>
              </w:rPr>
              <w:t>Net acres or net wells</w:t>
            </w:r>
          </w:p>
        </w:tc>
        <w:tc>
          <w:tcPr>
            <w:tcW w:w="8620" w:type="dxa"/>
            <w:vAlign w:val="bottom"/>
          </w:tcPr>
          <w:p>
            <w:pPr>
              <w:ind w:left="600"/>
              <w:spacing w:after="0"/>
              <w:rPr>
                <w:sz w:val="20"/>
                <w:szCs w:val="20"/>
                <w:color w:val="auto"/>
              </w:rPr>
            </w:pPr>
            <w:r>
              <w:rPr>
                <w:rFonts w:ascii="Arial" w:cs="Arial" w:eastAsia="Arial" w:hAnsi="Arial"/>
                <w:sz w:val="17"/>
                <w:szCs w:val="17"/>
                <w:color w:val="auto"/>
              </w:rPr>
              <w:t>The sum of the fractional working interest owned in gross acres.</w:t>
            </w:r>
          </w:p>
        </w:tc>
      </w:tr>
      <w:tr>
        <w:trPr>
          <w:trHeight w:val="236"/>
        </w:trPr>
        <w:tc>
          <w:tcPr>
            <w:tcW w:w="2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Oil and natural gas properties</w:t>
            </w:r>
          </w:p>
        </w:tc>
        <w:tc>
          <w:tcPr>
            <w:tcW w:w="8620" w:type="dxa"/>
            <w:vAlign w:val="bottom"/>
            <w:shd w:val="clear" w:color="auto" w:fill="CCEEFF"/>
          </w:tcPr>
          <w:p>
            <w:pPr>
              <w:ind w:left="600"/>
              <w:spacing w:after="0"/>
              <w:rPr>
                <w:sz w:val="20"/>
                <w:szCs w:val="20"/>
                <w:color w:val="auto"/>
              </w:rPr>
            </w:pPr>
            <w:r>
              <w:rPr>
                <w:rFonts w:ascii="Arial" w:cs="Arial" w:eastAsia="Arial" w:hAnsi="Arial"/>
                <w:sz w:val="17"/>
                <w:szCs w:val="17"/>
                <w:color w:val="auto"/>
              </w:rPr>
              <w:t>Tracts of land consisting of properties to be developed for oil and natural gas resource extraction.</w:t>
            </w:r>
          </w:p>
        </w:tc>
      </w:tr>
      <w:tr>
        <w:trPr>
          <w:trHeight w:val="162"/>
        </w:trPr>
        <w:tc>
          <w:tcPr>
            <w:tcW w:w="2620" w:type="dxa"/>
            <w:vAlign w:val="bottom"/>
          </w:tcPr>
          <w:p>
            <w:pPr>
              <w:ind w:left="20"/>
              <w:spacing w:after="0" w:line="162" w:lineRule="exact"/>
              <w:rPr>
                <w:sz w:val="20"/>
                <w:szCs w:val="20"/>
                <w:color w:val="auto"/>
              </w:rPr>
            </w:pPr>
            <w:r>
              <w:rPr>
                <w:rFonts w:ascii="Arial" w:cs="Arial" w:eastAsia="Arial" w:hAnsi="Arial"/>
                <w:sz w:val="17"/>
                <w:szCs w:val="17"/>
                <w:color w:val="auto"/>
              </w:rPr>
              <w:t>Prospect</w:t>
            </w:r>
          </w:p>
        </w:tc>
        <w:tc>
          <w:tcPr>
            <w:tcW w:w="8620" w:type="dxa"/>
            <w:vAlign w:val="bottom"/>
          </w:tcPr>
          <w:p>
            <w:pPr>
              <w:ind w:left="600"/>
              <w:spacing w:after="0" w:line="162" w:lineRule="exact"/>
              <w:rPr>
                <w:sz w:val="20"/>
                <w:szCs w:val="20"/>
                <w:color w:val="auto"/>
              </w:rPr>
            </w:pPr>
            <w:r>
              <w:rPr>
                <w:rFonts w:ascii="Arial" w:cs="Arial" w:eastAsia="Arial" w:hAnsi="Arial"/>
                <w:sz w:val="17"/>
                <w:szCs w:val="17"/>
                <w:color w:val="auto"/>
                <w:w w:val="94"/>
              </w:rPr>
              <w:t>A specific geographic area which, based on supporting geological, geophysical or other data and also preliminary</w:t>
            </w:r>
          </w:p>
        </w:tc>
      </w:tr>
      <w:tr>
        <w:trPr>
          <w:trHeight w:val="171"/>
        </w:trPr>
        <w:tc>
          <w:tcPr>
            <w:tcW w:w="2620" w:type="dxa"/>
            <w:vAlign w:val="bottom"/>
          </w:tcPr>
          <w:p>
            <w:pPr>
              <w:spacing w:after="0"/>
              <w:rPr>
                <w:sz w:val="14"/>
                <w:szCs w:val="14"/>
                <w:color w:val="auto"/>
              </w:rPr>
            </w:pPr>
          </w:p>
        </w:tc>
        <w:tc>
          <w:tcPr>
            <w:tcW w:w="8620" w:type="dxa"/>
            <w:vAlign w:val="bottom"/>
          </w:tcPr>
          <w:p>
            <w:pPr>
              <w:ind w:left="600"/>
              <w:spacing w:after="0" w:line="172" w:lineRule="exact"/>
              <w:rPr>
                <w:sz w:val="20"/>
                <w:szCs w:val="20"/>
                <w:color w:val="auto"/>
              </w:rPr>
            </w:pPr>
            <w:r>
              <w:rPr>
                <w:rFonts w:ascii="Arial" w:cs="Arial" w:eastAsia="Arial" w:hAnsi="Arial"/>
                <w:sz w:val="17"/>
                <w:szCs w:val="17"/>
                <w:color w:val="auto"/>
                <w:w w:val="93"/>
              </w:rPr>
              <w:t>economic analysis using reasonably anticipated prices and costs, is deemed to have potential for the discovery of</w:t>
            </w:r>
          </w:p>
        </w:tc>
      </w:tr>
      <w:tr>
        <w:trPr>
          <w:trHeight w:val="225"/>
        </w:trPr>
        <w:tc>
          <w:tcPr>
            <w:tcW w:w="2620" w:type="dxa"/>
            <w:vAlign w:val="bottom"/>
          </w:tcPr>
          <w:p>
            <w:pPr>
              <w:spacing w:after="0"/>
              <w:rPr>
                <w:sz w:val="19"/>
                <w:szCs w:val="19"/>
                <w:color w:val="auto"/>
              </w:rPr>
            </w:pPr>
          </w:p>
        </w:tc>
        <w:tc>
          <w:tcPr>
            <w:tcW w:w="8620" w:type="dxa"/>
            <w:vAlign w:val="bottom"/>
          </w:tcPr>
          <w:p>
            <w:pPr>
              <w:ind w:left="600"/>
              <w:spacing w:after="0"/>
              <w:rPr>
                <w:sz w:val="20"/>
                <w:szCs w:val="20"/>
                <w:color w:val="auto"/>
              </w:rPr>
            </w:pPr>
            <w:r>
              <w:rPr>
                <w:rFonts w:ascii="Arial" w:cs="Arial" w:eastAsia="Arial" w:hAnsi="Arial"/>
                <w:sz w:val="17"/>
                <w:szCs w:val="17"/>
                <w:color w:val="auto"/>
              </w:rPr>
              <w:t>commercial hydrocarbons.</w:t>
            </w:r>
          </w:p>
        </w:tc>
      </w:tr>
      <w:tr>
        <w:trPr>
          <w:trHeight w:val="171"/>
        </w:trPr>
        <w:tc>
          <w:tcPr>
            <w:tcW w:w="2620" w:type="dxa"/>
            <w:vAlign w:val="bottom"/>
            <w:shd w:val="clear" w:color="auto" w:fill="CCEEFF"/>
          </w:tcPr>
          <w:p>
            <w:pPr>
              <w:ind w:left="20"/>
              <w:spacing w:after="0" w:line="171" w:lineRule="exact"/>
              <w:rPr>
                <w:sz w:val="20"/>
                <w:szCs w:val="20"/>
                <w:color w:val="auto"/>
              </w:rPr>
            </w:pPr>
            <w:r>
              <w:rPr>
                <w:rFonts w:ascii="Arial" w:cs="Arial" w:eastAsia="Arial" w:hAnsi="Arial"/>
                <w:sz w:val="17"/>
                <w:szCs w:val="17"/>
                <w:color w:val="auto"/>
              </w:rPr>
              <w:t>Proved reserves</w:t>
            </w:r>
          </w:p>
        </w:tc>
        <w:tc>
          <w:tcPr>
            <w:tcW w:w="8620" w:type="dxa"/>
            <w:vAlign w:val="bottom"/>
            <w:shd w:val="clear" w:color="auto" w:fill="CCEEFF"/>
          </w:tcPr>
          <w:p>
            <w:pPr>
              <w:ind w:left="600"/>
              <w:spacing w:after="0" w:line="171" w:lineRule="exact"/>
              <w:rPr>
                <w:sz w:val="20"/>
                <w:szCs w:val="20"/>
                <w:color w:val="auto"/>
              </w:rPr>
            </w:pPr>
            <w:r>
              <w:rPr>
                <w:rFonts w:ascii="Arial" w:cs="Arial" w:eastAsia="Arial" w:hAnsi="Arial"/>
                <w:sz w:val="17"/>
                <w:szCs w:val="17"/>
                <w:color w:val="auto"/>
              </w:rPr>
              <w:t>The estimated quantities of oil, natural gas and natural gas liquids which geological and engineering data</w:t>
            </w:r>
          </w:p>
        </w:tc>
      </w:tr>
      <w:tr>
        <w:trPr>
          <w:trHeight w:val="171"/>
        </w:trPr>
        <w:tc>
          <w:tcPr>
            <w:tcW w:w="2620" w:type="dxa"/>
            <w:vAlign w:val="bottom"/>
            <w:shd w:val="clear" w:color="auto" w:fill="CCEEFF"/>
          </w:tcPr>
          <w:p>
            <w:pPr>
              <w:spacing w:after="0"/>
              <w:rPr>
                <w:sz w:val="14"/>
                <w:szCs w:val="14"/>
                <w:color w:val="auto"/>
              </w:rPr>
            </w:pPr>
          </w:p>
        </w:tc>
        <w:tc>
          <w:tcPr>
            <w:tcW w:w="8620" w:type="dxa"/>
            <w:vAlign w:val="bottom"/>
            <w:shd w:val="clear" w:color="auto" w:fill="CCEEFF"/>
          </w:tcPr>
          <w:p>
            <w:pPr>
              <w:ind w:left="600"/>
              <w:spacing w:after="0" w:line="172" w:lineRule="exact"/>
              <w:rPr>
                <w:sz w:val="20"/>
                <w:szCs w:val="20"/>
                <w:color w:val="auto"/>
              </w:rPr>
            </w:pPr>
            <w:r>
              <w:rPr>
                <w:rFonts w:ascii="Arial" w:cs="Arial" w:eastAsia="Arial" w:hAnsi="Arial"/>
                <w:sz w:val="17"/>
                <w:szCs w:val="17"/>
                <w:color w:val="auto"/>
                <w:w w:val="93"/>
              </w:rPr>
              <w:t>demonstrate with reasonable certainty to be commercially recoverable in future years from known reservoirs under</w:t>
            </w:r>
          </w:p>
        </w:tc>
      </w:tr>
      <w:tr>
        <w:trPr>
          <w:trHeight w:val="234"/>
        </w:trPr>
        <w:tc>
          <w:tcPr>
            <w:tcW w:w="2620" w:type="dxa"/>
            <w:vAlign w:val="bottom"/>
            <w:shd w:val="clear" w:color="auto" w:fill="CCEEFF"/>
          </w:tcPr>
          <w:p>
            <w:pPr>
              <w:spacing w:after="0"/>
              <w:rPr>
                <w:sz w:val="20"/>
                <w:szCs w:val="20"/>
                <w:color w:val="auto"/>
              </w:rPr>
            </w:pPr>
          </w:p>
        </w:tc>
        <w:tc>
          <w:tcPr>
            <w:tcW w:w="8620" w:type="dxa"/>
            <w:vAlign w:val="bottom"/>
            <w:shd w:val="clear" w:color="auto" w:fill="CCEEFF"/>
          </w:tcPr>
          <w:p>
            <w:pPr>
              <w:ind w:left="600"/>
              <w:spacing w:after="0"/>
              <w:rPr>
                <w:sz w:val="20"/>
                <w:szCs w:val="20"/>
                <w:color w:val="auto"/>
              </w:rPr>
            </w:pPr>
            <w:r>
              <w:rPr>
                <w:rFonts w:ascii="Arial" w:cs="Arial" w:eastAsia="Arial" w:hAnsi="Arial"/>
                <w:sz w:val="17"/>
                <w:szCs w:val="17"/>
                <w:color w:val="auto"/>
              </w:rPr>
              <w:t>existing economic and operating conditions.</w:t>
            </w:r>
          </w:p>
        </w:tc>
      </w:tr>
      <w:tr>
        <w:trPr>
          <w:trHeight w:val="162"/>
        </w:trPr>
        <w:tc>
          <w:tcPr>
            <w:tcW w:w="2620" w:type="dxa"/>
            <w:vAlign w:val="bottom"/>
          </w:tcPr>
          <w:p>
            <w:pPr>
              <w:ind w:left="20"/>
              <w:spacing w:after="0" w:line="162" w:lineRule="exact"/>
              <w:rPr>
                <w:sz w:val="20"/>
                <w:szCs w:val="20"/>
                <w:color w:val="auto"/>
              </w:rPr>
            </w:pPr>
            <w:r>
              <w:rPr>
                <w:rFonts w:ascii="Arial" w:cs="Arial" w:eastAsia="Arial" w:hAnsi="Arial"/>
                <w:sz w:val="17"/>
                <w:szCs w:val="17"/>
                <w:color w:val="auto"/>
              </w:rPr>
              <w:t>Reserves</w:t>
            </w:r>
          </w:p>
        </w:tc>
        <w:tc>
          <w:tcPr>
            <w:tcW w:w="8620" w:type="dxa"/>
            <w:vAlign w:val="bottom"/>
          </w:tcPr>
          <w:p>
            <w:pPr>
              <w:ind w:left="600"/>
              <w:spacing w:after="0" w:line="162" w:lineRule="exact"/>
              <w:rPr>
                <w:sz w:val="20"/>
                <w:szCs w:val="20"/>
                <w:color w:val="auto"/>
              </w:rPr>
            </w:pPr>
            <w:r>
              <w:rPr>
                <w:rFonts w:ascii="Arial" w:cs="Arial" w:eastAsia="Arial" w:hAnsi="Arial"/>
                <w:sz w:val="17"/>
                <w:szCs w:val="17"/>
                <w:color w:val="auto"/>
                <w:w w:val="95"/>
              </w:rPr>
              <w:t>The estimated remaining quantities of oil and natural gas and related substances anticipated to be economically</w:t>
            </w:r>
          </w:p>
        </w:tc>
      </w:tr>
      <w:tr>
        <w:trPr>
          <w:trHeight w:val="171"/>
        </w:trPr>
        <w:tc>
          <w:tcPr>
            <w:tcW w:w="2620" w:type="dxa"/>
            <w:vAlign w:val="bottom"/>
          </w:tcPr>
          <w:p>
            <w:pPr>
              <w:spacing w:after="0"/>
              <w:rPr>
                <w:sz w:val="14"/>
                <w:szCs w:val="14"/>
                <w:color w:val="auto"/>
              </w:rPr>
            </w:pPr>
          </w:p>
        </w:tc>
        <w:tc>
          <w:tcPr>
            <w:tcW w:w="8620" w:type="dxa"/>
            <w:vAlign w:val="bottom"/>
          </w:tcPr>
          <w:p>
            <w:pPr>
              <w:ind w:left="600"/>
              <w:spacing w:after="0" w:line="172" w:lineRule="exact"/>
              <w:rPr>
                <w:sz w:val="20"/>
                <w:szCs w:val="20"/>
                <w:color w:val="auto"/>
              </w:rPr>
            </w:pPr>
            <w:r>
              <w:rPr>
                <w:rFonts w:ascii="Arial" w:cs="Arial" w:eastAsia="Arial" w:hAnsi="Arial"/>
                <w:sz w:val="17"/>
                <w:szCs w:val="17"/>
                <w:color w:val="auto"/>
                <w:w w:val="94"/>
              </w:rPr>
              <w:t>producible, as of a given date, by application of development projects to known accumulations. In addition, there</w:t>
            </w:r>
          </w:p>
        </w:tc>
      </w:tr>
      <w:tr>
        <w:trPr>
          <w:trHeight w:val="175"/>
        </w:trPr>
        <w:tc>
          <w:tcPr>
            <w:tcW w:w="2620" w:type="dxa"/>
            <w:vAlign w:val="bottom"/>
          </w:tcPr>
          <w:p>
            <w:pPr>
              <w:spacing w:after="0"/>
              <w:rPr>
                <w:sz w:val="15"/>
                <w:szCs w:val="15"/>
                <w:color w:val="auto"/>
              </w:rPr>
            </w:pPr>
          </w:p>
        </w:tc>
        <w:tc>
          <w:tcPr>
            <w:tcW w:w="8620" w:type="dxa"/>
            <w:vAlign w:val="bottom"/>
          </w:tcPr>
          <w:p>
            <w:pPr>
              <w:ind w:left="600"/>
              <w:spacing w:after="0" w:line="176" w:lineRule="exact"/>
              <w:rPr>
                <w:sz w:val="20"/>
                <w:szCs w:val="20"/>
                <w:color w:val="auto"/>
              </w:rPr>
            </w:pPr>
            <w:r>
              <w:rPr>
                <w:rFonts w:ascii="Arial" w:cs="Arial" w:eastAsia="Arial" w:hAnsi="Arial"/>
                <w:sz w:val="17"/>
                <w:szCs w:val="17"/>
                <w:color w:val="auto"/>
                <w:w w:val="94"/>
              </w:rPr>
              <w:t>must exist, or there must be a reasonable expectation that there will exist, the legal right to produce or a revenue</w:t>
            </w:r>
          </w:p>
        </w:tc>
      </w:tr>
      <w:tr>
        <w:trPr>
          <w:trHeight w:val="166"/>
        </w:trPr>
        <w:tc>
          <w:tcPr>
            <w:tcW w:w="2620" w:type="dxa"/>
            <w:vAlign w:val="bottom"/>
          </w:tcPr>
          <w:p>
            <w:pPr>
              <w:spacing w:after="0"/>
              <w:rPr>
                <w:sz w:val="14"/>
                <w:szCs w:val="14"/>
                <w:color w:val="auto"/>
              </w:rPr>
            </w:pPr>
          </w:p>
        </w:tc>
        <w:tc>
          <w:tcPr>
            <w:tcW w:w="8620" w:type="dxa"/>
            <w:vAlign w:val="bottom"/>
          </w:tcPr>
          <w:p>
            <w:pPr>
              <w:ind w:left="600"/>
              <w:spacing w:after="0" w:line="167" w:lineRule="exact"/>
              <w:rPr>
                <w:sz w:val="20"/>
                <w:szCs w:val="20"/>
                <w:color w:val="auto"/>
              </w:rPr>
            </w:pPr>
            <w:r>
              <w:rPr>
                <w:rFonts w:ascii="Arial" w:cs="Arial" w:eastAsia="Arial" w:hAnsi="Arial"/>
                <w:sz w:val="17"/>
                <w:szCs w:val="17"/>
                <w:color w:val="auto"/>
                <w:w w:val="90"/>
              </w:rPr>
              <w:t>interest in the production, installed means of delivering oil and natural gas or related substances to the market and all</w:t>
            </w:r>
          </w:p>
        </w:tc>
      </w:tr>
      <w:tr>
        <w:trPr>
          <w:trHeight w:val="171"/>
        </w:trPr>
        <w:tc>
          <w:tcPr>
            <w:tcW w:w="2620" w:type="dxa"/>
            <w:vAlign w:val="bottom"/>
          </w:tcPr>
          <w:p>
            <w:pPr>
              <w:spacing w:after="0"/>
              <w:rPr>
                <w:sz w:val="14"/>
                <w:szCs w:val="14"/>
                <w:color w:val="auto"/>
              </w:rPr>
            </w:pPr>
          </w:p>
        </w:tc>
        <w:tc>
          <w:tcPr>
            <w:tcW w:w="8620" w:type="dxa"/>
            <w:vAlign w:val="bottom"/>
          </w:tcPr>
          <w:p>
            <w:pPr>
              <w:ind w:left="600"/>
              <w:spacing w:after="0" w:line="172" w:lineRule="exact"/>
              <w:rPr>
                <w:sz w:val="20"/>
                <w:szCs w:val="20"/>
                <w:color w:val="auto"/>
              </w:rPr>
            </w:pPr>
            <w:r>
              <w:rPr>
                <w:rFonts w:ascii="Arial" w:cs="Arial" w:eastAsia="Arial" w:hAnsi="Arial"/>
                <w:sz w:val="17"/>
                <w:szCs w:val="17"/>
                <w:color w:val="auto"/>
                <w:w w:val="90"/>
              </w:rPr>
              <w:t>permits and financing required to implement the project. Reserves are not assigned to adjacent reservoirs isolated by</w:t>
            </w:r>
          </w:p>
        </w:tc>
      </w:tr>
      <w:tr>
        <w:trPr>
          <w:trHeight w:val="175"/>
        </w:trPr>
        <w:tc>
          <w:tcPr>
            <w:tcW w:w="2620" w:type="dxa"/>
            <w:vAlign w:val="bottom"/>
          </w:tcPr>
          <w:p>
            <w:pPr>
              <w:spacing w:after="0"/>
              <w:rPr>
                <w:sz w:val="15"/>
                <w:szCs w:val="15"/>
                <w:color w:val="auto"/>
              </w:rPr>
            </w:pPr>
          </w:p>
        </w:tc>
        <w:tc>
          <w:tcPr>
            <w:tcW w:w="8620" w:type="dxa"/>
            <w:vAlign w:val="bottom"/>
          </w:tcPr>
          <w:p>
            <w:pPr>
              <w:ind w:left="600"/>
              <w:spacing w:after="0" w:line="176" w:lineRule="exact"/>
              <w:rPr>
                <w:sz w:val="20"/>
                <w:szCs w:val="20"/>
                <w:color w:val="auto"/>
              </w:rPr>
            </w:pPr>
            <w:r>
              <w:rPr>
                <w:rFonts w:ascii="Arial" w:cs="Arial" w:eastAsia="Arial" w:hAnsi="Arial"/>
                <w:sz w:val="17"/>
                <w:szCs w:val="17"/>
                <w:color w:val="auto"/>
                <w:w w:val="95"/>
              </w:rPr>
              <w:t>major, potentially sealing, faults until those reservoirs are penetrated and evaluated as economically producible.</w:t>
            </w:r>
          </w:p>
        </w:tc>
      </w:tr>
      <w:tr>
        <w:trPr>
          <w:trHeight w:val="166"/>
        </w:trPr>
        <w:tc>
          <w:tcPr>
            <w:tcW w:w="2620" w:type="dxa"/>
            <w:vAlign w:val="bottom"/>
          </w:tcPr>
          <w:p>
            <w:pPr>
              <w:spacing w:after="0"/>
              <w:rPr>
                <w:sz w:val="14"/>
                <w:szCs w:val="14"/>
                <w:color w:val="auto"/>
              </w:rPr>
            </w:pPr>
          </w:p>
        </w:tc>
        <w:tc>
          <w:tcPr>
            <w:tcW w:w="8620" w:type="dxa"/>
            <w:vAlign w:val="bottom"/>
          </w:tcPr>
          <w:p>
            <w:pPr>
              <w:ind w:left="600"/>
              <w:spacing w:after="0" w:line="167" w:lineRule="exact"/>
              <w:rPr>
                <w:sz w:val="20"/>
                <w:szCs w:val="20"/>
                <w:color w:val="auto"/>
              </w:rPr>
            </w:pPr>
            <w:r>
              <w:rPr>
                <w:rFonts w:ascii="Arial" w:cs="Arial" w:eastAsia="Arial" w:hAnsi="Arial"/>
                <w:sz w:val="17"/>
                <w:szCs w:val="17"/>
                <w:color w:val="auto"/>
                <w:w w:val="90"/>
              </w:rPr>
              <w:t>Reserves should not be assigned to areas that are clearly separated from a known accumulation by a non-productive</w:t>
            </w:r>
          </w:p>
        </w:tc>
      </w:tr>
      <w:tr>
        <w:trPr>
          <w:trHeight w:val="171"/>
        </w:trPr>
        <w:tc>
          <w:tcPr>
            <w:tcW w:w="2620" w:type="dxa"/>
            <w:vAlign w:val="bottom"/>
          </w:tcPr>
          <w:p>
            <w:pPr>
              <w:spacing w:after="0"/>
              <w:rPr>
                <w:sz w:val="14"/>
                <w:szCs w:val="14"/>
                <w:color w:val="auto"/>
              </w:rPr>
            </w:pPr>
          </w:p>
        </w:tc>
        <w:tc>
          <w:tcPr>
            <w:tcW w:w="8620" w:type="dxa"/>
            <w:vAlign w:val="bottom"/>
          </w:tcPr>
          <w:p>
            <w:pPr>
              <w:ind w:left="600"/>
              <w:spacing w:after="0" w:line="172" w:lineRule="exact"/>
              <w:rPr>
                <w:sz w:val="20"/>
                <w:szCs w:val="20"/>
                <w:color w:val="auto"/>
              </w:rPr>
            </w:pPr>
            <w:r>
              <w:rPr>
                <w:rFonts w:ascii="Arial" w:cs="Arial" w:eastAsia="Arial" w:hAnsi="Arial"/>
                <w:sz w:val="17"/>
                <w:szCs w:val="17"/>
                <w:color w:val="auto"/>
                <w:w w:val="96"/>
              </w:rPr>
              <w:t>reservoir (i.e., absence of reservoir, structurally low reservoir or negative test results). Such areas may contain</w:t>
            </w:r>
          </w:p>
        </w:tc>
      </w:tr>
      <w:tr>
        <w:trPr>
          <w:trHeight w:val="225"/>
        </w:trPr>
        <w:tc>
          <w:tcPr>
            <w:tcW w:w="2620" w:type="dxa"/>
            <w:vAlign w:val="bottom"/>
          </w:tcPr>
          <w:p>
            <w:pPr>
              <w:spacing w:after="0"/>
              <w:rPr>
                <w:sz w:val="19"/>
                <w:szCs w:val="19"/>
                <w:color w:val="auto"/>
              </w:rPr>
            </w:pPr>
          </w:p>
        </w:tc>
        <w:tc>
          <w:tcPr>
            <w:tcW w:w="8620" w:type="dxa"/>
            <w:vAlign w:val="bottom"/>
          </w:tcPr>
          <w:p>
            <w:pPr>
              <w:ind w:left="600"/>
              <w:spacing w:after="0"/>
              <w:rPr>
                <w:sz w:val="20"/>
                <w:szCs w:val="20"/>
                <w:color w:val="auto"/>
              </w:rPr>
            </w:pPr>
            <w:r>
              <w:rPr>
                <w:rFonts w:ascii="Arial" w:cs="Arial" w:eastAsia="Arial" w:hAnsi="Arial"/>
                <w:sz w:val="17"/>
                <w:szCs w:val="17"/>
                <w:color w:val="auto"/>
              </w:rPr>
              <w:t>prospective resources (i.e., potentially recoverable resources from undiscovered accumulations).</w:t>
            </w:r>
          </w:p>
        </w:tc>
      </w:tr>
      <w:tr>
        <w:trPr>
          <w:trHeight w:val="171"/>
        </w:trPr>
        <w:tc>
          <w:tcPr>
            <w:tcW w:w="2620" w:type="dxa"/>
            <w:vAlign w:val="bottom"/>
            <w:shd w:val="clear" w:color="auto" w:fill="CCEEFF"/>
          </w:tcPr>
          <w:p>
            <w:pPr>
              <w:ind w:left="20"/>
              <w:spacing w:after="0" w:line="171" w:lineRule="exact"/>
              <w:rPr>
                <w:sz w:val="20"/>
                <w:szCs w:val="20"/>
                <w:color w:val="auto"/>
              </w:rPr>
            </w:pPr>
            <w:r>
              <w:rPr>
                <w:rFonts w:ascii="Arial" w:cs="Arial" w:eastAsia="Arial" w:hAnsi="Arial"/>
                <w:sz w:val="17"/>
                <w:szCs w:val="17"/>
                <w:color w:val="auto"/>
              </w:rPr>
              <w:t>Reservoir</w:t>
            </w:r>
          </w:p>
        </w:tc>
        <w:tc>
          <w:tcPr>
            <w:tcW w:w="8620" w:type="dxa"/>
            <w:vAlign w:val="bottom"/>
            <w:shd w:val="clear" w:color="auto" w:fill="CCEEFF"/>
          </w:tcPr>
          <w:p>
            <w:pPr>
              <w:ind w:left="600"/>
              <w:spacing w:after="0" w:line="171" w:lineRule="exact"/>
              <w:rPr>
                <w:sz w:val="20"/>
                <w:szCs w:val="20"/>
                <w:color w:val="auto"/>
              </w:rPr>
            </w:pPr>
            <w:r>
              <w:rPr>
                <w:rFonts w:ascii="Arial" w:cs="Arial" w:eastAsia="Arial" w:hAnsi="Arial"/>
                <w:sz w:val="17"/>
                <w:szCs w:val="17"/>
                <w:color w:val="auto"/>
                <w:w w:val="92"/>
              </w:rPr>
              <w:t>A porous and permeable underground formation containing a natural accumulation of producible natural gas and/or</w:t>
            </w:r>
          </w:p>
        </w:tc>
      </w:tr>
      <w:tr>
        <w:trPr>
          <w:trHeight w:val="229"/>
        </w:trPr>
        <w:tc>
          <w:tcPr>
            <w:tcW w:w="2620" w:type="dxa"/>
            <w:vAlign w:val="bottom"/>
            <w:shd w:val="clear" w:color="auto" w:fill="CCEEFF"/>
          </w:tcPr>
          <w:p>
            <w:pPr>
              <w:spacing w:after="0"/>
              <w:rPr>
                <w:sz w:val="19"/>
                <w:szCs w:val="19"/>
                <w:color w:val="auto"/>
              </w:rPr>
            </w:pPr>
          </w:p>
        </w:tc>
        <w:tc>
          <w:tcPr>
            <w:tcW w:w="8620" w:type="dxa"/>
            <w:vAlign w:val="bottom"/>
            <w:shd w:val="clear" w:color="auto" w:fill="CCEEFF"/>
          </w:tcPr>
          <w:p>
            <w:pPr>
              <w:ind w:left="600"/>
              <w:spacing w:after="0"/>
              <w:rPr>
                <w:sz w:val="20"/>
                <w:szCs w:val="20"/>
                <w:color w:val="auto"/>
              </w:rPr>
            </w:pPr>
            <w:r>
              <w:rPr>
                <w:rFonts w:ascii="Arial" w:cs="Arial" w:eastAsia="Arial" w:hAnsi="Arial"/>
                <w:sz w:val="17"/>
                <w:szCs w:val="17"/>
                <w:color w:val="auto"/>
              </w:rPr>
              <w:t>crude oil that is confined by impermeable rock or water barriers and is separate from other reservoirs.</w:t>
            </w:r>
          </w:p>
        </w:tc>
      </w:tr>
      <w:tr>
        <w:trPr>
          <w:trHeight w:val="162"/>
        </w:trPr>
        <w:tc>
          <w:tcPr>
            <w:tcW w:w="2620" w:type="dxa"/>
            <w:vAlign w:val="bottom"/>
          </w:tcPr>
          <w:p>
            <w:pPr>
              <w:ind w:left="20"/>
              <w:spacing w:after="0" w:line="162" w:lineRule="exact"/>
              <w:rPr>
                <w:sz w:val="20"/>
                <w:szCs w:val="20"/>
                <w:color w:val="auto"/>
              </w:rPr>
            </w:pPr>
            <w:r>
              <w:rPr>
                <w:rFonts w:ascii="Arial" w:cs="Arial" w:eastAsia="Arial" w:hAnsi="Arial"/>
                <w:sz w:val="17"/>
                <w:szCs w:val="17"/>
                <w:color w:val="auto"/>
              </w:rPr>
              <w:t>Royalty interest</w:t>
            </w:r>
          </w:p>
        </w:tc>
        <w:tc>
          <w:tcPr>
            <w:tcW w:w="8620" w:type="dxa"/>
            <w:vAlign w:val="bottom"/>
          </w:tcPr>
          <w:p>
            <w:pPr>
              <w:ind w:left="600"/>
              <w:spacing w:after="0" w:line="162" w:lineRule="exact"/>
              <w:rPr>
                <w:sz w:val="20"/>
                <w:szCs w:val="20"/>
                <w:color w:val="auto"/>
              </w:rPr>
            </w:pPr>
            <w:r>
              <w:rPr>
                <w:rFonts w:ascii="Arial" w:cs="Arial" w:eastAsia="Arial" w:hAnsi="Arial"/>
                <w:sz w:val="17"/>
                <w:szCs w:val="17"/>
                <w:color w:val="auto"/>
                <w:w w:val="91"/>
              </w:rPr>
              <w:t>An interest that gives an owner the right to receive a portion of the resources or revenues without having to carry any</w:t>
            </w:r>
          </w:p>
        </w:tc>
      </w:tr>
      <w:tr>
        <w:trPr>
          <w:trHeight w:val="223"/>
        </w:trPr>
        <w:tc>
          <w:tcPr>
            <w:tcW w:w="2620" w:type="dxa"/>
            <w:vAlign w:val="bottom"/>
          </w:tcPr>
          <w:p>
            <w:pPr>
              <w:spacing w:after="0"/>
              <w:rPr>
                <w:sz w:val="19"/>
                <w:szCs w:val="19"/>
                <w:color w:val="auto"/>
              </w:rPr>
            </w:pPr>
          </w:p>
        </w:tc>
        <w:tc>
          <w:tcPr>
            <w:tcW w:w="8620" w:type="dxa"/>
            <w:vAlign w:val="bottom"/>
          </w:tcPr>
          <w:p>
            <w:pPr>
              <w:ind w:left="600"/>
              <w:spacing w:after="0"/>
              <w:rPr>
                <w:sz w:val="20"/>
                <w:szCs w:val="20"/>
                <w:color w:val="auto"/>
              </w:rPr>
            </w:pPr>
            <w:r>
              <w:rPr>
                <w:rFonts w:ascii="Arial" w:cs="Arial" w:eastAsia="Arial" w:hAnsi="Arial"/>
                <w:sz w:val="17"/>
                <w:szCs w:val="17"/>
                <w:color w:val="auto"/>
              </w:rPr>
              <w:t>costs of development, which may be subject to expiration.</w:t>
            </w:r>
          </w:p>
        </w:tc>
      </w:tr>
      <w:tr>
        <w:trPr>
          <w:trHeight w:val="169"/>
        </w:trPr>
        <w:tc>
          <w:tcPr>
            <w:tcW w:w="262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rPr>
              <w:t>Working interest</w:t>
            </w:r>
          </w:p>
        </w:tc>
        <w:tc>
          <w:tcPr>
            <w:tcW w:w="8620" w:type="dxa"/>
            <w:vAlign w:val="bottom"/>
            <w:shd w:val="clear" w:color="auto" w:fill="CCEEFF"/>
          </w:tcPr>
          <w:p>
            <w:pPr>
              <w:ind w:left="600"/>
              <w:spacing w:after="0" w:line="169" w:lineRule="exact"/>
              <w:rPr>
                <w:sz w:val="20"/>
                <w:szCs w:val="20"/>
                <w:color w:val="auto"/>
              </w:rPr>
            </w:pPr>
            <w:r>
              <w:rPr>
                <w:rFonts w:ascii="Arial" w:cs="Arial" w:eastAsia="Arial" w:hAnsi="Arial"/>
                <w:sz w:val="17"/>
                <w:szCs w:val="17"/>
                <w:color w:val="auto"/>
                <w:w w:val="92"/>
              </w:rPr>
              <w:t>An operating interest that gives the owner the right to drill, produce and conduct operating activities on the property</w:t>
            </w:r>
          </w:p>
        </w:tc>
      </w:tr>
      <w:tr>
        <w:trPr>
          <w:trHeight w:val="171"/>
        </w:trPr>
        <w:tc>
          <w:tcPr>
            <w:tcW w:w="2620" w:type="dxa"/>
            <w:vAlign w:val="bottom"/>
            <w:shd w:val="clear" w:color="auto" w:fill="CCEEFF"/>
          </w:tcPr>
          <w:p>
            <w:pPr>
              <w:spacing w:after="0"/>
              <w:rPr>
                <w:sz w:val="14"/>
                <w:szCs w:val="14"/>
                <w:color w:val="auto"/>
              </w:rPr>
            </w:pPr>
          </w:p>
        </w:tc>
        <w:tc>
          <w:tcPr>
            <w:tcW w:w="8620" w:type="dxa"/>
            <w:vAlign w:val="bottom"/>
            <w:shd w:val="clear" w:color="auto" w:fill="CCEEFF"/>
          </w:tcPr>
          <w:p>
            <w:pPr>
              <w:ind w:left="600"/>
              <w:spacing w:after="0" w:line="172" w:lineRule="exact"/>
              <w:rPr>
                <w:sz w:val="20"/>
                <w:szCs w:val="20"/>
                <w:color w:val="auto"/>
              </w:rPr>
            </w:pPr>
            <w:r>
              <w:rPr>
                <w:rFonts w:ascii="Arial" w:cs="Arial" w:eastAsia="Arial" w:hAnsi="Arial"/>
                <w:sz w:val="17"/>
                <w:szCs w:val="17"/>
                <w:color w:val="auto"/>
                <w:w w:val="96"/>
              </w:rPr>
              <w:t>and receive a share of production and requires the owner to pay a share of the costs of drilling and production</w:t>
            </w:r>
          </w:p>
        </w:tc>
      </w:tr>
      <w:tr>
        <w:trPr>
          <w:trHeight w:val="234"/>
        </w:trPr>
        <w:tc>
          <w:tcPr>
            <w:tcW w:w="2620" w:type="dxa"/>
            <w:vAlign w:val="bottom"/>
            <w:shd w:val="clear" w:color="auto" w:fill="CCEEFF"/>
          </w:tcPr>
          <w:p>
            <w:pPr>
              <w:spacing w:after="0"/>
              <w:rPr>
                <w:sz w:val="20"/>
                <w:szCs w:val="20"/>
                <w:color w:val="auto"/>
              </w:rPr>
            </w:pPr>
          </w:p>
        </w:tc>
        <w:tc>
          <w:tcPr>
            <w:tcW w:w="8620" w:type="dxa"/>
            <w:vAlign w:val="bottom"/>
            <w:shd w:val="clear" w:color="auto" w:fill="CCEEFF"/>
          </w:tcPr>
          <w:p>
            <w:pPr>
              <w:ind w:left="600"/>
              <w:spacing w:after="0"/>
              <w:rPr>
                <w:sz w:val="20"/>
                <w:szCs w:val="20"/>
                <w:color w:val="auto"/>
              </w:rPr>
            </w:pPr>
            <w:r>
              <w:rPr>
                <w:rFonts w:ascii="Arial" w:cs="Arial" w:eastAsia="Arial" w:hAnsi="Arial"/>
                <w:sz w:val="17"/>
                <w:szCs w:val="17"/>
                <w:color w:val="auto"/>
              </w:rPr>
              <w:t>operations.</w:t>
            </w:r>
          </w:p>
        </w:tc>
      </w:tr>
      <w:tr>
        <w:trPr>
          <w:trHeight w:val="223"/>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WTI</w:t>
            </w:r>
          </w:p>
        </w:tc>
        <w:tc>
          <w:tcPr>
            <w:tcW w:w="8620" w:type="dxa"/>
            <w:vAlign w:val="bottom"/>
            <w:tcBorders>
              <w:bottom w:val="single" w:sz="8" w:color="auto"/>
            </w:tcBorders>
          </w:tcPr>
          <w:p>
            <w:pPr>
              <w:ind w:left="600"/>
              <w:spacing w:after="0"/>
              <w:rPr>
                <w:sz w:val="20"/>
                <w:szCs w:val="20"/>
                <w:color w:val="auto"/>
              </w:rPr>
            </w:pPr>
            <w:r>
              <w:rPr>
                <w:rFonts w:ascii="Arial" w:cs="Arial" w:eastAsia="Arial" w:hAnsi="Arial"/>
                <w:sz w:val="17"/>
                <w:szCs w:val="17"/>
                <w:color w:val="auto"/>
              </w:rPr>
              <w:t>West Texas Intermediate.</w:t>
            </w: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60" w:right="3840" w:firstLine="3211"/>
        <w:spacing w:after="0" w:line="497" w:lineRule="auto"/>
        <w:rPr>
          <w:sz w:val="20"/>
          <w:szCs w:val="20"/>
          <w:color w:val="auto"/>
        </w:rPr>
      </w:pPr>
      <w:r>
        <w:rPr>
          <w:rFonts w:ascii="Arial" w:cs="Arial" w:eastAsia="Arial" w:hAnsi="Arial"/>
          <w:sz w:val="17"/>
          <w:szCs w:val="17"/>
          <w:b w:val="1"/>
          <w:bCs w:val="1"/>
          <w:color w:val="auto"/>
        </w:rPr>
        <w:t xml:space="preserve">GLOSSARY OF CERTAIN OTHER TERMS </w:t>
      </w:r>
      <w:r>
        <w:rPr>
          <w:rFonts w:ascii="Arial" w:cs="Arial" w:eastAsia="Arial" w:hAnsi="Arial"/>
          <w:sz w:val="17"/>
          <w:szCs w:val="17"/>
          <w:color w:val="auto"/>
        </w:rPr>
        <w:t>The following is a glossary of certain other terms that are used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p>
      <w:pPr>
        <w:spacing w:after="0" w:line="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ASU</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5"/>
          <w:szCs w:val="15"/>
          <w:color w:val="auto"/>
        </w:rPr>
        <w:t>December 2019 Notes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Accounting Standards Codification.</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Accounting Standards Update.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The Company’s 3.250% senior unsecured notes due 2026 and the Company’s 3.500% senior unsecured notes due 2029 issued under the IG Indenture and the related first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-245110</wp:posOffset>
            </wp:positionV>
            <wp:extent cx="7132320" cy="2489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500" w:space="720"/>
            <w:col w:w="8000"/>
          </w:cols>
          <w:pgMar w:left="320" w:top="122" w:right="359" w:bottom="1440" w:gutter="0" w:footer="0" w:header="0"/>
          <w:type w:val="continuous"/>
        </w:sectPr>
      </w:pP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Equity Plan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Exchange Act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FASB</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GAAP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IG Indenture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Company’s 2021 Amended and Restated Equity Incentive Plan.</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-120650</wp:posOffset>
            </wp:positionV>
            <wp:extent cx="713232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Financial Accounting Standards Board.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Accounting principles generally accepted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-120650</wp:posOffset>
            </wp:positionV>
            <wp:extent cx="713232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The indenture, dated as of December 5, 2019, among the Company, the subsidiary guarantors party thereto and Wells</w:t>
      </w:r>
    </w:p>
    <w:p>
      <w:pPr>
        <w:spacing w:after="0" w:line="17"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Fargo, as the trustee, as supplemented by the supplemental indentures relating to the outstanding December 2019 Notes (defined above), the March 2021 Notes (defined below) and the March 2022 Notes (defined below).</w:t>
      </w:r>
    </w:p>
    <w:p>
      <w:pPr>
        <w:spacing w:after="0" w:line="14" w:lineRule="exact"/>
        <w:rPr>
          <w:sz w:val="20"/>
          <w:szCs w:val="20"/>
          <w:color w:val="auto"/>
        </w:rPr>
      </w:pPr>
    </w:p>
    <w:p>
      <w:pPr>
        <w:sectPr>
          <w:pgSz w:w="11900" w:h="16838" w:orient="portrait"/>
          <w:cols w:equalWidth="0" w:num="2">
            <w:col w:w="2500" w:space="720"/>
            <w:col w:w="8000"/>
          </w:cols>
          <w:pgMar w:left="320" w:top="122" w:right="359" w:bottom="1440" w:gutter="0" w:footer="0" w:header="0"/>
          <w:type w:val="continuous"/>
        </w:sectPr>
      </w:pPr>
    </w:p>
    <w:p>
      <w:pPr>
        <w:spacing w:after="0" w:line="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LIBOR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March 2021 Notes</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March 2022 Notes</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NYMEX</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Rattler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Notes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SOFR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TSR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Viper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Viper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Wells Fargo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London interbank offered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-120650</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4" w:lineRule="exact"/>
        <w:rPr>
          <w:sz w:val="20"/>
          <w:szCs w:val="20"/>
          <w:color w:val="auto"/>
        </w:rPr>
      </w:pPr>
    </w:p>
    <w:p>
      <w:pPr>
        <w:spacing w:after="0" w:line="272" w:lineRule="auto"/>
        <w:rPr>
          <w:sz w:val="20"/>
          <w:szCs w:val="20"/>
          <w:color w:val="auto"/>
        </w:rPr>
      </w:pPr>
      <w:r>
        <w:rPr>
          <w:rFonts w:ascii="Arial" w:cs="Arial" w:eastAsia="Arial" w:hAnsi="Arial"/>
          <w:sz w:val="15"/>
          <w:szCs w:val="15"/>
          <w:color w:val="auto"/>
        </w:rPr>
        <w:t>The Company’s 0.900% Senior Notes due 2023, the Company’s 3.125% Senior Notes due 2031 and the Company’s 4.400% Senior Notes due 2051 issued under the IG Indenture and the related third supplemental indenture.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Company’s 4.250% Senior Notes due 2052, issued under the IG Indenture and the related third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-245110</wp:posOffset>
            </wp:positionV>
            <wp:extent cx="7132320" cy="2482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4828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New York Mercantile Exchange.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Organization of the Petroleum Exporting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-120650</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Rattler Midstream Operating LLC, a Delaware limited liability company and a subsidiary of Rattler.</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United States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-120650</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The outstanding December 2019 Notes, the March 2021 Notes and the March 2022 Notes.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The secured overnight financing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-120650</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Total stockholder return of the Company’s common stock.</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Viper Energy Partners LP, a Delaware limited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-120650</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Viper Energy Partners LLC, a Delaware limited liability company and a subsidiary of Viper.</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Wells Fargo Bank, National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-120650</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2">
            <w:col w:w="2500" w:space="720"/>
            <w:col w:w="8000"/>
          </w:cols>
          <w:pgMar w:left="320" w:top="122" w:right="359" w:bottom="1440" w:gutter="0" w:footer="0" w:header="0"/>
          <w:type w:val="continuous"/>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246" w:lineRule="exact"/>
        <w:rPr>
          <w:sz w:val="20"/>
          <w:szCs w:val="20"/>
          <w:color w:val="auto"/>
        </w:rPr>
      </w:pPr>
    </w:p>
    <w:p>
      <w:pPr>
        <w:jc w:val="both"/>
        <w:ind w:firstLine="648"/>
        <w:spacing w:after="0" w:line="268" w:lineRule="auto"/>
        <w:rPr>
          <w:rFonts w:ascii="Arial" w:cs="Arial" w:eastAsia="Arial" w:hAnsi="Arial"/>
          <w:sz w:val="17"/>
          <w:szCs w:val="17"/>
          <w:color w:val="000000"/>
        </w:rPr>
      </w:pPr>
      <w:r>
        <w:rPr>
          <w:rFonts w:ascii="Arial" w:cs="Arial" w:eastAsia="Arial" w:hAnsi="Arial"/>
          <w:sz w:val="17"/>
          <w:szCs w:val="17"/>
          <w:color w:val="auto"/>
        </w:rPr>
        <w:t xml:space="preserve">Various statements contained in this report are “forward-looking statements” within the meaning of Section 27A of the Securities Act and Section 21E of the Exchange Act, which involve risks, uncertainties, and assumptions. All statements, other than statements of historical fact, including statements regarding our: future performance; business strategy; future operations (including drilling plans and capital plans); estimates and projections of revenues, losses, costs, expenses, returns, cash flow, and financial position; reserve estimates and our ability to replace or increase reserves; anticipated benefits of strategic transactions (including acquisitions and divestitures); and plans and objectives of management (including plans for future cash flow from operations and for executing environmental strategies) are forward-looking statements. When used in this report, the words “aim,” “anticipate,” “believe,” “continue,” “could,” “estimate,” “expect,” “forecast,” “future,” “guidance,” “intend,” “may,” “model,” “outlook,” “plan,” “positioned,” “potential,” “predict,” “project,” “seek,” “should,” “target,” “will,” “would,” and similar expressions (including the negative of such terms) as they relate to the Company are intended to identify forward-looking statements, although not all forward-looking statements contain such identifying words. In particular, </w:t>
      </w:r>
      <w:hyperlink r:id="rId27">
        <w:r>
          <w:rPr>
            <w:rFonts w:ascii="Arial" w:cs="Arial" w:eastAsia="Arial" w:hAnsi="Arial"/>
            <w:sz w:val="17"/>
            <w:szCs w:val="17"/>
            <w:color w:val="auto"/>
          </w:rPr>
          <w:t xml:space="preserve">the factors discussed in this report and detailed under </w:t>
        </w:r>
        <w:r>
          <w:rPr>
            <w:rFonts w:ascii="Arial" w:cs="Arial" w:eastAsia="Arial" w:hAnsi="Arial"/>
            <w:sz w:val="17"/>
            <w:szCs w:val="17"/>
            <w:u w:val="single" w:color="auto"/>
            <w:color w:val="0000FF"/>
          </w:rPr>
          <w:t>Part II, Item 1A. Risk Factors</w:t>
        </w:r>
        <w:r>
          <w:rPr>
            <w:rFonts w:ascii="Arial" w:cs="Arial" w:eastAsia="Arial" w:hAnsi="Arial"/>
            <w:sz w:val="17"/>
            <w:szCs w:val="17"/>
            <w:color w:val="auto"/>
          </w:rPr>
          <w:t xml:space="preserve"> in this report, </w:t>
        </w:r>
        <w:r>
          <w:rPr>
            <w:rFonts w:ascii="Arial" w:cs="Arial" w:eastAsia="Arial" w:hAnsi="Arial"/>
            <w:sz w:val="17"/>
            <w:szCs w:val="17"/>
            <w:u w:val="single" w:color="auto"/>
            <w:color w:val="0000FF"/>
          </w:rPr>
          <w:t>Part II, Item 1A Risk Factors in our Quarterly Report on</w:t>
        </w:r>
      </w:hyperlink>
      <w:r>
        <w:rPr>
          <w:rFonts w:ascii="Arial" w:cs="Arial" w:eastAsia="Arial" w:hAnsi="Arial"/>
          <w:sz w:val="17"/>
          <w:szCs w:val="17"/>
          <w:color w:val="auto"/>
        </w:rPr>
        <w:t xml:space="preserve"> </w:t>
      </w:r>
      <w:hyperlink r:id="rId27">
        <w:r>
          <w:rPr>
            <w:rFonts w:ascii="Arial" w:cs="Arial" w:eastAsia="Arial" w:hAnsi="Arial"/>
            <w:sz w:val="17"/>
            <w:szCs w:val="17"/>
            <w:u w:val="single" w:color="auto"/>
            <w:color w:val="0000FF"/>
          </w:rPr>
          <w:t>Form 10-Q</w:t>
        </w:r>
        <w:r>
          <w:rPr>
            <w:rFonts w:ascii="Arial" w:cs="Arial" w:eastAsia="Arial" w:hAnsi="Arial"/>
            <w:sz w:val="17"/>
            <w:szCs w:val="17"/>
            <w:color w:val="0000FF"/>
          </w:rPr>
          <w:t xml:space="preserve"> </w:t>
        </w:r>
        <w:r>
          <w:rPr>
            <w:rFonts w:ascii="Arial" w:cs="Arial" w:eastAsia="Arial" w:hAnsi="Arial"/>
            <w:sz w:val="17"/>
            <w:szCs w:val="17"/>
            <w:color w:val="000000"/>
          </w:rPr>
          <w:t>for the quarterly period ended June 30, 2022,</w:t>
        </w:r>
        <w:r>
          <w:rPr>
            <w:rFonts w:ascii="Arial" w:cs="Arial" w:eastAsia="Arial" w:hAnsi="Arial"/>
            <w:sz w:val="17"/>
            <w:szCs w:val="17"/>
            <w:color w:val="0000FF"/>
          </w:rPr>
          <w:t xml:space="preserve"> </w:t>
        </w:r>
      </w:hyperlink>
      <w:hyperlink r:id="rId28">
        <w:r>
          <w:rPr>
            <w:rFonts w:ascii="Arial" w:cs="Arial" w:eastAsia="Arial" w:hAnsi="Arial"/>
            <w:sz w:val="17"/>
            <w:szCs w:val="17"/>
            <w:u w:val="single" w:color="auto"/>
            <w:color w:val="0000FF"/>
          </w:rPr>
          <w:t xml:space="preserve">Part II, Item 1A Risk Factors in our Quarterly Report on Form 10-Q </w:t>
        </w:r>
      </w:hyperlink>
      <w:hyperlink r:id="rId27">
        <w:r>
          <w:rPr>
            <w:rFonts w:ascii="Arial" w:cs="Arial" w:eastAsia="Arial" w:hAnsi="Arial"/>
            <w:sz w:val="17"/>
            <w:szCs w:val="17"/>
            <w:color w:val="000000"/>
          </w:rPr>
          <w:t>for the quarterly period</w:t>
        </w:r>
      </w:hyperlink>
      <w:r>
        <w:rPr>
          <w:rFonts w:ascii="Arial" w:cs="Arial" w:eastAsia="Arial" w:hAnsi="Arial"/>
          <w:sz w:val="17"/>
          <w:szCs w:val="17"/>
          <w:color w:val="0000FF"/>
        </w:rPr>
        <w:t xml:space="preserve"> </w:t>
      </w:r>
      <w:r>
        <w:rPr>
          <w:rFonts w:ascii="Arial" w:cs="Arial" w:eastAsia="Arial" w:hAnsi="Arial"/>
          <w:sz w:val="17"/>
          <w:szCs w:val="17"/>
          <w:color w:val="000000"/>
        </w:rPr>
        <w:t xml:space="preserve">ended March 31, 2022, and our </w:t>
      </w:r>
      <w:hyperlink r:id="rId29">
        <w:r>
          <w:rPr>
            <w:rFonts w:ascii="Arial" w:cs="Arial" w:eastAsia="Arial" w:hAnsi="Arial"/>
            <w:sz w:val="17"/>
            <w:szCs w:val="17"/>
            <w:u w:val="single" w:color="auto"/>
            <w:color w:val="0000FF"/>
          </w:rPr>
          <w:t>Annual Report on Form 10–K</w:t>
        </w:r>
        <w:r>
          <w:rPr>
            <w:rFonts w:ascii="Arial" w:cs="Arial" w:eastAsia="Arial" w:hAnsi="Arial"/>
            <w:sz w:val="17"/>
            <w:szCs w:val="17"/>
            <w:u w:val="single" w:color="auto"/>
            <w:color w:val="000000"/>
          </w:rPr>
          <w:t xml:space="preserve"> </w:t>
        </w:r>
      </w:hyperlink>
      <w:r>
        <w:rPr>
          <w:rFonts w:ascii="Arial" w:cs="Arial" w:eastAsia="Arial" w:hAnsi="Arial"/>
          <w:sz w:val="17"/>
          <w:szCs w:val="17"/>
          <w:color w:val="000000"/>
        </w:rPr>
        <w:t>for the year ended December 31, 2021 could affect our actual results and cause our actual results to differ materially from expectations, estimates or assumptions expressed, forecasted or implied in such forward-looking statements. Unless the context requires otherwise, references to “we,” “us,” “our” or the “Company” are intended to mean the business and operations of the Company and its consolidated subsidiaries.</w:t>
      </w:r>
    </w:p>
    <w:p>
      <w:pPr>
        <w:spacing w:after="0" w:line="209" w:lineRule="exact"/>
        <w:rPr>
          <w:rFonts w:ascii="Arial" w:cs="Arial" w:eastAsia="Arial" w:hAnsi="Arial"/>
          <w:sz w:val="17"/>
          <w:szCs w:val="17"/>
          <w:color w:val="0000FF"/>
        </w:rPr>
      </w:pPr>
    </w:p>
    <w:p>
      <w:pPr>
        <w:ind w:left="660"/>
        <w:spacing w:after="0"/>
        <w:rPr>
          <w:sz w:val="20"/>
          <w:szCs w:val="20"/>
          <w:color w:val="auto"/>
        </w:rPr>
      </w:pPr>
      <w:r>
        <w:rPr>
          <w:rFonts w:ascii="Arial" w:cs="Arial" w:eastAsia="Arial" w:hAnsi="Arial"/>
          <w:sz w:val="18"/>
          <w:szCs w:val="18"/>
          <w:color w:val="auto"/>
        </w:rPr>
        <w:t>Factors that could cause our outcomes to differ materially include (but are not limited to) the following:</w:t>
      </w:r>
    </w:p>
    <w:p>
      <w:pPr>
        <w:spacing w:after="0" w:line="239" w:lineRule="exact"/>
        <w:rPr>
          <w:rFonts w:ascii="Arial" w:cs="Arial" w:eastAsia="Arial" w:hAnsi="Arial"/>
          <w:sz w:val="17"/>
          <w:szCs w:val="17"/>
          <w:color w:val="0000FF"/>
        </w:rPr>
      </w:pPr>
    </w:p>
    <w:p>
      <w:pPr>
        <w:ind w:left="1300" w:hanging="320"/>
        <w:spacing w:after="0" w:line="261"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supply and demand levels for oil, natural gas, and natural gas liquids, and the resulting impact on the price for those commodities;</w:t>
      </w:r>
    </w:p>
    <w:p>
      <w:pPr>
        <w:spacing w:after="0" w:line="62" w:lineRule="exact"/>
        <w:rPr>
          <w:rFonts w:ascii="Arial" w:cs="Arial" w:eastAsia="Arial" w:hAnsi="Arial"/>
          <w:sz w:val="18"/>
          <w:szCs w:val="18"/>
          <w:color w:val="auto"/>
        </w:rPr>
      </w:pPr>
    </w:p>
    <w:p>
      <w:pPr>
        <w:ind w:left="1300" w:hanging="320"/>
        <w:spacing w:after="0" w:line="261"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public health crises, including epidemic or pandemic diseases such as the COVID-19 pandemic, and any related company or government policies or actions;</w:t>
      </w:r>
    </w:p>
    <w:p>
      <w:pPr>
        <w:spacing w:after="0" w:line="62" w:lineRule="exact"/>
        <w:rPr>
          <w:rFonts w:ascii="Arial" w:cs="Arial" w:eastAsia="Arial" w:hAnsi="Arial"/>
          <w:sz w:val="18"/>
          <w:szCs w:val="18"/>
          <w:color w:val="auto"/>
        </w:rPr>
      </w:pPr>
    </w:p>
    <w:p>
      <w:pPr>
        <w:ind w:left="1300" w:hanging="320"/>
        <w:spacing w:after="0" w:line="261"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actions taken by the members of OPEC and Russia affecting the production and pricing of oil, as well as other domestic and global political, economic, or diplomatic developments;</w:t>
      </w:r>
    </w:p>
    <w:p>
      <w:pPr>
        <w:spacing w:after="0" w:line="62" w:lineRule="exact"/>
        <w:rPr>
          <w:rFonts w:ascii="Arial" w:cs="Arial" w:eastAsia="Arial" w:hAnsi="Arial"/>
          <w:sz w:val="18"/>
          <w:szCs w:val="18"/>
          <w:color w:val="auto"/>
        </w:rPr>
      </w:pPr>
    </w:p>
    <w:p>
      <w:pPr>
        <w:ind w:left="1300" w:hanging="320"/>
        <w:spacing w:after="0" w:line="261"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business or industry conditions, including changes in foreign currency exchange rates, interest rates and inflation rates and concerns over a potential economic downturn or recession;</w:t>
      </w:r>
    </w:p>
    <w:p>
      <w:pPr>
        <w:spacing w:after="0" w:line="62" w:lineRule="exact"/>
        <w:rPr>
          <w:rFonts w:ascii="Arial" w:cs="Arial" w:eastAsia="Arial" w:hAnsi="Arial"/>
          <w:sz w:val="18"/>
          <w:szCs w:val="18"/>
          <w:color w:val="auto"/>
        </w:rPr>
      </w:pPr>
    </w:p>
    <w:p>
      <w:pPr>
        <w:ind w:left="1300" w:hanging="320"/>
        <w:spacing w:after="0" w:line="246"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regional supply and demand factors, including delays, curtailment delays or interruptions of production, or governmental orders, rules or regulations that impose production limits;</w:t>
      </w:r>
    </w:p>
    <w:p>
      <w:pPr>
        <w:spacing w:after="0" w:line="75" w:lineRule="exact"/>
        <w:rPr>
          <w:rFonts w:ascii="Arial" w:cs="Arial" w:eastAsia="Arial" w:hAnsi="Arial"/>
          <w:sz w:val="18"/>
          <w:szCs w:val="18"/>
          <w:color w:val="auto"/>
        </w:rPr>
      </w:pPr>
    </w:p>
    <w:p>
      <w:pPr>
        <w:ind w:left="1300" w:right="20" w:hanging="320"/>
        <w:spacing w:after="0" w:line="261"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and state legislative and regulatory initiatives relating to hydraulic fracturing, including the effect of existing and future laws and governmental regulations;</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physical and transition risks relating to climate change;</w:t>
      </w:r>
    </w:p>
    <w:p>
      <w:pPr>
        <w:spacing w:after="0" w:line="103" w:lineRule="exact"/>
        <w:rPr>
          <w:rFonts w:ascii="Arial" w:cs="Arial" w:eastAsia="Arial" w:hAnsi="Arial"/>
          <w:sz w:val="18"/>
          <w:szCs w:val="18"/>
          <w:color w:val="auto"/>
        </w:rPr>
      </w:pPr>
    </w:p>
    <w:p>
      <w:pPr>
        <w:ind w:left="1300" w:right="20" w:hanging="320"/>
        <w:spacing w:after="0" w:line="261"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restrictions on the use of water, including limits on the use of produced water and a moratorium on new produced water well permits recently imposed by the Texas Railroad Commission in an effort to control induced seismicity in the Permian Basin;</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significant declines in prices for oil, natural gas, or natural gas liquids, which could require recognition of significant impairment charges;</w:t>
      </w:r>
    </w:p>
    <w:p>
      <w:pPr>
        <w:spacing w:after="0" w:line="126" w:lineRule="exact"/>
        <w:rPr>
          <w:rFonts w:ascii="Arial" w:cs="Arial" w:eastAsia="Arial" w:hAnsi="Arial"/>
          <w:sz w:val="16"/>
          <w:szCs w:val="16"/>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U.S. energy, environmental, monetary and trade policies;</w:t>
      </w:r>
    </w:p>
    <w:p>
      <w:pPr>
        <w:spacing w:after="0" w:line="103" w:lineRule="exact"/>
        <w:rPr>
          <w:rFonts w:ascii="Arial" w:cs="Arial" w:eastAsia="Arial" w:hAnsi="Arial"/>
          <w:sz w:val="18"/>
          <w:szCs w:val="18"/>
          <w:color w:val="auto"/>
        </w:rPr>
      </w:pPr>
    </w:p>
    <w:p>
      <w:pPr>
        <w:ind w:left="1300" w:hanging="320"/>
        <w:spacing w:after="0" w:line="261"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conditions in the capital, financial and credit markets, including the availability and pricing of capital for drilling and development operations and our environmental and social responsibility projects;</w:t>
      </w:r>
    </w:p>
    <w:p>
      <w:pPr>
        <w:spacing w:after="0" w:line="62" w:lineRule="exact"/>
        <w:rPr>
          <w:rFonts w:ascii="Arial" w:cs="Arial" w:eastAsia="Arial" w:hAnsi="Arial"/>
          <w:sz w:val="18"/>
          <w:szCs w:val="18"/>
          <w:color w:val="auto"/>
        </w:rPr>
      </w:pPr>
    </w:p>
    <w:p>
      <w:pPr>
        <w:ind w:left="1300" w:hanging="320"/>
        <w:spacing w:after="0" w:line="261"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challenges with employee retention and an increasingly competitive labor market due to a sustained labor shortage or increased turnover caused by the COVID-19 pandemic;</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availability or cost of rigs, equipment, raw materials, supplies, oilfield services;</w:t>
      </w:r>
    </w:p>
    <w:p>
      <w:pPr>
        <w:spacing w:after="0" w:line="90" w:lineRule="exact"/>
        <w:rPr>
          <w:rFonts w:ascii="Arial" w:cs="Arial" w:eastAsia="Arial" w:hAnsi="Arial"/>
          <w:sz w:val="18"/>
          <w:szCs w:val="18"/>
          <w:color w:val="auto"/>
        </w:rPr>
      </w:pPr>
    </w:p>
    <w:p>
      <w:pPr>
        <w:ind w:left="1300" w:hanging="320"/>
        <w:spacing w:after="0" w:line="261"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safety, health, environmental, tax, and other regulations or requirements (including those addressing air emissions, water management, or the impact of global climate change);</w:t>
      </w:r>
    </w:p>
    <w:p>
      <w:pPr>
        <w:spacing w:after="0" w:line="62" w:lineRule="exact"/>
        <w:rPr>
          <w:rFonts w:ascii="Arial" w:cs="Arial" w:eastAsia="Arial" w:hAnsi="Arial"/>
          <w:sz w:val="18"/>
          <w:szCs w:val="18"/>
          <w:color w:val="auto"/>
        </w:rPr>
      </w:pPr>
    </w:p>
    <w:p>
      <w:pPr>
        <w:ind w:left="1300" w:hanging="320"/>
        <w:spacing w:after="0" w:line="291" w:lineRule="auto"/>
        <w:tabs>
          <w:tab w:leader="none" w:pos="1295"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security threats, including cybersecurity threats and disruptions to our business and operations from breaches of our information technology systems, or from breaches of information technology systems of third parties with whom we transact business;</w:t>
      </w:r>
    </w:p>
    <w:p>
      <w:pPr>
        <w:spacing w:after="0" w:line="200" w:lineRule="exact"/>
        <w:rPr>
          <w:rFonts w:ascii="Arial" w:cs="Arial" w:eastAsia="Arial" w:hAnsi="Arial"/>
          <w:sz w:val="17"/>
          <w:szCs w:val="17"/>
          <w:color w:val="0000FF"/>
        </w:rPr>
      </w:pPr>
    </w:p>
    <w:p>
      <w:pPr>
        <w:spacing w:after="0" w:line="284" w:lineRule="exact"/>
        <w:rPr>
          <w:rFonts w:ascii="Arial" w:cs="Arial" w:eastAsia="Arial" w:hAnsi="Arial"/>
          <w:sz w:val="17"/>
          <w:szCs w:val="17"/>
          <w:color w:val="0000FF"/>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rFonts w:ascii="Arial" w:cs="Arial" w:eastAsia="Arial" w:hAnsi="Arial"/>
          <w:sz w:val="17"/>
          <w:szCs w:val="17"/>
          <w:color w:val="0000FF"/>
        </w:rPr>
      </w:pPr>
      <w:r>
        <w:rPr>
          <w:rFonts w:ascii="Arial" w:cs="Arial" w:eastAsia="Arial" w:hAnsi="Arial"/>
          <w:sz w:val="17"/>
          <w:szCs w:val="17"/>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77" w:lineRule="exact"/>
        <w:rPr>
          <w:sz w:val="20"/>
          <w:szCs w:val="20"/>
          <w:color w:val="auto"/>
        </w:rPr>
      </w:pPr>
    </w:p>
    <w:p>
      <w:pPr>
        <w:ind w:left="1300" w:hanging="320"/>
        <w:spacing w:after="0" w:line="261"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color w:val="auto"/>
        </w:rPr>
        <w:t>lack of, or disruption in, access to adequate and reliable transportation, processing, storage, and other facilities for our oil, natural gas, and natural gas liquids;</w:t>
      </w:r>
    </w:p>
    <w:p>
      <w:pPr>
        <w:spacing w:after="0" w:line="62" w:lineRule="exact"/>
        <w:rPr>
          <w:rFonts w:ascii="Arial" w:cs="Arial" w:eastAsia="Arial" w:hAnsi="Arial"/>
          <w:sz w:val="18"/>
          <w:szCs w:val="18"/>
          <w:color w:val="auto"/>
        </w:rPr>
      </w:pPr>
    </w:p>
    <w:p>
      <w:pPr>
        <w:ind w:left="1300" w:hanging="320"/>
        <w:spacing w:after="0" w:line="291" w:lineRule="auto"/>
        <w:tabs>
          <w:tab w:leader="none" w:pos="1295" w:val="left"/>
        </w:tabs>
        <w:numPr>
          <w:ilvl w:val="0"/>
          <w:numId w:val="4"/>
        </w:numPr>
        <w:rPr>
          <w:rFonts w:ascii="Arial" w:cs="Arial" w:eastAsia="Arial" w:hAnsi="Arial"/>
          <w:sz w:val="17"/>
          <w:szCs w:val="17"/>
          <w:color w:val="auto"/>
        </w:rPr>
      </w:pPr>
      <w:r>
        <w:rPr>
          <w:rFonts w:ascii="Arial" w:cs="Arial" w:eastAsia="Arial" w:hAnsi="Arial"/>
          <w:sz w:val="17"/>
          <w:szCs w:val="17"/>
          <w:color w:val="auto"/>
        </w:rPr>
        <w:t>failures or delays in achieving expected reserve or production levels from existing and future oil and natural gas developments, including due to operating hazards, drilling risks, or the inherent uncertainties in predicting reserve and reservoir performance;</w:t>
      </w:r>
    </w:p>
    <w:p>
      <w:pPr>
        <w:spacing w:after="0" w:line="38" w:lineRule="exact"/>
        <w:rPr>
          <w:rFonts w:ascii="Arial" w:cs="Arial" w:eastAsia="Arial" w:hAnsi="Arial"/>
          <w:sz w:val="17"/>
          <w:szCs w:val="17"/>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difficulty in obtaining necessary approvals and permits;</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severe weather conditions;</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acts of war or terrorist acts and the governmental or military response thereto;</w:t>
      </w:r>
    </w:p>
    <w:p>
      <w:pPr>
        <w:spacing w:after="0" w:line="90"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financial strength of counterparties to our credit agreement and hedging contracts;</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credit rating; and</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factors disclosed in this report.</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light of these factors, the events anticipated by our forward-looking statements may not occur at the time anticipated or at all. Moreover, we operate in a very competitive and rapidly changing environment and new risks emerge from time to time. We cannot predict all risks, nor can we assess the impact of all factors on our business or the extent to which any factor, or combination of factors, may cause actual results to differ materially from those anticipated by any forward-looking statements we may make. Accordingly, you should not place undue reliance on any forward-looking statements made in this report. All forward-looking statements speak only as of the date of this report or, if earlier, as of the date they were made. We do not intend to, and disclaim any obligation to, update or revise any forward-looking statements unless required by applicable law.</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tab/>
        <w:t>CONDENSED CONSOLIDATED FINANCIAL STATEMENTS (UNAUDITED)</w:t>
      </w:r>
    </w:p>
    <w:p>
      <w:pPr>
        <w:spacing w:after="0" w:line="144"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8"/>
                <w:szCs w:val="18"/>
                <w:color w:val="auto"/>
              </w:rPr>
            </w:pPr>
          </w:p>
        </w:tc>
        <w:tc>
          <w:tcPr>
            <w:tcW w:w="1180" w:type="dxa"/>
            <w:vAlign w:val="bottom"/>
          </w:tcPr>
          <w:p>
            <w:pPr>
              <w:jc w:val="right"/>
              <w:ind w:right="111"/>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9"/>
        </w:trPr>
        <w:tc>
          <w:tcPr>
            <w:tcW w:w="8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59"/>
        </w:trPr>
        <w:tc>
          <w:tcPr>
            <w:tcW w:w="8480" w:type="dxa"/>
            <w:vAlign w:val="bottom"/>
            <w:vMerge w:val="restart"/>
          </w:tcPr>
          <w:p>
            <w:pPr>
              <w:ind w:left="4040"/>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13"/>
                <w:szCs w:val="13"/>
                <w:color w:val="auto"/>
              </w:rPr>
            </w:pPr>
          </w:p>
        </w:tc>
        <w:tc>
          <w:tcPr>
            <w:tcW w:w="2620" w:type="dxa"/>
            <w:vAlign w:val="bottom"/>
            <w:gridSpan w:val="4"/>
          </w:tcPr>
          <w:p>
            <w:pPr>
              <w:jc w:val="right"/>
              <w:ind w:right="91"/>
              <w:spacing w:after="0" w:line="158" w:lineRule="exact"/>
              <w:rPr>
                <w:sz w:val="20"/>
                <w:szCs w:val="20"/>
                <w:color w:val="auto"/>
              </w:rPr>
            </w:pPr>
            <w:r>
              <w:rPr>
                <w:rFonts w:ascii="Arial" w:cs="Arial" w:eastAsia="Arial" w:hAnsi="Arial"/>
                <w:sz w:val="16"/>
                <w:szCs w:val="16"/>
                <w:b w:val="1"/>
                <w:bCs w:val="1"/>
                <w:color w:val="auto"/>
                <w:w w:val="92"/>
              </w:rPr>
              <w:t>(In millions, except par values and</w:t>
            </w:r>
          </w:p>
        </w:tc>
        <w:tc>
          <w:tcPr>
            <w:tcW w:w="0" w:type="dxa"/>
            <w:vAlign w:val="bottom"/>
          </w:tcPr>
          <w:p>
            <w:pPr>
              <w:spacing w:after="0"/>
              <w:rPr>
                <w:sz w:val="1"/>
                <w:szCs w:val="1"/>
                <w:color w:val="auto"/>
              </w:rPr>
            </w:pPr>
          </w:p>
        </w:tc>
      </w:tr>
      <w:tr>
        <w:trPr>
          <w:trHeight w:val="213"/>
        </w:trPr>
        <w:tc>
          <w:tcPr>
            <w:tcW w:w="84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4"/>
          </w:tcPr>
          <w:p>
            <w:pPr>
              <w:jc w:val="right"/>
              <w:ind w:right="891"/>
              <w:spacing w:after="0"/>
              <w:rPr>
                <w:sz w:val="20"/>
                <w:szCs w:val="20"/>
                <w:color w:val="auto"/>
              </w:rPr>
            </w:pPr>
            <w:r>
              <w:rPr>
                <w:rFonts w:ascii="Arial" w:cs="Arial" w:eastAsia="Arial" w:hAnsi="Arial"/>
                <w:sz w:val="16"/>
                <w:szCs w:val="16"/>
                <w:b w:val="1"/>
                <w:bCs w:val="1"/>
                <w:color w:val="auto"/>
              </w:rPr>
              <w:t>share data)</w:t>
            </w:r>
          </w:p>
        </w:tc>
        <w:tc>
          <w:tcPr>
            <w:tcW w:w="0" w:type="dxa"/>
            <w:vAlign w:val="bottom"/>
          </w:tcPr>
          <w:p>
            <w:pPr>
              <w:spacing w:after="0"/>
              <w:rPr>
                <w:sz w:val="1"/>
                <w:szCs w:val="1"/>
                <w:color w:val="auto"/>
              </w:rPr>
            </w:pPr>
          </w:p>
        </w:tc>
      </w:tr>
      <w:tr>
        <w:trPr>
          <w:trHeight w:val="232"/>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848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Joint interest and other, net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9"/>
        </w:trPr>
        <w:tc>
          <w:tcPr>
            <w:tcW w:w="8480" w:type="dxa"/>
            <w:vAlign w:val="bottom"/>
          </w:tcPr>
          <w:p>
            <w:pPr>
              <w:ind w:left="680"/>
              <w:spacing w:after="0"/>
              <w:rPr>
                <w:sz w:val="20"/>
                <w:szCs w:val="20"/>
                <w:color w:val="auto"/>
              </w:rPr>
            </w:pPr>
            <w:r>
              <w:rPr>
                <w:rFonts w:ascii="Arial" w:cs="Arial" w:eastAsia="Arial" w:hAnsi="Arial"/>
                <w:sz w:val="18"/>
                <w:szCs w:val="18"/>
                <w:color w:val="auto"/>
              </w:rPr>
              <w:t>Oil and natural gas sales, net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8480" w:type="dxa"/>
            <w:vAlign w:val="bottom"/>
          </w:tcPr>
          <w:p>
            <w:pPr>
              <w:ind w:left="360"/>
              <w:spacing w:after="0"/>
              <w:rPr>
                <w:sz w:val="20"/>
                <w:szCs w:val="20"/>
                <w:color w:val="auto"/>
              </w:rPr>
            </w:pPr>
            <w:r>
              <w:rPr>
                <w:rFonts w:ascii="Arial" w:cs="Arial" w:eastAsia="Arial" w:hAnsi="Arial"/>
                <w:sz w:val="18"/>
                <w:szCs w:val="18"/>
                <w:color w:val="auto"/>
              </w:rPr>
              <w:t>Derivative instruments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receivable</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10"/>
        </w:trPr>
        <w:tc>
          <w:tcPr>
            <w:tcW w:w="848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4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2"/>
              </w:rPr>
              <w:t>Oil and natural gas properties, full cost method of accounting ($8,386 million and $8,496 million excluded from</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at September 30, 2022 and December 31, 2021, respectively)</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32,914</w:t>
            </w:r>
          </w:p>
        </w:tc>
        <w:tc>
          <w:tcPr>
            <w:tcW w:w="0" w:type="dxa"/>
            <w:vAlign w:val="bottom"/>
          </w:tcPr>
          <w:p>
            <w:pPr>
              <w:spacing w:after="0"/>
              <w:rPr>
                <w:sz w:val="1"/>
                <w:szCs w:val="1"/>
                <w:color w:val="auto"/>
              </w:rPr>
            </w:pPr>
          </w:p>
        </w:tc>
      </w:tr>
      <w:tr>
        <w:trPr>
          <w:trHeight w:val="230"/>
        </w:trPr>
        <w:tc>
          <w:tcPr>
            <w:tcW w:w="8480" w:type="dxa"/>
            <w:vAlign w:val="bottom"/>
          </w:tcPr>
          <w:p>
            <w:pPr>
              <w:ind w:left="360"/>
              <w:spacing w:after="0"/>
              <w:rPr>
                <w:sz w:val="20"/>
                <w:szCs w:val="20"/>
                <w:color w:val="auto"/>
              </w:rPr>
            </w:pPr>
            <w:r>
              <w:rPr>
                <w:rFonts w:ascii="Arial" w:cs="Arial" w:eastAsia="Arial" w:hAnsi="Arial"/>
                <w:sz w:val="18"/>
                <w:szCs w:val="18"/>
                <w:color w:val="auto"/>
              </w:rPr>
              <w:t>Other property, equipment and land</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depletion, depreciation, amortization and impairment</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(13,545)</w:t>
            </w:r>
          </w:p>
        </w:tc>
        <w:tc>
          <w:tcPr>
            <w:tcW w:w="0" w:type="dxa"/>
            <w:vAlign w:val="bottom"/>
          </w:tcPr>
          <w:p>
            <w:pPr>
              <w:spacing w:after="0"/>
              <w:rPr>
                <w:sz w:val="1"/>
                <w:szCs w:val="1"/>
                <w:color w:val="auto"/>
              </w:rPr>
            </w:pPr>
          </w:p>
        </w:tc>
      </w:tr>
      <w:tr>
        <w:trPr>
          <w:trHeight w:val="223"/>
        </w:trPr>
        <w:tc>
          <w:tcPr>
            <w:tcW w:w="8480" w:type="dxa"/>
            <w:vAlign w:val="bottom"/>
          </w:tcPr>
          <w:p>
            <w:pPr>
              <w:ind w:left="68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21,903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20,619</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Funds held in escrow</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Equity method investments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instruments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Deferred income taxes, net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 real estate, net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23,843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22,898</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1260" w:type="dxa"/>
            <w:vAlign w:val="bottom"/>
          </w:tcPr>
          <w:p>
            <w:pPr>
              <w:jc w:val="right"/>
              <w:ind w:right="171"/>
              <w:spacing w:after="0"/>
              <w:rPr>
                <w:sz w:val="20"/>
                <w:szCs w:val="20"/>
                <w:color w:val="auto"/>
              </w:rPr>
            </w:pPr>
            <w:r>
              <w:rPr>
                <w:rFonts w:ascii="Arial" w:cs="Arial" w:eastAsia="Arial" w:hAnsi="Arial"/>
                <w:sz w:val="16"/>
                <w:szCs w:val="16"/>
                <w:b w:val="1"/>
                <w:bCs w:val="1"/>
                <w:color w:val="auto"/>
                <w:w w:val="94"/>
              </w:rPr>
              <w:t>December 31,</w:t>
            </w:r>
          </w:p>
        </w:tc>
        <w:tc>
          <w:tcPr>
            <w:tcW w:w="0" w:type="dxa"/>
            <w:vAlign w:val="bottom"/>
          </w:tcPr>
          <w:p>
            <w:pPr>
              <w:spacing w:after="0"/>
              <w:rPr>
                <w:sz w:val="1"/>
                <w:szCs w:val="1"/>
                <w:color w:val="auto"/>
              </w:rPr>
            </w:pPr>
          </w:p>
        </w:tc>
      </w:tr>
      <w:tr>
        <w:trPr>
          <w:trHeight w:val="219"/>
        </w:trPr>
        <w:tc>
          <w:tcPr>
            <w:tcW w:w="8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58"/>
        </w:trPr>
        <w:tc>
          <w:tcPr>
            <w:tcW w:w="8240" w:type="dxa"/>
            <w:vAlign w:val="bottom"/>
            <w:vMerge w:val="restart"/>
          </w:tcPr>
          <w:p>
            <w:pPr>
              <w:ind w:left="2880"/>
              <w:spacing w:after="0"/>
              <w:rPr>
                <w:sz w:val="20"/>
                <w:szCs w:val="20"/>
                <w:color w:val="auto"/>
              </w:rPr>
            </w:pPr>
            <w:r>
              <w:rPr>
                <w:rFonts w:ascii="Arial" w:cs="Arial" w:eastAsia="Arial" w:hAnsi="Arial"/>
                <w:sz w:val="16"/>
                <w:szCs w:val="16"/>
                <w:b w:val="1"/>
                <w:bCs w:val="1"/>
                <w:color w:val="auto"/>
              </w:rPr>
              <w:t>Liabilities and Stockholders’ Equity</w:t>
            </w:r>
          </w:p>
        </w:tc>
        <w:tc>
          <w:tcPr>
            <w:tcW w:w="3000" w:type="dxa"/>
            <w:vAlign w:val="bottom"/>
            <w:gridSpan w:val="5"/>
          </w:tcPr>
          <w:p>
            <w:pPr>
              <w:jc w:val="right"/>
              <w:ind w:right="11"/>
              <w:spacing w:after="0" w:line="158" w:lineRule="exact"/>
              <w:rPr>
                <w:sz w:val="20"/>
                <w:szCs w:val="20"/>
                <w:color w:val="auto"/>
              </w:rPr>
            </w:pPr>
            <w:r>
              <w:rPr>
                <w:rFonts w:ascii="Arial" w:cs="Arial" w:eastAsia="Arial" w:hAnsi="Arial"/>
                <w:sz w:val="16"/>
                <w:szCs w:val="16"/>
                <w:b w:val="1"/>
                <w:bCs w:val="1"/>
                <w:color w:val="auto"/>
                <w:w w:val="93"/>
              </w:rPr>
              <w:t>(In millions, except par values and share</w:t>
            </w:r>
          </w:p>
        </w:tc>
        <w:tc>
          <w:tcPr>
            <w:tcW w:w="0" w:type="dxa"/>
            <w:vAlign w:val="bottom"/>
          </w:tcPr>
          <w:p>
            <w:pPr>
              <w:spacing w:after="0"/>
              <w:rPr>
                <w:sz w:val="1"/>
                <w:szCs w:val="1"/>
                <w:color w:val="auto"/>
              </w:rPr>
            </w:pPr>
          </w:p>
        </w:tc>
      </w:tr>
      <w:tr>
        <w:trPr>
          <w:trHeight w:val="213"/>
        </w:trPr>
        <w:tc>
          <w:tcPr>
            <w:tcW w:w="82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b w:val="1"/>
                <w:bCs w:val="1"/>
                <w:color w:val="auto"/>
              </w:rPr>
              <w:t>data)</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Accounts payable - trade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capital expenditures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Current maturities of long-term debt</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accrued liabilities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Revenues and royalties payable</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instruments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Income taxes payable</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5,347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6,642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instruments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Asset retirement obligations</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9,653</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8"/>
                <w:szCs w:val="18"/>
                <w:color w:val="auto"/>
              </w:rPr>
              <w:t>Commitments and contingencies (Note 14)</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240" w:type="dxa"/>
            <w:vAlign w:val="bottom"/>
          </w:tcPr>
          <w:p>
            <w:pPr>
              <w:ind w:left="360"/>
              <w:spacing w:after="0" w:line="176" w:lineRule="exact"/>
              <w:rPr>
                <w:sz w:val="20"/>
                <w:szCs w:val="20"/>
                <w:color w:val="auto"/>
              </w:rPr>
            </w:pPr>
            <w:r>
              <w:rPr>
                <w:rFonts w:ascii="Arial" w:cs="Arial" w:eastAsia="Arial" w:hAnsi="Arial"/>
                <w:sz w:val="18"/>
                <w:szCs w:val="18"/>
                <w:color w:val="auto"/>
                <w:w w:val="89"/>
              </w:rPr>
              <w:t>Common stock, $0.01 par value; 400,000,000 shares authorized; 175,631,465 and 177,551,347 shares issued</w:t>
            </w: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and outstanding at September 30, 2022 and December 31, 2021, respectively</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14,084</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Retained earnings (accumulated deficit)</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Diamondback Energy, Inc. stockholders’ equity</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12,088</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13,245</w:t>
            </w:r>
          </w:p>
        </w:tc>
        <w:tc>
          <w:tcPr>
            <w:tcW w:w="0" w:type="dxa"/>
            <w:vAlign w:val="bottom"/>
          </w:tcPr>
          <w:p>
            <w:pPr>
              <w:spacing w:after="0"/>
              <w:rPr>
                <w:sz w:val="1"/>
                <w:szCs w:val="1"/>
                <w:color w:val="auto"/>
              </w:rPr>
            </w:pPr>
          </w:p>
        </w:tc>
      </w:tr>
      <w:tr>
        <w:trPr>
          <w:trHeight w:val="223"/>
        </w:trPr>
        <w:tc>
          <w:tcPr>
            <w:tcW w:w="8240" w:type="dxa"/>
            <w:vAlign w:val="bottom"/>
          </w:tcPr>
          <w:p>
            <w:pPr>
              <w:ind w:left="68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23,843</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22,898</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220" w:type="dxa"/>
            <w:vAlign w:val="bottom"/>
          </w:tcPr>
          <w:p>
            <w:pPr>
              <w:spacing w:after="0"/>
              <w:rPr>
                <w:sz w:val="18"/>
                <w:szCs w:val="18"/>
                <w:color w:val="auto"/>
              </w:rPr>
            </w:pPr>
          </w:p>
        </w:tc>
        <w:tc>
          <w:tcPr>
            <w:tcW w:w="2880" w:type="dxa"/>
            <w:vAlign w:val="bottom"/>
            <w:gridSpan w:val="4"/>
          </w:tcPr>
          <w:p>
            <w:pPr>
              <w:jc w:val="right"/>
              <w:ind w:right="252"/>
              <w:spacing w:after="0"/>
              <w:rPr>
                <w:sz w:val="20"/>
                <w:szCs w:val="20"/>
                <w:color w:val="auto"/>
              </w:rPr>
            </w:pPr>
            <w:r>
              <w:rPr>
                <w:rFonts w:ascii="Arial" w:cs="Arial" w:eastAsia="Arial" w:hAnsi="Arial"/>
                <w:sz w:val="16"/>
                <w:szCs w:val="16"/>
                <w:b w:val="1"/>
                <w:bCs w:val="1"/>
                <w:color w:val="auto"/>
                <w:w w:val="95"/>
              </w:rPr>
              <w:t>Nine Months Ended September 30,</w:t>
            </w:r>
          </w:p>
        </w:tc>
        <w:tc>
          <w:tcPr>
            <w:tcW w:w="0" w:type="dxa"/>
            <w:vAlign w:val="bottom"/>
          </w:tcPr>
          <w:p>
            <w:pPr>
              <w:spacing w:after="0"/>
              <w:rPr>
                <w:sz w:val="1"/>
                <w:szCs w:val="1"/>
                <w:color w:val="auto"/>
              </w:rPr>
            </w:pPr>
          </w:p>
        </w:tc>
      </w:tr>
      <w:tr>
        <w:trPr>
          <w:trHeight w:val="210"/>
        </w:trPr>
        <w:tc>
          <w:tcPr>
            <w:tcW w:w="49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0"/>
        </w:trPr>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80" w:type="dxa"/>
            <w:vAlign w:val="bottom"/>
            <w:gridSpan w:val="9"/>
          </w:tcPr>
          <w:p>
            <w:pPr>
              <w:jc w:val="right"/>
              <w:spacing w:after="0"/>
              <w:rPr>
                <w:sz w:val="20"/>
                <w:szCs w:val="20"/>
                <w:color w:val="auto"/>
              </w:rPr>
            </w:pPr>
            <w:r>
              <w:rPr>
                <w:rFonts w:ascii="Arial" w:cs="Arial" w:eastAsia="Arial" w:hAnsi="Arial"/>
                <w:sz w:val="16"/>
                <w:szCs w:val="16"/>
                <w:b w:val="1"/>
                <w:bCs w:val="1"/>
                <w:color w:val="auto"/>
              </w:rPr>
              <w:t>(In millions, except per share amounts, shares in thousands)</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40" w:type="dxa"/>
            <w:vAlign w:val="bottom"/>
          </w:tcPr>
          <w:p>
            <w:pPr>
              <w:ind w:left="360"/>
              <w:spacing w:after="0"/>
              <w:rPr>
                <w:sz w:val="20"/>
                <w:szCs w:val="20"/>
                <w:color w:val="auto"/>
              </w:rPr>
            </w:pPr>
            <w:r>
              <w:rPr>
                <w:rFonts w:ascii="Arial" w:cs="Arial" w:eastAsia="Arial" w:hAnsi="Arial"/>
                <w:sz w:val="18"/>
                <w:szCs w:val="18"/>
                <w:color w:val="auto"/>
              </w:rPr>
              <w:t>Oil sales</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1,853</w:t>
            </w:r>
          </w:p>
        </w:tc>
        <w:tc>
          <w:tcPr>
            <w:tcW w:w="8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1,506</w:t>
            </w:r>
          </w:p>
        </w:tc>
        <w:tc>
          <w:tcPr>
            <w:tcW w:w="8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5,988</w:t>
            </w:r>
          </w:p>
        </w:tc>
        <w:tc>
          <w:tcPr>
            <w:tcW w:w="80" w:type="dxa"/>
            <w:vAlign w:val="bottom"/>
          </w:tcPr>
          <w:p>
            <w:pPr>
              <w:spacing w:after="0"/>
              <w:rPr>
                <w:sz w:val="19"/>
                <w:szCs w:val="19"/>
                <w:color w:val="auto"/>
              </w:rPr>
            </w:pPr>
          </w:p>
        </w:tc>
        <w:tc>
          <w:tcPr>
            <w:tcW w:w="520" w:type="dxa"/>
            <w:vAlign w:val="bottom"/>
          </w:tcPr>
          <w:p>
            <w:pPr>
              <w:jc w:val="right"/>
              <w:ind w:right="31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3,845</w:t>
            </w:r>
          </w:p>
        </w:tc>
        <w:tc>
          <w:tcPr>
            <w:tcW w:w="0" w:type="dxa"/>
            <w:vAlign w:val="bottom"/>
          </w:tcPr>
          <w:p>
            <w:pPr>
              <w:spacing w:after="0"/>
              <w:rPr>
                <w:sz w:val="1"/>
                <w:szCs w:val="1"/>
                <w:color w:val="auto"/>
              </w:rPr>
            </w:pPr>
          </w:p>
        </w:tc>
      </w:tr>
      <w:tr>
        <w:trPr>
          <w:trHeight w:val="231"/>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Natural gas sales</w:t>
            </w: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28"/>
        </w:trPr>
        <w:tc>
          <w:tcPr>
            <w:tcW w:w="4940" w:type="dxa"/>
            <w:vAlign w:val="bottom"/>
          </w:tcPr>
          <w:p>
            <w:pPr>
              <w:ind w:left="360"/>
              <w:spacing w:after="0"/>
              <w:rPr>
                <w:sz w:val="20"/>
                <w:szCs w:val="20"/>
                <w:color w:val="auto"/>
              </w:rPr>
            </w:pPr>
            <w:r>
              <w:rPr>
                <w:rFonts w:ascii="Arial" w:cs="Arial" w:eastAsia="Arial" w:hAnsi="Arial"/>
                <w:sz w:val="18"/>
                <w:szCs w:val="18"/>
                <w:color w:val="auto"/>
              </w:rPr>
              <w:t>Natural gas liquid sales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856</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31"/>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operating income</w:t>
            </w:r>
          </w:p>
        </w:tc>
        <w:tc>
          <w:tcPr>
            <w:tcW w:w="2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2"/>
        </w:trPr>
        <w:tc>
          <w:tcPr>
            <w:tcW w:w="49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7,613</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4,775</w:t>
            </w:r>
          </w:p>
        </w:tc>
        <w:tc>
          <w:tcPr>
            <w:tcW w:w="0" w:type="dxa"/>
            <w:vAlign w:val="bottom"/>
          </w:tcPr>
          <w:p>
            <w:pPr>
              <w:spacing w:after="0"/>
              <w:rPr>
                <w:sz w:val="1"/>
                <w:szCs w:val="1"/>
                <w:color w:val="auto"/>
              </w:rPr>
            </w:pPr>
          </w:p>
        </w:tc>
      </w:tr>
      <w:tr>
        <w:trPr>
          <w:trHeight w:val="197"/>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940" w:type="dxa"/>
            <w:vAlign w:val="bottom"/>
          </w:tcPr>
          <w:p>
            <w:pPr>
              <w:ind w:left="360"/>
              <w:spacing w:after="0"/>
              <w:rPr>
                <w:sz w:val="20"/>
                <w:szCs w:val="20"/>
                <w:color w:val="auto"/>
              </w:rPr>
            </w:pPr>
            <w:r>
              <w:rPr>
                <w:rFonts w:ascii="Arial" w:cs="Arial" w:eastAsia="Arial" w:hAnsi="Arial"/>
                <w:sz w:val="18"/>
                <w:szCs w:val="18"/>
                <w:color w:val="auto"/>
              </w:rPr>
              <w:t>Lease operating expenses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31"/>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Production and ad valorem taxes</w:t>
            </w: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29"/>
        </w:trPr>
        <w:tc>
          <w:tcPr>
            <w:tcW w:w="4940" w:type="dxa"/>
            <w:vAlign w:val="bottom"/>
          </w:tcPr>
          <w:p>
            <w:pPr>
              <w:ind w:left="360"/>
              <w:spacing w:after="0"/>
              <w:rPr>
                <w:sz w:val="20"/>
                <w:szCs w:val="20"/>
                <w:color w:val="auto"/>
              </w:rPr>
            </w:pPr>
            <w:r>
              <w:rPr>
                <w:rFonts w:ascii="Arial" w:cs="Arial" w:eastAsia="Arial" w:hAnsi="Arial"/>
                <w:sz w:val="18"/>
                <w:szCs w:val="18"/>
                <w:color w:val="auto"/>
              </w:rPr>
              <w:t>Gathering and transportation</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depletion, amortization and accretion</w:t>
            </w: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28"/>
        </w:trPr>
        <w:tc>
          <w:tcPr>
            <w:tcW w:w="4940" w:type="dxa"/>
            <w:vAlign w:val="bottom"/>
          </w:tcPr>
          <w:p>
            <w:pPr>
              <w:ind w:left="360"/>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1"/>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Merger and integration expenses</w:t>
            </w: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8"/>
        </w:trPr>
        <w:tc>
          <w:tcPr>
            <w:tcW w:w="4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operating expenses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1,614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5,252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2,690</w:t>
            </w:r>
          </w:p>
        </w:tc>
        <w:tc>
          <w:tcPr>
            <w:tcW w:w="0" w:type="dxa"/>
            <w:vAlign w:val="bottom"/>
          </w:tcPr>
          <w:p>
            <w:pPr>
              <w:spacing w:after="0"/>
              <w:rPr>
                <w:sz w:val="1"/>
                <w:szCs w:val="1"/>
                <w:color w:val="auto"/>
              </w:rPr>
            </w:pPr>
          </w:p>
        </w:tc>
      </w:tr>
      <w:tr>
        <w:trPr>
          <w:trHeight w:val="217"/>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4940" w:type="dxa"/>
            <w:vAlign w:val="bottom"/>
          </w:tcPr>
          <w:p>
            <w:pPr>
              <w:ind w:left="360"/>
              <w:spacing w:after="0"/>
              <w:rPr>
                <w:sz w:val="20"/>
                <w:szCs w:val="20"/>
                <w:color w:val="auto"/>
              </w:rPr>
            </w:pPr>
            <w:r>
              <w:rPr>
                <w:rFonts w:ascii="Arial" w:cs="Arial" w:eastAsia="Arial" w:hAnsi="Arial"/>
                <w:sz w:val="18"/>
                <w:szCs w:val="18"/>
                <w:color w:val="auto"/>
              </w:rPr>
              <w:t>Gain (loss) on derivative instruments, net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(677)</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(loss) on sale of equity method investments</w:t>
            </w: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8"/>
        </w:trPr>
        <w:tc>
          <w:tcPr>
            <w:tcW w:w="4940" w:type="dxa"/>
            <w:vAlign w:val="bottom"/>
          </w:tcPr>
          <w:p>
            <w:pPr>
              <w:ind w:left="360"/>
              <w:spacing w:after="0"/>
              <w:rPr>
                <w:sz w:val="20"/>
                <w:szCs w:val="20"/>
                <w:color w:val="auto"/>
              </w:rPr>
            </w:pPr>
            <w:r>
              <w:rPr>
                <w:rFonts w:ascii="Arial" w:cs="Arial" w:eastAsia="Arial" w:hAnsi="Arial"/>
                <w:sz w:val="18"/>
                <w:szCs w:val="18"/>
                <w:color w:val="auto"/>
              </w:rPr>
              <w:t>Gain (loss) on extinguishment of debt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from equity investments</w:t>
            </w:r>
          </w:p>
        </w:tc>
        <w:tc>
          <w:tcPr>
            <w:tcW w:w="2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other income (expense), net</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4,447</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228"/>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24"/>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28"/>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9"/>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Diamondback Energy, Inc.</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3,379</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Earnings (loss) per common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9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29"/>
        </w:trPr>
        <w:tc>
          <w:tcPr>
            <w:tcW w:w="4940" w:type="dxa"/>
            <w:vAlign w:val="bottom"/>
          </w:tcPr>
          <w:p>
            <w:pPr>
              <w:ind w:left="36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6.72</w:t>
            </w:r>
          </w:p>
        </w:tc>
        <w:tc>
          <w:tcPr>
            <w:tcW w:w="8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3.55</w:t>
            </w:r>
          </w:p>
        </w:tc>
        <w:tc>
          <w:tcPr>
            <w:tcW w:w="8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18.99</w:t>
            </w:r>
          </w:p>
        </w:tc>
        <w:tc>
          <w:tcPr>
            <w:tcW w:w="80" w:type="dxa"/>
            <w:vAlign w:val="bottom"/>
          </w:tcPr>
          <w:p>
            <w:pPr>
              <w:spacing w:after="0"/>
              <w:rPr>
                <w:sz w:val="19"/>
                <w:szCs w:val="19"/>
                <w:color w:val="auto"/>
              </w:rPr>
            </w:pPr>
          </w:p>
        </w:tc>
        <w:tc>
          <w:tcPr>
            <w:tcW w:w="520" w:type="dxa"/>
            <w:vAlign w:val="bottom"/>
          </w:tcPr>
          <w:p>
            <w:pPr>
              <w:jc w:val="right"/>
              <w:ind w:right="31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7"/>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common shares outstanding:</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940" w:type="dxa"/>
            <w:vAlign w:val="bottom"/>
          </w:tcPr>
          <w:p>
            <w:pPr>
              <w:ind w:left="36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174,406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181,027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176,169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175,464</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174,408</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181,027</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176,171</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175,464</w:t>
            </w:r>
          </w:p>
        </w:tc>
        <w:tc>
          <w:tcPr>
            <w:tcW w:w="0" w:type="dxa"/>
            <w:vAlign w:val="bottom"/>
          </w:tcPr>
          <w:p>
            <w:pPr>
              <w:spacing w:after="0"/>
              <w:rPr>
                <w:sz w:val="1"/>
                <w:szCs w:val="1"/>
                <w:color w:val="auto"/>
              </w:rPr>
            </w:pPr>
          </w:p>
        </w:tc>
      </w:tr>
      <w:tr>
        <w:trPr>
          <w:trHeight w:val="228"/>
        </w:trPr>
        <w:tc>
          <w:tcPr>
            <w:tcW w:w="4940" w:type="dxa"/>
            <w:vAlign w:val="bottom"/>
          </w:tcPr>
          <w:p>
            <w:pPr>
              <w:ind w:left="20"/>
              <w:spacing w:after="0"/>
              <w:rPr>
                <w:sz w:val="20"/>
                <w:szCs w:val="20"/>
                <w:color w:val="auto"/>
              </w:rPr>
            </w:pPr>
            <w:r>
              <w:rPr>
                <w:rFonts w:ascii="Arial" w:cs="Arial" w:eastAsia="Arial" w:hAnsi="Arial"/>
                <w:sz w:val="16"/>
                <w:szCs w:val="16"/>
                <w:b w:val="1"/>
                <w:bCs w:val="1"/>
                <w:color w:val="auto"/>
              </w:rPr>
              <w:t>Dividends declared per share</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2.26</w:t>
            </w:r>
          </w:p>
        </w:tc>
        <w:tc>
          <w:tcPr>
            <w:tcW w:w="8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0.50</w:t>
            </w:r>
          </w:p>
        </w:tc>
        <w:tc>
          <w:tcPr>
            <w:tcW w:w="8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8.36</w:t>
            </w:r>
          </w:p>
        </w:tc>
        <w:tc>
          <w:tcPr>
            <w:tcW w:w="80" w:type="dxa"/>
            <w:vAlign w:val="bottom"/>
          </w:tcPr>
          <w:p>
            <w:pPr>
              <w:spacing w:after="0"/>
              <w:rPr>
                <w:sz w:val="19"/>
                <w:szCs w:val="19"/>
                <w:color w:val="auto"/>
              </w:rPr>
            </w:pPr>
          </w:p>
        </w:tc>
        <w:tc>
          <w:tcPr>
            <w:tcW w:w="520" w:type="dxa"/>
            <w:vAlign w:val="bottom"/>
          </w:tcPr>
          <w:p>
            <w:pPr>
              <w:jc w:val="right"/>
              <w:ind w:right="31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Retained</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440" w:type="dxa"/>
            <w:vAlign w:val="bottom"/>
          </w:tcPr>
          <w:p>
            <w:pPr>
              <w:spacing w:after="0"/>
              <w:rPr>
                <w:sz w:val="14"/>
                <w:szCs w:val="14"/>
                <w:color w:val="auto"/>
              </w:rPr>
            </w:pPr>
          </w:p>
        </w:tc>
        <w:tc>
          <w:tcPr>
            <w:tcW w:w="1760" w:type="dxa"/>
            <w:vAlign w:val="bottom"/>
            <w:gridSpan w:val="4"/>
            <w:vMerge w:val="restart"/>
          </w:tcPr>
          <w:p>
            <w:pPr>
              <w:jc w:val="right"/>
              <w:ind w:right="250"/>
              <w:spacing w:after="0"/>
              <w:rPr>
                <w:sz w:val="20"/>
                <w:szCs w:val="20"/>
                <w:color w:val="auto"/>
              </w:rPr>
            </w:pPr>
            <w:r>
              <w:rPr>
                <w:rFonts w:ascii="Arial" w:cs="Arial" w:eastAsia="Arial" w:hAnsi="Arial"/>
                <w:sz w:val="16"/>
                <w:szCs w:val="16"/>
                <w:b w:val="1"/>
                <w:bCs w:val="1"/>
                <w:color w:val="auto"/>
              </w:rPr>
              <w:t>Common Stock</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0"/>
              </w:rPr>
              <w:t>Earnings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4440" w:type="dxa"/>
            <w:vAlign w:val="bottom"/>
          </w:tcPr>
          <w:p>
            <w:pPr>
              <w:spacing w:after="0"/>
              <w:rPr>
                <w:sz w:val="10"/>
                <w:szCs w:val="10"/>
                <w:color w:val="auto"/>
              </w:rPr>
            </w:pPr>
          </w:p>
        </w:tc>
        <w:tc>
          <w:tcPr>
            <w:tcW w:w="176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7"/>
              </w:rPr>
              <w:t>Paid-in</w:t>
            </w:r>
          </w:p>
        </w:tc>
        <w:tc>
          <w:tcPr>
            <w:tcW w:w="140" w:type="dxa"/>
            <w:vAlign w:val="bottom"/>
          </w:tcPr>
          <w:p>
            <w:pPr>
              <w:spacing w:after="0"/>
              <w:rPr>
                <w:sz w:val="10"/>
                <w:szCs w:val="10"/>
                <w:color w:val="auto"/>
              </w:rPr>
            </w:pPr>
          </w:p>
        </w:tc>
        <w:tc>
          <w:tcPr>
            <w:tcW w:w="1260" w:type="dxa"/>
            <w:vAlign w:val="bottom"/>
            <w:gridSpan w:val="2"/>
            <w:vMerge w:val="restart"/>
          </w:tcPr>
          <w:p>
            <w:pPr>
              <w:jc w:val="center"/>
              <w:ind w:right="240"/>
              <w:spacing w:after="0" w:line="162" w:lineRule="exact"/>
              <w:rPr>
                <w:sz w:val="20"/>
                <w:szCs w:val="20"/>
                <w:color w:val="auto"/>
              </w:rPr>
            </w:pPr>
            <w:r>
              <w:rPr>
                <w:rFonts w:ascii="Arial" w:cs="Arial" w:eastAsia="Arial" w:hAnsi="Arial"/>
                <w:sz w:val="16"/>
                <w:szCs w:val="16"/>
                <w:b w:val="1"/>
                <w:bCs w:val="1"/>
                <w:color w:val="auto"/>
                <w:w w:val="92"/>
              </w:rPr>
              <w:t>(Accumulated</w:t>
            </w:r>
          </w:p>
        </w:tc>
        <w:tc>
          <w:tcPr>
            <w:tcW w:w="1320" w:type="dxa"/>
            <w:vAlign w:val="bottom"/>
            <w:gridSpan w:val="3"/>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w w:val="93"/>
              </w:rPr>
              <w:t>Non-Controlling</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4440" w:type="dxa"/>
            <w:vAlign w:val="bottom"/>
          </w:tcPr>
          <w:p>
            <w:pPr>
              <w:spacing w:after="0"/>
              <w:rPr>
                <w:sz w:val="2"/>
                <w:szCs w:val="2"/>
                <w:color w:val="auto"/>
              </w:rPr>
            </w:pPr>
          </w:p>
        </w:tc>
        <w:tc>
          <w:tcPr>
            <w:tcW w:w="92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2"/>
                <w:szCs w:val="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32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line="20" w:lineRule="exact"/>
              <w:rPr>
                <w:sz w:val="1"/>
                <w:szCs w:val="1"/>
                <w:color w:val="auto"/>
              </w:rPr>
            </w:pPr>
          </w:p>
        </w:tc>
      </w:tr>
      <w:tr>
        <w:trPr>
          <w:trHeight w:val="213"/>
        </w:trPr>
        <w:tc>
          <w:tcPr>
            <w:tcW w:w="4440" w:type="dxa"/>
            <w:vAlign w:val="bottom"/>
          </w:tcPr>
          <w:p>
            <w:pPr>
              <w:spacing w:after="0"/>
              <w:rPr>
                <w:sz w:val="18"/>
                <w:szCs w:val="18"/>
                <w:color w:val="auto"/>
              </w:rPr>
            </w:pPr>
          </w:p>
        </w:tc>
        <w:tc>
          <w:tcPr>
            <w:tcW w:w="92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7"/>
              </w:rPr>
              <w:t>Capital</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5"/>
              </w:rPr>
              <w:t>Deficit)</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w w:val="93"/>
              </w:rPr>
              <w:t>Interest</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80" w:type="dxa"/>
            <w:vAlign w:val="bottom"/>
            <w:gridSpan w:val="6"/>
          </w:tcPr>
          <w:p>
            <w:pPr>
              <w:jc w:val="right"/>
              <w:spacing w:after="0"/>
              <w:rPr>
                <w:sz w:val="20"/>
                <w:szCs w:val="20"/>
                <w:color w:val="auto"/>
              </w:rPr>
            </w:pPr>
            <w:r>
              <w:rPr>
                <w:rFonts w:ascii="Arial" w:cs="Arial" w:eastAsia="Arial" w:hAnsi="Arial"/>
                <w:sz w:val="16"/>
                <w:szCs w:val="16"/>
                <w:b w:val="1"/>
                <w:bCs w:val="1"/>
                <w:color w:val="auto"/>
                <w:w w:val="96"/>
              </w:rPr>
              <w:t>($ in millions, shares in thousands)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2021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177,551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13,245</w:t>
            </w:r>
          </w:p>
        </w:tc>
        <w:tc>
          <w:tcPr>
            <w:tcW w:w="0" w:type="dxa"/>
            <w:vAlign w:val="bottom"/>
          </w:tcPr>
          <w:p>
            <w:pPr>
              <w:spacing w:after="0"/>
              <w:rPr>
                <w:sz w:val="1"/>
                <w:szCs w:val="1"/>
                <w:color w:val="auto"/>
              </w:rPr>
            </w:pPr>
          </w:p>
        </w:tc>
      </w:tr>
      <w:tr>
        <w:trPr>
          <w:trHeight w:val="229"/>
        </w:trPr>
        <w:tc>
          <w:tcPr>
            <w:tcW w:w="4440" w:type="dxa"/>
            <w:vAlign w:val="bottom"/>
          </w:tcPr>
          <w:p>
            <w:pPr>
              <w:ind w:left="140"/>
              <w:spacing w:after="0"/>
              <w:rPr>
                <w:sz w:val="20"/>
                <w:szCs w:val="20"/>
                <w:color w:val="auto"/>
              </w:rPr>
            </w:pPr>
            <w:r>
              <w:rPr>
                <w:rFonts w:ascii="Arial" w:cs="Arial" w:eastAsia="Arial" w:hAnsi="Arial"/>
                <w:sz w:val="18"/>
                <w:szCs w:val="18"/>
                <w:color w:val="auto"/>
              </w:rPr>
              <w:t>Unit-based compensation</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 equivalent rights payments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44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Cash paid for tax withholding on vested equity awards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4440" w:type="dxa"/>
            <w:vAlign w:val="bottom"/>
          </w:tcPr>
          <w:p>
            <w:pPr>
              <w:ind w:left="140"/>
              <w:spacing w:after="0"/>
              <w:rPr>
                <w:sz w:val="20"/>
                <w:szCs w:val="20"/>
                <w:color w:val="auto"/>
              </w:rPr>
            </w:pPr>
            <w:r>
              <w:rPr>
                <w:rFonts w:ascii="Arial" w:cs="Arial" w:eastAsia="Arial" w:hAnsi="Arial"/>
                <w:sz w:val="18"/>
                <w:szCs w:val="18"/>
                <w:color w:val="auto"/>
              </w:rPr>
              <w:t>Repurchased shares under buyback program</w:t>
            </w:r>
          </w:p>
        </w:tc>
        <w:tc>
          <w:tcPr>
            <w:tcW w:w="84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Repurchased units under buyback programs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4440" w:type="dxa"/>
            <w:vAlign w:val="bottom"/>
          </w:tcPr>
          <w:p>
            <w:pPr>
              <w:ind w:left="140"/>
              <w:spacing w:after="0"/>
              <w:rPr>
                <w:sz w:val="20"/>
                <w:szCs w:val="20"/>
                <w:color w:val="auto"/>
              </w:rPr>
            </w:pPr>
            <w:r>
              <w:rPr>
                <w:rFonts w:ascii="Arial" w:cs="Arial" w:eastAsia="Arial" w:hAnsi="Arial"/>
                <w:sz w:val="18"/>
                <w:szCs w:val="18"/>
                <w:color w:val="auto"/>
              </w:rPr>
              <w:t>Distributions to non-controlling interest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 paid</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75"/>
        </w:trPr>
        <w:tc>
          <w:tcPr>
            <w:tcW w:w="4440" w:type="dxa"/>
            <w:vAlign w:val="bottom"/>
          </w:tcPr>
          <w:p>
            <w:pPr>
              <w:ind w:left="140"/>
              <w:spacing w:after="0" w:line="176" w:lineRule="exact"/>
              <w:rPr>
                <w:sz w:val="20"/>
                <w:szCs w:val="20"/>
                <w:color w:val="auto"/>
              </w:rPr>
            </w:pPr>
            <w:r>
              <w:rPr>
                <w:rFonts w:ascii="Arial" w:cs="Arial" w:eastAsia="Arial" w:hAnsi="Arial"/>
                <w:sz w:val="18"/>
                <w:szCs w:val="18"/>
                <w:color w:val="auto"/>
                <w:w w:val="93"/>
              </w:rPr>
              <w:t>Exercise of stock options and issuance of restricted stock</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140"/>
              <w:spacing w:after="0"/>
              <w:rPr>
                <w:sz w:val="20"/>
                <w:szCs w:val="20"/>
                <w:color w:val="auto"/>
              </w:rPr>
            </w:pPr>
            <w:r>
              <w:rPr>
                <w:rFonts w:ascii="Arial" w:cs="Arial" w:eastAsia="Arial" w:hAnsi="Arial"/>
                <w:sz w:val="18"/>
                <w:szCs w:val="18"/>
                <w:color w:val="auto"/>
              </w:rPr>
              <w:t>units and awards</w:t>
            </w:r>
          </w:p>
        </w:tc>
        <w:tc>
          <w:tcPr>
            <w:tcW w:w="84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Change in ownership of consolidated subsidiaries, net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44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23"/>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March 31, 2022</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177,551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13,852</w:t>
            </w:r>
          </w:p>
        </w:tc>
        <w:tc>
          <w:tcPr>
            <w:tcW w:w="0" w:type="dxa"/>
            <w:vAlign w:val="bottom"/>
          </w:tcPr>
          <w:p>
            <w:pPr>
              <w:spacing w:after="0"/>
              <w:rPr>
                <w:sz w:val="1"/>
                <w:szCs w:val="1"/>
                <w:color w:val="auto"/>
              </w:rPr>
            </w:pPr>
          </w:p>
        </w:tc>
      </w:tr>
      <w:tr>
        <w:trPr>
          <w:trHeight w:val="229"/>
        </w:trPr>
        <w:tc>
          <w:tcPr>
            <w:tcW w:w="4440" w:type="dxa"/>
            <w:vAlign w:val="bottom"/>
          </w:tcPr>
          <w:p>
            <w:pPr>
              <w:ind w:left="140"/>
              <w:spacing w:after="0"/>
              <w:rPr>
                <w:sz w:val="20"/>
                <w:szCs w:val="20"/>
                <w:color w:val="auto"/>
              </w:rPr>
            </w:pPr>
            <w:r>
              <w:rPr>
                <w:rFonts w:ascii="Arial" w:cs="Arial" w:eastAsia="Arial" w:hAnsi="Arial"/>
                <w:sz w:val="18"/>
                <w:szCs w:val="18"/>
                <w:color w:val="auto"/>
              </w:rPr>
              <w:t>Unit-based compensation</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 equivalent rights payments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444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Cash paid for tax withholding on vested equity awards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440" w:type="dxa"/>
            <w:vAlign w:val="bottom"/>
          </w:tcPr>
          <w:p>
            <w:pPr>
              <w:ind w:left="140"/>
              <w:spacing w:after="0"/>
              <w:rPr>
                <w:sz w:val="20"/>
                <w:szCs w:val="20"/>
                <w:color w:val="auto"/>
              </w:rPr>
            </w:pPr>
            <w:r>
              <w:rPr>
                <w:rFonts w:ascii="Arial" w:cs="Arial" w:eastAsia="Arial" w:hAnsi="Arial"/>
                <w:sz w:val="18"/>
                <w:szCs w:val="18"/>
                <w:color w:val="auto"/>
              </w:rPr>
              <w:t>Repurchased shares under buyback program</w:t>
            </w:r>
          </w:p>
        </w:tc>
        <w:tc>
          <w:tcPr>
            <w:tcW w:w="840" w:type="dxa"/>
            <w:vAlign w:val="bottom"/>
          </w:tcPr>
          <w:p>
            <w:pPr>
              <w:jc w:val="right"/>
              <w:spacing w:after="0"/>
              <w:rPr>
                <w:sz w:val="20"/>
                <w:szCs w:val="20"/>
                <w:color w:val="auto"/>
              </w:rPr>
            </w:pPr>
            <w:r>
              <w:rPr>
                <w:rFonts w:ascii="Arial" w:cs="Arial" w:eastAsia="Arial" w:hAnsi="Arial"/>
                <w:sz w:val="18"/>
                <w:szCs w:val="18"/>
                <w:color w:val="auto"/>
              </w:rPr>
              <w:t>(2,369)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Repurchased units under buyback programs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4440" w:type="dxa"/>
            <w:vAlign w:val="bottom"/>
          </w:tcPr>
          <w:p>
            <w:pPr>
              <w:ind w:left="140"/>
              <w:spacing w:after="0"/>
              <w:rPr>
                <w:sz w:val="20"/>
                <w:szCs w:val="20"/>
                <w:color w:val="auto"/>
              </w:rPr>
            </w:pPr>
            <w:r>
              <w:rPr>
                <w:rFonts w:ascii="Arial" w:cs="Arial" w:eastAsia="Arial" w:hAnsi="Arial"/>
                <w:sz w:val="18"/>
                <w:szCs w:val="18"/>
                <w:color w:val="auto"/>
              </w:rPr>
              <w:t>Distributions to non-controlling interest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 paid</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175"/>
        </w:trPr>
        <w:tc>
          <w:tcPr>
            <w:tcW w:w="4440" w:type="dxa"/>
            <w:vAlign w:val="bottom"/>
          </w:tcPr>
          <w:p>
            <w:pPr>
              <w:ind w:left="140"/>
              <w:spacing w:after="0" w:line="176" w:lineRule="exact"/>
              <w:rPr>
                <w:sz w:val="20"/>
                <w:szCs w:val="20"/>
                <w:color w:val="auto"/>
              </w:rPr>
            </w:pPr>
            <w:r>
              <w:rPr>
                <w:rFonts w:ascii="Arial" w:cs="Arial" w:eastAsia="Arial" w:hAnsi="Arial"/>
                <w:sz w:val="18"/>
                <w:szCs w:val="18"/>
                <w:color w:val="auto"/>
                <w:w w:val="96"/>
              </w:rPr>
              <w:t>Exercise of stock options and vesting of restricted stock</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140"/>
              <w:spacing w:after="0"/>
              <w:rPr>
                <w:sz w:val="20"/>
                <w:szCs w:val="20"/>
                <w:color w:val="auto"/>
              </w:rPr>
            </w:pPr>
            <w:r>
              <w:rPr>
                <w:rFonts w:ascii="Arial" w:cs="Arial" w:eastAsia="Arial" w:hAnsi="Arial"/>
                <w:sz w:val="18"/>
                <w:szCs w:val="18"/>
                <w:color w:val="auto"/>
              </w:rPr>
              <w:t>units and awards</w:t>
            </w: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Change in ownership of consolidated subsidiaries, net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44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23"/>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June 30, 2022</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175,201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14,390</w:t>
            </w:r>
          </w:p>
        </w:tc>
        <w:tc>
          <w:tcPr>
            <w:tcW w:w="0" w:type="dxa"/>
            <w:vAlign w:val="bottom"/>
          </w:tcPr>
          <w:p>
            <w:pPr>
              <w:spacing w:after="0"/>
              <w:rPr>
                <w:sz w:val="1"/>
                <w:szCs w:val="1"/>
                <w:color w:val="auto"/>
              </w:rPr>
            </w:pPr>
          </w:p>
        </w:tc>
      </w:tr>
      <w:tr>
        <w:trPr>
          <w:trHeight w:val="230"/>
        </w:trPr>
        <w:tc>
          <w:tcPr>
            <w:tcW w:w="4440" w:type="dxa"/>
            <w:vAlign w:val="bottom"/>
          </w:tcPr>
          <w:p>
            <w:pPr>
              <w:ind w:left="140"/>
              <w:spacing w:after="0"/>
              <w:rPr>
                <w:sz w:val="20"/>
                <w:szCs w:val="20"/>
                <w:color w:val="auto"/>
              </w:rPr>
            </w:pPr>
            <w:r>
              <w:rPr>
                <w:rFonts w:ascii="Arial" w:cs="Arial" w:eastAsia="Arial" w:hAnsi="Arial"/>
                <w:sz w:val="18"/>
                <w:szCs w:val="18"/>
                <w:color w:val="auto"/>
              </w:rPr>
              <w:t>Unit-based compensation</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 equivalent rights payments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444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Repurchased shares under buyback program</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30"/>
        </w:trPr>
        <w:tc>
          <w:tcPr>
            <w:tcW w:w="4440" w:type="dxa"/>
            <w:vAlign w:val="bottom"/>
          </w:tcPr>
          <w:p>
            <w:pPr>
              <w:ind w:left="140"/>
              <w:spacing w:after="0"/>
              <w:rPr>
                <w:sz w:val="20"/>
                <w:szCs w:val="20"/>
                <w:color w:val="auto"/>
              </w:rPr>
            </w:pPr>
            <w:r>
              <w:rPr>
                <w:rFonts w:ascii="Arial" w:cs="Arial" w:eastAsia="Arial" w:hAnsi="Arial"/>
                <w:sz w:val="18"/>
                <w:szCs w:val="18"/>
                <w:color w:val="auto"/>
              </w:rPr>
              <w:t>Repurchased units under buyback programs</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shares issued for acquisition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40" w:type="dxa"/>
            <w:vAlign w:val="bottom"/>
          </w:tcPr>
          <w:p>
            <w:pPr>
              <w:ind w:left="140"/>
              <w:spacing w:after="0"/>
              <w:rPr>
                <w:sz w:val="20"/>
                <w:szCs w:val="20"/>
                <w:color w:val="auto"/>
              </w:rPr>
            </w:pPr>
            <w:r>
              <w:rPr>
                <w:rFonts w:ascii="Arial" w:cs="Arial" w:eastAsia="Arial" w:hAnsi="Arial"/>
                <w:sz w:val="18"/>
                <w:szCs w:val="18"/>
                <w:color w:val="auto"/>
              </w:rPr>
              <w:t>Distributions to non-controlling interest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 paid</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30"/>
        </w:trPr>
        <w:tc>
          <w:tcPr>
            <w:tcW w:w="4440" w:type="dxa"/>
            <w:vAlign w:val="bottom"/>
          </w:tcPr>
          <w:p>
            <w:pPr>
              <w:ind w:left="140"/>
              <w:spacing w:after="0"/>
              <w:rPr>
                <w:sz w:val="20"/>
                <w:szCs w:val="20"/>
                <w:color w:val="auto"/>
              </w:rPr>
            </w:pPr>
            <w:r>
              <w:rPr>
                <w:rFonts w:ascii="Arial" w:cs="Arial" w:eastAsia="Arial" w:hAnsi="Arial"/>
                <w:sz w:val="18"/>
                <w:szCs w:val="18"/>
                <w:color w:val="auto"/>
                <w:w w:val="99"/>
              </w:rPr>
              <w:t>Change in ownership of consolidated subsidiaries, net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Balance September 30, 2022</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175,631</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13,646</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14,558</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left="340" w:right="2740"/>
        <w:spacing w:after="0" w:line="262" w:lineRule="auto"/>
        <w:rPr>
          <w:sz w:val="20"/>
          <w:szCs w:val="20"/>
          <w:color w:val="auto"/>
        </w:rPr>
      </w:pPr>
      <w:r>
        <w:rPr>
          <w:rFonts w:ascii="Arial" w:cs="Arial" w:eastAsia="Arial" w:hAnsi="Arial"/>
          <w:sz w:val="18"/>
          <w:szCs w:val="18"/>
          <w:b w:val="1"/>
          <w:bCs w:val="1"/>
          <w:color w:val="auto"/>
        </w:rPr>
        <w:t>Diamondback Energy, Inc. and Subsidiaries Condensed Consolidated Statements of Stockholders’ Equity - (Continued) (Unaudited)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Retained</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460" w:type="dxa"/>
            <w:vAlign w:val="bottom"/>
          </w:tcPr>
          <w:p>
            <w:pPr>
              <w:spacing w:after="0"/>
              <w:rPr>
                <w:sz w:val="14"/>
                <w:szCs w:val="14"/>
                <w:color w:val="auto"/>
              </w:rPr>
            </w:pPr>
          </w:p>
        </w:tc>
        <w:tc>
          <w:tcPr>
            <w:tcW w:w="1760" w:type="dxa"/>
            <w:vAlign w:val="bottom"/>
            <w:gridSpan w:val="4"/>
            <w:vMerge w:val="restart"/>
          </w:tcPr>
          <w:p>
            <w:pPr>
              <w:jc w:val="right"/>
              <w:ind w:right="250"/>
              <w:spacing w:after="0"/>
              <w:rPr>
                <w:sz w:val="20"/>
                <w:szCs w:val="20"/>
                <w:color w:val="auto"/>
              </w:rPr>
            </w:pPr>
            <w:r>
              <w:rPr>
                <w:rFonts w:ascii="Arial" w:cs="Arial" w:eastAsia="Arial" w:hAnsi="Arial"/>
                <w:sz w:val="16"/>
                <w:szCs w:val="16"/>
                <w:b w:val="1"/>
                <w:bCs w:val="1"/>
                <w:color w:val="auto"/>
              </w:rPr>
              <w:t>Common Stock</w:t>
            </w:r>
          </w:p>
        </w:tc>
        <w:tc>
          <w:tcPr>
            <w:tcW w:w="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0"/>
              </w:rPr>
              <w:t>Earnings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460" w:type="dxa"/>
            <w:vAlign w:val="bottom"/>
          </w:tcPr>
          <w:p>
            <w:pPr>
              <w:spacing w:after="0"/>
              <w:rPr>
                <w:sz w:val="10"/>
                <w:szCs w:val="10"/>
                <w:color w:val="auto"/>
              </w:rPr>
            </w:pPr>
          </w:p>
        </w:tc>
        <w:tc>
          <w:tcPr>
            <w:tcW w:w="176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7"/>
              </w:rPr>
              <w:t>Paid-in</w:t>
            </w:r>
          </w:p>
        </w:tc>
        <w:tc>
          <w:tcPr>
            <w:tcW w:w="140" w:type="dxa"/>
            <w:vAlign w:val="bottom"/>
          </w:tcPr>
          <w:p>
            <w:pPr>
              <w:spacing w:after="0"/>
              <w:rPr>
                <w:sz w:val="10"/>
                <w:szCs w:val="10"/>
                <w:color w:val="auto"/>
              </w:rPr>
            </w:pPr>
          </w:p>
        </w:tc>
        <w:tc>
          <w:tcPr>
            <w:tcW w:w="1260" w:type="dxa"/>
            <w:vAlign w:val="bottom"/>
            <w:gridSpan w:val="2"/>
            <w:vMerge w:val="restart"/>
          </w:tcPr>
          <w:p>
            <w:pPr>
              <w:jc w:val="center"/>
              <w:ind w:right="240"/>
              <w:spacing w:after="0" w:line="162" w:lineRule="exact"/>
              <w:rPr>
                <w:sz w:val="20"/>
                <w:szCs w:val="20"/>
                <w:color w:val="auto"/>
              </w:rPr>
            </w:pPr>
            <w:r>
              <w:rPr>
                <w:rFonts w:ascii="Arial" w:cs="Arial" w:eastAsia="Arial" w:hAnsi="Arial"/>
                <w:sz w:val="16"/>
                <w:szCs w:val="16"/>
                <w:b w:val="1"/>
                <w:bCs w:val="1"/>
                <w:color w:val="auto"/>
                <w:w w:val="92"/>
              </w:rPr>
              <w:t>(Accumulated</w:t>
            </w:r>
          </w:p>
        </w:tc>
        <w:tc>
          <w:tcPr>
            <w:tcW w:w="1320" w:type="dxa"/>
            <w:vAlign w:val="bottom"/>
            <w:gridSpan w:val="3"/>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w w:val="93"/>
              </w:rPr>
              <w:t>Non-Controlling</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4460" w:type="dxa"/>
            <w:vAlign w:val="bottom"/>
          </w:tcPr>
          <w:p>
            <w:pPr>
              <w:spacing w:after="0"/>
              <w:rPr>
                <w:sz w:val="2"/>
                <w:szCs w:val="2"/>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2"/>
                <w:szCs w:val="2"/>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32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line="20" w:lineRule="exact"/>
              <w:rPr>
                <w:sz w:val="1"/>
                <w:szCs w:val="1"/>
                <w:color w:val="auto"/>
              </w:rPr>
            </w:pPr>
          </w:p>
        </w:tc>
      </w:tr>
      <w:tr>
        <w:trPr>
          <w:trHeight w:val="213"/>
        </w:trPr>
        <w:tc>
          <w:tcPr>
            <w:tcW w:w="4460" w:type="dxa"/>
            <w:vAlign w:val="bottom"/>
          </w:tcPr>
          <w:p>
            <w:pPr>
              <w:spacing w:after="0"/>
              <w:rPr>
                <w:sz w:val="18"/>
                <w:szCs w:val="18"/>
                <w:color w:val="auto"/>
              </w:rPr>
            </w:pPr>
          </w:p>
        </w:tc>
        <w:tc>
          <w:tcPr>
            <w:tcW w:w="92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7"/>
              </w:rPr>
              <w:t>Capital</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5"/>
              </w:rPr>
              <w:t>Deficit)</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w w:val="93"/>
              </w:rPr>
              <w:t>Interest</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80" w:type="dxa"/>
            <w:vAlign w:val="bottom"/>
            <w:gridSpan w:val="6"/>
          </w:tcPr>
          <w:p>
            <w:pPr>
              <w:jc w:val="right"/>
              <w:spacing w:after="0"/>
              <w:rPr>
                <w:sz w:val="20"/>
                <w:szCs w:val="20"/>
                <w:color w:val="auto"/>
              </w:rPr>
            </w:pPr>
            <w:r>
              <w:rPr>
                <w:rFonts w:ascii="Arial" w:cs="Arial" w:eastAsia="Arial" w:hAnsi="Arial"/>
                <w:sz w:val="16"/>
                <w:szCs w:val="16"/>
                <w:b w:val="1"/>
                <w:bCs w:val="1"/>
                <w:color w:val="auto"/>
                <w:w w:val="96"/>
              </w:rPr>
              <w:t>($ in millions, shares in thousands)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2020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158,088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9,804</w:t>
            </w:r>
          </w:p>
        </w:tc>
        <w:tc>
          <w:tcPr>
            <w:tcW w:w="0" w:type="dxa"/>
            <w:vAlign w:val="bottom"/>
          </w:tcPr>
          <w:p>
            <w:pPr>
              <w:spacing w:after="0"/>
              <w:rPr>
                <w:sz w:val="1"/>
                <w:szCs w:val="1"/>
                <w:color w:val="auto"/>
              </w:rPr>
            </w:pPr>
          </w:p>
        </w:tc>
      </w:tr>
      <w:tr>
        <w:trPr>
          <w:trHeight w:val="229"/>
        </w:trPr>
        <w:tc>
          <w:tcPr>
            <w:tcW w:w="4460" w:type="dxa"/>
            <w:vAlign w:val="bottom"/>
          </w:tcPr>
          <w:p>
            <w:pPr>
              <w:ind w:left="140"/>
              <w:spacing w:after="0"/>
              <w:rPr>
                <w:sz w:val="20"/>
                <w:szCs w:val="20"/>
                <w:color w:val="auto"/>
              </w:rPr>
            </w:pPr>
            <w:r>
              <w:rPr>
                <w:rFonts w:ascii="Arial" w:cs="Arial" w:eastAsia="Arial" w:hAnsi="Arial"/>
                <w:sz w:val="18"/>
                <w:szCs w:val="18"/>
                <w:color w:val="auto"/>
              </w:rPr>
              <w:t>Unit-based compensation</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 equivalent rights payments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460" w:type="dxa"/>
            <w:vAlign w:val="bottom"/>
          </w:tcPr>
          <w:p>
            <w:pPr>
              <w:ind w:left="140"/>
              <w:spacing w:after="0"/>
              <w:rPr>
                <w:sz w:val="20"/>
                <w:szCs w:val="20"/>
                <w:color w:val="auto"/>
              </w:rPr>
            </w:pPr>
            <w:r>
              <w:rPr>
                <w:rFonts w:ascii="Arial" w:cs="Arial" w:eastAsia="Arial" w:hAnsi="Arial"/>
                <w:sz w:val="18"/>
                <w:szCs w:val="18"/>
                <w:color w:val="auto"/>
              </w:rPr>
              <w:t>Common units issued for acquisitions</w:t>
            </w:r>
          </w:p>
        </w:tc>
        <w:tc>
          <w:tcPr>
            <w:tcW w:w="840" w:type="dxa"/>
            <w:vAlign w:val="bottom"/>
          </w:tcPr>
          <w:p>
            <w:pPr>
              <w:jc w:val="right"/>
              <w:spacing w:after="0"/>
              <w:rPr>
                <w:sz w:val="20"/>
                <w:szCs w:val="20"/>
                <w:color w:val="auto"/>
              </w:rPr>
            </w:pPr>
            <w:r>
              <w:rPr>
                <w:rFonts w:ascii="Arial" w:cs="Arial" w:eastAsia="Arial" w:hAnsi="Arial"/>
                <w:sz w:val="18"/>
                <w:szCs w:val="18"/>
                <w:color w:val="auto"/>
              </w:rPr>
              <w:t>22,795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1,727</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4460" w:type="dxa"/>
            <w:vAlign w:val="bottom"/>
          </w:tcPr>
          <w:p>
            <w:pPr>
              <w:ind w:left="140"/>
              <w:spacing w:after="0"/>
              <w:rPr>
                <w:sz w:val="20"/>
                <w:szCs w:val="20"/>
                <w:color w:val="auto"/>
              </w:rPr>
            </w:pPr>
            <w:r>
              <w:rPr>
                <w:rFonts w:ascii="Arial" w:cs="Arial" w:eastAsia="Arial" w:hAnsi="Arial"/>
                <w:sz w:val="18"/>
                <w:szCs w:val="18"/>
                <w:color w:val="auto"/>
                <w:w w:val="99"/>
              </w:rPr>
              <w:t>Cash paid for tax withholding on vested equity awards</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Repurchased units under buyback programs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4460" w:type="dxa"/>
            <w:vAlign w:val="bottom"/>
          </w:tcPr>
          <w:p>
            <w:pPr>
              <w:ind w:left="140"/>
              <w:spacing w:after="0"/>
              <w:rPr>
                <w:sz w:val="20"/>
                <w:szCs w:val="20"/>
                <w:color w:val="auto"/>
              </w:rPr>
            </w:pPr>
            <w:r>
              <w:rPr>
                <w:rFonts w:ascii="Arial" w:cs="Arial" w:eastAsia="Arial" w:hAnsi="Arial"/>
                <w:sz w:val="18"/>
                <w:szCs w:val="18"/>
                <w:color w:val="auto"/>
              </w:rPr>
              <w:t>Distributions to non-controlling interest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 paid</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76"/>
        </w:trPr>
        <w:tc>
          <w:tcPr>
            <w:tcW w:w="4460" w:type="dxa"/>
            <w:vAlign w:val="bottom"/>
          </w:tcPr>
          <w:p>
            <w:pPr>
              <w:ind w:left="140"/>
              <w:spacing w:after="0" w:line="176" w:lineRule="exact"/>
              <w:rPr>
                <w:sz w:val="20"/>
                <w:szCs w:val="20"/>
                <w:color w:val="auto"/>
              </w:rPr>
            </w:pPr>
            <w:r>
              <w:rPr>
                <w:rFonts w:ascii="Arial" w:cs="Arial" w:eastAsia="Arial" w:hAnsi="Arial"/>
                <w:sz w:val="18"/>
                <w:szCs w:val="18"/>
                <w:color w:val="auto"/>
                <w:w w:val="94"/>
              </w:rPr>
              <w:t>Exercise of stock options and issuance of restricted stock</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140"/>
              <w:spacing w:after="0"/>
              <w:rPr>
                <w:sz w:val="20"/>
                <w:szCs w:val="20"/>
                <w:color w:val="auto"/>
              </w:rPr>
            </w:pPr>
            <w:r>
              <w:rPr>
                <w:rFonts w:ascii="Arial" w:cs="Arial" w:eastAsia="Arial" w:hAnsi="Arial"/>
                <w:sz w:val="18"/>
                <w:szCs w:val="18"/>
                <w:color w:val="auto"/>
              </w:rPr>
              <w:t>units and awards</w:t>
            </w:r>
          </w:p>
        </w:tc>
        <w:tc>
          <w:tcPr>
            <w:tcW w:w="840" w:type="dxa"/>
            <w:vAlign w:val="bottom"/>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Change in ownership of consolidated subsidiaries, net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6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3"/>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March 31, 2021</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180,984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11,652</w:t>
            </w:r>
          </w:p>
        </w:tc>
        <w:tc>
          <w:tcPr>
            <w:tcW w:w="0" w:type="dxa"/>
            <w:vAlign w:val="bottom"/>
          </w:tcPr>
          <w:p>
            <w:pPr>
              <w:spacing w:after="0"/>
              <w:rPr>
                <w:sz w:val="1"/>
                <w:szCs w:val="1"/>
                <w:color w:val="auto"/>
              </w:rPr>
            </w:pPr>
          </w:p>
        </w:tc>
      </w:tr>
      <w:tr>
        <w:trPr>
          <w:trHeight w:val="230"/>
        </w:trPr>
        <w:tc>
          <w:tcPr>
            <w:tcW w:w="4460" w:type="dxa"/>
            <w:vAlign w:val="bottom"/>
          </w:tcPr>
          <w:p>
            <w:pPr>
              <w:ind w:left="140"/>
              <w:spacing w:after="0"/>
              <w:rPr>
                <w:sz w:val="20"/>
                <w:szCs w:val="20"/>
                <w:color w:val="auto"/>
              </w:rPr>
            </w:pPr>
            <w:r>
              <w:rPr>
                <w:rFonts w:ascii="Arial" w:cs="Arial" w:eastAsia="Arial" w:hAnsi="Arial"/>
                <w:sz w:val="18"/>
                <w:szCs w:val="18"/>
                <w:color w:val="auto"/>
              </w:rPr>
              <w:t>Unit-based compensation</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 equivalent rights payments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46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Cash paid for tax withholding on vested equity awards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460" w:type="dxa"/>
            <w:vAlign w:val="bottom"/>
          </w:tcPr>
          <w:p>
            <w:pPr>
              <w:ind w:left="140"/>
              <w:spacing w:after="0"/>
              <w:rPr>
                <w:sz w:val="20"/>
                <w:szCs w:val="20"/>
                <w:color w:val="auto"/>
              </w:rPr>
            </w:pPr>
            <w:r>
              <w:rPr>
                <w:rFonts w:ascii="Arial" w:cs="Arial" w:eastAsia="Arial" w:hAnsi="Arial"/>
                <w:sz w:val="18"/>
                <w:szCs w:val="18"/>
                <w:color w:val="auto"/>
              </w:rPr>
              <w:t>Repurchased units under buyback programs</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Distributions to non-controlling interest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4460" w:type="dxa"/>
            <w:vAlign w:val="bottom"/>
          </w:tcPr>
          <w:p>
            <w:pPr>
              <w:ind w:left="140"/>
              <w:spacing w:after="0"/>
              <w:rPr>
                <w:sz w:val="20"/>
                <w:szCs w:val="20"/>
                <w:color w:val="auto"/>
              </w:rPr>
            </w:pPr>
            <w:r>
              <w:rPr>
                <w:rFonts w:ascii="Arial" w:cs="Arial" w:eastAsia="Arial" w:hAnsi="Arial"/>
                <w:sz w:val="18"/>
                <w:szCs w:val="18"/>
                <w:color w:val="auto"/>
              </w:rPr>
              <w:t>Dividend paid</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75"/>
        </w:trPr>
        <w:tc>
          <w:tcPr>
            <w:tcW w:w="44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7"/>
              </w:rPr>
              <w:t>Exercise of stock options and vesting of restricted stock</w:t>
            </w: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units and awards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460" w:type="dxa"/>
            <w:vAlign w:val="bottom"/>
          </w:tcPr>
          <w:p>
            <w:pPr>
              <w:ind w:left="140"/>
              <w:spacing w:after="0"/>
              <w:rPr>
                <w:sz w:val="20"/>
                <w:szCs w:val="20"/>
                <w:color w:val="auto"/>
              </w:rPr>
            </w:pPr>
            <w:r>
              <w:rPr>
                <w:rFonts w:ascii="Arial" w:cs="Arial" w:eastAsia="Arial" w:hAnsi="Arial"/>
                <w:sz w:val="18"/>
                <w:szCs w:val="18"/>
                <w:color w:val="auto"/>
                <w:w w:val="99"/>
              </w:rPr>
              <w:t>Change in ownership of consolidated subsidiaries, net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Arial" w:cs="Arial" w:eastAsia="Arial" w:hAnsi="Arial"/>
                <w:sz w:val="16"/>
                <w:szCs w:val="16"/>
                <w:b w:val="1"/>
                <w:bCs w:val="1"/>
                <w:color w:val="auto"/>
              </w:rPr>
              <w:t>Balance June 30, 2021</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181,049</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14,399</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(3,475)</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11,890</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Unit-based compensation</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460" w:type="dxa"/>
            <w:vAlign w:val="bottom"/>
          </w:tcPr>
          <w:p>
            <w:pPr>
              <w:ind w:left="140"/>
              <w:spacing w:after="0"/>
              <w:rPr>
                <w:sz w:val="20"/>
                <w:szCs w:val="20"/>
                <w:color w:val="auto"/>
              </w:rPr>
            </w:pPr>
            <w:r>
              <w:rPr>
                <w:rFonts w:ascii="Arial" w:cs="Arial" w:eastAsia="Arial" w:hAnsi="Arial"/>
                <w:sz w:val="18"/>
                <w:szCs w:val="18"/>
                <w:color w:val="auto"/>
              </w:rPr>
              <w:t>Distribution equivalent rights payments</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4460" w:type="dxa"/>
            <w:vAlign w:val="bottom"/>
          </w:tcPr>
          <w:p>
            <w:pPr>
              <w:ind w:left="140"/>
              <w:spacing w:after="0"/>
              <w:rPr>
                <w:sz w:val="20"/>
                <w:szCs w:val="20"/>
                <w:color w:val="auto"/>
              </w:rPr>
            </w:pPr>
            <w:r>
              <w:rPr>
                <w:rFonts w:ascii="Arial" w:cs="Arial" w:eastAsia="Arial" w:hAnsi="Arial"/>
                <w:sz w:val="18"/>
                <w:szCs w:val="18"/>
                <w:color w:val="auto"/>
              </w:rPr>
              <w:t>Repurchased shares under buyback program</w:t>
            </w:r>
          </w:p>
        </w:tc>
        <w:tc>
          <w:tcPr>
            <w:tcW w:w="840" w:type="dxa"/>
            <w:vAlign w:val="bottom"/>
          </w:tcPr>
          <w:p>
            <w:pPr>
              <w:jc w:val="right"/>
              <w:spacing w:after="0"/>
              <w:rPr>
                <w:sz w:val="20"/>
                <w:szCs w:val="20"/>
                <w:color w:val="auto"/>
              </w:rPr>
            </w:pPr>
            <w:r>
              <w:rPr>
                <w:rFonts w:ascii="Arial" w:cs="Arial" w:eastAsia="Arial" w:hAnsi="Arial"/>
                <w:sz w:val="18"/>
                <w:szCs w:val="18"/>
                <w:color w:val="auto"/>
              </w:rPr>
              <w:t>(268)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Repurchased units under buyback programs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4460" w:type="dxa"/>
            <w:vAlign w:val="bottom"/>
          </w:tcPr>
          <w:p>
            <w:pPr>
              <w:ind w:left="140"/>
              <w:spacing w:after="0"/>
              <w:rPr>
                <w:sz w:val="20"/>
                <w:szCs w:val="20"/>
                <w:color w:val="auto"/>
              </w:rPr>
            </w:pPr>
            <w:r>
              <w:rPr>
                <w:rFonts w:ascii="Arial" w:cs="Arial" w:eastAsia="Arial" w:hAnsi="Arial"/>
                <w:sz w:val="18"/>
                <w:szCs w:val="18"/>
                <w:color w:val="auto"/>
              </w:rPr>
              <w:t>Distributions to non-controlling interest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 paid</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76"/>
        </w:trPr>
        <w:tc>
          <w:tcPr>
            <w:tcW w:w="4460" w:type="dxa"/>
            <w:vAlign w:val="bottom"/>
          </w:tcPr>
          <w:p>
            <w:pPr>
              <w:ind w:left="140"/>
              <w:spacing w:after="0" w:line="176" w:lineRule="exact"/>
              <w:rPr>
                <w:sz w:val="20"/>
                <w:szCs w:val="20"/>
                <w:color w:val="auto"/>
              </w:rPr>
            </w:pPr>
            <w:r>
              <w:rPr>
                <w:rFonts w:ascii="Arial" w:cs="Arial" w:eastAsia="Arial" w:hAnsi="Arial"/>
                <w:sz w:val="18"/>
                <w:szCs w:val="18"/>
                <w:color w:val="auto"/>
                <w:w w:val="97"/>
              </w:rPr>
              <w:t>Exercise of stock options and vesting of restricted stock</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140"/>
              <w:spacing w:after="0"/>
              <w:rPr>
                <w:sz w:val="20"/>
                <w:szCs w:val="20"/>
                <w:color w:val="auto"/>
              </w:rPr>
            </w:pPr>
            <w:r>
              <w:rPr>
                <w:rFonts w:ascii="Arial" w:cs="Arial" w:eastAsia="Arial" w:hAnsi="Arial"/>
                <w:sz w:val="18"/>
                <w:szCs w:val="18"/>
                <w:color w:val="auto"/>
              </w:rPr>
              <w:t>units and awards</w:t>
            </w: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Change in ownership of consolidated subsidiaries, net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6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48"/>
        </w:trPr>
        <w:tc>
          <w:tcPr>
            <w:tcW w:w="4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September 30, 2021</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180,791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12,422</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00" w:type="dxa"/>
            <w:vAlign w:val="bottom"/>
          </w:tcPr>
          <w:p>
            <w:pPr>
              <w:spacing w:after="0"/>
              <w:rPr>
                <w:sz w:val="18"/>
                <w:szCs w:val="18"/>
                <w:color w:val="auto"/>
              </w:rPr>
            </w:pPr>
          </w:p>
        </w:tc>
        <w:tc>
          <w:tcPr>
            <w:tcW w:w="3340" w:type="dxa"/>
            <w:vAlign w:val="bottom"/>
            <w:tcBorders>
              <w:bottom w:val="single" w:sz="8" w:color="auto"/>
            </w:tcBorders>
            <w:gridSpan w:val="5"/>
          </w:tcPr>
          <w:p>
            <w:pPr>
              <w:jc w:val="right"/>
              <w:ind w:right="375"/>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79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55"/>
              <w:spacing w:after="0"/>
              <w:rPr>
                <w:sz w:val="20"/>
                <w:szCs w:val="20"/>
                <w:color w:val="auto"/>
              </w:rPr>
            </w:pPr>
            <w:r>
              <w:rPr>
                <w:rFonts w:ascii="Arial" w:cs="Arial" w:eastAsia="Arial" w:hAnsi="Arial"/>
                <w:sz w:val="16"/>
                <w:szCs w:val="16"/>
                <w:b w:val="1"/>
                <w:bCs w:val="1"/>
                <w:color w:val="auto"/>
              </w:rPr>
              <w:t>2021</w:t>
            </w:r>
          </w:p>
        </w:tc>
      </w:tr>
      <w:tr>
        <w:trPr>
          <w:trHeight w:val="209"/>
        </w:trPr>
        <w:tc>
          <w:tcPr>
            <w:tcW w:w="7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0" w:type="dxa"/>
            <w:vAlign w:val="bottom"/>
            <w:gridSpan w:val="3"/>
          </w:tcPr>
          <w:p>
            <w:pPr>
              <w:jc w:val="right"/>
              <w:ind w:right="55"/>
              <w:spacing w:after="0"/>
              <w:rPr>
                <w:sz w:val="20"/>
                <w:szCs w:val="20"/>
                <w:color w:val="auto"/>
              </w:rPr>
            </w:pPr>
            <w:r>
              <w:rPr>
                <w:rFonts w:ascii="Arial" w:cs="Arial" w:eastAsia="Arial" w:hAnsi="Arial"/>
                <w:sz w:val="16"/>
                <w:szCs w:val="16"/>
                <w:b w:val="1"/>
                <w:bCs w:val="1"/>
                <w:color w:val="auto"/>
              </w:rPr>
              <w:t>(In millions)</w:t>
            </w:r>
          </w:p>
        </w:tc>
        <w:tc>
          <w:tcPr>
            <w:tcW w:w="1100" w:type="dxa"/>
            <w:vAlign w:val="bottom"/>
          </w:tcPr>
          <w:p>
            <w:pPr>
              <w:spacing w:after="0"/>
              <w:rPr>
                <w:sz w:val="18"/>
                <w:szCs w:val="18"/>
                <w:color w:val="auto"/>
              </w:rPr>
            </w:pPr>
          </w:p>
        </w:tc>
      </w:tr>
      <w:tr>
        <w:trPr>
          <w:trHeight w:val="232"/>
        </w:trPr>
        <w:tc>
          <w:tcPr>
            <w:tcW w:w="7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10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3"/>
        </w:trPr>
        <w:tc>
          <w:tcPr>
            <w:tcW w:w="7900" w:type="dxa"/>
            <w:vAlign w:val="bottom"/>
          </w:tcPr>
          <w:p>
            <w:pPr>
              <w:ind w:left="360"/>
              <w:spacing w:after="0"/>
              <w:rPr>
                <w:sz w:val="20"/>
                <w:szCs w:val="20"/>
                <w:color w:val="auto"/>
              </w:rPr>
            </w:pPr>
            <w:r>
              <w:rPr>
                <w:rFonts w:ascii="Arial" w:cs="Arial" w:eastAsia="Arial" w:hAnsi="Arial"/>
                <w:sz w:val="17"/>
                <w:szCs w:val="17"/>
                <w:color w:val="auto"/>
              </w:rPr>
              <w:t>Net income (loss)</w:t>
            </w:r>
          </w:p>
        </w:tc>
        <w:tc>
          <w:tcPr>
            <w:tcW w:w="1040" w:type="dxa"/>
            <w:vAlign w:val="bottom"/>
          </w:tcPr>
          <w:p>
            <w:pPr>
              <w:jc w:val="right"/>
              <w:ind w:right="857"/>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3,534</w:t>
            </w:r>
          </w:p>
        </w:tc>
        <w:tc>
          <w:tcPr>
            <w:tcW w:w="100" w:type="dxa"/>
            <w:vAlign w:val="bottom"/>
          </w:tcPr>
          <w:p>
            <w:pPr>
              <w:spacing w:after="0"/>
              <w:rPr>
                <w:sz w:val="19"/>
                <w:szCs w:val="19"/>
                <w:color w:val="auto"/>
              </w:rPr>
            </w:pPr>
          </w:p>
        </w:tc>
        <w:tc>
          <w:tcPr>
            <w:tcW w:w="520" w:type="dxa"/>
            <w:vAlign w:val="bottom"/>
          </w:tcPr>
          <w:p>
            <w:pPr>
              <w:jc w:val="right"/>
              <w:ind w:right="335"/>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1,225</w:t>
            </w:r>
          </w:p>
        </w:tc>
      </w:tr>
      <w:tr>
        <w:trPr>
          <w:trHeight w:val="236"/>
        </w:trPr>
        <w:tc>
          <w:tcPr>
            <w:tcW w:w="79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Adjustments to reconcile net income (loss) to net cash provided by (used in) operating activities:</w:t>
            </w:r>
          </w:p>
        </w:tc>
        <w:tc>
          <w:tcPr>
            <w:tcW w:w="10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3"/>
        </w:trPr>
        <w:tc>
          <w:tcPr>
            <w:tcW w:w="7900" w:type="dxa"/>
            <w:vAlign w:val="bottom"/>
          </w:tcPr>
          <w:p>
            <w:pPr>
              <w:ind w:left="680"/>
              <w:spacing w:after="0"/>
              <w:rPr>
                <w:sz w:val="20"/>
                <w:szCs w:val="20"/>
                <w:color w:val="auto"/>
              </w:rPr>
            </w:pPr>
            <w:r>
              <w:rPr>
                <w:rFonts w:ascii="Arial" w:cs="Arial" w:eastAsia="Arial" w:hAnsi="Arial"/>
                <w:sz w:val="17"/>
                <w:szCs w:val="17"/>
                <w:color w:val="auto"/>
              </w:rPr>
              <w:t>Provision for (benefit from) deferred income taxes</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375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348</w:t>
            </w:r>
          </w:p>
        </w:tc>
      </w:tr>
      <w:tr>
        <w:trPr>
          <w:trHeight w:val="236"/>
        </w:trPr>
        <w:tc>
          <w:tcPr>
            <w:tcW w:w="79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Depreciation, depletion, amortization and accretion</w:t>
            </w:r>
          </w:p>
        </w:tc>
        <w:tc>
          <w:tcPr>
            <w:tcW w:w="10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979</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955</w:t>
            </w:r>
          </w:p>
        </w:tc>
      </w:tr>
      <w:tr>
        <w:trPr>
          <w:trHeight w:val="223"/>
        </w:trPr>
        <w:tc>
          <w:tcPr>
            <w:tcW w:w="7900" w:type="dxa"/>
            <w:vAlign w:val="bottom"/>
          </w:tcPr>
          <w:p>
            <w:pPr>
              <w:ind w:left="680"/>
              <w:spacing w:after="0"/>
              <w:rPr>
                <w:sz w:val="20"/>
                <w:szCs w:val="20"/>
                <w:color w:val="auto"/>
              </w:rPr>
            </w:pPr>
            <w:r>
              <w:rPr>
                <w:rFonts w:ascii="Arial" w:cs="Arial" w:eastAsia="Arial" w:hAnsi="Arial"/>
                <w:sz w:val="17"/>
                <w:szCs w:val="17"/>
                <w:color w:val="auto"/>
              </w:rPr>
              <w:t>(Gain) loss on extinguishment of debt</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236"/>
        </w:trPr>
        <w:tc>
          <w:tcPr>
            <w:tcW w:w="79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(Gain) loss on derivative instruments, net</w:t>
            </w:r>
          </w:p>
        </w:tc>
        <w:tc>
          <w:tcPr>
            <w:tcW w:w="10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677</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895</w:t>
            </w:r>
          </w:p>
        </w:tc>
      </w:tr>
      <w:tr>
        <w:trPr>
          <w:trHeight w:val="223"/>
        </w:trPr>
        <w:tc>
          <w:tcPr>
            <w:tcW w:w="7900" w:type="dxa"/>
            <w:vAlign w:val="bottom"/>
          </w:tcPr>
          <w:p>
            <w:pPr>
              <w:ind w:left="680"/>
              <w:spacing w:after="0"/>
              <w:rPr>
                <w:sz w:val="20"/>
                <w:szCs w:val="20"/>
                <w:color w:val="auto"/>
              </w:rPr>
            </w:pPr>
            <w:r>
              <w:rPr>
                <w:rFonts w:ascii="Arial" w:cs="Arial" w:eastAsia="Arial" w:hAnsi="Arial"/>
                <w:sz w:val="17"/>
                <w:szCs w:val="17"/>
                <w:color w:val="auto"/>
              </w:rPr>
              <w:t>Cash received (paid) on settlement of derivative instruments</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(816)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(847)</w:t>
            </w:r>
          </w:p>
        </w:tc>
      </w:tr>
      <w:tr>
        <w:trPr>
          <w:trHeight w:val="236"/>
        </w:trPr>
        <w:tc>
          <w:tcPr>
            <w:tcW w:w="79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(Income) loss from equity investment</w:t>
            </w:r>
          </w:p>
        </w:tc>
        <w:tc>
          <w:tcPr>
            <w:tcW w:w="10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23"/>
        </w:trPr>
        <w:tc>
          <w:tcPr>
            <w:tcW w:w="7900" w:type="dxa"/>
            <w:vAlign w:val="bottom"/>
          </w:tcPr>
          <w:p>
            <w:pPr>
              <w:ind w:left="680"/>
              <w:spacing w:after="0"/>
              <w:rPr>
                <w:sz w:val="20"/>
                <w:szCs w:val="20"/>
                <w:color w:val="auto"/>
              </w:rPr>
            </w:pPr>
            <w:r>
              <w:rPr>
                <w:rFonts w:ascii="Arial" w:cs="Arial" w:eastAsia="Arial" w:hAnsi="Arial"/>
                <w:sz w:val="17"/>
                <w:szCs w:val="17"/>
                <w:color w:val="auto"/>
              </w:rPr>
              <w:t>Equity-based compensation expense</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36"/>
        </w:trPr>
        <w:tc>
          <w:tcPr>
            <w:tcW w:w="79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(Gain) loss on sale of equity method investments</w:t>
            </w:r>
          </w:p>
        </w:tc>
        <w:tc>
          <w:tcPr>
            <w:tcW w:w="10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r>
      <w:tr>
        <w:trPr>
          <w:trHeight w:val="223"/>
        </w:trPr>
        <w:tc>
          <w:tcPr>
            <w:tcW w:w="7900" w:type="dxa"/>
            <w:vAlign w:val="bottom"/>
          </w:tcPr>
          <w:p>
            <w:pPr>
              <w:ind w:left="680"/>
              <w:spacing w:after="0"/>
              <w:rPr>
                <w:sz w:val="20"/>
                <w:szCs w:val="20"/>
                <w:color w:val="auto"/>
              </w:rPr>
            </w:pPr>
            <w:r>
              <w:rPr>
                <w:rFonts w:ascii="Arial" w:cs="Arial" w:eastAsia="Arial" w:hAnsi="Arial"/>
                <w:sz w:val="17"/>
                <w:szCs w:val="17"/>
                <w:color w:val="auto"/>
              </w:rPr>
              <w:t>Other</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36"/>
        </w:trPr>
        <w:tc>
          <w:tcPr>
            <w:tcW w:w="79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Changes in operating assets and liabilities:</w:t>
            </w:r>
          </w:p>
        </w:tc>
        <w:tc>
          <w:tcPr>
            <w:tcW w:w="10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3"/>
        </w:trPr>
        <w:tc>
          <w:tcPr>
            <w:tcW w:w="7900" w:type="dxa"/>
            <w:vAlign w:val="bottom"/>
          </w:tcPr>
          <w:p>
            <w:pPr>
              <w:ind w:left="680"/>
              <w:spacing w:after="0"/>
              <w:rPr>
                <w:sz w:val="20"/>
                <w:szCs w:val="20"/>
                <w:color w:val="auto"/>
              </w:rPr>
            </w:pPr>
            <w:r>
              <w:rPr>
                <w:rFonts w:ascii="Arial" w:cs="Arial" w:eastAsia="Arial" w:hAnsi="Arial"/>
                <w:sz w:val="17"/>
                <w:szCs w:val="17"/>
                <w:color w:val="auto"/>
              </w:rPr>
              <w:t>Accounts receivable</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(113)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(307)</w:t>
            </w:r>
          </w:p>
        </w:tc>
      </w:tr>
      <w:tr>
        <w:trPr>
          <w:trHeight w:val="236"/>
        </w:trPr>
        <w:tc>
          <w:tcPr>
            <w:tcW w:w="79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Income tax receivable</w:t>
            </w:r>
          </w:p>
        </w:tc>
        <w:tc>
          <w:tcPr>
            <w:tcW w:w="10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w:t>
            </w:r>
          </w:p>
        </w:tc>
      </w:tr>
      <w:tr>
        <w:trPr>
          <w:trHeight w:val="223"/>
        </w:trPr>
        <w:tc>
          <w:tcPr>
            <w:tcW w:w="7900" w:type="dxa"/>
            <w:vAlign w:val="bottom"/>
          </w:tcPr>
          <w:p>
            <w:pPr>
              <w:ind w:left="680"/>
              <w:spacing w:after="0"/>
              <w:rPr>
                <w:sz w:val="20"/>
                <w:szCs w:val="20"/>
                <w:color w:val="auto"/>
              </w:rPr>
            </w:pPr>
            <w:r>
              <w:rPr>
                <w:rFonts w:ascii="Arial" w:cs="Arial" w:eastAsia="Arial" w:hAnsi="Arial"/>
                <w:sz w:val="17"/>
                <w:szCs w:val="17"/>
                <w:color w:val="auto"/>
              </w:rPr>
              <w:t>Prepaid expenses and other</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36"/>
        </w:trPr>
        <w:tc>
          <w:tcPr>
            <w:tcW w:w="79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Accounts payable and accrued liabilities</w:t>
            </w:r>
          </w:p>
        </w:tc>
        <w:tc>
          <w:tcPr>
            <w:tcW w:w="10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r>
      <w:tr>
        <w:trPr>
          <w:trHeight w:val="223"/>
        </w:trPr>
        <w:tc>
          <w:tcPr>
            <w:tcW w:w="7900" w:type="dxa"/>
            <w:vAlign w:val="bottom"/>
          </w:tcPr>
          <w:p>
            <w:pPr>
              <w:ind w:left="680"/>
              <w:spacing w:after="0"/>
              <w:rPr>
                <w:sz w:val="20"/>
                <w:szCs w:val="20"/>
                <w:color w:val="auto"/>
              </w:rPr>
            </w:pPr>
            <w:r>
              <w:rPr>
                <w:rFonts w:ascii="Arial" w:cs="Arial" w:eastAsia="Arial" w:hAnsi="Arial"/>
                <w:sz w:val="17"/>
                <w:szCs w:val="17"/>
                <w:color w:val="auto"/>
              </w:rPr>
              <w:t>Income tax payable</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6"/>
        </w:trPr>
        <w:tc>
          <w:tcPr>
            <w:tcW w:w="79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Revenues and royalties payable</w:t>
            </w:r>
          </w:p>
        </w:tc>
        <w:tc>
          <w:tcPr>
            <w:tcW w:w="10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w:t>
            </w:r>
          </w:p>
        </w:tc>
      </w:tr>
      <w:tr>
        <w:trPr>
          <w:trHeight w:val="223"/>
        </w:trPr>
        <w:tc>
          <w:tcPr>
            <w:tcW w:w="7900" w:type="dxa"/>
            <w:vAlign w:val="bottom"/>
            <w:tcBorders>
              <w:bottom w:val="single" w:sz="8" w:color="CCEEFF"/>
            </w:tcBorders>
          </w:tcPr>
          <w:p>
            <w:pPr>
              <w:ind w:left="680"/>
              <w:spacing w:after="0"/>
              <w:rPr>
                <w:sz w:val="20"/>
                <w:szCs w:val="20"/>
                <w:color w:val="auto"/>
              </w:rPr>
            </w:pPr>
            <w:r>
              <w:rPr>
                <w:rFonts w:ascii="Arial" w:cs="Arial" w:eastAsia="Arial" w:hAnsi="Arial"/>
                <w:sz w:val="17"/>
                <w:szCs w:val="17"/>
                <w:color w:val="auto"/>
              </w:rPr>
              <w:t>Other</w:t>
            </w: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r>
      <w:tr>
        <w:trPr>
          <w:trHeight w:val="230"/>
        </w:trPr>
        <w:tc>
          <w:tcPr>
            <w:tcW w:w="7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operating activities</w:t>
            </w:r>
          </w:p>
        </w:tc>
        <w:tc>
          <w:tcPr>
            <w:tcW w:w="10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4,884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2,777</w:t>
            </w:r>
          </w:p>
        </w:tc>
      </w:tr>
      <w:tr>
        <w:trPr>
          <w:trHeight w:val="203"/>
        </w:trPr>
        <w:tc>
          <w:tcPr>
            <w:tcW w:w="7900" w:type="dxa"/>
            <w:vAlign w:val="bottom"/>
          </w:tcPr>
          <w:p>
            <w:pPr>
              <w:ind w:left="20"/>
              <w:spacing w:after="0"/>
              <w:rPr>
                <w:sz w:val="20"/>
                <w:szCs w:val="20"/>
                <w:color w:val="auto"/>
              </w:rPr>
            </w:pPr>
            <w:r>
              <w:rPr>
                <w:rFonts w:ascii="Arial" w:cs="Arial" w:eastAsia="Arial" w:hAnsi="Arial"/>
                <w:sz w:val="17"/>
                <w:szCs w:val="17"/>
                <w:color w:val="auto"/>
              </w:rPr>
              <w:t>Cash flows from investing activities:</w:t>
            </w: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79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Drilling, completions and infrastructure additions to oil and natural gas properties</w:t>
            </w:r>
          </w:p>
        </w:tc>
        <w:tc>
          <w:tcPr>
            <w:tcW w:w="10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(1,327)</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(1,030)</w:t>
            </w:r>
          </w:p>
        </w:tc>
      </w:tr>
      <w:tr>
        <w:trPr>
          <w:trHeight w:val="223"/>
        </w:trPr>
        <w:tc>
          <w:tcPr>
            <w:tcW w:w="7900" w:type="dxa"/>
            <w:vAlign w:val="bottom"/>
          </w:tcPr>
          <w:p>
            <w:pPr>
              <w:ind w:left="360"/>
              <w:spacing w:after="0"/>
              <w:rPr>
                <w:sz w:val="20"/>
                <w:szCs w:val="20"/>
                <w:color w:val="auto"/>
              </w:rPr>
            </w:pPr>
            <w:r>
              <w:rPr>
                <w:rFonts w:ascii="Arial" w:cs="Arial" w:eastAsia="Arial" w:hAnsi="Arial"/>
                <w:sz w:val="17"/>
                <w:szCs w:val="17"/>
                <w:color w:val="auto"/>
              </w:rPr>
              <w:t>Additions to midstream assets</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36"/>
        </w:trPr>
        <w:tc>
          <w:tcPr>
            <w:tcW w:w="79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Property acquisitions</w:t>
            </w:r>
          </w:p>
        </w:tc>
        <w:tc>
          <w:tcPr>
            <w:tcW w:w="10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(629)</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w:t>
            </w:r>
          </w:p>
        </w:tc>
      </w:tr>
      <w:tr>
        <w:trPr>
          <w:trHeight w:val="223"/>
        </w:trPr>
        <w:tc>
          <w:tcPr>
            <w:tcW w:w="7900" w:type="dxa"/>
            <w:vAlign w:val="bottom"/>
          </w:tcPr>
          <w:p>
            <w:pPr>
              <w:ind w:left="360"/>
              <w:spacing w:after="0"/>
              <w:rPr>
                <w:sz w:val="20"/>
                <w:szCs w:val="20"/>
                <w:color w:val="auto"/>
              </w:rPr>
            </w:pPr>
            <w:r>
              <w:rPr>
                <w:rFonts w:ascii="Arial" w:cs="Arial" w:eastAsia="Arial" w:hAnsi="Arial"/>
                <w:sz w:val="17"/>
                <w:szCs w:val="17"/>
                <w:color w:val="auto"/>
              </w:rPr>
              <w:t>Proceeds from sale of assets</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112</w:t>
            </w:r>
          </w:p>
        </w:tc>
      </w:tr>
      <w:tr>
        <w:trPr>
          <w:trHeight w:val="236"/>
        </w:trPr>
        <w:tc>
          <w:tcPr>
            <w:tcW w:w="79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Funds held in escrow</w:t>
            </w:r>
          </w:p>
        </w:tc>
        <w:tc>
          <w:tcPr>
            <w:tcW w:w="10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r>
      <w:tr>
        <w:trPr>
          <w:trHeight w:val="223"/>
        </w:trPr>
        <w:tc>
          <w:tcPr>
            <w:tcW w:w="790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Other</w:t>
            </w: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r>
      <w:tr>
        <w:trPr>
          <w:trHeight w:val="230"/>
        </w:trPr>
        <w:tc>
          <w:tcPr>
            <w:tcW w:w="7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investing activities</w:t>
            </w:r>
          </w:p>
        </w:tc>
        <w:tc>
          <w:tcPr>
            <w:tcW w:w="10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(1,323)</w:t>
            </w:r>
          </w:p>
        </w:tc>
      </w:tr>
      <w:tr>
        <w:trPr>
          <w:trHeight w:val="203"/>
        </w:trPr>
        <w:tc>
          <w:tcPr>
            <w:tcW w:w="7900" w:type="dxa"/>
            <w:vAlign w:val="bottom"/>
          </w:tcPr>
          <w:p>
            <w:pPr>
              <w:ind w:left="20"/>
              <w:spacing w:after="0"/>
              <w:rPr>
                <w:sz w:val="20"/>
                <w:szCs w:val="20"/>
                <w:color w:val="auto"/>
              </w:rPr>
            </w:pPr>
            <w:r>
              <w:rPr>
                <w:rFonts w:ascii="Arial" w:cs="Arial" w:eastAsia="Arial" w:hAnsi="Arial"/>
                <w:sz w:val="17"/>
                <w:szCs w:val="17"/>
                <w:color w:val="auto"/>
              </w:rPr>
              <w:t>Cash flows from financing activities:</w:t>
            </w: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79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Proceeds from borrowings under credit facilities</w:t>
            </w:r>
          </w:p>
        </w:tc>
        <w:tc>
          <w:tcPr>
            <w:tcW w:w="10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4,100</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w:t>
            </w:r>
          </w:p>
        </w:tc>
      </w:tr>
      <w:tr>
        <w:trPr>
          <w:trHeight w:val="223"/>
        </w:trPr>
        <w:tc>
          <w:tcPr>
            <w:tcW w:w="7900" w:type="dxa"/>
            <w:vAlign w:val="bottom"/>
          </w:tcPr>
          <w:p>
            <w:pPr>
              <w:ind w:left="360"/>
              <w:spacing w:after="0"/>
              <w:rPr>
                <w:sz w:val="20"/>
                <w:szCs w:val="20"/>
                <w:color w:val="auto"/>
              </w:rPr>
            </w:pPr>
            <w:r>
              <w:rPr>
                <w:rFonts w:ascii="Arial" w:cs="Arial" w:eastAsia="Arial" w:hAnsi="Arial"/>
                <w:sz w:val="17"/>
                <w:szCs w:val="17"/>
                <w:color w:val="auto"/>
              </w:rPr>
              <w:t>Repayments under credit facilities</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(4,119)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(853)</w:t>
            </w:r>
          </w:p>
        </w:tc>
      </w:tr>
      <w:tr>
        <w:trPr>
          <w:trHeight w:val="236"/>
        </w:trPr>
        <w:tc>
          <w:tcPr>
            <w:tcW w:w="79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Proceeds from senior notes</w:t>
            </w:r>
          </w:p>
        </w:tc>
        <w:tc>
          <w:tcPr>
            <w:tcW w:w="10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2,200</w:t>
            </w:r>
          </w:p>
        </w:tc>
      </w:tr>
      <w:tr>
        <w:trPr>
          <w:trHeight w:val="223"/>
        </w:trPr>
        <w:tc>
          <w:tcPr>
            <w:tcW w:w="7900" w:type="dxa"/>
            <w:vAlign w:val="bottom"/>
          </w:tcPr>
          <w:p>
            <w:pPr>
              <w:ind w:left="360"/>
              <w:spacing w:after="0"/>
              <w:rPr>
                <w:sz w:val="20"/>
                <w:szCs w:val="20"/>
                <w:color w:val="auto"/>
              </w:rPr>
            </w:pPr>
            <w:r>
              <w:rPr>
                <w:rFonts w:ascii="Arial" w:cs="Arial" w:eastAsia="Arial" w:hAnsi="Arial"/>
                <w:sz w:val="17"/>
                <w:szCs w:val="17"/>
                <w:color w:val="auto"/>
              </w:rPr>
              <w:t>Repayment of senior notes</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(1,910)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(2,540)</w:t>
            </w:r>
          </w:p>
        </w:tc>
      </w:tr>
      <w:tr>
        <w:trPr>
          <w:trHeight w:val="236"/>
        </w:trPr>
        <w:tc>
          <w:tcPr>
            <w:tcW w:w="79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Proceeds from (repayments to) joint venture</w:t>
            </w:r>
          </w:p>
        </w:tc>
        <w:tc>
          <w:tcPr>
            <w:tcW w:w="10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23"/>
        </w:trPr>
        <w:tc>
          <w:tcPr>
            <w:tcW w:w="7900" w:type="dxa"/>
            <w:vAlign w:val="bottom"/>
          </w:tcPr>
          <w:p>
            <w:pPr>
              <w:ind w:left="360"/>
              <w:spacing w:after="0"/>
              <w:rPr>
                <w:sz w:val="20"/>
                <w:szCs w:val="20"/>
                <w:color w:val="auto"/>
              </w:rPr>
            </w:pPr>
            <w:r>
              <w:rPr>
                <w:rFonts w:ascii="Arial" w:cs="Arial" w:eastAsia="Arial" w:hAnsi="Arial"/>
                <w:sz w:val="17"/>
                <w:szCs w:val="17"/>
                <w:color w:val="auto"/>
              </w:rPr>
              <w:t>Premium on extinguishment of debt</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(178)</w:t>
            </w:r>
          </w:p>
        </w:tc>
      </w:tr>
      <w:tr>
        <w:trPr>
          <w:trHeight w:val="236"/>
        </w:trPr>
        <w:tc>
          <w:tcPr>
            <w:tcW w:w="79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Repurchased shares under buyback program</w:t>
            </w:r>
          </w:p>
        </w:tc>
        <w:tc>
          <w:tcPr>
            <w:tcW w:w="10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(782)</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r>
      <w:tr>
        <w:trPr>
          <w:trHeight w:val="223"/>
        </w:trPr>
        <w:tc>
          <w:tcPr>
            <w:tcW w:w="7900" w:type="dxa"/>
            <w:vAlign w:val="bottom"/>
          </w:tcPr>
          <w:p>
            <w:pPr>
              <w:ind w:left="360"/>
              <w:spacing w:after="0"/>
              <w:rPr>
                <w:sz w:val="20"/>
                <w:szCs w:val="20"/>
                <w:color w:val="auto"/>
              </w:rPr>
            </w:pPr>
            <w:r>
              <w:rPr>
                <w:rFonts w:ascii="Arial" w:cs="Arial" w:eastAsia="Arial" w:hAnsi="Arial"/>
                <w:sz w:val="17"/>
                <w:szCs w:val="17"/>
                <w:color w:val="auto"/>
              </w:rPr>
              <w:t>Repurchased units under buyback program</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(122)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236"/>
        </w:trPr>
        <w:tc>
          <w:tcPr>
            <w:tcW w:w="79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Dividends to stockholders</w:t>
            </w:r>
          </w:p>
        </w:tc>
        <w:tc>
          <w:tcPr>
            <w:tcW w:w="10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(1,174)</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w:t>
            </w:r>
          </w:p>
        </w:tc>
      </w:tr>
      <w:tr>
        <w:trPr>
          <w:trHeight w:val="223"/>
        </w:trPr>
        <w:tc>
          <w:tcPr>
            <w:tcW w:w="7900" w:type="dxa"/>
            <w:vAlign w:val="bottom"/>
          </w:tcPr>
          <w:p>
            <w:pPr>
              <w:ind w:left="360"/>
              <w:spacing w:after="0"/>
              <w:rPr>
                <w:sz w:val="20"/>
                <w:szCs w:val="20"/>
                <w:color w:val="auto"/>
              </w:rPr>
            </w:pPr>
            <w:r>
              <w:rPr>
                <w:rFonts w:ascii="Arial" w:cs="Arial" w:eastAsia="Arial" w:hAnsi="Arial"/>
                <w:sz w:val="17"/>
                <w:szCs w:val="17"/>
                <w:color w:val="auto"/>
              </w:rPr>
              <w:t>Distributions to non-controlling interest</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(181)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(72)</w:t>
            </w:r>
          </w:p>
        </w:tc>
      </w:tr>
      <w:tr>
        <w:trPr>
          <w:trHeight w:val="236"/>
        </w:trPr>
        <w:tc>
          <w:tcPr>
            <w:tcW w:w="79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Financing portion of net cash received (paid) for derivative instruments</w:t>
            </w:r>
          </w:p>
        </w:tc>
        <w:tc>
          <w:tcPr>
            <w:tcW w:w="10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r>
      <w:tr>
        <w:trPr>
          <w:trHeight w:val="223"/>
        </w:trPr>
        <w:tc>
          <w:tcPr>
            <w:tcW w:w="790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Other</w:t>
            </w: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w:t>
            </w:r>
          </w:p>
        </w:tc>
      </w:tr>
      <w:tr>
        <w:trPr>
          <w:trHeight w:val="230"/>
        </w:trPr>
        <w:tc>
          <w:tcPr>
            <w:tcW w:w="7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financing activities</w:t>
            </w:r>
          </w:p>
        </w:tc>
        <w:tc>
          <w:tcPr>
            <w:tcW w:w="10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(1,021)</w:t>
            </w:r>
          </w:p>
        </w:tc>
      </w:tr>
      <w:tr>
        <w:trPr>
          <w:trHeight w:val="216"/>
        </w:trPr>
        <w:tc>
          <w:tcPr>
            <w:tcW w:w="7900" w:type="dxa"/>
            <w:vAlign w:val="bottom"/>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(638)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433</w:t>
            </w:r>
          </w:p>
        </w:tc>
      </w:tr>
      <w:tr>
        <w:trPr>
          <w:trHeight w:val="230"/>
        </w:trPr>
        <w:tc>
          <w:tcPr>
            <w:tcW w:w="7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at beginning of period</w:t>
            </w:r>
          </w:p>
        </w:tc>
        <w:tc>
          <w:tcPr>
            <w:tcW w:w="10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w:t>
            </w:r>
          </w:p>
        </w:tc>
      </w:tr>
      <w:tr>
        <w:trPr>
          <w:trHeight w:val="229"/>
        </w:trPr>
        <w:tc>
          <w:tcPr>
            <w:tcW w:w="7900" w:type="dxa"/>
            <w:vAlign w:val="bottom"/>
          </w:tcPr>
          <w:p>
            <w:pPr>
              <w:ind w:left="20"/>
              <w:spacing w:after="0" w:line="229" w:lineRule="exact"/>
              <w:rPr>
                <w:sz w:val="20"/>
                <w:szCs w:val="20"/>
                <w:color w:val="auto"/>
              </w:rPr>
            </w:pPr>
            <w:r>
              <w:rPr>
                <w:rFonts w:ascii="Arial" w:cs="Arial" w:eastAsia="Arial" w:hAnsi="Arial"/>
                <w:sz w:val="17"/>
                <w:szCs w:val="17"/>
                <w:color w:val="auto"/>
              </w:rPr>
              <w:t>Cash, cash equivalents and restricted cash at end of period</w:t>
            </w:r>
            <w:r>
              <w:rPr>
                <w:rFonts w:ascii="Arial" w:cs="Arial" w:eastAsia="Arial" w:hAnsi="Arial"/>
                <w:sz w:val="22"/>
                <w:szCs w:val="22"/>
                <w:color w:val="auto"/>
                <w:vertAlign w:val="superscript"/>
              </w:rPr>
              <w:t>(1)</w:t>
            </w:r>
          </w:p>
        </w:tc>
        <w:tc>
          <w:tcPr>
            <w:tcW w:w="1040" w:type="dxa"/>
            <w:vAlign w:val="bottom"/>
            <w:tcBorders>
              <w:bottom w:val="single" w:sz="8" w:color="auto"/>
            </w:tcBorders>
          </w:tcPr>
          <w:p>
            <w:pPr>
              <w:jc w:val="right"/>
              <w:ind w:right="857"/>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541</w:t>
            </w:r>
          </w:p>
        </w:tc>
      </w:tr>
      <w:tr>
        <w:trPr>
          <w:trHeight w:val="21"/>
        </w:trPr>
        <w:tc>
          <w:tcPr>
            <w:tcW w:w="7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240" w:hanging="232"/>
        <w:spacing w:after="0"/>
        <w:tabs>
          <w:tab w:leader="none" w:pos="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2—Summary of Significant Accounting Policies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DESCRIPTION OF THE BUSINESS AND BASIS OF PRESENTATION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Description of the Business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Diamondback Energy, Inc., together with its subsidiaries (collectively referred to as “Diamondback” or the “Company” unless the context otherwise requires), is an independent oil and natural gas company currently focused on the acquisition, development, exploration and exploitation of unconventional, onshore oil and natural gas reserves in the Permian Basin in West Texas.</w:t>
      </w:r>
    </w:p>
    <w:p>
      <w:pPr>
        <w:spacing w:after="0" w:line="19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As of September 30, 2022, the wholly owned subsidiaries of Diamondback include Diamondback E&amp;P LLC (“Diamondback E&amp;P”), a Delaware limited liability company, Viper Energy Partners GP LLC, a Delaware limited liability company, Rattler Midstream GP LLC, a Delaware limited liability company (“Rattler GP”), Rattler Midstream LP, a Delaware limited partnership (“Rattler”), and QEP Resources, Inc. (“QEP”), a Delaware corporation.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Rattler Merger</w:t>
      </w:r>
    </w:p>
    <w:p>
      <w:pPr>
        <w:spacing w:after="0" w:line="2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On August 24, 2022 (the “Effective Date”), the Company completed the merger with Rattler pursuant to which the Company acquired all of the approximately 39 million publicly held outstanding common units of Rattler in exchange for approximately 4 million shares of the Company’s common stock (the “Rattler Merger”). Rattler continued as the surviving entity. Following the Rattler Merger, as of September 30, 2022, the Company owned all of Rattler’s outstanding common units and Class B units, and Rattler GP remained the general partner of Rattler. Following the closing of the Rattler Merger, Rattler’s common units were delisted from the NASDAQ Global Select Market and Rattler filed a certification on Form 15 with the SEC requesting the deregistration of its common units and suspension of Rattler’s reporting obligations under the Exchange Act.</w:t>
      </w:r>
    </w:p>
    <w:p>
      <w:pPr>
        <w:spacing w:after="0" w:line="20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7"/>
          <w:szCs w:val="17"/>
          <w:color w:val="auto"/>
        </w:rPr>
        <w:t>The Rattler Merger was accounted for as a non-cash equity transaction resulting in increases to common stock of $44 thousand, additional paid-in-capital of $344 million, and merger and integration expense of $11 million, and a decrease in noncontrolling interests in consolidated subsidiaries of $344 million. For periods prior to the Effective Date, the results of operations attributable to the non-controlling interest in Rattler are presented within equity and net income and are shown separately from the equity and net income attributable to the Company.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condensed consolidated financial statements include the accounts of the Company and its subsidiaries after all significant intercompany balances and transactions have been eliminated upon consolidation. The Company consists of two operating segments: (i) the upstream operations segment, which is engaged in the acquisition, development, exploration and exploitation of unconventional, onshore oil and natural gas reserves primarily in the Permian Basin in West Texas and (ii) the midstream operations segment, which is focused on ownership, operation, development and acquisition of midstream infrastructure assets in the Midland and Delaware Basins of the Permian Basin. Prior to the Rattler Merger, both the upstream operations segment and the midstream operations segment were also considered reportable segments. Following the Rattler Merger, the Company determined only the upstream operations segment met the quantitative requirements of a reportable segment.</w:t>
      </w:r>
    </w:p>
    <w:p>
      <w:pPr>
        <w:spacing w:after="0" w:line="20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Diamondback’s publicly traded subsidiary Viper Energy Partners LP (“Viper”) is consolidated in the Company’s financial statements. As of September 30, 2022, the Company owned approximately 55% of Viper’s total units outstanding. The Company’s wholly owned subsidiary, Viper Energy Partners GP LLC, is the general partner of Viper. The results of operations attributable to the non-controlling interest in Viper are presented within equity and net income and are shown separately from the equity and net income attributable to the Company.</w:t>
      </w:r>
    </w:p>
    <w:p>
      <w:pPr>
        <w:spacing w:after="0" w:line="21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These condensed consolidated financial statements have been prepared by the Company without audit, pursuant to the rules and regulations of the SEC. They reflect all adjustments that are, in the opinion of management, necessary for a fair statement of the results for interim periods, on a basis consistent with the annual audited financial statements. All such adjustments are of a normal recurring nature. Certain information, accounting policies and footnote disclosures normally included in financial statements prepared in accordance with GAAP have been omitted pursuant to SEC rules and regulations, although the Company believes the disclosures are adequate to make the information presented not misleading. This Quarterly Report on Form 10–Q should be read in conjunction with the Company’s most recent Annual Report on Form 10–K for the fiscal year ended December 31, 2021, which contains a summary of the Company’s significant accounting policies and other disclosures.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Certain prior period amounts have been reclassified to conform to the current period financial statement presentation. These reclassifications had an immaterial effect on the previously reported total assets, total liabilities, stockholders’ equity, results of operations or cash flows.</w:t>
      </w:r>
    </w:p>
    <w:p>
      <w:pPr>
        <w:spacing w:after="0" w:line="16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Certain amounts included in or affecting the Company’s consolidated financial statements and related disclosures must be estimated by management, requiring certain assumptions to be made with respect to values or conditions that cannot be known with certainty at the time the consolidated financial statements are prepared. These estimates and assumptions affect the amounts the Company reports for assets and liabilities and the Company’s disclosure of contingent assets and liabilities as of the date of the consolidated financial statements. Actual results could differ from those estimates.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7"/>
          <w:szCs w:val="17"/>
          <w:color w:val="auto"/>
        </w:rPr>
        <w:t>Making accurate estimates and assumptions is particularly difficult in the oil and natural gas industry given the challenges resulting from volatility in oil and natural gas prices. For instance, the effects of COVID-19, the war in Ukraine and actions by OPEC members and other exporting nations on the supply and demand in global oil and natural gas markets continued to contribute to economic and pricing volatility. The financial results of companies in the oil and natural gas industry have been impacted materially as a result of these events and changing market conditions. Such circumstances generally increase uncertainty in the Company’s accounting estimates, particularly those involving financial forecasts.</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evaluates these estimates on an ongoing basis, using historical experience, consultation with experts and other methods the Company considers reasonable in the particular circumstances. Nevertheless, actual results may differ significantly from the Company’s estimates. Any effects on the Company’s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and related present value estimates of future net cash flows therefrom, the carrying value of oil and natural gas properties, the fair value determination of acquired assets and liabilities assumed, fair value estimates of derivative instruments and estimates of income taxes.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provides a reconciliation of cash, cash equivalents and restricted cash as reported at the end of the period in the condensed consolidated statements of cash flows for the nine months ended September 30, 2022 and 2021 to the line items within the condensed consolidated balance sheets: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3100" w:type="dxa"/>
            <w:vAlign w:val="bottom"/>
            <w:tcBorders>
              <w:bottom w:val="single" w:sz="8" w:color="auto"/>
            </w:tcBorders>
            <w:gridSpan w:val="5"/>
          </w:tcPr>
          <w:p>
            <w:pPr>
              <w:jc w:val="right"/>
              <w:ind w:right="252"/>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8140" w:type="dxa"/>
            <w:vAlign w:val="bottom"/>
          </w:tcPr>
          <w:p>
            <w:pPr>
              <w:spacing w:after="0"/>
              <w:rPr>
                <w:sz w:val="18"/>
                <w:szCs w:val="18"/>
                <w:color w:val="auto"/>
              </w:rPr>
            </w:pP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2021</w:t>
            </w:r>
          </w:p>
        </w:tc>
      </w:tr>
      <w:tr>
        <w:trPr>
          <w:trHeight w:val="209"/>
        </w:trPr>
        <w:tc>
          <w:tcPr>
            <w:tcW w:w="8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(In millions)</w:t>
            </w:r>
          </w:p>
        </w:tc>
        <w:tc>
          <w:tcPr>
            <w:tcW w:w="1020" w:type="dxa"/>
            <w:vAlign w:val="bottom"/>
          </w:tcPr>
          <w:p>
            <w:pPr>
              <w:spacing w:after="0"/>
              <w:rPr>
                <w:sz w:val="18"/>
                <w:szCs w:val="18"/>
                <w:color w:val="auto"/>
              </w:rPr>
            </w:pPr>
          </w:p>
        </w:tc>
      </w:tr>
      <w:tr>
        <w:trPr>
          <w:trHeight w:val="232"/>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020" w:type="dxa"/>
            <w:vAlign w:val="bottom"/>
            <w:shd w:val="clear" w:color="auto" w:fill="CCEEFF"/>
          </w:tcPr>
          <w:p>
            <w:pPr>
              <w:jc w:val="right"/>
              <w:ind w:right="815"/>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included in funds held in escrow</w:t>
            </w:r>
          </w:p>
        </w:tc>
        <w:tc>
          <w:tcPr>
            <w:tcW w:w="10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23"/>
        </w:trPr>
        <w:tc>
          <w:tcPr>
            <w:tcW w:w="8140" w:type="dxa"/>
            <w:vAlign w:val="bottom"/>
          </w:tcPr>
          <w:p>
            <w:pPr>
              <w:ind w:left="300"/>
              <w:spacing w:after="0"/>
              <w:rPr>
                <w:sz w:val="20"/>
                <w:szCs w:val="20"/>
                <w:color w:val="auto"/>
              </w:rPr>
            </w:pPr>
            <w:r>
              <w:rPr>
                <w:rFonts w:ascii="Arial" w:cs="Arial" w:eastAsia="Arial" w:hAnsi="Arial"/>
                <w:sz w:val="18"/>
                <w:szCs w:val="18"/>
                <w:color w:val="auto"/>
              </w:rPr>
              <w:t>Total cash, cash equivalents and restricted cash</w:t>
            </w:r>
          </w:p>
        </w:tc>
        <w:tc>
          <w:tcPr>
            <w:tcW w:w="1020" w:type="dxa"/>
            <w:vAlign w:val="bottom"/>
            <w:tcBorders>
              <w:top w:val="single" w:sz="8" w:color="auto"/>
              <w:bottom w:val="single" w:sz="8" w:color="auto"/>
            </w:tcBorders>
          </w:tcPr>
          <w:p>
            <w:pPr>
              <w:jc w:val="right"/>
              <w:ind w:right="815"/>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w:t>
            </w:r>
          </w:p>
        </w:tc>
      </w:tr>
      <w:tr>
        <w:trPr>
          <w:trHeight w:val="21"/>
        </w:trPr>
        <w:tc>
          <w:tcPr>
            <w:tcW w:w="8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Recently Adopted Pronouncements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recently adopted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October 2021, the FASB issued ASU 2021-08, "Business Combinations (Topic 805) – Accounting for Contract Assets and Contract Liabilities from Contracts with Customers.” This update requires the acquirer in a business combination to record contract asset and liabilities following Topic 606 – “Revenue from Contracts with Customers” at acquisition as if it had originated the contract, rather than at fair value. This update is effective for public business entities beginning after December 15, 2022 with early adoption permitted. The Company continues to evaluate the provisions of this update, but does not believe the adoption will have a material impact on its financial position, results of operations or liquidity.</w:t>
      </w:r>
    </w:p>
    <w:p>
      <w:pPr>
        <w:spacing w:after="0" w:line="20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considers the applicability and impact of all ASUs. ASUs not discussed above were assessed and determined to be either not applicable, the effects of adoption are not expected to be material or are clarifications of ASUs previously disclosed.</w:t>
      </w:r>
    </w:p>
    <w:p>
      <w:pPr>
        <w:spacing w:after="0" w:line="1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REVENUE FROM CONTRACTS WITH CUSTOMERS</w:t>
      </w:r>
    </w:p>
    <w:p>
      <w:pPr>
        <w:spacing w:after="0" w:line="25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Sales of oil, natural gas and natural gas liquids are recognized at the point control of the product is transferred to the customer. Virtually all of the pricing provisions in the Company’s contracts are tied to a market index, with certain adjustments based on, among other factors, whether a well delivers to a gathering or transmission line, the quality of the oil or natural gas and the prevailing supply and demand conditions. As a result, the price of the oil, natural gas and natural gas liquids fluctuates to remain competitive with other available oil, natural gas and natural gas liquids supplies. The following tables present the Company’s revenue from contracts with customers disaggregated by product type and basin: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rPr>
              <w:t>Three Months Ended September 30, 2022</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rPr>
              <w:t>Three Months Ended September 30, 2021</w:t>
            </w: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5"/>
              </w:rPr>
              <w:t>Midland</w:t>
            </w: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1"/>
              </w:rPr>
              <w:t>Delaware</w:t>
            </w:r>
          </w:p>
        </w:tc>
        <w:tc>
          <w:tcPr>
            <w:tcW w:w="200" w:type="dxa"/>
            <w:vAlign w:val="bottom"/>
          </w:tcPr>
          <w:p>
            <w:pPr>
              <w:spacing w:after="0"/>
              <w:rPr>
                <w:sz w:val="13"/>
                <w:szCs w:val="13"/>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Other</w:t>
            </w:r>
          </w:p>
        </w:tc>
        <w:tc>
          <w:tcPr>
            <w:tcW w:w="280" w:type="dxa"/>
            <w:vAlign w:val="bottom"/>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9"/>
              </w:rPr>
              <w:t>Midland</w:t>
            </w: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3"/>
              </w:rPr>
              <w:t>Delaware</w:t>
            </w:r>
          </w:p>
        </w:tc>
        <w:tc>
          <w:tcPr>
            <w:tcW w:w="220" w:type="dxa"/>
            <w:vAlign w:val="bottom"/>
          </w:tcPr>
          <w:p>
            <w:pPr>
              <w:spacing w:after="0"/>
              <w:rPr>
                <w:sz w:val="13"/>
                <w:szCs w:val="13"/>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Other</w:t>
            </w:r>
          </w:p>
        </w:tc>
        <w:tc>
          <w:tcPr>
            <w:tcW w:w="300" w:type="dxa"/>
            <w:vAlign w:val="bottom"/>
          </w:tcPr>
          <w:p>
            <w:pPr>
              <w:spacing w:after="0"/>
              <w:rPr>
                <w:sz w:val="13"/>
                <w:szCs w:val="13"/>
                <w:color w:val="auto"/>
              </w:rPr>
            </w:pPr>
          </w:p>
        </w:tc>
        <w:tc>
          <w:tcPr>
            <w:tcW w:w="740" w:type="dxa"/>
            <w:vAlign w:val="bottom"/>
            <w:vMerge w:val="restart"/>
          </w:tcPr>
          <w:p>
            <w:pPr>
              <w:jc w:val="right"/>
              <w:ind w:right="252"/>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213"/>
        </w:trPr>
        <w:tc>
          <w:tcPr>
            <w:tcW w:w="2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7"/>
              </w:rPr>
              <w:t>Basin</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1"/>
              </w:rPr>
              <w:t>Basin</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1"/>
              </w:rPr>
              <w:t>Basin</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Basin</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gridSpan w:val="5"/>
          </w:tcPr>
          <w:p>
            <w:pPr>
              <w:ind w:left="380"/>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rPr>
                <w:sz w:val="20"/>
                <w:szCs w:val="20"/>
                <w:color w:val="auto"/>
              </w:rPr>
            </w:pPr>
            <w:r>
              <w:rPr>
                <w:rFonts w:ascii="Arial" w:cs="Arial" w:eastAsia="Arial" w:hAnsi="Arial"/>
                <w:sz w:val="18"/>
                <w:szCs w:val="18"/>
                <w:color w:val="auto"/>
              </w:rPr>
              <w:t>Natural gas sales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 sales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23"/>
        </w:trPr>
        <w:tc>
          <w:tcPr>
            <w:tcW w:w="2240" w:type="dxa"/>
            <w:vAlign w:val="bottom"/>
          </w:tcPr>
          <w:p>
            <w:pPr>
              <w:ind w:left="2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1"/>
        </w:trPr>
        <w:tc>
          <w:tcPr>
            <w:tcW w:w="2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rPr>
              <w:t>Nine Months Ended September 30, 2022</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9"/>
          </w:tcPr>
          <w:p>
            <w:pPr>
              <w:jc w:val="right"/>
              <w:ind w:right="10"/>
              <w:spacing w:after="0"/>
              <w:rPr>
                <w:sz w:val="20"/>
                <w:szCs w:val="20"/>
                <w:color w:val="auto"/>
              </w:rPr>
            </w:pPr>
            <w:r>
              <w:rPr>
                <w:rFonts w:ascii="Arial" w:cs="Arial" w:eastAsia="Arial" w:hAnsi="Arial"/>
                <w:sz w:val="16"/>
                <w:szCs w:val="16"/>
                <w:b w:val="1"/>
                <w:bCs w:val="1"/>
                <w:color w:val="auto"/>
              </w:rPr>
              <w:t>Nine Months Ended September 30, 2021</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5"/>
              </w:rPr>
              <w:t>Midland</w:t>
            </w: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1"/>
              </w:rPr>
              <w:t>Delaware</w:t>
            </w:r>
          </w:p>
        </w:tc>
        <w:tc>
          <w:tcPr>
            <w:tcW w:w="200" w:type="dxa"/>
            <w:vAlign w:val="bottom"/>
          </w:tcPr>
          <w:p>
            <w:pPr>
              <w:spacing w:after="0"/>
              <w:rPr>
                <w:sz w:val="13"/>
                <w:szCs w:val="13"/>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Other</w:t>
            </w:r>
          </w:p>
        </w:tc>
        <w:tc>
          <w:tcPr>
            <w:tcW w:w="280" w:type="dxa"/>
            <w:vAlign w:val="bottom"/>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9"/>
              </w:rPr>
              <w:t>Midland</w:t>
            </w: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3"/>
              </w:rPr>
              <w:t>Delaware</w:t>
            </w:r>
          </w:p>
        </w:tc>
        <w:tc>
          <w:tcPr>
            <w:tcW w:w="220" w:type="dxa"/>
            <w:vAlign w:val="bottom"/>
          </w:tcPr>
          <w:p>
            <w:pPr>
              <w:spacing w:after="0"/>
              <w:rPr>
                <w:sz w:val="13"/>
                <w:szCs w:val="13"/>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Other</w:t>
            </w:r>
          </w:p>
        </w:tc>
        <w:tc>
          <w:tcPr>
            <w:tcW w:w="300" w:type="dxa"/>
            <w:vAlign w:val="bottom"/>
          </w:tcPr>
          <w:p>
            <w:pPr>
              <w:spacing w:after="0"/>
              <w:rPr>
                <w:sz w:val="13"/>
                <w:szCs w:val="13"/>
                <w:color w:val="auto"/>
              </w:rPr>
            </w:pPr>
          </w:p>
        </w:tc>
        <w:tc>
          <w:tcPr>
            <w:tcW w:w="740" w:type="dxa"/>
            <w:vAlign w:val="bottom"/>
            <w:vMerge w:val="restart"/>
          </w:tcPr>
          <w:p>
            <w:pPr>
              <w:jc w:val="right"/>
              <w:ind w:right="252"/>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213"/>
        </w:trPr>
        <w:tc>
          <w:tcPr>
            <w:tcW w:w="2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7"/>
              </w:rPr>
              <w:t>Basin</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1"/>
              </w:rPr>
              <w:t>Basin</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1"/>
              </w:rPr>
              <w:t>Basin</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Basin</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gridSpan w:val="5"/>
          </w:tcPr>
          <w:p>
            <w:pPr>
              <w:ind w:left="380"/>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w:t>
            </w: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rPr>
                <w:sz w:val="20"/>
                <w:szCs w:val="20"/>
                <w:color w:val="auto"/>
              </w:rPr>
            </w:pPr>
            <w:r>
              <w:rPr>
                <w:rFonts w:ascii="Arial" w:cs="Arial" w:eastAsia="Arial" w:hAnsi="Arial"/>
                <w:sz w:val="18"/>
                <w:szCs w:val="18"/>
                <w:color w:val="auto"/>
              </w:rPr>
              <w:t>Natural gas sales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 sales</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23"/>
        </w:trPr>
        <w:tc>
          <w:tcPr>
            <w:tcW w:w="2240" w:type="dxa"/>
            <w:vAlign w:val="bottom"/>
          </w:tcPr>
          <w:p>
            <w:pPr>
              <w:ind w:left="2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4,736</w:t>
            </w:r>
          </w:p>
        </w:tc>
        <w:tc>
          <w:tcPr>
            <w:tcW w:w="0" w:type="dxa"/>
            <w:vAlign w:val="bottom"/>
          </w:tcPr>
          <w:p>
            <w:pPr>
              <w:spacing w:after="0"/>
              <w:rPr>
                <w:sz w:val="1"/>
                <w:szCs w:val="1"/>
                <w:color w:val="auto"/>
              </w:rPr>
            </w:pPr>
          </w:p>
        </w:tc>
      </w:tr>
      <w:tr>
        <w:trPr>
          <w:trHeight w:val="21"/>
        </w:trPr>
        <w:tc>
          <w:tcPr>
            <w:tcW w:w="2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ACQUISITIONS AND DIVESTITURES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Activity</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January 18, 2022, the Company acquired, from an unrelated third-party seller, approximately 6,200 net acres in the Delaware Basin for $232 million in cash, including customary post-closing adjustments. The acquisition was funded through cash on hand.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See Note 15 — </w:t>
      </w:r>
      <w:r>
        <w:rPr>
          <w:rFonts w:ascii="Arial" w:cs="Arial" w:eastAsia="Arial" w:hAnsi="Arial"/>
          <w:sz w:val="18"/>
          <w:szCs w:val="18"/>
          <w:u w:val="single" w:color="auto"/>
          <w:color w:val="0000FF"/>
        </w:rPr>
        <w:t>Subsequent Events</w:t>
      </w:r>
      <w:r>
        <w:rPr>
          <w:rFonts w:ascii="Arial" w:cs="Arial" w:eastAsia="Arial" w:hAnsi="Arial"/>
          <w:sz w:val="18"/>
          <w:szCs w:val="18"/>
          <w:color w:val="auto"/>
        </w:rPr>
        <w:t xml:space="preserve"> for transactions entered into or completed in the fourth quarter of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Activity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Guidon Operating LLC</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February 26, 2021, the Company completed its acquisition of all leasehold interests and related assets of Guidon Operating LLC (the “Guidon Acquisition”) which include approximately 32,500 net acres in the Northern Midland Basin in exchange for 10.68 million shares of the Company’s common stock and $375 million of cash. The cash portion of this transaction was funded through a combination of cash on hand and borrowings under the Company’s credit facility. As a result of the Guidon Acquisition, the Company added approximately 210 gross producing wells. The following table presents the acquisition consideration paid in the Guidon Acquisition (in millions, except per share data, shares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Consideration:</w:t>
            </w:r>
          </w:p>
        </w:tc>
        <w:tc>
          <w:tcPr>
            <w:tcW w:w="9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8"/>
        </w:trPr>
        <w:tc>
          <w:tcPr>
            <w:tcW w:w="9000" w:type="dxa"/>
            <w:vAlign w:val="bottom"/>
          </w:tcPr>
          <w:p>
            <w:pPr>
              <w:spacing w:after="0"/>
              <w:rPr>
                <w:sz w:val="20"/>
                <w:szCs w:val="20"/>
                <w:color w:val="auto"/>
              </w:rPr>
            </w:pPr>
            <w:r>
              <w:rPr>
                <w:rFonts w:ascii="Arial" w:cs="Arial" w:eastAsia="Arial" w:hAnsi="Arial"/>
                <w:sz w:val="18"/>
                <w:szCs w:val="18"/>
                <w:color w:val="auto"/>
              </w:rPr>
              <w:t>Shares of Diamondback common stock issued at closing</w:t>
            </w:r>
          </w:p>
        </w:tc>
        <w:tc>
          <w:tcPr>
            <w:tcW w:w="9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10,676</w:t>
            </w:r>
          </w:p>
        </w:tc>
      </w:tr>
      <w:tr>
        <w:trPr>
          <w:trHeight w:val="231"/>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Closing price per share of Diamondback common stock on the closing date</w:t>
            </w:r>
          </w:p>
        </w:tc>
        <w:tc>
          <w:tcPr>
            <w:tcW w:w="920" w:type="dxa"/>
            <w:vAlign w:val="bottom"/>
            <w:tcBorders>
              <w:bottom w:val="single" w:sz="8" w:color="auto"/>
            </w:tcBorders>
            <w:shd w:val="clear" w:color="auto" w:fill="CCEEFF"/>
          </w:tcPr>
          <w:p>
            <w:pPr>
              <w:jc w:val="right"/>
              <w:ind w:right="73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69.28</w:t>
            </w:r>
          </w:p>
        </w:tc>
      </w:tr>
      <w:tr>
        <w:trPr>
          <w:trHeight w:val="222"/>
        </w:trPr>
        <w:tc>
          <w:tcPr>
            <w:tcW w:w="9000" w:type="dxa"/>
            <w:vAlign w:val="bottom"/>
          </w:tcPr>
          <w:p>
            <w:pPr>
              <w:spacing w:after="0"/>
              <w:rPr>
                <w:sz w:val="20"/>
                <w:szCs w:val="20"/>
                <w:color w:val="auto"/>
              </w:rPr>
            </w:pPr>
            <w:r>
              <w:rPr>
                <w:rFonts w:ascii="Arial" w:cs="Arial" w:eastAsia="Arial" w:hAnsi="Arial"/>
                <w:sz w:val="18"/>
                <w:szCs w:val="18"/>
                <w:color w:val="auto"/>
              </w:rPr>
              <w:t>Fair value of Diamondback common stock issued</w:t>
            </w:r>
          </w:p>
        </w:tc>
        <w:tc>
          <w:tcPr>
            <w:tcW w:w="920" w:type="dxa"/>
            <w:vAlign w:val="bottom"/>
          </w:tcPr>
          <w:p>
            <w:pPr>
              <w:jc w:val="right"/>
              <w:ind w:right="73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740</w:t>
            </w:r>
          </w:p>
        </w:tc>
      </w:tr>
      <w:tr>
        <w:trPr>
          <w:trHeight w:val="230"/>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9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24"/>
        </w:trPr>
        <w:tc>
          <w:tcPr>
            <w:tcW w:w="9000" w:type="dxa"/>
            <w:vAlign w:val="bottom"/>
          </w:tcPr>
          <w:p>
            <w:pPr>
              <w:ind w:left="20"/>
              <w:spacing w:after="0"/>
              <w:rPr>
                <w:sz w:val="20"/>
                <w:szCs w:val="20"/>
                <w:color w:val="auto"/>
              </w:rPr>
            </w:pPr>
            <w:r>
              <w:rPr>
                <w:rFonts w:ascii="Arial" w:cs="Arial" w:eastAsia="Arial" w:hAnsi="Arial"/>
                <w:sz w:val="16"/>
                <w:szCs w:val="16"/>
                <w:b w:val="1"/>
                <w:bCs w:val="1"/>
                <w:color w:val="auto"/>
              </w:rPr>
              <w:t>Total consideration (including fair value of Diamondback common stock issued)</w:t>
            </w:r>
          </w:p>
        </w:tc>
        <w:tc>
          <w:tcPr>
            <w:tcW w:w="920" w:type="dxa"/>
            <w:vAlign w:val="bottom"/>
            <w:tcBorders>
              <w:bottom w:val="single" w:sz="8" w:color="auto"/>
            </w:tcBorders>
          </w:tcPr>
          <w:p>
            <w:pPr>
              <w:jc w:val="right"/>
              <w:ind w:right="73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w:t>
            </w:r>
          </w:p>
        </w:tc>
      </w:tr>
      <w:tr>
        <w:trPr>
          <w:trHeight w:val="21"/>
        </w:trPr>
        <w:tc>
          <w:tcPr>
            <w:tcW w:w="9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Purchase Price Allocation</w:t>
      </w:r>
    </w:p>
    <w:p>
      <w:pPr>
        <w:spacing w:after="0" w:line="252"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The Guidon Acquisition has been accounted for as a business combination using the acquisition method. The following table represents the allocation of the total purchase price paid in the Guidon Acquisition to the identifiable assets acquired based on the fair values at the acquisition date. The purchase price allocation was complete as of the first quarter of 2022. The following table sets forth the Company’s purchase price allocation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consideration</w:t>
            </w:r>
          </w:p>
        </w:tc>
        <w:tc>
          <w:tcPr>
            <w:tcW w:w="940" w:type="dxa"/>
            <w:vAlign w:val="bottom"/>
            <w:shd w:val="clear" w:color="auto" w:fill="CCEEFF"/>
          </w:tcPr>
          <w:p>
            <w:pPr>
              <w:jc w:val="right"/>
              <w:ind w:right="75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r>
      <w:tr>
        <w:trPr>
          <w:trHeight w:val="216"/>
        </w:trPr>
        <w:tc>
          <w:tcPr>
            <w:tcW w:w="9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9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Fair value of liabilities assumed:</w:t>
            </w:r>
          </w:p>
        </w:tc>
        <w:tc>
          <w:tcPr>
            <w:tcW w:w="9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8"/>
        </w:trPr>
        <w:tc>
          <w:tcPr>
            <w:tcW w:w="9000" w:type="dxa"/>
            <w:vAlign w:val="bottom"/>
          </w:tcPr>
          <w:p>
            <w:pPr>
              <w:ind w:left="240"/>
              <w:spacing w:after="0"/>
              <w:rPr>
                <w:sz w:val="20"/>
                <w:szCs w:val="20"/>
                <w:color w:val="auto"/>
              </w:rPr>
            </w:pPr>
            <w:r>
              <w:rPr>
                <w:rFonts w:ascii="Arial" w:cs="Arial" w:eastAsia="Arial" w:hAnsi="Arial"/>
                <w:sz w:val="18"/>
                <w:szCs w:val="18"/>
                <w:color w:val="auto"/>
              </w:rPr>
              <w:t>Asset retirement obligations</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7"/>
        </w:trPr>
        <w:tc>
          <w:tcPr>
            <w:tcW w:w="9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3"/>
        </w:trPr>
        <w:tc>
          <w:tcPr>
            <w:tcW w:w="9000" w:type="dxa"/>
            <w:vAlign w:val="bottom"/>
          </w:tcPr>
          <w:p>
            <w:pPr>
              <w:ind w:left="20"/>
              <w:spacing w:after="0"/>
              <w:rPr>
                <w:sz w:val="20"/>
                <w:szCs w:val="20"/>
                <w:color w:val="auto"/>
              </w:rPr>
            </w:pPr>
            <w:r>
              <w:rPr>
                <w:rFonts w:ascii="Arial" w:cs="Arial" w:eastAsia="Arial" w:hAnsi="Arial"/>
                <w:sz w:val="16"/>
                <w:szCs w:val="16"/>
                <w:b w:val="1"/>
                <w:bCs w:val="1"/>
                <w:color w:val="auto"/>
              </w:rPr>
              <w:t>Fair value of assets acquired:</w:t>
            </w:r>
          </w:p>
        </w:tc>
        <w:tc>
          <w:tcPr>
            <w:tcW w:w="9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2"/>
        </w:trPr>
        <w:tc>
          <w:tcPr>
            <w:tcW w:w="9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Oil and gas properties</w:t>
            </w:r>
          </w:p>
        </w:tc>
        <w:tc>
          <w:tcPr>
            <w:tcW w:w="9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r>
      <w:tr>
        <w:trPr>
          <w:trHeight w:val="229"/>
        </w:trPr>
        <w:tc>
          <w:tcPr>
            <w:tcW w:w="90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Midstream assets</w:t>
            </w:r>
          </w:p>
        </w:tc>
        <w:tc>
          <w:tcPr>
            <w:tcW w:w="9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9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Amount attributable to assets acquired</w:t>
            </w:r>
          </w:p>
        </w:tc>
        <w:tc>
          <w:tcPr>
            <w:tcW w:w="9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r>
      <w:tr>
        <w:trPr>
          <w:trHeight w:val="224"/>
        </w:trPr>
        <w:tc>
          <w:tcPr>
            <w:tcW w:w="9000" w:type="dxa"/>
            <w:vAlign w:val="bottom"/>
          </w:tcPr>
          <w:p>
            <w:pPr>
              <w:ind w:left="20"/>
              <w:spacing w:after="0"/>
              <w:rPr>
                <w:sz w:val="20"/>
                <w:szCs w:val="20"/>
                <w:color w:val="auto"/>
              </w:rPr>
            </w:pPr>
            <w:r>
              <w:rPr>
                <w:rFonts w:ascii="Arial" w:cs="Arial" w:eastAsia="Arial" w:hAnsi="Arial"/>
                <w:sz w:val="16"/>
                <w:szCs w:val="16"/>
                <w:b w:val="1"/>
                <w:bCs w:val="1"/>
                <w:color w:val="auto"/>
              </w:rPr>
              <w:t>Net assets acquired and liabilities assumed</w:t>
            </w:r>
          </w:p>
        </w:tc>
        <w:tc>
          <w:tcPr>
            <w:tcW w:w="940" w:type="dxa"/>
            <w:vAlign w:val="bottom"/>
            <w:tcBorders>
              <w:bottom w:val="single" w:sz="8" w:color="auto"/>
            </w:tcBorders>
          </w:tcPr>
          <w:p>
            <w:pPr>
              <w:jc w:val="right"/>
              <w:ind w:right="75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w:t>
            </w:r>
          </w:p>
        </w:tc>
      </w:tr>
      <w:tr>
        <w:trPr>
          <w:trHeight w:val="21"/>
        </w:trPr>
        <w:tc>
          <w:tcPr>
            <w:tcW w:w="9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Oil and natural gas properties were valued using an income approach utilizing the discounted cash flow method, which takes into account production forecasts, projected commodity prices and pricing differentials, and estimates of future capital and operating costs which were then discounted utilizing an estimated weighted-average cost of capital for industry market participants. The fair value of acquired midstream assets was based on the cost approach, which utilized asset listings and cost records with consideration for the reported age, condition, utilization and economic support of the assets. The majority of the measurements of assets acquired and liabilities assumed are based on inputs that are not observable in the market and are therefore considered Level 3 inputs.</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With the completion of the Guidon Acquisition, the Company acquired proved properties of $537 million and unproved properties of $573 million. The results of operations attributable to the Guidon Acquisition since the acquisition date have been included in the condensed consolidated statements of operations and include $107 million and $240 million of total revenue and $52 million and $117 million of net income for the three and nine months ended September 30, 2021, respectively.</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QEP Resources, Inc.</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March 17, 2021, the Company completed its acquisition of QEP in an all-stock transaction (the “QEP Merger”). The addition of QEP’s assets increased the Company’s net acreage in the Midland Basin by approximately 49,000 net acres. Under the terms of the QEP Merger, each eligible share of QEP common stock issued and outstanding immediately prior to the</w:t>
      </w:r>
    </w:p>
    <w:p>
      <w:pPr>
        <w:sectPr>
          <w:pgSz w:w="11900" w:h="16838" w:orient="portrait"/>
          <w:cols w:equalWidth="0" w:num="1">
            <w:col w:w="11240"/>
          </w:cols>
          <w:pgMar w:left="320" w:top="122"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effective time converted into the right to receive 0.050 of a share of Diamondback common stock, with cash being paid in lieu of any fractional shares (the “merger consideration”).</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the acquisition consideration paid to QEP stockholders in the QEP Merger (in millions, except per share data, shares in thousands):</w:t>
      </w:r>
    </w:p>
    <w:p>
      <w:pPr>
        <w:sectPr>
          <w:pgSz w:w="11900" w:h="16838" w:orient="portrait"/>
          <w:cols w:equalWidth="0" w:num="1">
            <w:col w:w="11240"/>
          </w:cols>
          <w:pgMar w:left="320" w:top="122" w:right="339" w:bottom="1440" w:gutter="0" w:footer="0" w:header="0"/>
        </w:sect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 w:lineRule="exact"/>
        <w:rPr>
          <w:sz w:val="20"/>
          <w:szCs w:val="20"/>
          <w:color w:val="auto"/>
        </w:rPr>
      </w:pPr>
    </w:p>
    <w:p>
      <w:pPr>
        <w:ind w:left="20" w:right="2155"/>
        <w:spacing w:after="0" w:line="308" w:lineRule="auto"/>
        <w:rPr>
          <w:sz w:val="20"/>
          <w:szCs w:val="20"/>
          <w:color w:val="auto"/>
        </w:rPr>
      </w:pPr>
      <w:r>
        <w:rPr>
          <w:rFonts w:ascii="Arial" w:cs="Arial" w:eastAsia="Arial" w:hAnsi="Arial"/>
          <w:sz w:val="16"/>
          <w:szCs w:val="16"/>
          <w:color w:val="auto"/>
        </w:rPr>
        <w:t>Eligible shares of QEP common stock converted into shares of Diamondback common stock Shares of QEP equity awards included in precombination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right="3815"/>
        <w:spacing w:after="0" w:line="266" w:lineRule="auto"/>
        <w:rPr>
          <w:sz w:val="20"/>
          <w:szCs w:val="20"/>
          <w:color w:val="auto"/>
        </w:rPr>
      </w:pPr>
      <w:r>
        <w:rPr>
          <w:rFonts w:ascii="Arial" w:cs="Arial" w:eastAsia="Arial" w:hAnsi="Arial"/>
          <w:sz w:val="18"/>
          <w:szCs w:val="18"/>
          <w:color w:val="auto"/>
        </w:rPr>
        <w:t>Total shares of QEP common stock eligible for merger consideration Exchange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right="3695"/>
        <w:spacing w:after="0" w:line="331" w:lineRule="auto"/>
        <w:rPr>
          <w:sz w:val="20"/>
          <w:szCs w:val="20"/>
          <w:color w:val="auto"/>
        </w:rPr>
      </w:pPr>
      <w:r>
        <w:rPr>
          <w:rFonts w:ascii="Arial" w:cs="Arial" w:eastAsia="Arial" w:hAnsi="Arial"/>
          <w:sz w:val="16"/>
          <w:szCs w:val="16"/>
          <w:color w:val="auto"/>
        </w:rPr>
        <w:t>Shares of Diamondback common stock issued as merger consideration Closing price per share of Diamondback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b w:val="1"/>
          <w:bCs w:val="1"/>
          <w:color w:val="auto"/>
        </w:rPr>
        <w:t>Total consideration (fair value of the Company's common stock issued)</w:t>
      </w:r>
    </w:p>
    <w:p>
      <w:pPr>
        <w:spacing w:after="0" w:line="3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Purchase Price Allocation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238,153</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4,221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10795</wp:posOffset>
            </wp:positionV>
            <wp:extent cx="11830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16"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242,374</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0.050</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12,119</w:t>
      </w:r>
    </w:p>
    <w:p>
      <w:pPr>
        <w:spacing w:after="0" w:line="23" w:lineRule="exact"/>
        <w:rPr>
          <w:sz w:val="20"/>
          <w:szCs w:val="20"/>
          <w:color w:val="auto"/>
        </w:rPr>
      </w:pPr>
    </w:p>
    <w:p>
      <w:pPr>
        <w:ind w:left="1385" w:hanging="1385"/>
        <w:spacing w:after="0"/>
        <w:tabs>
          <w:tab w:leader="none" w:pos="1385" w:val="left"/>
        </w:tabs>
        <w:numPr>
          <w:ilvl w:val="0"/>
          <w:numId w:val="6"/>
        </w:numPr>
        <w:rPr>
          <w:rFonts w:ascii="Arial" w:cs="Arial" w:eastAsia="Arial" w:hAnsi="Arial"/>
          <w:sz w:val="15"/>
          <w:szCs w:val="15"/>
          <w:color w:val="auto"/>
        </w:rPr>
      </w:pPr>
      <w:r>
        <w:rPr>
          <w:rFonts w:ascii="Arial" w:cs="Arial" w:eastAsia="Arial" w:hAnsi="Arial"/>
          <w:sz w:val="15"/>
          <w:szCs w:val="15"/>
          <w:color w:val="auto"/>
        </w:rPr>
        <w:t>81.41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33020</wp:posOffset>
            </wp:positionV>
            <wp:extent cx="11830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51" w:lineRule="exact"/>
        <w:rPr>
          <w:sz w:val="20"/>
          <w:szCs w:val="20"/>
          <w:color w:val="auto"/>
        </w:rPr>
      </w:pPr>
    </w:p>
    <w:p>
      <w:pPr>
        <w:ind w:left="5"/>
        <w:spacing w:after="0"/>
        <w:tabs>
          <w:tab w:leader="none" w:pos="1485"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987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33020</wp:posOffset>
            </wp:positionV>
            <wp:extent cx="11830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58420</wp:posOffset>
            </wp:positionV>
            <wp:extent cx="11830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809" w:lineRule="exact"/>
        <w:rPr>
          <w:sz w:val="20"/>
          <w:szCs w:val="20"/>
          <w:color w:val="auto"/>
        </w:rPr>
      </w:pPr>
    </w:p>
    <w:p>
      <w:pPr>
        <w:sectPr>
          <w:pgSz w:w="11900" w:h="16838" w:orient="portrait"/>
          <w:cols w:equalWidth="0" w:num="2">
            <w:col w:w="8675" w:space="720"/>
            <w:col w:w="1845"/>
          </w:cols>
          <w:pgMar w:left="320" w:top="122" w:right="339" w:bottom="1440" w:gutter="0" w:footer="0" w:header="0"/>
          <w:type w:val="continuous"/>
        </w:sectPr>
      </w:pPr>
    </w:p>
    <w:p>
      <w:pPr>
        <w:spacing w:after="0" w:line="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QEP Merger has been accounted for as a business combination using the acquisition method. The following table represents the preliminary allocation of the total purchase price for the acquisition of QEP to the identifiable assets acquired and the liabilities assumed based on the fair values at the acquisition date. The purchase price allocation was complete as of the first quarter of 2022. The following table sets forth the Company’s purchase price allocation (in millions):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consideration</w:t>
            </w:r>
          </w:p>
        </w:tc>
        <w:tc>
          <w:tcPr>
            <w:tcW w:w="940" w:type="dxa"/>
            <w:vAlign w:val="bottom"/>
            <w:shd w:val="clear" w:color="auto" w:fill="CCEEFF"/>
          </w:tcPr>
          <w:p>
            <w:pPr>
              <w:jc w:val="right"/>
              <w:ind w:right="75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r>
      <w:tr>
        <w:trPr>
          <w:trHeight w:val="216"/>
        </w:trPr>
        <w:tc>
          <w:tcPr>
            <w:tcW w:w="9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9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Fair value of liabilities assumed:</w:t>
            </w:r>
          </w:p>
        </w:tc>
        <w:tc>
          <w:tcPr>
            <w:tcW w:w="9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9000" w:type="dxa"/>
            <w:vAlign w:val="bottom"/>
          </w:tcPr>
          <w:p>
            <w:pPr>
              <w:ind w:left="240"/>
              <w:spacing w:after="0"/>
              <w:rPr>
                <w:sz w:val="20"/>
                <w:szCs w:val="20"/>
                <w:color w:val="auto"/>
              </w:rPr>
            </w:pPr>
            <w:r>
              <w:rPr>
                <w:rFonts w:ascii="Arial" w:cs="Arial" w:eastAsia="Arial" w:hAnsi="Arial"/>
                <w:sz w:val="18"/>
                <w:szCs w:val="18"/>
                <w:color w:val="auto"/>
              </w:rPr>
              <w:t>Accounts payable - trade</w:t>
            </w:r>
          </w:p>
        </w:tc>
        <w:tc>
          <w:tcPr>
            <w:tcW w:w="940" w:type="dxa"/>
            <w:vAlign w:val="bottom"/>
          </w:tcPr>
          <w:p>
            <w:pPr>
              <w:jc w:val="right"/>
              <w:ind w:right="752"/>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9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capital expenditures</w:t>
            </w:r>
          </w:p>
        </w:tc>
        <w:tc>
          <w:tcPr>
            <w:tcW w:w="9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8"/>
        </w:trPr>
        <w:tc>
          <w:tcPr>
            <w:tcW w:w="9000" w:type="dxa"/>
            <w:vAlign w:val="bottom"/>
          </w:tcPr>
          <w:p>
            <w:pPr>
              <w:ind w:left="240"/>
              <w:spacing w:after="0"/>
              <w:rPr>
                <w:sz w:val="20"/>
                <w:szCs w:val="20"/>
                <w:color w:val="auto"/>
              </w:rPr>
            </w:pPr>
            <w:r>
              <w:rPr>
                <w:rFonts w:ascii="Arial" w:cs="Arial" w:eastAsia="Arial" w:hAnsi="Arial"/>
                <w:sz w:val="18"/>
                <w:szCs w:val="18"/>
                <w:color w:val="auto"/>
              </w:rPr>
              <w:t>Other accrued liabilities</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9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Revenues and royalties payable</w:t>
            </w:r>
          </w:p>
        </w:tc>
        <w:tc>
          <w:tcPr>
            <w:tcW w:w="9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8"/>
        </w:trPr>
        <w:tc>
          <w:tcPr>
            <w:tcW w:w="9000" w:type="dxa"/>
            <w:vAlign w:val="bottom"/>
          </w:tcPr>
          <w:p>
            <w:pPr>
              <w:ind w:left="240"/>
              <w:spacing w:after="0"/>
              <w:rPr>
                <w:sz w:val="20"/>
                <w:szCs w:val="20"/>
                <w:color w:val="auto"/>
              </w:rPr>
            </w:pPr>
            <w:r>
              <w:rPr>
                <w:rFonts w:ascii="Arial" w:cs="Arial" w:eastAsia="Arial" w:hAnsi="Arial"/>
                <w:sz w:val="18"/>
                <w:szCs w:val="18"/>
                <w:color w:val="auto"/>
              </w:rPr>
              <w:t>Derivative instruments</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31"/>
        </w:trPr>
        <w:tc>
          <w:tcPr>
            <w:tcW w:w="9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Long-term debt</w:t>
            </w:r>
          </w:p>
        </w:tc>
        <w:tc>
          <w:tcPr>
            <w:tcW w:w="9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r>
      <w:tr>
        <w:trPr>
          <w:trHeight w:val="228"/>
        </w:trPr>
        <w:tc>
          <w:tcPr>
            <w:tcW w:w="9000" w:type="dxa"/>
            <w:vAlign w:val="bottom"/>
          </w:tcPr>
          <w:p>
            <w:pPr>
              <w:ind w:left="240"/>
              <w:spacing w:after="0"/>
              <w:rPr>
                <w:sz w:val="20"/>
                <w:szCs w:val="20"/>
                <w:color w:val="auto"/>
              </w:rPr>
            </w:pPr>
            <w:r>
              <w:rPr>
                <w:rFonts w:ascii="Arial" w:cs="Arial" w:eastAsia="Arial" w:hAnsi="Arial"/>
                <w:sz w:val="18"/>
                <w:szCs w:val="18"/>
                <w:color w:val="auto"/>
              </w:rPr>
              <w:t>Asset retirement obligations</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9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long-term liabilities</w:t>
            </w:r>
          </w:p>
        </w:tc>
        <w:tc>
          <w:tcPr>
            <w:tcW w:w="9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2"/>
        </w:trPr>
        <w:tc>
          <w:tcPr>
            <w:tcW w:w="90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Amount attributable to liabilities assumed</w:t>
            </w:r>
          </w:p>
        </w:tc>
        <w:tc>
          <w:tcPr>
            <w:tcW w:w="940" w:type="dxa"/>
            <w:vAlign w:val="bottom"/>
            <w:tcBorders>
              <w:bottom w:val="single" w:sz="8" w:color="auto"/>
            </w:tcBorders>
          </w:tcPr>
          <w:p>
            <w:pPr>
              <w:jc w:val="right"/>
              <w:ind w:right="75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2,307</w:t>
            </w:r>
          </w:p>
        </w:tc>
      </w:tr>
      <w:tr>
        <w:trPr>
          <w:trHeight w:val="197"/>
        </w:trPr>
        <w:tc>
          <w:tcPr>
            <w:tcW w:w="90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3"/>
        </w:trPr>
        <w:tc>
          <w:tcPr>
            <w:tcW w:w="9000" w:type="dxa"/>
            <w:vAlign w:val="bottom"/>
          </w:tcPr>
          <w:p>
            <w:pPr>
              <w:ind w:left="20"/>
              <w:spacing w:after="0"/>
              <w:rPr>
                <w:sz w:val="20"/>
                <w:szCs w:val="20"/>
                <w:color w:val="auto"/>
              </w:rPr>
            </w:pPr>
            <w:r>
              <w:rPr>
                <w:rFonts w:ascii="Arial" w:cs="Arial" w:eastAsia="Arial" w:hAnsi="Arial"/>
                <w:sz w:val="16"/>
                <w:szCs w:val="16"/>
                <w:b w:val="1"/>
                <w:bCs w:val="1"/>
                <w:color w:val="auto"/>
              </w:rPr>
              <w:t>Fair value of assets acquired:</w:t>
            </w:r>
          </w:p>
        </w:tc>
        <w:tc>
          <w:tcPr>
            <w:tcW w:w="9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2"/>
        </w:trPr>
        <w:tc>
          <w:tcPr>
            <w:tcW w:w="9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cash equivalents and restricted cash</w:t>
            </w:r>
          </w:p>
        </w:tc>
        <w:tc>
          <w:tcPr>
            <w:tcW w:w="940" w:type="dxa"/>
            <w:vAlign w:val="bottom"/>
            <w:shd w:val="clear" w:color="auto" w:fill="CCEEFF"/>
          </w:tcPr>
          <w:p>
            <w:pPr>
              <w:jc w:val="right"/>
              <w:ind w:right="75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8"/>
        </w:trPr>
        <w:tc>
          <w:tcPr>
            <w:tcW w:w="9000" w:type="dxa"/>
            <w:vAlign w:val="bottom"/>
          </w:tcPr>
          <w:p>
            <w:pPr>
              <w:ind w:left="240"/>
              <w:spacing w:after="0"/>
              <w:rPr>
                <w:sz w:val="20"/>
                <w:szCs w:val="20"/>
                <w:color w:val="auto"/>
              </w:rPr>
            </w:pPr>
            <w:r>
              <w:rPr>
                <w:rFonts w:ascii="Arial" w:cs="Arial" w:eastAsia="Arial" w:hAnsi="Arial"/>
                <w:sz w:val="18"/>
                <w:szCs w:val="18"/>
                <w:color w:val="auto"/>
              </w:rPr>
              <w:t>Accounts receivable - joint interest and other, net</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9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 - oil and natural gas sales, net</w:t>
            </w:r>
          </w:p>
        </w:tc>
        <w:tc>
          <w:tcPr>
            <w:tcW w:w="9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900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9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 receivable</w:t>
            </w:r>
          </w:p>
        </w:tc>
        <w:tc>
          <w:tcPr>
            <w:tcW w:w="9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900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9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Oil and natural gas properties</w:t>
            </w:r>
          </w:p>
        </w:tc>
        <w:tc>
          <w:tcPr>
            <w:tcW w:w="9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w:t>
            </w:r>
          </w:p>
        </w:tc>
      </w:tr>
      <w:tr>
        <w:trPr>
          <w:trHeight w:val="228"/>
        </w:trPr>
        <w:tc>
          <w:tcPr>
            <w:tcW w:w="9000" w:type="dxa"/>
            <w:vAlign w:val="bottom"/>
          </w:tcPr>
          <w:p>
            <w:pPr>
              <w:ind w:left="240"/>
              <w:spacing w:after="0"/>
              <w:rPr>
                <w:sz w:val="20"/>
                <w:szCs w:val="20"/>
                <w:color w:val="auto"/>
              </w:rPr>
            </w:pPr>
            <w:r>
              <w:rPr>
                <w:rFonts w:ascii="Arial" w:cs="Arial" w:eastAsia="Arial" w:hAnsi="Arial"/>
                <w:sz w:val="18"/>
                <w:szCs w:val="18"/>
                <w:color w:val="auto"/>
              </w:rPr>
              <w:t>Other property, equipment and land</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1"/>
        </w:trPr>
        <w:tc>
          <w:tcPr>
            <w:tcW w:w="9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income taxes</w:t>
            </w:r>
          </w:p>
        </w:tc>
        <w:tc>
          <w:tcPr>
            <w:tcW w:w="9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8"/>
        </w:trPr>
        <w:tc>
          <w:tcPr>
            <w:tcW w:w="90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assets</w:t>
            </w:r>
          </w:p>
        </w:tc>
        <w:tc>
          <w:tcPr>
            <w:tcW w:w="9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r>
      <w:tr>
        <w:trPr>
          <w:trHeight w:val="223"/>
        </w:trPr>
        <w:tc>
          <w:tcPr>
            <w:tcW w:w="9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Amount attributable to assets acquired</w:t>
            </w:r>
          </w:p>
        </w:tc>
        <w:tc>
          <w:tcPr>
            <w:tcW w:w="9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3,294</w:t>
            </w:r>
          </w:p>
        </w:tc>
      </w:tr>
      <w:tr>
        <w:trPr>
          <w:trHeight w:val="224"/>
        </w:trPr>
        <w:tc>
          <w:tcPr>
            <w:tcW w:w="9000" w:type="dxa"/>
            <w:vAlign w:val="bottom"/>
          </w:tcPr>
          <w:p>
            <w:pPr>
              <w:ind w:left="20"/>
              <w:spacing w:after="0"/>
              <w:rPr>
                <w:sz w:val="20"/>
                <w:szCs w:val="20"/>
                <w:color w:val="auto"/>
              </w:rPr>
            </w:pPr>
            <w:r>
              <w:rPr>
                <w:rFonts w:ascii="Arial" w:cs="Arial" w:eastAsia="Arial" w:hAnsi="Arial"/>
                <w:sz w:val="16"/>
                <w:szCs w:val="16"/>
                <w:b w:val="1"/>
                <w:bCs w:val="1"/>
                <w:color w:val="auto"/>
              </w:rPr>
              <w:t>Net assets acquired and liabilities assumed</w:t>
            </w:r>
          </w:p>
        </w:tc>
        <w:tc>
          <w:tcPr>
            <w:tcW w:w="940" w:type="dxa"/>
            <w:vAlign w:val="bottom"/>
            <w:tcBorders>
              <w:bottom w:val="single" w:sz="8" w:color="auto"/>
            </w:tcBorders>
          </w:tcPr>
          <w:p>
            <w:pPr>
              <w:jc w:val="right"/>
              <w:ind w:right="75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w:t>
            </w:r>
          </w:p>
        </w:tc>
      </w:tr>
      <w:tr>
        <w:trPr>
          <w:trHeight w:val="20"/>
        </w:trPr>
        <w:tc>
          <w:tcPr>
            <w:tcW w:w="9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purchase price allocation above is based on the fair values of the assets and liabilities of QEP as of the closing date of the QEP Merger. The majority of the measurements of assets acquired and liabilities assumed are based on inputs that are not observable in the market and are therefore considered Level 3 inputs. The fair value of acquired property and equipment, including midstream assets classified in oil and natural gas properties, is based on the cost approach, which utilized</w:t>
      </w:r>
    </w:p>
    <w:p>
      <w:pPr>
        <w:sectPr>
          <w:pgSz w:w="11900" w:h="16838" w:orient="portrait"/>
          <w:cols w:equalWidth="0" w:num="1">
            <w:col w:w="11240"/>
          </w:cols>
          <w:pgMar w:left="320" w:top="122" w:right="3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asset listings and cost records with consideration for the reported age, condition, utilization and economic support of the assets. Oil and natural gas properties were valued using an income approach utilizing the discounted cash flow method, which takes into account production forecasts, projected commodity prices and pricing differentials, and estimates of future capital and operating costs which were then discounted utilizing an estimated weighted-average cost of capital for industry market participants. The fair value of QEP’s outstanding senior unsecured notes was based on unadjusted quoted prices in an active market, which are considered Level 1 inputs. The value of derivative instruments was based on observable inputs including forward commodity-price curves which are considered Level 2 inputs. Deferred income taxes represent the tax effects of differences in the tax basis and merger-date fair values of assets acquired and liabilities assumed.</w:t>
      </w:r>
    </w:p>
    <w:p>
      <w:pPr>
        <w:spacing w:after="0" w:line="2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With the completion of the QEP Merger, the Company acquired proved properties of $2.0 billion and unproved properties of $733 million, primarily in the Midland Basin and the Williston Basin. In October 2021, the Company completed the divestiture of the Williston Basin properties, acquired as part of the QEP Merger and consisting of approximately 95,000 net acres, to Oasis Petroleum Inc. for net cash proceeds of approximately $586 million, after customary closing adjustments. See “—Williston Basin Divestiture” below.</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results of operations attributable to the QEP Merger since the acquisition date have been included in the condensed consolidated statements of operations and include $422 million and $835 million of total revenue and $162 million and $301 million of net income for the three and nine months ended September 30, 2021, respectively.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 Forma Financial Information</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following unaudited summary pro forma financial information for the three and nine months ended September 30, 2021 has been prepared to give effect to the QEP Merger and the Guidon Acquisition as if they had occurred on January 1, 2020. The unaudited pro forma financial information does not purport to be indicative of what the combined company’s results of operations would have been if these transactions had occurred on the dates indicated, nor is it indicative of the future financial position or results of operations of the combined company.</w:t>
      </w:r>
    </w:p>
    <w:p>
      <w:pPr>
        <w:spacing w:after="0" w:line="19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below information reflects pro forma adjustments for the issuance of the Company’s common stock in exchange for QEP’s outstanding shares of common stock, as well as pro forma adjustments based on available information and certain assumptions that the Company believes are reasonable, including adjustments to depreciation, depletion and amortization based on the full cost method of accounting and the purchase price allocated to property, plant, and equipment as well as adjustments to interest expense and the provision for (benefit from) income taxes.</w:t>
      </w:r>
    </w:p>
    <w:p>
      <w:pPr>
        <w:spacing w:after="0" w:line="19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Additionally, pro forma earnings were adjusted to exclude acquisition-related costs incurred by the Company for the QEP Merger and the Guidon Acquisition of approximately $77 million for the nine months ended September 30, 2021, and acquisition-related costs incurred by QEP of $31 million through the closing date of the QEP Merger. These acquisition-related costs primarily consist of one-time severance costs and the accelerated or change-in-control vesting of certain QEP share-based awards for former QEP employees based on the terms of the merger agreement relating to the QEP Merger and other bank, legal and advisory fees. The pro forma results of operations do not include any cost savings or other synergies that may result from the QEP Merger and the Guidon Acquisition or any estimated costs that have been or will be incurred by the Company to integrate the acquired assets. The pro forma financial data does not include the results of operations for any other acquisitions made during the periods presented, as they were primarily acreage acquisitions and their results were not deemed material.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tcPr>
          <w:p>
            <w:pPr>
              <w:jc w:val="right"/>
              <w:ind w:right="193"/>
              <w:spacing w:after="0"/>
              <w:rPr>
                <w:sz w:val="20"/>
                <w:szCs w:val="20"/>
                <w:color w:val="auto"/>
              </w:rPr>
            </w:pPr>
            <w:r>
              <w:rPr>
                <w:rFonts w:ascii="Arial" w:cs="Arial" w:eastAsia="Arial" w:hAnsi="Arial"/>
                <w:sz w:val="16"/>
                <w:szCs w:val="16"/>
                <w:b w:val="1"/>
                <w:bCs w:val="1"/>
                <w:color w:val="auto"/>
                <w:w w:val="96"/>
              </w:rPr>
              <w:t>Three Months Ended</w:t>
            </w:r>
          </w:p>
        </w:tc>
        <w:tc>
          <w:tcPr>
            <w:tcW w:w="260" w:type="dxa"/>
            <w:vAlign w:val="bottom"/>
          </w:tcPr>
          <w:p>
            <w:pPr>
              <w:spacing w:after="0"/>
              <w:rPr>
                <w:sz w:val="16"/>
                <w:szCs w:val="16"/>
                <w:color w:val="auto"/>
              </w:rPr>
            </w:pPr>
          </w:p>
        </w:tc>
        <w:tc>
          <w:tcPr>
            <w:tcW w:w="1780" w:type="dxa"/>
            <w:vAlign w:val="bottom"/>
          </w:tcPr>
          <w:p>
            <w:pPr>
              <w:jc w:val="right"/>
              <w:ind w:right="213"/>
              <w:spacing w:after="0"/>
              <w:rPr>
                <w:sz w:val="20"/>
                <w:szCs w:val="20"/>
                <w:color w:val="auto"/>
              </w:rPr>
            </w:pPr>
            <w:r>
              <w:rPr>
                <w:rFonts w:ascii="Arial" w:cs="Arial" w:eastAsia="Arial" w:hAnsi="Arial"/>
                <w:sz w:val="16"/>
                <w:szCs w:val="16"/>
                <w:b w:val="1"/>
                <w:bCs w:val="1"/>
                <w:color w:val="auto"/>
                <w:w w:val="97"/>
              </w:rPr>
              <w:t>Nine Months Ended</w:t>
            </w:r>
          </w:p>
        </w:tc>
      </w:tr>
      <w:tr>
        <w:trPr>
          <w:trHeight w:val="213"/>
        </w:trPr>
        <w:tc>
          <w:tcPr>
            <w:tcW w:w="7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w w:val="97"/>
              </w:rPr>
              <w:t>September 30, 2021</w:t>
            </w:r>
          </w:p>
        </w:tc>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w w:val="97"/>
              </w:rPr>
              <w:t>September 30, 2021</w:t>
            </w:r>
          </w:p>
        </w:tc>
      </w:tr>
      <w:tr>
        <w:trPr>
          <w:trHeight w:val="210"/>
        </w:trPr>
        <w:tc>
          <w:tcPr>
            <w:tcW w:w="7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60" w:type="dxa"/>
            <w:vAlign w:val="bottom"/>
            <w:gridSpan w:val="3"/>
          </w:tcPr>
          <w:p>
            <w:pPr>
              <w:jc w:val="right"/>
              <w:ind w:right="573"/>
              <w:spacing w:after="0"/>
              <w:rPr>
                <w:sz w:val="20"/>
                <w:szCs w:val="20"/>
                <w:color w:val="auto"/>
              </w:rPr>
            </w:pPr>
            <w:r>
              <w:rPr>
                <w:rFonts w:ascii="Arial" w:cs="Arial" w:eastAsia="Arial" w:hAnsi="Arial"/>
                <w:sz w:val="16"/>
                <w:szCs w:val="16"/>
                <w:b w:val="1"/>
                <w:bCs w:val="1"/>
                <w:color w:val="auto"/>
              </w:rPr>
              <w:t>(In millions, except per share amounts)</w:t>
            </w:r>
          </w:p>
        </w:tc>
      </w:tr>
      <w:tr>
        <w:trPr>
          <w:trHeight w:val="232"/>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1,910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5,047</w:t>
            </w:r>
          </w:p>
        </w:tc>
      </w:tr>
      <w:tr>
        <w:trPr>
          <w:trHeight w:val="229"/>
        </w:trPr>
        <w:tc>
          <w:tcPr>
            <w:tcW w:w="720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1,164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2,870</w:t>
            </w: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649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Basic earnings (loss)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3.59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6.54</w:t>
            </w: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(loss) per common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5.56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Williston Basin Divestiture</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October 21, 2021, the Company completed the divestiture of its Williston Basin oil and natural gas assets, consisting of approximately 95,000 net acres, to Oasis Petroleum Inc., for net cash proceeds of approximately $586 million, after customary closing adjustments. This transaction did not result in a significant alteration of the relationship between the Company’s capitalized costs and proved reserves and, accordingly, the Company recorded the proceeds as a reduction of its full cost pool with no gain or loss recognized on the sale. The Company used its net proceeds from this transaction toward debt reduction.</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2021 Drop Down Transaction</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December 1, 2021, Diamondback completed the sale of certain water midstream assets to Rattler in exchange for cash proceeds of approximately $164 million, including post-closing adjustments, in a drop down transaction (the “Drop Down”). The midstream assets consist primarily of produced water gathering and disposal systems, produced water recycling facilities, and sourced water gathering and storage assets acquired by the Company through the Guidon Acquisition and the QEP Merger with a carrying value of approximately $164 million. The Drop Down transaction was accounted for as a transaction between entities under common control.</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Viper’s Swallowtail Acquisition</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October 1, 2021, Viper acquired certain mineral and royalty interests from the Swallowtail entities pursuant to a definitive purchase and sale agreement for 15.25 million of Viper’s common units and approximately $225 million in cash (the “Swallowtail Acquisition”). The mineral and royalty interests acquired in the Swallowtail Acquisition represent approximately 2,313 net royalty acres primarily in the Northern Midland Basin, of which approximately 62% are operated by Diamondback as of December 31, 2021. The Swallowtail Acquisition had an effective date of August 1, 2021. The cash portion of this transaction was funded through a combination of Viper’s cash on hand and approximately $190 million of borrowings under Viper LLC’s revolving credit facility.</w:t>
      </w:r>
    </w:p>
    <w:p>
      <w:pPr>
        <w:spacing w:after="0" w:line="200" w:lineRule="exact"/>
        <w:rPr>
          <w:sz w:val="20"/>
          <w:szCs w:val="20"/>
          <w:color w:val="auto"/>
        </w:rPr>
      </w:pPr>
    </w:p>
    <w:p>
      <w:pPr>
        <w:spacing w:after="0" w:line="2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tab/>
        <w:t>PROPERTY AND EQUIPMENT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includes the following as of the dates indicated:</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w:t>
            </w:r>
          </w:p>
        </w:tc>
        <w:tc>
          <w:tcPr>
            <w:tcW w:w="380" w:type="dxa"/>
            <w:vAlign w:val="bottom"/>
          </w:tcPr>
          <w:p>
            <w:pPr>
              <w:spacing w:after="0"/>
              <w:rPr>
                <w:sz w:val="18"/>
                <w:szCs w:val="18"/>
                <w:color w:val="auto"/>
              </w:rPr>
            </w:pPr>
          </w:p>
        </w:tc>
        <w:tc>
          <w:tcPr>
            <w:tcW w:w="1340" w:type="dxa"/>
            <w:vAlign w:val="bottom"/>
          </w:tcPr>
          <w:p>
            <w:pPr>
              <w:jc w:val="right"/>
              <w:ind w:right="292"/>
              <w:spacing w:after="0"/>
              <w:rPr>
                <w:sz w:val="20"/>
                <w:szCs w:val="20"/>
                <w:color w:val="auto"/>
              </w:rPr>
            </w:pPr>
            <w:r>
              <w:rPr>
                <w:rFonts w:ascii="Arial" w:cs="Arial" w:eastAsia="Arial" w:hAnsi="Arial"/>
                <w:sz w:val="16"/>
                <w:szCs w:val="16"/>
                <w:b w:val="1"/>
                <w:bCs w:val="1"/>
                <w:color w:val="auto"/>
                <w:w w:val="90"/>
              </w:rPr>
              <w:t>December 31,</w:t>
            </w:r>
          </w:p>
        </w:tc>
      </w:tr>
      <w:tr>
        <w:trPr>
          <w:trHeight w:val="219"/>
        </w:trPr>
        <w:tc>
          <w:tcPr>
            <w:tcW w:w="7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2021</w:t>
            </w:r>
          </w:p>
        </w:tc>
      </w:tr>
      <w:tr>
        <w:trPr>
          <w:trHeight w:val="210"/>
        </w:trPr>
        <w:tc>
          <w:tcPr>
            <w:tcW w:w="7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340" w:type="dxa"/>
            <w:vAlign w:val="bottom"/>
          </w:tcPr>
          <w:p>
            <w:pPr>
              <w:spacing w:after="0"/>
              <w:rPr>
                <w:sz w:val="18"/>
                <w:szCs w:val="18"/>
                <w:color w:val="auto"/>
              </w:rPr>
            </w:pPr>
          </w:p>
        </w:tc>
      </w:tr>
      <w:tr>
        <w:trPr>
          <w:trHeight w:val="232"/>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and natural gas properties:</w:t>
            </w: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30"/>
        </w:trPr>
        <w:tc>
          <w:tcPr>
            <w:tcW w:w="7720" w:type="dxa"/>
            <w:vAlign w:val="bottom"/>
          </w:tcPr>
          <w:p>
            <w:pPr>
              <w:ind w:left="220"/>
              <w:spacing w:after="0"/>
              <w:rPr>
                <w:sz w:val="20"/>
                <w:szCs w:val="20"/>
                <w:color w:val="auto"/>
              </w:rPr>
            </w:pPr>
            <w:r>
              <w:rPr>
                <w:rFonts w:ascii="Arial" w:cs="Arial" w:eastAsia="Arial" w:hAnsi="Arial"/>
                <w:sz w:val="18"/>
                <w:szCs w:val="18"/>
                <w:color w:val="auto"/>
              </w:rPr>
              <w:t>Subject to depletion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26,633</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24,418</w:t>
            </w:r>
          </w:p>
        </w:tc>
      </w:tr>
      <w:tr>
        <w:trPr>
          <w:trHeight w:val="229"/>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 subject to depletion</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8,496</w:t>
            </w:r>
          </w:p>
        </w:tc>
      </w:tr>
      <w:tr>
        <w:trPr>
          <w:trHeight w:val="223"/>
        </w:trPr>
        <w:tc>
          <w:tcPr>
            <w:tcW w:w="7720" w:type="dxa"/>
            <w:vAlign w:val="bottom"/>
          </w:tcPr>
          <w:p>
            <w:pPr>
              <w:ind w:left="220"/>
              <w:spacing w:after="0"/>
              <w:rPr>
                <w:sz w:val="20"/>
                <w:szCs w:val="20"/>
                <w:color w:val="auto"/>
              </w:rPr>
            </w:pPr>
            <w:r>
              <w:rPr>
                <w:rFonts w:ascii="Arial" w:cs="Arial" w:eastAsia="Arial" w:hAnsi="Arial"/>
                <w:sz w:val="18"/>
                <w:szCs w:val="18"/>
                <w:color w:val="auto"/>
              </w:rPr>
              <w:t>Gross oil and natural gas properties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35,019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32,914</w:t>
            </w:r>
          </w:p>
        </w:tc>
      </w:tr>
      <w:tr>
        <w:trPr>
          <w:trHeight w:val="230"/>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depletion</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w:t>
            </w:r>
          </w:p>
        </w:tc>
      </w:tr>
      <w:tr>
        <w:trPr>
          <w:trHeight w:val="230"/>
        </w:trPr>
        <w:tc>
          <w:tcPr>
            <w:tcW w:w="77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Accumulated impairment</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(7,954)</w:t>
            </w:r>
          </w:p>
        </w:tc>
      </w:tr>
      <w:tr>
        <w:trPr>
          <w:trHeight w:val="223"/>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Oil and natural gas properties, net</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19,526</w:t>
            </w:r>
          </w:p>
        </w:tc>
      </w:tr>
      <w:tr>
        <w:trPr>
          <w:trHeight w:val="230"/>
        </w:trPr>
        <w:tc>
          <w:tcPr>
            <w:tcW w:w="7720" w:type="dxa"/>
            <w:vAlign w:val="bottom"/>
          </w:tcPr>
          <w:p>
            <w:pPr>
              <w:ind w:left="220"/>
              <w:spacing w:after="0"/>
              <w:rPr>
                <w:sz w:val="20"/>
                <w:szCs w:val="20"/>
                <w:color w:val="auto"/>
              </w:rPr>
            </w:pPr>
            <w:r>
              <w:rPr>
                <w:rFonts w:ascii="Arial" w:cs="Arial" w:eastAsia="Arial" w:hAnsi="Arial"/>
                <w:sz w:val="18"/>
                <w:szCs w:val="18"/>
                <w:color w:val="auto"/>
              </w:rPr>
              <w:t>Other property, equipment and land</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1,371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1,250</w:t>
            </w:r>
          </w:p>
        </w:tc>
      </w:tr>
      <w:tr>
        <w:trPr>
          <w:trHeight w:val="230"/>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depreciation, amortization, accretion and impairment</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23"/>
        </w:trPr>
        <w:tc>
          <w:tcPr>
            <w:tcW w:w="7720" w:type="dxa"/>
            <w:vAlign w:val="bottom"/>
          </w:tcPr>
          <w:p>
            <w:pPr>
              <w:ind w:left="360"/>
              <w:spacing w:after="0"/>
              <w:rPr>
                <w:sz w:val="20"/>
                <w:szCs w:val="20"/>
                <w:color w:val="auto"/>
              </w:rPr>
            </w:pPr>
            <w:r>
              <w:rPr>
                <w:rFonts w:ascii="Arial" w:cs="Arial" w:eastAsia="Arial" w:hAnsi="Arial"/>
                <w:sz w:val="18"/>
                <w:szCs w:val="18"/>
                <w:color w:val="auto"/>
              </w:rPr>
              <w:t>Total property and equipment, net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21,903</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20,619</w:t>
            </w: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Under the full cost method of accounting, the Company is required to perform a ceiling test each quarter which determines a limit, or ceiling, on the book value of proved oil and natural gas properties. No impairment expense was recorded for the three and nine months ended September 30, 2022 or 2021 based on the results of the respective quarterly ceiling tests.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In connection with the QEP Merger and the Guidon Acquisition, the Company recorded the oil and natural gas properties acquired at fair value, based on forward strip oil and natural gas pricing existing at the closing date of the respective transactions, in accordance with ASC 820 Fair Value Measurement. Pursuant to SEC guidance, the Company determined that the fair value of the properties acquired in the QEP Merger and the Guidon Acquisition clearly exceeded the related full cost ceiling limitation beyond a reasonable doubt. As such, the Company requested and received a waiver from the SEC to exclude the properties acquired from the ceiling test calculation for the quarter ended March 31, 2021. As a result, no impairment expense related to the QEP Merger and the Guidon Acquisition was recorded for the three months ended March 31, 2021. Had the Company not received a waiver from the SEC, an impairment charge of approximately $1.1 billion would have been recorded for such period. Management affirmed there has not been a decline in the fair value of these acquired assets. The properties acquired in the QEP Merger and the Guidon Acquisition had total unamortized costs at March 31, 2021 of $3.0 billion and $1.1 billion, respectively.</w:t>
      </w:r>
    </w:p>
    <w:p>
      <w:pPr>
        <w:spacing w:after="0" w:line="22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commodity prices, the Company’s production rates, levels of proved reserves, future development costs, transfers of unevaluated properties and other factors will determine its actual ceiling test calculation and impairment analysis in future periods. If the future trailing 12-month commodity prices decline as compared to the commodity prices used in prior quarters, the Company may have material write downs in subsequent quarters. It is possible that circumstances requiring additional impairment testing will occur in future interim periods, which could result in potentially material impairment charges being recorded.</w:t>
      </w:r>
    </w:p>
    <w:p>
      <w:pPr>
        <w:spacing w:after="0" w:line="21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ASSET RETIREMENT OBLIGATIONS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describes the changes to the Company’s asset retirement obligations liability for the following periods: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20" w:type="dxa"/>
            <w:vAlign w:val="bottom"/>
          </w:tcPr>
          <w:p>
            <w:pPr>
              <w:spacing w:after="0"/>
              <w:rPr>
                <w:sz w:val="18"/>
                <w:szCs w:val="18"/>
                <w:color w:val="auto"/>
              </w:rPr>
            </w:pPr>
          </w:p>
        </w:tc>
        <w:tc>
          <w:tcPr>
            <w:tcW w:w="27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340" w:type="dxa"/>
            <w:vAlign w:val="bottom"/>
            <w:tcBorders>
              <w:bottom w:val="single" w:sz="8" w:color="auto"/>
            </w:tcBorders>
          </w:tcPr>
          <w:p>
            <w:pPr>
              <w:spacing w:after="0"/>
              <w:rPr>
                <w:sz w:val="18"/>
                <w:szCs w:val="18"/>
                <w:color w:val="auto"/>
              </w:rPr>
            </w:pPr>
          </w:p>
        </w:tc>
      </w:tr>
      <w:tr>
        <w:trPr>
          <w:trHeight w:val="210"/>
        </w:trPr>
        <w:tc>
          <w:tcPr>
            <w:tcW w:w="8120" w:type="dxa"/>
            <w:vAlign w:val="bottom"/>
          </w:tcPr>
          <w:p>
            <w:pPr>
              <w:spacing w:after="0"/>
              <w:rPr>
                <w:sz w:val="18"/>
                <w:szCs w:val="18"/>
                <w:color w:val="auto"/>
              </w:rPr>
            </w:pP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5"/>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auto"/>
            </w:tcBorders>
          </w:tcPr>
          <w:p>
            <w:pPr>
              <w:spacing w:after="0"/>
              <w:rPr>
                <w:sz w:val="18"/>
                <w:szCs w:val="18"/>
                <w:color w:val="auto"/>
              </w:rPr>
            </w:pPr>
          </w:p>
        </w:tc>
      </w:tr>
      <w:tr>
        <w:trPr>
          <w:trHeight w:val="210"/>
        </w:trPr>
        <w:tc>
          <w:tcPr>
            <w:tcW w:w="8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60" w:type="dxa"/>
            <w:vAlign w:val="bottom"/>
            <w:gridSpan w:val="3"/>
          </w:tcPr>
          <w:p>
            <w:pPr>
              <w:jc w:val="right"/>
              <w:ind w:right="715"/>
              <w:spacing w:after="0"/>
              <w:rPr>
                <w:sz w:val="20"/>
                <w:szCs w:val="20"/>
                <w:color w:val="auto"/>
              </w:rPr>
            </w:pPr>
            <w:r>
              <w:rPr>
                <w:rFonts w:ascii="Arial" w:cs="Arial" w:eastAsia="Arial" w:hAnsi="Arial"/>
                <w:sz w:val="16"/>
                <w:szCs w:val="16"/>
                <w:b w:val="1"/>
                <w:bCs w:val="1"/>
                <w:color w:val="auto"/>
              </w:rPr>
              <w:t>(In millions)</w:t>
            </w:r>
          </w:p>
        </w:tc>
        <w:tc>
          <w:tcPr>
            <w:tcW w:w="340" w:type="dxa"/>
            <w:vAlign w:val="bottom"/>
          </w:tcPr>
          <w:p>
            <w:pPr>
              <w:spacing w:after="0"/>
              <w:rPr>
                <w:sz w:val="18"/>
                <w:szCs w:val="18"/>
                <w:color w:val="auto"/>
              </w:rPr>
            </w:pPr>
          </w:p>
        </w:tc>
      </w:tr>
      <w:tr>
        <w:trPr>
          <w:trHeight w:val="232"/>
        </w:trPr>
        <w:tc>
          <w:tcPr>
            <w:tcW w:w="8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 retirement obligations, beginning of period</w:t>
            </w:r>
          </w:p>
        </w:tc>
        <w:tc>
          <w:tcPr>
            <w:tcW w:w="1020" w:type="dxa"/>
            <w:vAlign w:val="bottom"/>
            <w:shd w:val="clear" w:color="auto" w:fill="CCEEFF"/>
          </w:tcPr>
          <w:p>
            <w:pPr>
              <w:jc w:val="right"/>
              <w:ind w:right="836"/>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975"/>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109</w:t>
            </w:r>
          </w:p>
        </w:tc>
      </w:tr>
      <w:tr>
        <w:trPr>
          <w:trHeight w:val="225"/>
        </w:trPr>
        <w:tc>
          <w:tcPr>
            <w:tcW w:w="8120" w:type="dxa"/>
            <w:vAlign w:val="bottom"/>
          </w:tcPr>
          <w:p>
            <w:pPr>
              <w:ind w:left="20"/>
              <w:spacing w:after="0"/>
              <w:rPr>
                <w:sz w:val="20"/>
                <w:szCs w:val="20"/>
                <w:color w:val="auto"/>
              </w:rPr>
            </w:pPr>
            <w:r>
              <w:rPr>
                <w:rFonts w:ascii="Arial" w:cs="Arial" w:eastAsia="Arial" w:hAnsi="Arial"/>
                <w:sz w:val="17"/>
                <w:szCs w:val="17"/>
                <w:color w:val="auto"/>
              </w:rPr>
              <w:t>Additional liabilities incurred</w:t>
            </w: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31</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34"/>
        </w:trPr>
        <w:tc>
          <w:tcPr>
            <w:tcW w:w="8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 acquired</w:t>
            </w:r>
          </w:p>
        </w:tc>
        <w:tc>
          <w:tcPr>
            <w:tcW w:w="10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r>
      <w:tr>
        <w:trPr>
          <w:trHeight w:val="225"/>
        </w:trPr>
        <w:tc>
          <w:tcPr>
            <w:tcW w:w="8120" w:type="dxa"/>
            <w:vAlign w:val="bottom"/>
          </w:tcPr>
          <w:p>
            <w:pPr>
              <w:ind w:left="20"/>
              <w:spacing w:after="0"/>
              <w:rPr>
                <w:sz w:val="20"/>
                <w:szCs w:val="20"/>
                <w:color w:val="auto"/>
              </w:rPr>
            </w:pPr>
            <w:r>
              <w:rPr>
                <w:rFonts w:ascii="Arial" w:cs="Arial" w:eastAsia="Arial" w:hAnsi="Arial"/>
                <w:sz w:val="17"/>
                <w:szCs w:val="17"/>
                <w:color w:val="auto"/>
              </w:rPr>
              <w:t>Liabilities settled and divested</w:t>
            </w: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w w:val="99"/>
              </w:rPr>
              <w:t>(17)</w:t>
            </w:r>
          </w:p>
        </w:tc>
      </w:tr>
      <w:tr>
        <w:trPr>
          <w:trHeight w:val="234"/>
        </w:trPr>
        <w:tc>
          <w:tcPr>
            <w:tcW w:w="8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Accretion expense</w:t>
            </w:r>
          </w:p>
        </w:tc>
        <w:tc>
          <w:tcPr>
            <w:tcW w:w="10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25"/>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Revisions in estimated liabilities</w:t>
            </w:r>
          </w:p>
        </w:tc>
        <w:tc>
          <w:tcPr>
            <w:tcW w:w="10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w:t>
            </w:r>
          </w:p>
        </w:tc>
        <w:tc>
          <w:tcPr>
            <w:tcW w:w="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r>
      <w:tr>
        <w:trPr>
          <w:trHeight w:val="227"/>
        </w:trPr>
        <w:tc>
          <w:tcPr>
            <w:tcW w:w="8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 retirement obligations, end of period</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185</w:t>
            </w:r>
          </w:p>
        </w:tc>
      </w:tr>
      <w:tr>
        <w:trPr>
          <w:trHeight w:val="229"/>
        </w:trPr>
        <w:tc>
          <w:tcPr>
            <w:tcW w:w="8120" w:type="dxa"/>
            <w:vAlign w:val="bottom"/>
            <w:tcBorders>
              <w:bottom w:val="single" w:sz="8" w:color="CCEEFF"/>
            </w:tcBorders>
          </w:tcPr>
          <w:p>
            <w:pPr>
              <w:ind w:left="20"/>
              <w:spacing w:after="0" w:line="229" w:lineRule="exact"/>
              <w:rPr>
                <w:sz w:val="20"/>
                <w:szCs w:val="20"/>
                <w:color w:val="auto"/>
              </w:rPr>
            </w:pPr>
            <w:r>
              <w:rPr>
                <w:rFonts w:ascii="Arial" w:cs="Arial" w:eastAsia="Arial" w:hAnsi="Arial"/>
                <w:sz w:val="17"/>
                <w:szCs w:val="17"/>
                <w:color w:val="auto"/>
              </w:rPr>
              <w:t>Less current portion</w:t>
            </w:r>
            <w:r>
              <w:rPr>
                <w:rFonts w:ascii="Arial" w:cs="Arial" w:eastAsia="Arial" w:hAnsi="Arial"/>
                <w:sz w:val="22"/>
                <w:szCs w:val="22"/>
                <w:color w:val="auto"/>
                <w:vertAlign w:val="superscript"/>
              </w:rPr>
              <w:t>(1)</w:t>
            </w:r>
          </w:p>
        </w:tc>
        <w:tc>
          <w:tcPr>
            <w:tcW w:w="10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r>
      <w:tr>
        <w:trPr>
          <w:trHeight w:val="248"/>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 retirement obligations - long-term</w:t>
            </w: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75"/>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178</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current portion of the asset retirement obligation is included in other accrued liabilities in the Company’s condensed consolidated balance sheets.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7"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DEBT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consisted of the following as of the dates indicated: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September 30,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jc w:val="right"/>
              <w:ind w:right="431"/>
              <w:spacing w:after="0"/>
              <w:rPr>
                <w:sz w:val="20"/>
                <w:szCs w:val="20"/>
                <w:color w:val="auto"/>
              </w:rPr>
            </w:pPr>
            <w:r>
              <w:rPr>
                <w:rFonts w:ascii="Arial" w:cs="Arial" w:eastAsia="Arial" w:hAnsi="Arial"/>
                <w:sz w:val="16"/>
                <w:szCs w:val="16"/>
                <w:b w:val="1"/>
                <w:bCs w:val="1"/>
                <w:color w:val="auto"/>
                <w:w w:val="94"/>
              </w:rPr>
              <w:t>December 31,</w:t>
            </w:r>
          </w:p>
        </w:tc>
      </w:tr>
      <w:tr>
        <w:trPr>
          <w:trHeight w:val="219"/>
        </w:trPr>
        <w:tc>
          <w:tcPr>
            <w:tcW w:w="60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1500" w:type="dxa"/>
            <w:vAlign w:val="bottom"/>
            <w:tcBorders>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31"/>
              <w:spacing w:after="0"/>
              <w:rPr>
                <w:sz w:val="20"/>
                <w:szCs w:val="20"/>
                <w:color w:val="auto"/>
              </w:rPr>
            </w:pPr>
            <w:r>
              <w:rPr>
                <w:rFonts w:ascii="Arial" w:cs="Arial" w:eastAsia="Arial" w:hAnsi="Arial"/>
                <w:sz w:val="16"/>
                <w:szCs w:val="16"/>
                <w:b w:val="1"/>
                <w:bCs w:val="1"/>
                <w:color w:val="auto"/>
              </w:rPr>
              <w:t>2021</w:t>
            </w:r>
          </w:p>
        </w:tc>
      </w:tr>
      <w:tr>
        <w:trPr>
          <w:trHeight w:val="210"/>
        </w:trPr>
        <w:tc>
          <w:tcPr>
            <w:tcW w:w="60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520" w:type="dxa"/>
            <w:vAlign w:val="bottom"/>
          </w:tcPr>
          <w:p>
            <w:pPr>
              <w:spacing w:after="0"/>
              <w:rPr>
                <w:sz w:val="18"/>
                <w:szCs w:val="18"/>
                <w:color w:val="auto"/>
              </w:rPr>
            </w:pPr>
          </w:p>
        </w:tc>
      </w:tr>
      <w:tr>
        <w:trPr>
          <w:trHeight w:val="232"/>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5.375%</w:t>
            </w:r>
          </w:p>
        </w:tc>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2022</w:t>
            </w:r>
          </w:p>
        </w:tc>
        <w:tc>
          <w:tcPr>
            <w:tcW w:w="1500" w:type="dxa"/>
            <w:vAlign w:val="bottom"/>
            <w:shd w:val="clear" w:color="auto" w:fill="CCEEFF"/>
          </w:tcPr>
          <w:p>
            <w:pPr>
              <w:jc w:val="right"/>
              <w:ind w:right="1295"/>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600" w:type="dxa"/>
            <w:vAlign w:val="bottom"/>
          </w:tcPr>
          <w:p>
            <w:pPr>
              <w:ind w:left="20"/>
              <w:spacing w:after="0"/>
              <w:rPr>
                <w:sz w:val="20"/>
                <w:szCs w:val="20"/>
                <w:color w:val="auto"/>
              </w:rPr>
            </w:pPr>
            <w:r>
              <w:rPr>
                <w:rFonts w:ascii="Arial" w:cs="Arial" w:eastAsia="Arial" w:hAnsi="Arial"/>
                <w:sz w:val="18"/>
                <w:szCs w:val="18"/>
                <w:color w:val="auto"/>
                <w:w w:val="91"/>
              </w:rPr>
              <w:t>7.320%</w:t>
            </w:r>
          </w:p>
        </w:tc>
        <w:tc>
          <w:tcPr>
            <w:tcW w:w="6600" w:type="dxa"/>
            <w:vAlign w:val="bottom"/>
          </w:tcPr>
          <w:p>
            <w:pPr>
              <w:ind w:left="20"/>
              <w:spacing w:after="0"/>
              <w:rPr>
                <w:sz w:val="20"/>
                <w:szCs w:val="20"/>
                <w:color w:val="auto"/>
              </w:rPr>
            </w:pPr>
            <w:r>
              <w:rPr>
                <w:rFonts w:ascii="Arial" w:cs="Arial" w:eastAsia="Arial" w:hAnsi="Arial"/>
                <w:sz w:val="18"/>
                <w:szCs w:val="18"/>
                <w:color w:val="auto"/>
              </w:rPr>
              <w:t>Medium-term Notes, Series A, due 2022</w:t>
            </w:r>
          </w:p>
        </w:tc>
        <w:tc>
          <w:tcPr>
            <w:tcW w:w="15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5.250%</w:t>
            </w:r>
          </w:p>
        </w:tc>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2023</w:t>
            </w:r>
          </w:p>
        </w:tc>
        <w:tc>
          <w:tcPr>
            <w:tcW w:w="15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600" w:type="dxa"/>
            <w:vAlign w:val="bottom"/>
          </w:tcPr>
          <w:p>
            <w:pPr>
              <w:ind w:left="20"/>
              <w:spacing w:after="0"/>
              <w:rPr>
                <w:sz w:val="20"/>
                <w:szCs w:val="20"/>
                <w:color w:val="auto"/>
              </w:rPr>
            </w:pPr>
            <w:r>
              <w:rPr>
                <w:rFonts w:ascii="Arial" w:cs="Arial" w:eastAsia="Arial" w:hAnsi="Arial"/>
                <w:sz w:val="18"/>
                <w:szCs w:val="18"/>
                <w:color w:val="auto"/>
                <w:w w:val="91"/>
              </w:rPr>
              <w:t>2.875%</w:t>
            </w:r>
          </w:p>
        </w:tc>
        <w:tc>
          <w:tcPr>
            <w:tcW w:w="6600" w:type="dxa"/>
            <w:vAlign w:val="bottom"/>
          </w:tcPr>
          <w:p>
            <w:pPr>
              <w:ind w:left="20"/>
              <w:spacing w:after="0"/>
              <w:rPr>
                <w:sz w:val="20"/>
                <w:szCs w:val="20"/>
                <w:color w:val="auto"/>
              </w:rPr>
            </w:pPr>
            <w:r>
              <w:rPr>
                <w:rFonts w:ascii="Arial" w:cs="Arial" w:eastAsia="Arial" w:hAnsi="Arial"/>
                <w:sz w:val="18"/>
                <w:szCs w:val="18"/>
                <w:color w:val="auto"/>
              </w:rPr>
              <w:t>Senior Notes due 2024</w:t>
            </w:r>
          </w:p>
        </w:tc>
        <w:tc>
          <w:tcPr>
            <w:tcW w:w="15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4.750%</w:t>
            </w:r>
          </w:p>
        </w:tc>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2025</w:t>
            </w:r>
          </w:p>
        </w:tc>
        <w:tc>
          <w:tcPr>
            <w:tcW w:w="15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600" w:type="dxa"/>
            <w:vAlign w:val="bottom"/>
          </w:tcPr>
          <w:p>
            <w:pPr>
              <w:ind w:left="20"/>
              <w:spacing w:after="0"/>
              <w:rPr>
                <w:sz w:val="20"/>
                <w:szCs w:val="20"/>
                <w:color w:val="auto"/>
              </w:rPr>
            </w:pPr>
            <w:r>
              <w:rPr>
                <w:rFonts w:ascii="Arial" w:cs="Arial" w:eastAsia="Arial" w:hAnsi="Arial"/>
                <w:sz w:val="18"/>
                <w:szCs w:val="18"/>
                <w:color w:val="auto"/>
                <w:w w:val="91"/>
              </w:rPr>
              <w:t>3.250%</w:t>
            </w:r>
          </w:p>
        </w:tc>
        <w:tc>
          <w:tcPr>
            <w:tcW w:w="6600" w:type="dxa"/>
            <w:vAlign w:val="bottom"/>
          </w:tcPr>
          <w:p>
            <w:pPr>
              <w:ind w:left="20"/>
              <w:spacing w:after="0"/>
              <w:rPr>
                <w:sz w:val="20"/>
                <w:szCs w:val="20"/>
                <w:color w:val="auto"/>
              </w:rPr>
            </w:pPr>
            <w:r>
              <w:rPr>
                <w:rFonts w:ascii="Arial" w:cs="Arial" w:eastAsia="Arial" w:hAnsi="Arial"/>
                <w:sz w:val="18"/>
                <w:szCs w:val="18"/>
                <w:color w:val="auto"/>
              </w:rPr>
              <w:t>Senior Notes due 2026</w:t>
            </w:r>
          </w:p>
        </w:tc>
        <w:tc>
          <w:tcPr>
            <w:tcW w:w="1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800</w:t>
            </w:r>
          </w:p>
        </w:tc>
      </w:tr>
      <w:tr>
        <w:trPr>
          <w:trHeight w:val="229"/>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5.625%</w:t>
            </w:r>
          </w:p>
        </w:tc>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2026</w:t>
            </w:r>
          </w:p>
        </w:tc>
        <w:tc>
          <w:tcPr>
            <w:tcW w:w="15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600" w:type="dxa"/>
            <w:vAlign w:val="bottom"/>
          </w:tcPr>
          <w:p>
            <w:pPr>
              <w:ind w:left="20"/>
              <w:spacing w:after="0"/>
              <w:rPr>
                <w:sz w:val="20"/>
                <w:szCs w:val="20"/>
                <w:color w:val="auto"/>
              </w:rPr>
            </w:pPr>
            <w:r>
              <w:rPr>
                <w:rFonts w:ascii="Arial" w:cs="Arial" w:eastAsia="Arial" w:hAnsi="Arial"/>
                <w:sz w:val="18"/>
                <w:szCs w:val="18"/>
                <w:color w:val="auto"/>
                <w:w w:val="91"/>
              </w:rPr>
              <w:t>7.125%</w:t>
            </w:r>
          </w:p>
        </w:tc>
        <w:tc>
          <w:tcPr>
            <w:tcW w:w="6600" w:type="dxa"/>
            <w:vAlign w:val="bottom"/>
          </w:tcPr>
          <w:p>
            <w:pPr>
              <w:ind w:left="20"/>
              <w:spacing w:after="0"/>
              <w:rPr>
                <w:sz w:val="20"/>
                <w:szCs w:val="20"/>
                <w:color w:val="auto"/>
              </w:rPr>
            </w:pPr>
            <w:r>
              <w:rPr>
                <w:rFonts w:ascii="Arial" w:cs="Arial" w:eastAsia="Arial" w:hAnsi="Arial"/>
                <w:sz w:val="18"/>
                <w:szCs w:val="18"/>
                <w:color w:val="auto"/>
              </w:rPr>
              <w:t>Medium-term Notes, Series B, due 2028</w:t>
            </w:r>
          </w:p>
        </w:tc>
        <w:tc>
          <w:tcPr>
            <w:tcW w:w="1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3.500%</w:t>
            </w:r>
          </w:p>
        </w:tc>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2029</w:t>
            </w:r>
          </w:p>
        </w:tc>
        <w:tc>
          <w:tcPr>
            <w:tcW w:w="15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1,021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r>
      <w:tr>
        <w:trPr>
          <w:trHeight w:val="229"/>
        </w:trPr>
        <w:tc>
          <w:tcPr>
            <w:tcW w:w="600" w:type="dxa"/>
            <w:vAlign w:val="bottom"/>
          </w:tcPr>
          <w:p>
            <w:pPr>
              <w:ind w:left="20"/>
              <w:spacing w:after="0"/>
              <w:rPr>
                <w:sz w:val="20"/>
                <w:szCs w:val="20"/>
                <w:color w:val="auto"/>
              </w:rPr>
            </w:pPr>
            <w:r>
              <w:rPr>
                <w:rFonts w:ascii="Arial" w:cs="Arial" w:eastAsia="Arial" w:hAnsi="Arial"/>
                <w:sz w:val="18"/>
                <w:szCs w:val="18"/>
                <w:color w:val="auto"/>
                <w:w w:val="91"/>
              </w:rPr>
              <w:t>3.125%</w:t>
            </w:r>
          </w:p>
        </w:tc>
        <w:tc>
          <w:tcPr>
            <w:tcW w:w="6600" w:type="dxa"/>
            <w:vAlign w:val="bottom"/>
          </w:tcPr>
          <w:p>
            <w:pPr>
              <w:ind w:left="20"/>
              <w:spacing w:after="0"/>
              <w:rPr>
                <w:sz w:val="20"/>
                <w:szCs w:val="20"/>
                <w:color w:val="auto"/>
              </w:rPr>
            </w:pPr>
            <w:r>
              <w:rPr>
                <w:rFonts w:ascii="Arial" w:cs="Arial" w:eastAsia="Arial" w:hAnsi="Arial"/>
                <w:sz w:val="18"/>
                <w:szCs w:val="18"/>
                <w:color w:val="auto"/>
              </w:rPr>
              <w:t>Senior Notes due 2031</w:t>
            </w:r>
          </w:p>
        </w:tc>
        <w:tc>
          <w:tcPr>
            <w:tcW w:w="1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900</w:t>
            </w:r>
          </w:p>
        </w:tc>
      </w:tr>
      <w:tr>
        <w:trPr>
          <w:trHeight w:val="229"/>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4.400%</w:t>
            </w:r>
          </w:p>
        </w:tc>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2051</w:t>
            </w:r>
          </w:p>
        </w:tc>
        <w:tc>
          <w:tcPr>
            <w:tcW w:w="15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r>
      <w:tr>
        <w:trPr>
          <w:trHeight w:val="230"/>
        </w:trPr>
        <w:tc>
          <w:tcPr>
            <w:tcW w:w="600" w:type="dxa"/>
            <w:vAlign w:val="bottom"/>
          </w:tcPr>
          <w:p>
            <w:pPr>
              <w:ind w:left="20"/>
              <w:spacing w:after="0"/>
              <w:rPr>
                <w:sz w:val="20"/>
                <w:szCs w:val="20"/>
                <w:color w:val="auto"/>
              </w:rPr>
            </w:pPr>
            <w:r>
              <w:rPr>
                <w:rFonts w:ascii="Arial" w:cs="Arial" w:eastAsia="Arial" w:hAnsi="Arial"/>
                <w:sz w:val="18"/>
                <w:szCs w:val="18"/>
                <w:color w:val="auto"/>
                <w:w w:val="91"/>
              </w:rPr>
              <w:t>4.250%</w:t>
            </w:r>
          </w:p>
        </w:tc>
        <w:tc>
          <w:tcPr>
            <w:tcW w:w="6600" w:type="dxa"/>
            <w:vAlign w:val="bottom"/>
          </w:tcPr>
          <w:p>
            <w:pPr>
              <w:ind w:left="20"/>
              <w:spacing w:after="0"/>
              <w:rPr>
                <w:sz w:val="20"/>
                <w:szCs w:val="20"/>
                <w:color w:val="auto"/>
              </w:rPr>
            </w:pPr>
            <w:r>
              <w:rPr>
                <w:rFonts w:ascii="Arial" w:cs="Arial" w:eastAsia="Arial" w:hAnsi="Arial"/>
                <w:sz w:val="18"/>
                <w:szCs w:val="18"/>
                <w:color w:val="auto"/>
              </w:rPr>
              <w:t>Senior Notes due 2052</w:t>
            </w:r>
          </w:p>
        </w:tc>
        <w:tc>
          <w:tcPr>
            <w:tcW w:w="1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DrillCo Agreement</w:t>
            </w:r>
            <w:r>
              <w:rPr>
                <w:rFonts w:ascii="Arial" w:cs="Arial" w:eastAsia="Arial" w:hAnsi="Arial"/>
                <w:sz w:val="23"/>
                <w:szCs w:val="23"/>
                <w:color w:val="auto"/>
                <w:vertAlign w:val="superscript"/>
              </w:rPr>
              <w:t>(1)</w:t>
            </w:r>
          </w:p>
        </w:tc>
        <w:tc>
          <w:tcPr>
            <w:tcW w:w="15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7200" w:type="dxa"/>
            <w:vAlign w:val="bottom"/>
            <w:gridSpan w:val="2"/>
          </w:tcPr>
          <w:p>
            <w:pPr>
              <w:ind w:left="20"/>
              <w:spacing w:after="0"/>
              <w:rPr>
                <w:sz w:val="20"/>
                <w:szCs w:val="20"/>
                <w:color w:val="auto"/>
              </w:rPr>
            </w:pPr>
            <w:r>
              <w:rPr>
                <w:rFonts w:ascii="Arial" w:cs="Arial" w:eastAsia="Arial" w:hAnsi="Arial"/>
                <w:sz w:val="18"/>
                <w:szCs w:val="18"/>
                <w:color w:val="auto"/>
              </w:rPr>
              <w:t>Unamortized debt issuance costs</w:t>
            </w:r>
          </w:p>
        </w:tc>
        <w:tc>
          <w:tcPr>
            <w:tcW w:w="1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Unamortized discount costs</w:t>
            </w:r>
          </w:p>
        </w:tc>
        <w:tc>
          <w:tcPr>
            <w:tcW w:w="15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7200" w:type="dxa"/>
            <w:vAlign w:val="bottom"/>
            <w:gridSpan w:val="2"/>
          </w:tcPr>
          <w:p>
            <w:pPr>
              <w:ind w:left="20"/>
              <w:spacing w:after="0"/>
              <w:rPr>
                <w:sz w:val="20"/>
                <w:szCs w:val="20"/>
                <w:color w:val="auto"/>
              </w:rPr>
            </w:pPr>
            <w:r>
              <w:rPr>
                <w:rFonts w:ascii="Arial" w:cs="Arial" w:eastAsia="Arial" w:hAnsi="Arial"/>
                <w:sz w:val="18"/>
                <w:szCs w:val="18"/>
                <w:color w:val="auto"/>
              </w:rPr>
              <w:t>Unamortized premium costs</w:t>
            </w:r>
          </w:p>
        </w:tc>
        <w:tc>
          <w:tcPr>
            <w:tcW w:w="1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72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Unamortized basis adjustment of dedesignated interest rate swap agreements</w:t>
            </w:r>
            <w:r>
              <w:rPr>
                <w:rFonts w:ascii="Arial" w:cs="Arial" w:eastAsia="Arial" w:hAnsi="Arial"/>
                <w:sz w:val="23"/>
                <w:szCs w:val="23"/>
                <w:color w:val="auto"/>
                <w:vertAlign w:val="superscript"/>
              </w:rPr>
              <w:t>(2)</w:t>
            </w:r>
          </w:p>
        </w:tc>
        <w:tc>
          <w:tcPr>
            <w:tcW w:w="15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7200" w:type="dxa"/>
            <w:vAlign w:val="bottom"/>
            <w:gridSpan w:val="2"/>
          </w:tcPr>
          <w:p>
            <w:pPr>
              <w:ind w:left="20"/>
              <w:spacing w:after="0"/>
              <w:rPr>
                <w:sz w:val="20"/>
                <w:szCs w:val="20"/>
                <w:color w:val="auto"/>
              </w:rPr>
            </w:pPr>
            <w:r>
              <w:rPr>
                <w:rFonts w:ascii="Arial" w:cs="Arial" w:eastAsia="Arial" w:hAnsi="Arial"/>
                <w:sz w:val="18"/>
                <w:szCs w:val="18"/>
                <w:color w:val="auto"/>
              </w:rPr>
              <w:t>Revolving credit facility</w:t>
            </w:r>
          </w:p>
        </w:tc>
        <w:tc>
          <w:tcPr>
            <w:tcW w:w="1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Viper revolving credit facility</w:t>
            </w:r>
          </w:p>
        </w:tc>
        <w:tc>
          <w:tcPr>
            <w:tcW w:w="15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30"/>
        </w:trPr>
        <w:tc>
          <w:tcPr>
            <w:tcW w:w="7200" w:type="dxa"/>
            <w:vAlign w:val="bottom"/>
            <w:gridSpan w:val="2"/>
          </w:tcPr>
          <w:p>
            <w:pPr>
              <w:ind w:left="20"/>
              <w:spacing w:after="0"/>
              <w:rPr>
                <w:sz w:val="20"/>
                <w:szCs w:val="20"/>
                <w:color w:val="auto"/>
              </w:rPr>
            </w:pPr>
            <w:r>
              <w:rPr>
                <w:rFonts w:ascii="Arial" w:cs="Arial" w:eastAsia="Arial" w:hAnsi="Arial"/>
                <w:sz w:val="18"/>
                <w:szCs w:val="18"/>
                <w:color w:val="auto"/>
              </w:rPr>
              <w:t>Viper 5.375% Senior Notes due 2027</w:t>
            </w:r>
          </w:p>
        </w:tc>
        <w:tc>
          <w:tcPr>
            <w:tcW w:w="1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229"/>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Rattler revolving credit facility</w:t>
            </w:r>
          </w:p>
        </w:tc>
        <w:tc>
          <w:tcPr>
            <w:tcW w:w="15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30"/>
        </w:trPr>
        <w:tc>
          <w:tcPr>
            <w:tcW w:w="7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Rattler 5.625% Senior Notes due 2025</w:t>
            </w:r>
          </w:p>
        </w:tc>
        <w:tc>
          <w:tcPr>
            <w:tcW w:w="15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r>
      <w:tr>
        <w:trPr>
          <w:trHeight w:val="223"/>
        </w:trPr>
        <w:tc>
          <w:tcPr>
            <w:tcW w:w="7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debt, net</w:t>
            </w:r>
          </w:p>
        </w:tc>
        <w:tc>
          <w:tcPr>
            <w:tcW w:w="15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5,357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6,687</w:t>
            </w:r>
          </w:p>
        </w:tc>
      </w:tr>
      <w:tr>
        <w:trPr>
          <w:trHeight w:val="230"/>
        </w:trPr>
        <w:tc>
          <w:tcPr>
            <w:tcW w:w="7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current maturities of long-term debt</w:t>
            </w:r>
          </w:p>
        </w:tc>
        <w:tc>
          <w:tcPr>
            <w:tcW w:w="15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48"/>
        </w:trPr>
        <w:tc>
          <w:tcPr>
            <w:tcW w:w="72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long-term debt</w:t>
            </w:r>
          </w:p>
        </w:tc>
        <w:tc>
          <w:tcPr>
            <w:tcW w:w="1500" w:type="dxa"/>
            <w:vAlign w:val="bottom"/>
            <w:tcBorders>
              <w:bottom w:val="single" w:sz="8" w:color="auto"/>
            </w:tcBorders>
            <w:shd w:val="clear" w:color="auto" w:fill="CCEEFF"/>
          </w:tcPr>
          <w:p>
            <w:pPr>
              <w:jc w:val="right"/>
              <w:ind w:right="1295"/>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5,347</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6,642</w:t>
            </w:r>
          </w:p>
        </w:tc>
      </w:tr>
      <w:tr>
        <w:trPr>
          <w:trHeight w:val="20"/>
        </w:trPr>
        <w:tc>
          <w:tcPr>
            <w:tcW w:w="600" w:type="dxa"/>
            <w:vAlign w:val="bottom"/>
            <w:tcBorders>
              <w:top w:val="single" w:sz="8" w:color="CCEEFF"/>
            </w:tcBorders>
          </w:tcPr>
          <w:p>
            <w:pPr>
              <w:spacing w:after="0" w:line="20" w:lineRule="exact"/>
              <w:rPr>
                <w:sz w:val="1"/>
                <w:szCs w:val="1"/>
                <w:color w:val="auto"/>
              </w:rPr>
            </w:pPr>
          </w:p>
        </w:tc>
        <w:tc>
          <w:tcPr>
            <w:tcW w:w="66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340" w:right="20" w:hanging="332"/>
        <w:spacing w:after="0" w:line="258" w:lineRule="auto"/>
        <w:tabs>
          <w:tab w:leader="none" w:pos="485"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amounts due under a participation and development agreement (the “DrillCo Agreement”), dated September 10, 2018, with Obsidian Resources, L.L.C. to fund oil and natural gas development.</w:t>
      </w:r>
    </w:p>
    <w:p>
      <w:pPr>
        <w:spacing w:after="0" w:line="1" w:lineRule="exact"/>
        <w:rPr>
          <w:rFonts w:ascii="Arial" w:cs="Arial" w:eastAsia="Arial" w:hAnsi="Arial"/>
          <w:sz w:val="18"/>
          <w:szCs w:val="18"/>
          <w:color w:val="auto"/>
        </w:rPr>
      </w:pPr>
    </w:p>
    <w:p>
      <w:pPr>
        <w:jc w:val="both"/>
        <w:ind w:left="340" w:hanging="332"/>
        <w:spacing w:after="0" w:line="255" w:lineRule="auto"/>
        <w:tabs>
          <w:tab w:leader="none" w:pos="61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the unamortized basis adjustment related to two receive-fixed, pay variable interest rate swap agreements which were previously designated as fair value hedges of the Company’s $1.2 billion 3.500% fixed rate senior notes due 2029. These swaps were dedesignated in the second quarter of 2022 as discussed further in Note 11—</w:t>
      </w:r>
      <w:r>
        <w:rPr>
          <w:rFonts w:ascii="Arial" w:cs="Arial" w:eastAsia="Arial" w:hAnsi="Arial"/>
          <w:sz w:val="18"/>
          <w:szCs w:val="18"/>
          <w:u w:val="single" w:color="auto"/>
          <w:color w:val="0000FF"/>
        </w:rPr>
        <w:t>Derivatives</w:t>
      </w:r>
      <w:r>
        <w:rPr>
          <w:rFonts w:ascii="Arial" w:cs="Arial" w:eastAsia="Arial" w:hAnsi="Arial"/>
          <w:sz w:val="18"/>
          <w:szCs w:val="18"/>
          <w:color w:val="auto"/>
        </w:rPr>
        <w:t>.</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References in this section to the Company shall mean Diamondback Energy, Inc. and Diamondback E&amp;P, collectively, unless otherwise specified.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September 30, 2022, Diamondback E&amp;P, as borrower, and Diamondback Energy, Inc., as parent guarantor, have a credit agreement, as amended, which provides for a maximum credit amount of $1.6 billion. As of September 30, 2022, the Company had $235 million in outstanding borrowings under the credit agreement and $3 million in outstanding letters of credit, which reduce available borrowings under the credit agreement on a dollar for dollar basis. During both the three and nine months ended September 30, 2022 the weighted average interest rate on borrowings under the credit agreement was 3.92% and 3.50%, respectively. During the three and nine months ended September 30, 2021, the weighted average interest rates on borrowings under the credit agreement were 1.83% and 1.67%, respectively.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 June 2, 2022, the Company and Diamondback E&amp;P entered into a thirteenth amendment to the Second Amended and Restated Credit Agreement, dated as of November 1, 2013, with Wells Fargo Bank, National Association, as administrative agent, and the lenders party thereto.</w:t>
      </w:r>
    </w:p>
    <w:p>
      <w:pPr>
        <w:spacing w:after="0" w:line="1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This amendment, among other things, (i) extended the maturity date to June 2, 2027, which may be further extended by two one-year extensions pursuant to the terms set forth in the credit agreement, (ii) decreased the interest rate margin applicable to the loans and certain fees payable under the credit agreement and (iii) replaced the LIBOR interest rate benchmark with the secured overnight financing rate (“SOFR”). Outstanding borrowings under the credit agreement bear interest at a per annum rate elected by Diamondback E&amp;P that is equal to (i) term SOFR plus 0.10% (“Adjusted Term SOFR”) or</w:t>
      </w:r>
    </w:p>
    <w:p>
      <w:pPr>
        <w:spacing w:after="0" w:line="1" w:lineRule="exact"/>
        <w:rPr>
          <w:sz w:val="20"/>
          <w:szCs w:val="20"/>
          <w:color w:val="auto"/>
        </w:rPr>
      </w:pPr>
    </w:p>
    <w:p>
      <w:pPr>
        <w:jc w:val="both"/>
        <w:ind w:firstLine="8"/>
        <w:spacing w:after="0" w:line="288" w:lineRule="auto"/>
        <w:tabs>
          <w:tab w:leader="none" w:pos="272" w:val="left"/>
        </w:tabs>
        <w:numPr>
          <w:ilvl w:val="0"/>
          <w:numId w:val="9"/>
        </w:numPr>
        <w:rPr>
          <w:rFonts w:ascii="Arial" w:cs="Arial" w:eastAsia="Arial" w:hAnsi="Arial"/>
          <w:sz w:val="16"/>
          <w:szCs w:val="16"/>
          <w:color w:val="auto"/>
        </w:rPr>
      </w:pPr>
      <w:r>
        <w:rPr>
          <w:rFonts w:ascii="Arial" w:cs="Arial" w:eastAsia="Arial" w:hAnsi="Arial"/>
          <w:sz w:val="16"/>
          <w:szCs w:val="16"/>
          <w:color w:val="auto"/>
        </w:rPr>
        <w:t>an alternate base rate (which is equal to the greatest of the prime rate, the Federal Funds effective rate plus 0.50%, and 1-month Adjusted Term SOFR plus 1.0%), in each case plus the applicable margin. After giving effect to the amendment, (i) the applicable margin ranges from 0.125% to 1.000% per annum in the case of the alternate base rate, and from 1.125% to 2.000% per annum in the case of Adjusted Term SOFR, in each case based on the pricing level, and (ii) the commitment fee ranges from 0.125% to 0.325% per annum on the average daily unused portion of the commitments, based on the pricing level. The pricing level depends on certain rating agencies’ rating of the Company’s long-term senior unsecured debt. The Company applied the optional expedient in ASU 2020-04, “Reference Rate Reform (Topic 848) - Facilitation of the Effects of Reference Rate Reform on Financial Reporting” for this contract modification, and as a result, the modification did not have an impact on its financial position, results of operations or liquidity.</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2022, the Company was in compliance with all financial maintenance covenants under the credit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March 2022 Notes Offering</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17, 2022, Diamondback Energy, Inc. issued $750 million aggregate principal amount of 4.250% Senior Notes due March 15, 2052 (the “March 2022 Notes”) and received net proceeds of $739 million, after deducting debt issuance costs and discounts of $11 million and underwriting discounts and offering expenses. Interest on the March 2022 Notes is payable semi-annually on March 15 and September 15 of each year, beginning on September 15, 2022.</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March 2022 Notes are the Company’s senior unsecured obligations and are fully and unconditionally guaranteed by Diamondback E&amp;P. The March 2022 Notes are senior in right of payment to any of the Company’s future subordinated indebtedness and rank equal in right of payment with all of the Company’s existing and future senior indebtedness.</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may redeem the March 2022 Notes in whole or in part at any time prior to September 15, 2051 at the redemption price set forth in the fifth supplemental indenture to the IG Indenture.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Redemptions and Repurchases of Notes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first quarter of 2022, the Company fully redeemed the $500 million and $1.0 billion principal amounts of its outstanding 4.750% 2025 Senior Notes and 2.875% 2024 Senior Notes, respectively. Cash consideration for these redemptions totaled $1.6 billion, including make-whole premiums of $47 million, which resulted in a loss on extinguishment of debt of $54 million during the first quarter of 2022. The Company funded the redemptions with a portion of the net proceeds from the March 2022 Notes offering and cash on hand.</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second quarter of 2022, the Company repurchased principal amounts of $27 million of its 7.125% Medium-term Notes due 2028, $111 million of its 3.125% Senior Notes due 2031, $179 million of its 3.500% Senior Notes due 2029 and $20 million of its 3.250% Senior Notes due 2026 for total cash consideration, including accrued interest paid, of $322 million. Additionally, during the second quarter of 2022, Viper repurchased $50 million in principal amount of its 5.375% Senior Notes due 2027 for total cash consideration of $49 million. These repurchases resulted in an immaterial loss on extinguishment of debt during the third quarter of 2022. The Company funded its repurchases with cash on hand and Viper funded its repurchases with cash on hand and borrowings under the Viper credit agreement.</w:t>
      </w:r>
    </w:p>
    <w:p>
      <w:pPr>
        <w:spacing w:after="0" w:line="20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In the third quarter of 2022, the Company fully redeemed the $25 million principal amount of the outstanding 5.375% Notes due 2022 and fully repaid at maturity the $20 million principal amount of the outstanding 7.320% Medium-term Notes due 2022. The Company funded these transactions with cash on hand.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Viper’s Credit Agreement</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Viper LLC’s credit agreement, as amended, provides for a revolving credit facility in the maximum credit amount of $2.0 billion with a borrowing base of $580 million based on Viper LLC’s oil and natural gas reserves and other factors. As of September 30, 2022, the elected commitment amount was $500 million with $245 million of outstanding borrowings and $255 million available for future borrowings. During the three and nine months ended September 30, 2022 and 2021, the weighted average interest rates on borrowings under the Viper credit agreement were 4.75%, 3.53%, 1.98% and 2.14%, respectively. The Viper credit agreement will mature on June 2, 2025. As of September 30, 2022, Viper LLC was in compliance with all financial maintenance covenants under the Viper credit agreement.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Rattler’s Credit Agreement</w:t>
      </w:r>
    </w:p>
    <w:p>
      <w:pPr>
        <w:spacing w:after="0" w:line="23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7"/>
          <w:szCs w:val="17"/>
          <w:color w:val="auto"/>
        </w:rPr>
        <w:t>In connection with the Rattler Merger in August 2022, all outstanding borrowings under Rattler LLC’s credit agreement in the amount of $269 million were fully repaid, all liens granted to secure such obligations were released and Rattler LLC’s credit agreement was terminated.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15—</w:t>
      </w:r>
      <w:r>
        <w:rPr>
          <w:rFonts w:ascii="Arial" w:cs="Arial" w:eastAsia="Arial" w:hAnsi="Arial"/>
          <w:sz w:val="18"/>
          <w:szCs w:val="18"/>
          <w:u w:val="single" w:color="auto"/>
          <w:color w:val="0000FF"/>
        </w:rPr>
        <w:t>Subsequent Events</w:t>
      </w:r>
      <w:r>
        <w:rPr>
          <w:rFonts w:ascii="Arial" w:cs="Arial" w:eastAsia="Arial" w:hAnsi="Arial"/>
          <w:sz w:val="18"/>
          <w:szCs w:val="18"/>
          <w:color w:val="auto"/>
        </w:rPr>
        <w:t xml:space="preserve"> for additional discussion of debt transactions completed in the fourth quarter of 2022.</w:t>
      </w:r>
    </w:p>
    <w:p>
      <w:pPr>
        <w:spacing w:after="0" w:line="24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7"/>
          <w:szCs w:val="17"/>
          <w:b w:val="1"/>
          <w:bCs w:val="1"/>
          <w:color w:val="auto"/>
        </w:rPr>
        <w:t>STOCKHOLDERS’ EQUITY AND EARNINGS (LOSS)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September 2021, the Company’s board of directors approved a stock repurchase program to acquire up to $2.0 billion of the Company’s outstanding common stock. On July 28, 2022, the Company’s board of directors approved an increase in the Company’s common stock repurchase program from $2.0 billion to $4.0 billion. Purchases under the repurchase program may be made from time to time in open market or privately negotiated transactions, and are subject to market conditions, applicable legal requirements, contractual obligations and other factors. The repurchase program does not require the Company to acquire any specific number of shares. This repurchase program may be suspended from time to time, modified, extended or discontinued by the board of directors at any time. During the three and nine months ended September 30, 2022, the Company repurchased approximately $472 million and $782 million of common stock under this repurchase program, respectively. As of September 30, 2022, approximately $2.8 billion remained available for use to repurchase shares under the Company’s common stock repurchase program.</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Ownership of Consolidated Subsidiaries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Non-controlling interests in the accompanying condensed consolidated financial statements represent minority interest ownership in Viper and Rattler through the Effective Date and are presented as a component of equity. When the Company’s relative ownership interests in Viper and Rattler change, adjustments to non-controlling interest and additional paid-in-capital, tax effected, will occur. The following table summarizes changes in the ownership interest in consolidated subsidiaries during the periods presented: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80" w:type="dxa"/>
            <w:vAlign w:val="bottom"/>
          </w:tcPr>
          <w:p>
            <w:pPr>
              <w:spacing w:after="0"/>
              <w:rPr>
                <w:sz w:val="18"/>
                <w:szCs w:val="18"/>
                <w:color w:val="auto"/>
              </w:rPr>
            </w:pPr>
          </w:p>
        </w:tc>
        <w:tc>
          <w:tcPr>
            <w:tcW w:w="2780" w:type="dxa"/>
            <w:vAlign w:val="bottom"/>
            <w:gridSpan w:val="6"/>
          </w:tcPr>
          <w:p>
            <w:pPr>
              <w:ind w:left="80"/>
              <w:spacing w:after="0"/>
              <w:rPr>
                <w:sz w:val="20"/>
                <w:szCs w:val="20"/>
                <w:color w:val="auto"/>
              </w:rPr>
            </w:pPr>
            <w:r>
              <w:rPr>
                <w:rFonts w:ascii="Arial" w:cs="Arial" w:eastAsia="Arial" w:hAnsi="Arial"/>
                <w:sz w:val="16"/>
                <w:szCs w:val="16"/>
                <w:b w:val="1"/>
                <w:bCs w:val="1"/>
                <w:color w:val="auto"/>
                <w:w w:val="98"/>
              </w:rPr>
              <w:t>Three Months Ended September 30,</w:t>
            </w:r>
          </w:p>
        </w:tc>
        <w:tc>
          <w:tcPr>
            <w:tcW w:w="120" w:type="dxa"/>
            <w:vAlign w:val="bottom"/>
          </w:tcPr>
          <w:p>
            <w:pPr>
              <w:spacing w:after="0"/>
              <w:rPr>
                <w:sz w:val="18"/>
                <w:szCs w:val="18"/>
                <w:color w:val="auto"/>
              </w:rPr>
            </w:pPr>
          </w:p>
        </w:tc>
        <w:tc>
          <w:tcPr>
            <w:tcW w:w="2560" w:type="dxa"/>
            <w:vAlign w:val="bottom"/>
            <w:gridSpan w:val="4"/>
          </w:tcPr>
          <w:p>
            <w:pPr>
              <w:jc w:val="right"/>
              <w:ind w:right="52"/>
              <w:spacing w:after="0"/>
              <w:rPr>
                <w:sz w:val="20"/>
                <w:szCs w:val="20"/>
                <w:color w:val="auto"/>
              </w:rPr>
            </w:pPr>
            <w:r>
              <w:rPr>
                <w:rFonts w:ascii="Arial" w:cs="Arial" w:eastAsia="Arial" w:hAnsi="Arial"/>
                <w:sz w:val="16"/>
                <w:szCs w:val="16"/>
                <w:b w:val="1"/>
                <w:bCs w:val="1"/>
                <w:color w:val="auto"/>
                <w:w w:val="91"/>
              </w:rPr>
              <w:t>Nine Months Ended September 30,</w:t>
            </w:r>
          </w:p>
        </w:tc>
        <w:tc>
          <w:tcPr>
            <w:tcW w:w="0" w:type="dxa"/>
            <w:vAlign w:val="bottom"/>
          </w:tcPr>
          <w:p>
            <w:pPr>
              <w:spacing w:after="0"/>
              <w:rPr>
                <w:sz w:val="1"/>
                <w:szCs w:val="1"/>
                <w:color w:val="auto"/>
              </w:rPr>
            </w:pPr>
          </w:p>
        </w:tc>
      </w:tr>
      <w:tr>
        <w:trPr>
          <w:trHeight w:val="210"/>
        </w:trPr>
        <w:tc>
          <w:tcPr>
            <w:tcW w:w="57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0"/>
        </w:trPr>
        <w:tc>
          <w:tcPr>
            <w:tcW w:w="5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gridSpan w:val="5"/>
          </w:tcPr>
          <w:p>
            <w:pPr>
              <w:ind w:left="620"/>
              <w:spacing w:after="0"/>
              <w:rPr>
                <w:sz w:val="20"/>
                <w:szCs w:val="20"/>
                <w:color w:val="auto"/>
              </w:rPr>
            </w:pPr>
            <w:r>
              <w:rPr>
                <w:rFonts w:ascii="Arial" w:cs="Arial" w:eastAsia="Arial" w:hAnsi="Arial"/>
                <w:sz w:val="16"/>
                <w:szCs w:val="16"/>
                <w:b w:val="1"/>
                <w:bCs w:val="1"/>
                <w:color w:val="auto"/>
              </w:rPr>
              <w:t>(In millions)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the Company</w:t>
            </w:r>
          </w:p>
        </w:tc>
        <w:tc>
          <w:tcPr>
            <w:tcW w:w="800" w:type="dxa"/>
            <w:vAlign w:val="bottom"/>
            <w:shd w:val="clear" w:color="auto" w:fill="CCEEFF"/>
          </w:tcPr>
          <w:p>
            <w:pPr>
              <w:jc w:val="right"/>
              <w:ind w:right="615"/>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1,184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Change in ownership of consolidated subsidiaries</w:t>
            </w:r>
          </w:p>
        </w:tc>
        <w:tc>
          <w:tcPr>
            <w:tcW w:w="8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55"/>
        </w:trPr>
        <w:tc>
          <w:tcPr>
            <w:tcW w:w="57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1"/>
              </w:rPr>
              <w:t>Change from net income (loss) attributable to the Company's stockholders and</w:t>
            </w:r>
          </w:p>
        </w:tc>
        <w:tc>
          <w:tcPr>
            <w:tcW w:w="800" w:type="dxa"/>
            <w:vAlign w:val="bottom"/>
            <w:vMerge w:val="restart"/>
            <w:shd w:val="clear" w:color="auto" w:fill="CCEEFF"/>
          </w:tcPr>
          <w:p>
            <w:pPr>
              <w:jc w:val="right"/>
              <w:ind w:right="615"/>
              <w:spacing w:after="0"/>
              <w:rPr>
                <w:sz w:val="20"/>
                <w:szCs w:val="20"/>
                <w:color w:val="auto"/>
              </w:rPr>
            </w:pPr>
            <w:r>
              <w:rPr>
                <w:rFonts w:ascii="Arial" w:cs="Arial" w:eastAsia="Arial" w:hAnsi="Arial"/>
                <w:sz w:val="18"/>
                <w:szCs w:val="18"/>
                <w:color w:val="auto"/>
                <w:w w:val="79"/>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1,169</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3,343</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36"/>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transfers to non-controlling interest</w:t>
            </w: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earnings (loss) per share amounts have been computed using the two-class method. The two-class method is an earnings allocation proportional to the respective ownership among holders of common stock and participating securities. Basic earnings (loss) per share amounts have been computed based on the weighted-average number of shares of</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common stock outstanding for the period. Diluted earnings per share include the effect of potentially dilutive non-participating securities outstanding for the period. Additionally, the per share earnings of Viper are included in the consolidated earnings per share computation based on the consolidated group’s holdings of the subsidiaries.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components of basic and diluted earnings per common share is presented in the table below:</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40" w:type="dxa"/>
            <w:vAlign w:val="bottom"/>
          </w:tcPr>
          <w:p>
            <w:pPr>
              <w:spacing w:after="0"/>
              <w:rPr>
                <w:sz w:val="18"/>
                <w:szCs w:val="18"/>
                <w:color w:val="auto"/>
              </w:rPr>
            </w:pPr>
          </w:p>
        </w:tc>
        <w:tc>
          <w:tcPr>
            <w:tcW w:w="2700" w:type="dxa"/>
            <w:vAlign w:val="bottom"/>
            <w:gridSpan w:val="6"/>
          </w:tcPr>
          <w:p>
            <w:pPr>
              <w:ind w:left="40"/>
              <w:spacing w:after="0"/>
              <w:rPr>
                <w:sz w:val="20"/>
                <w:szCs w:val="20"/>
                <w:color w:val="auto"/>
              </w:rPr>
            </w:pPr>
            <w:r>
              <w:rPr>
                <w:rFonts w:ascii="Arial" w:cs="Arial" w:eastAsia="Arial" w:hAnsi="Arial"/>
                <w:sz w:val="16"/>
                <w:szCs w:val="16"/>
                <w:b w:val="1"/>
                <w:bCs w:val="1"/>
                <w:color w:val="auto"/>
                <w:w w:val="97"/>
              </w:rPr>
              <w:t>Three Months Ended September 30,</w:t>
            </w:r>
          </w:p>
        </w:tc>
        <w:tc>
          <w:tcPr>
            <w:tcW w:w="2600" w:type="dxa"/>
            <w:vAlign w:val="bottom"/>
            <w:gridSpan w:val="5"/>
          </w:tcPr>
          <w:p>
            <w:pPr>
              <w:jc w:val="right"/>
              <w:ind w:right="11"/>
              <w:spacing w:after="0"/>
              <w:rPr>
                <w:sz w:val="20"/>
                <w:szCs w:val="20"/>
                <w:color w:val="auto"/>
              </w:rPr>
            </w:pPr>
            <w:r>
              <w:rPr>
                <w:rFonts w:ascii="Arial" w:cs="Arial" w:eastAsia="Arial" w:hAnsi="Arial"/>
                <w:sz w:val="16"/>
                <w:szCs w:val="16"/>
                <w:b w:val="1"/>
                <w:bCs w:val="1"/>
                <w:color w:val="auto"/>
                <w:w w:val="94"/>
              </w:rPr>
              <w:t>Nine Months Ended September 30,</w:t>
            </w:r>
          </w:p>
        </w:tc>
        <w:tc>
          <w:tcPr>
            <w:tcW w:w="0" w:type="dxa"/>
            <w:vAlign w:val="bottom"/>
          </w:tcPr>
          <w:p>
            <w:pPr>
              <w:spacing w:after="0"/>
              <w:rPr>
                <w:sz w:val="1"/>
                <w:szCs w:val="1"/>
                <w:color w:val="auto"/>
              </w:rPr>
            </w:pPr>
          </w:p>
        </w:tc>
      </w:tr>
      <w:tr>
        <w:trPr>
          <w:trHeight w:val="210"/>
        </w:trPr>
        <w:tc>
          <w:tcPr>
            <w:tcW w:w="59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9"/>
        </w:trPr>
        <w:tc>
          <w:tcPr>
            <w:tcW w:w="5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20" w:type="dxa"/>
            <w:vAlign w:val="bottom"/>
            <w:gridSpan w:val="10"/>
          </w:tcPr>
          <w:p>
            <w:pPr>
              <w:jc w:val="right"/>
              <w:ind w:right="451"/>
              <w:spacing w:after="0"/>
              <w:rPr>
                <w:sz w:val="20"/>
                <w:szCs w:val="20"/>
                <w:color w:val="auto"/>
              </w:rPr>
            </w:pPr>
            <w:r>
              <w:rPr>
                <w:rFonts w:ascii="Arial" w:cs="Arial" w:eastAsia="Arial" w:hAnsi="Arial"/>
                <w:sz w:val="16"/>
                <w:szCs w:val="16"/>
                <w:b w:val="1"/>
                <w:bCs w:val="1"/>
                <w:color w:val="auto"/>
                <w:w w:val="93"/>
              </w:rPr>
              <w:t>($ in millions, except per share amounts, shares in thousands)</w:t>
            </w:r>
          </w:p>
        </w:tc>
        <w:tc>
          <w:tcPr>
            <w:tcW w:w="0" w:type="dxa"/>
            <w:vAlign w:val="bottom"/>
          </w:tcPr>
          <w:p>
            <w:pPr>
              <w:spacing w:after="0"/>
              <w:rPr>
                <w:sz w:val="1"/>
                <w:szCs w:val="1"/>
                <w:color w:val="auto"/>
              </w:rPr>
            </w:pPr>
          </w:p>
        </w:tc>
      </w:tr>
      <w:tr>
        <w:trPr>
          <w:trHeight w:val="232"/>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stock</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29"/>
        </w:trPr>
        <w:tc>
          <w:tcPr>
            <w:tcW w:w="59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w w:val="91"/>
              </w:rPr>
              <w:t>Less: distributed and undistributed earnings allocated to participating securities</w:t>
            </w:r>
            <w:r>
              <w:rPr>
                <w:rFonts w:ascii="Arial" w:cs="Arial" w:eastAsia="Arial" w:hAnsi="Arial"/>
                <w:sz w:val="23"/>
                <w:szCs w:val="23"/>
                <w:color w:val="auto"/>
                <w:w w:val="91"/>
                <w:vertAlign w:val="superscript"/>
              </w:rPr>
              <w:t>(1)</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stockholders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9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weighted average common shares outstanding</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175,464</w:t>
            </w:r>
          </w:p>
        </w:tc>
        <w:tc>
          <w:tcPr>
            <w:tcW w:w="0" w:type="dxa"/>
            <w:vAlign w:val="bottom"/>
          </w:tcPr>
          <w:p>
            <w:pPr>
              <w:spacing w:after="0"/>
              <w:rPr>
                <w:sz w:val="1"/>
                <w:szCs w:val="1"/>
                <w:color w:val="auto"/>
              </w:rPr>
            </w:pPr>
          </w:p>
        </w:tc>
      </w:tr>
      <w:tr>
        <w:trPr>
          <w:trHeight w:val="229"/>
        </w:trPr>
        <w:tc>
          <w:tcPr>
            <w:tcW w:w="5940" w:type="dxa"/>
            <w:vAlign w:val="bottom"/>
          </w:tcPr>
          <w:p>
            <w:pPr>
              <w:ind w:left="220"/>
              <w:spacing w:after="0"/>
              <w:rPr>
                <w:sz w:val="20"/>
                <w:szCs w:val="20"/>
                <w:color w:val="auto"/>
              </w:rPr>
            </w:pPr>
            <w:r>
              <w:rPr>
                <w:rFonts w:ascii="Arial" w:cs="Arial" w:eastAsia="Arial" w:hAnsi="Arial"/>
                <w:sz w:val="18"/>
                <w:szCs w:val="18"/>
                <w:color w:val="auto"/>
              </w:rPr>
              <w:t>Effect of dilutive securities: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Weighted-average potential common shares issuable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40" w:type="dxa"/>
            <w:vAlign w:val="bottom"/>
          </w:tcPr>
          <w:p>
            <w:pPr>
              <w:ind w:left="220"/>
              <w:spacing w:after="0"/>
              <w:rPr>
                <w:sz w:val="20"/>
                <w:szCs w:val="20"/>
                <w:color w:val="auto"/>
              </w:rPr>
            </w:pPr>
            <w:r>
              <w:rPr>
                <w:rFonts w:ascii="Arial" w:cs="Arial" w:eastAsia="Arial" w:hAnsi="Arial"/>
                <w:sz w:val="18"/>
                <w:szCs w:val="18"/>
                <w:color w:val="auto"/>
              </w:rPr>
              <w:t>Diluted weighted average common shares outstanding</w:t>
            </w: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174,408</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181,027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176,171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175,464</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income (loss) attributable to common stock</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Diluted net income (loss) attributable to common stock</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0"/>
                <w:szCs w:val="20"/>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18.99</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340" w:hanging="332"/>
        <w:spacing w:after="0" w:line="277" w:lineRule="auto"/>
        <w:tabs>
          <w:tab w:leader="none" w:pos="414"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Unvested restricted stock awards and performance stock awards that contain non-forfeitable distribution equivalent rights are considered participating securities and therefore are included in the earnings per share calculation pursuant to the two-class method.</w:t>
      </w:r>
    </w:p>
    <w:p>
      <w:pPr>
        <w:spacing w:after="0" w:line="1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7"/>
          <w:szCs w:val="17"/>
          <w:b w:val="1"/>
          <w:bCs w:val="1"/>
          <w:color w:val="auto"/>
        </w:rPr>
        <w:t>EQUITY-BASED COMPENSATION</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June 3, 2021, the Company’s stockholders approved and adopted the Company’s 2021 amended and restated equity incentive plan (the “Equity Plan”), which, among other things, increased total shares authorized for issuance from 8.3 million to 11.8 million. At September 30, 2022, the Company had 5.2 million shares of common stock available for future grants.</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Under the Equity Plan, approved by the board of directors, the Company is authorized to issue incentive and non-statutory stock options, restricted stock awards and restricted stock units, performance awards and stock appreciation rights to eligible employees. At September 30, 2022, the Company had outstanding restricted stock units and performance-based restricted stock units under the Equity Plan. The Company also has immaterial amounts of restricted share awards, stock options and stock appreciation rights outstanding which were issued under plans assumed in connection with previously completed mergers. The Company classifies all of its awards, other than its stock appreciation rights, as equity-based awards and estimates the fair values of restricted stock awards and units as the closing price of the Company’s common stock on the grant date of the award, which is expensed over the applicable vesting period. The Company values its stock options and stock appreciation rights using a Black-Scholes option valuation model. Stock appreciation rights are considered liability-classified awards.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to the Equity Plan, Viper maintains its own long-term incentive plan, which is not significant to the Company.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financial statement impacts of the equity compensation plans and related costs: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20" w:type="dxa"/>
            <w:vAlign w:val="bottom"/>
          </w:tcPr>
          <w:p>
            <w:pPr>
              <w:spacing w:after="0"/>
              <w:rPr>
                <w:sz w:val="18"/>
                <w:szCs w:val="18"/>
                <w:color w:val="auto"/>
              </w:rPr>
            </w:pPr>
          </w:p>
        </w:tc>
        <w:tc>
          <w:tcPr>
            <w:tcW w:w="2800" w:type="dxa"/>
            <w:vAlign w:val="bottom"/>
            <w:gridSpan w:val="5"/>
          </w:tcPr>
          <w:p>
            <w:pPr>
              <w:ind w:left="100"/>
              <w:spacing w:after="0"/>
              <w:rPr>
                <w:sz w:val="20"/>
                <w:szCs w:val="20"/>
                <w:color w:val="auto"/>
              </w:rPr>
            </w:pPr>
            <w:r>
              <w:rPr>
                <w:rFonts w:ascii="Arial" w:cs="Arial" w:eastAsia="Arial" w:hAnsi="Arial"/>
                <w:sz w:val="16"/>
                <w:szCs w:val="16"/>
                <w:b w:val="1"/>
                <w:bCs w:val="1"/>
                <w:color w:val="auto"/>
                <w:w w:val="98"/>
              </w:rPr>
              <w:t>Three Months Ended September 30,</w:t>
            </w:r>
          </w:p>
        </w:tc>
        <w:tc>
          <w:tcPr>
            <w:tcW w:w="140" w:type="dxa"/>
            <w:vAlign w:val="bottom"/>
          </w:tcPr>
          <w:p>
            <w:pPr>
              <w:spacing w:after="0"/>
              <w:rPr>
                <w:sz w:val="18"/>
                <w:szCs w:val="18"/>
                <w:color w:val="auto"/>
              </w:rPr>
            </w:pPr>
          </w:p>
        </w:tc>
        <w:tc>
          <w:tcPr>
            <w:tcW w:w="2580" w:type="dxa"/>
            <w:vAlign w:val="bottom"/>
            <w:gridSpan w:val="3"/>
          </w:tcPr>
          <w:p>
            <w:pPr>
              <w:jc w:val="right"/>
              <w:ind w:right="53"/>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210"/>
        </w:trPr>
        <w:tc>
          <w:tcPr>
            <w:tcW w:w="57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2021</w:t>
            </w:r>
          </w:p>
        </w:tc>
      </w:tr>
      <w:tr>
        <w:trPr>
          <w:trHeight w:val="210"/>
        </w:trPr>
        <w:tc>
          <w:tcPr>
            <w:tcW w:w="5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40" w:type="dxa"/>
            <w:vAlign w:val="bottom"/>
            <w:gridSpan w:val="4"/>
          </w:tcPr>
          <w:p>
            <w:pPr>
              <w:jc w:val="right"/>
              <w:ind w:right="875"/>
              <w:spacing w:after="0"/>
              <w:rPr>
                <w:sz w:val="20"/>
                <w:szCs w:val="20"/>
                <w:color w:val="auto"/>
              </w:rPr>
            </w:pPr>
            <w:r>
              <w:rPr>
                <w:rFonts w:ascii="Arial" w:cs="Arial" w:eastAsia="Arial" w:hAnsi="Arial"/>
                <w:sz w:val="16"/>
                <w:szCs w:val="16"/>
                <w:b w:val="1"/>
                <w:bCs w:val="1"/>
                <w:color w:val="auto"/>
              </w:rPr>
              <w:t>(In millions)</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2"/>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42</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176"/>
        </w:trPr>
        <w:tc>
          <w:tcPr>
            <w:tcW w:w="5720" w:type="dxa"/>
            <w:vAlign w:val="bottom"/>
          </w:tcPr>
          <w:p>
            <w:pPr>
              <w:ind w:left="20"/>
              <w:spacing w:after="0" w:line="176" w:lineRule="exact"/>
              <w:rPr>
                <w:sz w:val="20"/>
                <w:szCs w:val="20"/>
                <w:color w:val="auto"/>
              </w:rPr>
            </w:pPr>
            <w:r>
              <w:rPr>
                <w:rFonts w:ascii="Arial" w:cs="Arial" w:eastAsia="Arial" w:hAnsi="Arial"/>
                <w:sz w:val="18"/>
                <w:szCs w:val="18"/>
                <w:color w:val="auto"/>
              </w:rPr>
              <w:t>Equity-based compensation capitalized pursuant to full cost method of</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accounting for oil and natural gas properties</w:t>
            </w:r>
          </w:p>
        </w:tc>
        <w:tc>
          <w:tcPr>
            <w:tcW w:w="300" w:type="dxa"/>
            <w:vAlign w:val="bottom"/>
          </w:tcPr>
          <w:p>
            <w:pPr>
              <w:jc w:val="right"/>
              <w:ind w:right="113"/>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Company’s restricted stock unit activity during the nine months ended September 30, 2022 under the Equity Plan:</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60" w:type="dxa"/>
            <w:vAlign w:val="bottom"/>
          </w:tcPr>
          <w:p>
            <w:pPr>
              <w:spacing w:after="0"/>
              <w:rPr>
                <w:sz w:val="16"/>
                <w:szCs w:val="16"/>
                <w:color w:val="auto"/>
              </w:rPr>
            </w:pPr>
          </w:p>
        </w:tc>
        <w:tc>
          <w:tcPr>
            <w:tcW w:w="2040" w:type="dxa"/>
            <w:vAlign w:val="bottom"/>
            <w:vMerge w:val="restart"/>
          </w:tcPr>
          <w:p>
            <w:pPr>
              <w:jc w:val="right"/>
              <w:ind w:right="373"/>
              <w:spacing w:after="0"/>
              <w:rPr>
                <w:sz w:val="20"/>
                <w:szCs w:val="20"/>
                <w:color w:val="auto"/>
              </w:rPr>
            </w:pPr>
            <w:r>
              <w:rPr>
                <w:rFonts w:ascii="Arial" w:cs="Arial" w:eastAsia="Arial" w:hAnsi="Arial"/>
                <w:sz w:val="16"/>
                <w:szCs w:val="16"/>
                <w:b w:val="1"/>
                <w:bCs w:val="1"/>
                <w:color w:val="auto"/>
              </w:rPr>
              <w:t>Restricted Stock</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tcPr>
          <w:p>
            <w:pPr>
              <w:jc w:val="center"/>
              <w:ind w:right="53"/>
              <w:spacing w:after="0"/>
              <w:rPr>
                <w:sz w:val="20"/>
                <w:szCs w:val="20"/>
                <w:color w:val="auto"/>
              </w:rPr>
            </w:pPr>
            <w:r>
              <w:rPr>
                <w:rFonts w:ascii="Arial" w:cs="Arial" w:eastAsia="Arial" w:hAnsi="Arial"/>
                <w:sz w:val="16"/>
                <w:szCs w:val="16"/>
                <w:b w:val="1"/>
                <w:bCs w:val="1"/>
                <w:color w:val="auto"/>
                <w:w w:val="92"/>
              </w:rPr>
              <w:t>Weighted Average Grant-</w:t>
            </w:r>
          </w:p>
        </w:tc>
        <w:tc>
          <w:tcPr>
            <w:tcW w:w="0" w:type="dxa"/>
            <w:vAlign w:val="bottom"/>
          </w:tcPr>
          <w:p>
            <w:pPr>
              <w:spacing w:after="0"/>
              <w:rPr>
                <w:sz w:val="1"/>
                <w:szCs w:val="1"/>
                <w:color w:val="auto"/>
              </w:rPr>
            </w:pPr>
          </w:p>
        </w:tc>
      </w:tr>
      <w:tr>
        <w:trPr>
          <w:trHeight w:val="162"/>
        </w:trPr>
        <w:tc>
          <w:tcPr>
            <w:tcW w:w="7060" w:type="dxa"/>
            <w:vAlign w:val="bottom"/>
          </w:tcPr>
          <w:p>
            <w:pPr>
              <w:spacing w:after="0"/>
              <w:rPr>
                <w:sz w:val="14"/>
                <w:szCs w:val="14"/>
                <w:color w:val="auto"/>
              </w:rPr>
            </w:pPr>
          </w:p>
        </w:tc>
        <w:tc>
          <w:tcPr>
            <w:tcW w:w="2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tcPr>
          <w:p>
            <w:pPr>
              <w:jc w:val="center"/>
              <w:ind w:right="33"/>
              <w:spacing w:after="0" w:line="162" w:lineRule="exact"/>
              <w:rPr>
                <w:sz w:val="20"/>
                <w:szCs w:val="20"/>
                <w:color w:val="auto"/>
              </w:rPr>
            </w:pPr>
            <w:r>
              <w:rPr>
                <w:rFonts w:ascii="Arial" w:cs="Arial" w:eastAsia="Arial" w:hAnsi="Arial"/>
                <w:sz w:val="16"/>
                <w:szCs w:val="16"/>
                <w:b w:val="1"/>
                <w:bCs w:val="1"/>
                <w:color w:val="auto"/>
                <w:w w:val="92"/>
              </w:rPr>
              <w:t>Date</w:t>
            </w:r>
          </w:p>
        </w:tc>
        <w:tc>
          <w:tcPr>
            <w:tcW w:w="0" w:type="dxa"/>
            <w:vAlign w:val="bottom"/>
          </w:tcPr>
          <w:p>
            <w:pPr>
              <w:spacing w:after="0"/>
              <w:rPr>
                <w:sz w:val="1"/>
                <w:szCs w:val="1"/>
                <w:color w:val="auto"/>
              </w:rPr>
            </w:pPr>
          </w:p>
        </w:tc>
      </w:tr>
      <w:tr>
        <w:trPr>
          <w:trHeight w:val="213"/>
        </w:trPr>
        <w:tc>
          <w:tcPr>
            <w:tcW w:w="7060" w:type="dxa"/>
            <w:vAlign w:val="bottom"/>
            <w:tcBorders>
              <w:bottom w:val="single" w:sz="8" w:color="CCEEFF"/>
            </w:tcBorders>
          </w:tcPr>
          <w:p>
            <w:pPr>
              <w:spacing w:after="0"/>
              <w:rPr>
                <w:sz w:val="18"/>
                <w:szCs w:val="18"/>
                <w:color w:val="auto"/>
              </w:rPr>
            </w:pPr>
          </w:p>
        </w:tc>
        <w:tc>
          <w:tcPr>
            <w:tcW w:w="2040" w:type="dxa"/>
            <w:vAlign w:val="bottom"/>
            <w:tcBorders>
              <w:bottom w:val="single" w:sz="8" w:color="auto"/>
            </w:tcBorders>
          </w:tcPr>
          <w:p>
            <w:pPr>
              <w:jc w:val="right"/>
              <w:ind w:right="733"/>
              <w:spacing w:after="0"/>
              <w:rPr>
                <w:sz w:val="20"/>
                <w:szCs w:val="20"/>
                <w:color w:val="auto"/>
              </w:rPr>
            </w:pPr>
            <w:r>
              <w:rPr>
                <w:rFonts w:ascii="Arial" w:cs="Arial" w:eastAsia="Arial" w:hAnsi="Arial"/>
                <w:sz w:val="16"/>
                <w:szCs w:val="16"/>
                <w:b w:val="1"/>
                <w:bCs w:val="1"/>
                <w:color w:val="auto"/>
              </w:rPr>
              <w:t>Units</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94"/>
              </w:rPr>
              <w:t>Fair Value</w:t>
            </w:r>
          </w:p>
        </w:tc>
        <w:tc>
          <w:tcPr>
            <w:tcW w:w="0" w:type="dxa"/>
            <w:vAlign w:val="bottom"/>
          </w:tcPr>
          <w:p>
            <w:pPr>
              <w:spacing w:after="0"/>
              <w:rPr>
                <w:sz w:val="1"/>
                <w:szCs w:val="1"/>
                <w:color w:val="auto"/>
              </w:rPr>
            </w:pPr>
          </w:p>
        </w:tc>
      </w:tr>
      <w:tr>
        <w:trPr>
          <w:trHeight w:val="226"/>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2021</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1,079,589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62.09</w:t>
            </w:r>
          </w:p>
        </w:tc>
        <w:tc>
          <w:tcPr>
            <w:tcW w:w="0" w:type="dxa"/>
            <w:vAlign w:val="bottom"/>
          </w:tcPr>
          <w:p>
            <w:pPr>
              <w:spacing w:after="0"/>
              <w:rPr>
                <w:sz w:val="1"/>
                <w:szCs w:val="1"/>
                <w:color w:val="auto"/>
              </w:rPr>
            </w:pPr>
          </w:p>
        </w:tc>
      </w:tr>
      <w:tr>
        <w:trPr>
          <w:trHeight w:val="230"/>
        </w:trPr>
        <w:tc>
          <w:tcPr>
            <w:tcW w:w="7060" w:type="dxa"/>
            <w:vAlign w:val="bottom"/>
          </w:tcPr>
          <w:p>
            <w:pPr>
              <w:ind w:left="360"/>
              <w:spacing w:after="0" w:line="230" w:lineRule="exact"/>
              <w:rPr>
                <w:sz w:val="20"/>
                <w:szCs w:val="20"/>
                <w:color w:val="auto"/>
              </w:rPr>
            </w:pPr>
            <w:r>
              <w:rPr>
                <w:rFonts w:ascii="Arial" w:cs="Arial" w:eastAsia="Arial" w:hAnsi="Arial"/>
                <w:sz w:val="18"/>
                <w:szCs w:val="18"/>
                <w:color w:val="auto"/>
              </w:rPr>
              <w:t>Granted</w:t>
            </w:r>
            <w:r>
              <w:rPr>
                <w:rFonts w:ascii="Arial" w:cs="Arial" w:eastAsia="Arial" w:hAnsi="Arial"/>
                <w:sz w:val="23"/>
                <w:szCs w:val="23"/>
                <w:color w:val="auto"/>
                <w:vertAlign w:val="superscript"/>
              </w:rPr>
              <w:t>(1)</w:t>
            </w:r>
          </w:p>
        </w:tc>
        <w:tc>
          <w:tcPr>
            <w:tcW w:w="2040" w:type="dxa"/>
            <w:vAlign w:val="bottom"/>
          </w:tcPr>
          <w:p>
            <w:pPr>
              <w:jc w:val="right"/>
              <w:spacing w:after="0"/>
              <w:rPr>
                <w:sz w:val="20"/>
                <w:szCs w:val="20"/>
                <w:color w:val="auto"/>
              </w:rPr>
            </w:pPr>
            <w:r>
              <w:rPr>
                <w:rFonts w:ascii="Arial" w:cs="Arial" w:eastAsia="Arial" w:hAnsi="Arial"/>
                <w:sz w:val="18"/>
                <w:szCs w:val="18"/>
                <w:color w:val="auto"/>
              </w:rPr>
              <w:t>478,797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134.00</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92.75</w:t>
            </w:r>
          </w:p>
        </w:tc>
        <w:tc>
          <w:tcPr>
            <w:tcW w:w="0" w:type="dxa"/>
            <w:vAlign w:val="bottom"/>
          </w:tcPr>
          <w:p>
            <w:pPr>
              <w:spacing w:after="0"/>
              <w:rPr>
                <w:sz w:val="1"/>
                <w:szCs w:val="1"/>
                <w:color w:val="auto"/>
              </w:rPr>
            </w:pPr>
          </w:p>
        </w:tc>
      </w:tr>
      <w:tr>
        <w:trPr>
          <w:trHeight w:val="229"/>
        </w:trPr>
        <w:tc>
          <w:tcPr>
            <w:tcW w:w="7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Forfeited</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(52,577)</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70.78</w:t>
            </w:r>
          </w:p>
        </w:tc>
        <w:tc>
          <w:tcPr>
            <w:tcW w:w="0" w:type="dxa"/>
            <w:vAlign w:val="bottom"/>
          </w:tcPr>
          <w:p>
            <w:pPr>
              <w:spacing w:after="0"/>
              <w:rPr>
                <w:sz w:val="1"/>
                <w:szCs w:val="1"/>
                <w:color w:val="auto"/>
              </w:rPr>
            </w:pP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September 30, 2022</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1,327,207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93.89</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(1) Includes 156,490 restricted stock units granted through the conversion of Rattler restricted stock units at the completion of the Rattler Merger.</w:t>
      </w:r>
    </w:p>
    <w:p>
      <w:pPr>
        <w:spacing w:after="0" w:line="2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aggregate fair value of restricted stock units that vested during the nine months ended September 30, 2022 was $111 million. As of September 30, 2022, the Company’s unrecognized compensation cost related to unvested restricted stock units was $80 million, which is expected to be recognized over a weighted-average period of 1.7 years.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Based Restricted Stock Units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Company’s performance restricted stock units activity under the Equity Plan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4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auto"/>
                <w:w w:val="93"/>
              </w:rPr>
              <w:t>Performance Restricted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ind w:right="172"/>
              <w:spacing w:after="0"/>
              <w:rPr>
                <w:sz w:val="20"/>
                <w:szCs w:val="20"/>
                <w:color w:val="auto"/>
              </w:rPr>
            </w:pPr>
            <w:r>
              <w:rPr>
                <w:rFonts w:ascii="Arial" w:cs="Arial" w:eastAsia="Arial" w:hAnsi="Arial"/>
                <w:sz w:val="16"/>
                <w:szCs w:val="16"/>
                <w:b w:val="1"/>
                <w:bCs w:val="1"/>
                <w:color w:val="auto"/>
                <w:w w:val="93"/>
              </w:rPr>
              <w:t>Weighted Average</w:t>
            </w:r>
          </w:p>
        </w:tc>
      </w:tr>
      <w:tr>
        <w:trPr>
          <w:trHeight w:val="213"/>
        </w:trPr>
        <w:tc>
          <w:tcPr>
            <w:tcW w:w="764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Stock Units</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6"/>
                <w:szCs w:val="16"/>
                <w:b w:val="1"/>
                <w:bCs w:val="1"/>
                <w:color w:val="auto"/>
              </w:rPr>
              <w:t>Grant-Date Fair Value</w:t>
            </w:r>
          </w:p>
        </w:tc>
      </w:tr>
      <w:tr>
        <w:trPr>
          <w:trHeight w:val="226"/>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2021</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456,459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100.17</w:t>
            </w:r>
          </w:p>
        </w:tc>
      </w:tr>
      <w:tr>
        <w:trPr>
          <w:trHeight w:val="230"/>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Granted</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126,905</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237.13</w:t>
            </w:r>
          </w:p>
        </w:tc>
      </w:tr>
      <w:tr>
        <w:trPr>
          <w:trHeight w:val="248"/>
        </w:trPr>
        <w:tc>
          <w:tcPr>
            <w:tcW w:w="764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Unvested at September 30, 2022</w:t>
            </w:r>
            <w:r>
              <w:rPr>
                <w:rFonts w:ascii="Arial" w:cs="Arial" w:eastAsia="Arial" w:hAnsi="Arial"/>
                <w:sz w:val="23"/>
                <w:szCs w:val="23"/>
                <w:color w:val="auto"/>
                <w:vertAlign w:val="superscript"/>
              </w:rPr>
              <w:t>(1)</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583,364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129.96</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(1) A maximum of 1,408,973 units could be awarded based upon the Company’s final TSR ranking.</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September 30, 2022, the Company’s unrecognized compensation cost related to unvested performance based restricted stock awards and units was $39 million, which is expected to be recognized over a weighted-average period of 1.4 years.</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March 2022, eligible employees received performance restricted stock unit awards totaling 126,905 units from which a minimum of 0% and a maximum of 200% of the units could be awarded based upon the measurement of total stockholder return of the Company’s common stock as compared to a designated peer group during the 3-year performance period of January 1, 2022 to December 31, 2024 and cliff vest at December 31, 2024 subject to continued employment. The initial payout of the March 2022 awards will be further adjusted by a TSR modifier that may reduce the payout or increase the payout up to a maximum of 250%.</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of each performance restricted stock unit issuance is estimated at the date of grant using a Monte Carlo simulation, which results in an expected percentage of units to be earned during the performance period.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a summary of the grant-date fair values of performance restricted stock units granted and the related assumptions for the awards granted during the period presented: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3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92"/>
              <w:spacing w:after="0"/>
              <w:rPr>
                <w:sz w:val="20"/>
                <w:szCs w:val="20"/>
                <w:color w:val="auto"/>
              </w:rPr>
            </w:pPr>
            <w:r>
              <w:rPr>
                <w:rFonts w:ascii="Arial" w:cs="Arial" w:eastAsia="Arial" w:hAnsi="Arial"/>
                <w:sz w:val="16"/>
                <w:szCs w:val="16"/>
                <w:b w:val="1"/>
                <w:bCs w:val="1"/>
                <w:color w:val="auto"/>
              </w:rPr>
              <w:t>2022</w:t>
            </w:r>
          </w:p>
        </w:tc>
      </w:tr>
      <w:tr>
        <w:trPr>
          <w:trHeight w:val="226"/>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Grant-date fair value</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237.13</w:t>
            </w:r>
          </w:p>
        </w:tc>
      </w:tr>
      <w:tr>
        <w:trPr>
          <w:trHeight w:val="230"/>
        </w:trPr>
        <w:tc>
          <w:tcPr>
            <w:tcW w:w="9340" w:type="dxa"/>
            <w:vAlign w:val="bottom"/>
          </w:tcPr>
          <w:p>
            <w:pPr>
              <w:ind w:left="20"/>
              <w:spacing w:after="0"/>
              <w:rPr>
                <w:sz w:val="20"/>
                <w:szCs w:val="20"/>
                <w:color w:val="auto"/>
              </w:rPr>
            </w:pPr>
            <w:r>
              <w:rPr>
                <w:rFonts w:ascii="Arial" w:cs="Arial" w:eastAsia="Arial" w:hAnsi="Arial"/>
                <w:sz w:val="18"/>
                <w:szCs w:val="18"/>
                <w:color w:val="auto"/>
              </w:rPr>
              <w:t>Risk-free rate</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1.44 %</w:t>
            </w:r>
          </w:p>
        </w:tc>
      </w:tr>
      <w:tr>
        <w:trPr>
          <w:trHeight w:val="229"/>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 volatility</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72.10 %</w:t>
            </w:r>
          </w:p>
        </w:tc>
      </w:tr>
    </w:tbl>
    <w:p>
      <w:pPr>
        <w:spacing w:after="0" w:line="31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tab/>
        <w:t>INCOME TAXES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the Company’s provision for (benefit from) income taxes and the effective income tax rate for the periods indicated: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2480" w:type="dxa"/>
            <w:vAlign w:val="bottom"/>
            <w:gridSpan w:val="5"/>
          </w:tcPr>
          <w:p>
            <w:pPr>
              <w:ind w:left="60"/>
              <w:spacing w:after="0"/>
              <w:rPr>
                <w:sz w:val="20"/>
                <w:szCs w:val="20"/>
                <w:color w:val="auto"/>
              </w:rPr>
            </w:pPr>
            <w:r>
              <w:rPr>
                <w:rFonts w:ascii="Arial" w:cs="Arial" w:eastAsia="Arial" w:hAnsi="Arial"/>
                <w:sz w:val="16"/>
                <w:szCs w:val="16"/>
                <w:b w:val="1"/>
                <w:bCs w:val="1"/>
                <w:color w:val="auto"/>
                <w:w w:val="97"/>
              </w:rPr>
              <w:t>Three Months Ended September</w:t>
            </w:r>
          </w:p>
        </w:tc>
        <w:tc>
          <w:tcPr>
            <w:tcW w:w="2360" w:type="dxa"/>
            <w:vAlign w:val="bottom"/>
            <w:gridSpan w:val="4"/>
          </w:tcPr>
          <w:p>
            <w:pPr>
              <w:jc w:val="right"/>
              <w:ind w:right="13"/>
              <w:spacing w:after="0"/>
              <w:rPr>
                <w:sz w:val="20"/>
                <w:szCs w:val="20"/>
                <w:color w:val="auto"/>
              </w:rPr>
            </w:pPr>
            <w:r>
              <w:rPr>
                <w:rFonts w:ascii="Arial" w:cs="Arial" w:eastAsia="Arial" w:hAnsi="Arial"/>
                <w:sz w:val="16"/>
                <w:szCs w:val="16"/>
                <w:b w:val="1"/>
                <w:bCs w:val="1"/>
                <w:color w:val="auto"/>
                <w:w w:val="94"/>
              </w:rPr>
              <w:t>Nine Months Ended September</w:t>
            </w:r>
          </w:p>
        </w:tc>
      </w:tr>
      <w:tr>
        <w:trPr>
          <w:trHeight w:val="213"/>
        </w:trPr>
        <w:tc>
          <w:tcPr>
            <w:tcW w:w="6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36"/>
              <w:spacing w:after="0"/>
              <w:rPr>
                <w:sz w:val="20"/>
                <w:szCs w:val="20"/>
                <w:color w:val="auto"/>
              </w:rPr>
            </w:pPr>
            <w:r>
              <w:rPr>
                <w:rFonts w:ascii="Arial" w:cs="Arial" w:eastAsia="Arial" w:hAnsi="Arial"/>
                <w:sz w:val="16"/>
                <w:szCs w:val="16"/>
                <w:b w:val="1"/>
                <w:bCs w:val="1"/>
                <w:color w:val="auto"/>
              </w:rPr>
              <w:t>30,</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35"/>
              <w:spacing w:after="0"/>
              <w:rPr>
                <w:sz w:val="20"/>
                <w:szCs w:val="20"/>
                <w:color w:val="auto"/>
              </w:rPr>
            </w:pPr>
            <w:r>
              <w:rPr>
                <w:rFonts w:ascii="Arial" w:cs="Arial" w:eastAsia="Arial" w:hAnsi="Arial"/>
                <w:sz w:val="16"/>
                <w:szCs w:val="16"/>
                <w:b w:val="1"/>
                <w:bCs w:val="1"/>
                <w:color w:val="auto"/>
                <w:w w:val="89"/>
              </w:rPr>
              <w:t>30,</w:t>
            </w:r>
          </w:p>
        </w:tc>
        <w:tc>
          <w:tcPr>
            <w:tcW w:w="860" w:type="dxa"/>
            <w:vAlign w:val="bottom"/>
            <w:tcBorders>
              <w:bottom w:val="single" w:sz="8" w:color="auto"/>
            </w:tcBorders>
          </w:tcPr>
          <w:p>
            <w:pPr>
              <w:spacing w:after="0"/>
              <w:rPr>
                <w:sz w:val="18"/>
                <w:szCs w:val="18"/>
                <w:color w:val="auto"/>
              </w:rPr>
            </w:pPr>
          </w:p>
        </w:tc>
      </w:tr>
      <w:tr>
        <w:trPr>
          <w:trHeight w:val="209"/>
        </w:trPr>
        <w:tc>
          <w:tcPr>
            <w:tcW w:w="6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2021</w:t>
            </w:r>
          </w:p>
        </w:tc>
      </w:tr>
      <w:tr>
        <w:trPr>
          <w:trHeight w:val="210"/>
        </w:trPr>
        <w:tc>
          <w:tcPr>
            <w:tcW w:w="6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540" w:type="dxa"/>
            <w:vAlign w:val="bottom"/>
            <w:gridSpan w:val="5"/>
          </w:tcPr>
          <w:p>
            <w:pPr>
              <w:jc w:val="right"/>
              <w:spacing w:after="0"/>
              <w:rPr>
                <w:sz w:val="20"/>
                <w:szCs w:val="20"/>
                <w:color w:val="auto"/>
              </w:rPr>
            </w:pPr>
            <w:r>
              <w:rPr>
                <w:rFonts w:ascii="Arial" w:cs="Arial" w:eastAsia="Arial" w:hAnsi="Arial"/>
                <w:sz w:val="16"/>
                <w:szCs w:val="16"/>
                <w:b w:val="1"/>
                <w:bCs w:val="1"/>
                <w:color w:val="auto"/>
              </w:rPr>
              <w:t>(In millions, except for tax rate)</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2"/>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5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913</w:t>
            </w:r>
          </w:p>
        </w:tc>
        <w:tc>
          <w:tcPr>
            <w:tcW w:w="4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352</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260" w:type="dxa"/>
            <w:vAlign w:val="bottom"/>
          </w:tcPr>
          <w:p>
            <w:pPr>
              <w:spacing w:after="0"/>
              <w:rPr>
                <w:sz w:val="20"/>
                <w:szCs w:val="20"/>
                <w:color w:val="auto"/>
              </w:rPr>
            </w:pPr>
          </w:p>
        </w:tc>
        <w:tc>
          <w:tcPr>
            <w:tcW w:w="1240" w:type="dxa"/>
            <w:vAlign w:val="bottom"/>
            <w:gridSpan w:val="2"/>
          </w:tcPr>
          <w:p>
            <w:pPr>
              <w:jc w:val="right"/>
              <w:ind w:right="296"/>
              <w:spacing w:after="0"/>
              <w:rPr>
                <w:sz w:val="20"/>
                <w:szCs w:val="20"/>
                <w:color w:val="auto"/>
              </w:rPr>
            </w:pPr>
            <w:r>
              <w:rPr>
                <w:rFonts w:ascii="Arial" w:cs="Arial" w:eastAsia="Arial" w:hAnsi="Arial"/>
                <w:sz w:val="18"/>
                <w:szCs w:val="18"/>
                <w:color w:val="auto"/>
              </w:rPr>
              <w:t>18.6 %</w:t>
            </w:r>
          </w:p>
        </w:tc>
        <w:tc>
          <w:tcPr>
            <w:tcW w:w="880" w:type="dxa"/>
            <w:vAlign w:val="bottom"/>
          </w:tcPr>
          <w:p>
            <w:pPr>
              <w:jc w:val="right"/>
              <w:spacing w:after="0"/>
              <w:rPr>
                <w:sz w:val="20"/>
                <w:szCs w:val="20"/>
                <w:color w:val="auto"/>
              </w:rPr>
            </w:pPr>
            <w:r>
              <w:rPr>
                <w:rFonts w:ascii="Arial" w:cs="Arial" w:eastAsia="Arial" w:hAnsi="Arial"/>
                <w:sz w:val="18"/>
                <w:szCs w:val="18"/>
                <w:color w:val="auto"/>
              </w:rPr>
              <w:t>22.3 %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2"/>
          </w:tcPr>
          <w:p>
            <w:pPr>
              <w:jc w:val="right"/>
              <w:ind w:right="295"/>
              <w:spacing w:after="0"/>
              <w:rPr>
                <w:sz w:val="20"/>
                <w:szCs w:val="20"/>
                <w:color w:val="auto"/>
              </w:rPr>
            </w:pPr>
            <w:r>
              <w:rPr>
                <w:rFonts w:ascii="Arial" w:cs="Arial" w:eastAsia="Arial" w:hAnsi="Arial"/>
                <w:sz w:val="18"/>
                <w:szCs w:val="18"/>
                <w:color w:val="auto"/>
              </w:rPr>
              <w:t>20.5 %</w:t>
            </w:r>
          </w:p>
        </w:tc>
        <w:tc>
          <w:tcPr>
            <w:tcW w:w="860" w:type="dxa"/>
            <w:vAlign w:val="bottom"/>
          </w:tcPr>
          <w:p>
            <w:pPr>
              <w:jc w:val="right"/>
              <w:spacing w:after="0"/>
              <w:rPr>
                <w:sz w:val="20"/>
                <w:szCs w:val="20"/>
                <w:color w:val="auto"/>
              </w:rPr>
            </w:pPr>
            <w:r>
              <w:rPr>
                <w:rFonts w:ascii="Arial" w:cs="Arial" w:eastAsia="Arial" w:hAnsi="Arial"/>
                <w:sz w:val="18"/>
                <w:szCs w:val="18"/>
                <w:color w:val="auto"/>
              </w:rPr>
              <w:t>22.3 %</w:t>
            </w:r>
          </w:p>
        </w:tc>
      </w:tr>
    </w:tbl>
    <w:p>
      <w:pPr>
        <w:spacing w:after="0" w:line="29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Total income tax expense from continuing operations for the three and nine months ended September 30, 2022 and 2021 differed from amounts computed by applying the United States federal statutory tax rate to pre-tax income primarily due to (i) state income taxes, net of federal benefit, and (ii) the impact of permanent differences between book and taxable income, partially offset by (iii) discrete tax benefit resulting from a partial reduction in the valuation allowance on Viper’s deferred tax assets for the three and nine months ended September 30, 2022. During the three months ended September 30, 2022, Viper partially reduced the balance of its beginning-of-year valuation allowance by $50 million, based on a change in judgment about the realizability of its deferred tax assets in future years.</w:t>
      </w:r>
    </w:p>
    <w:p>
      <w:pPr>
        <w:spacing w:after="0" w:line="21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As of September 30, 2021, Viper maintained a partial valuation allowance against its deferred tax assets, based on its assessment of all available evidence, both positive and negative, supporting realizability of Viper’s deferred tax assets.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three and nine months ended September 30, 2022 and 2021, the Company’s items of discrete income tax expense or benefit were not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material.</w:t>
      </w:r>
    </w:p>
    <w:p>
      <w:pPr>
        <w:spacing w:after="0" w:line="23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periods subsequent to the Effective Date of the Rattler Merger, Rattler is anticipated to be a member of the group filing consolidated income tax returns with Diamondback Energy, Inc. and its subsidiaries. As such, Rattler’s current and deferred income taxes continue to be included in the Company’s consolidated income tax expense from continuing operations and, only for periods prior to the Rattler Merger, in net income attributable to the non-controlling interest. Management considered the likelihood that Rattler’s net operating losses and other deferred tax attributes will be utilized, including in light of inclusion in consolidated income tax returns with Diamondback and in light of the annual limitation on utilization of tax attributes following an ownership change pursuant to Internal Revenue Code Section 382. As a result of the assessment, including consideration of all available positive and negative evidence, management determined that it continues to be more likely than not that Rattler will realize its deferred tax assets as of September 30, 2022.</w:t>
      </w:r>
    </w:p>
    <w:p>
      <w:pPr>
        <w:spacing w:after="0" w:line="219"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On March 17, 2021, the Company completed its acquisition of QEP. For federal income tax purposes, the transaction qualified as a nontaxable merger whereby the Company acquired carryover tax basis in QEP’s assets and liabilities. The Company’s opening balance sheet net deferred tax asset was finalized during the first quarter of 2022 at $39 million, and primarily consisted of deferred tax assets related to tax attributes acquired from QEP, partially offset by a valuation allowance related to federal and state tax attributes estimated not more likely than to be realized prior to expiration and deferred tax liabilities resulting from the excess of financial reporting carrying value over tax basis of oil and natural gas properties and other assets acquired from QEP.</w:t>
      </w:r>
    </w:p>
    <w:p>
      <w:pPr>
        <w:spacing w:after="0" w:line="17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The CHIPS and Science Act of 2022 was enacted on August 9, 2022, and the Inflation Reduction Act of 2022 (“IRA”) was enacted on August 16, 2022, which created a 15% corporate alternative minimum tax (“CAMT”) on profits of corporations whose average financial statement income exceeds $1 billion and included several other provisions applicable to U.S. income taxes for corporations, generally effective beginning in 2023. The Company considered the impact of this legislation in the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period of enactment and concluded there was not a material impact to the Company’s current or deferred income tax balances. The Company has made an accounting policy election to account for the effects of the CAMT on realizability of its deferred tax assets as a period cost, to the extent the Company is subject to the CAMT and related tax consequences arise in future periods. These changes are effective for the 2023 tax periods.</w:t>
      </w:r>
    </w:p>
    <w:p>
      <w:pPr>
        <w:spacing w:after="0" w:line="200"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September 30, 2022, the Company has commodity derivative contracts and interest rate swaps outstanding. All derivative financial instruments are recorded at fair value.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Contracts</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has entered into multiple crude oil and natural gas derivatives, indexed to the respective indices as noted in the table below, to reduce price volatility associated with certain of its oil and natural gas sales. The Company has not designated its commodity derivative instruments as hedges for accounting purposes and, as a result, marks its commodity derivative instruments to fair value and recognizes the cash and non-cash changes in fair value in the condensed consolidated statements of operations under the caption “Gain (loss) on derivative instruments, net.”</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By using derivative instruments to economically hedge exposure to changes in commodity prices, the Company exposes itself to credit risk and market risk. Credit risk is the failure of the counterparty to perform under the terms of the derivative contract. When the fair value of a derivative contract is positive, the counterparty owes the Company, which creates credit risk. The Company’s counterparties are participants in the secured second amended and restated credit agreement, which is secured by substantially all of the assets of the guarantor subsidiaries; therefore, the Company is not required to post any collateral. The Company has entered into commodity derivative instruments only with counterparties that are also lenders under its credit facility and have been deemed an acceptable credit risk. As such, the Company does not require collateral from its counterparties.</w:t>
      </w:r>
    </w:p>
    <w:p>
      <w:pPr>
        <w:spacing w:after="0" w:line="1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had certain commodity derivative contracts that contained an other-than-insignificant financing element at inception during 2021 and, therefore, the cash receipts were classified as cash flows from financing activities in the condensed consolidated statements of cash flow for the nine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6" w:lineRule="exact"/>
        <w:rPr>
          <w:sz w:val="20"/>
          <w:szCs w:val="20"/>
          <w:color w:val="auto"/>
        </w:rPr>
      </w:pPr>
    </w:p>
    <w:p>
      <w:pPr>
        <w:ind w:firstLine="648"/>
        <w:spacing w:after="0" w:line="272" w:lineRule="auto"/>
        <w:rPr>
          <w:sz w:val="20"/>
          <w:szCs w:val="20"/>
          <w:color w:val="auto"/>
        </w:rPr>
      </w:pPr>
      <w:r>
        <w:rPr>
          <w:rFonts w:ascii="Arial" w:cs="Arial" w:eastAsia="Arial" w:hAnsi="Arial"/>
          <w:sz w:val="18"/>
          <w:szCs w:val="18"/>
          <w:color w:val="auto"/>
        </w:rPr>
        <w:t>As of September 30, 2022, the Company had the following outstanding commodity derivative contracts. When aggregating multiple contracts, the weighted average contract price is disclosed.</w:t>
      </w:r>
    </w:p>
    <w:tbl>
      <w:tblPr>
        <w:tblLayout w:type="fixed"/>
        <w:tblInd w:w="0" w:type="dxa"/>
        <w:tblCellMar>
          <w:top w:w="0" w:type="dxa"/>
          <w:left w:w="0" w:type="dxa"/>
          <w:bottom w:w="0" w:type="dxa"/>
          <w:right w:w="0" w:type="dxa"/>
        </w:tblCellMar>
      </w:tblPr>
      <w:tr>
        <w:trPr>
          <w:trHeight w:val="200"/>
        </w:trPr>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Swaps</w:t>
            </w:r>
          </w:p>
        </w:tc>
        <w:tc>
          <w:tcPr>
            <w:tcW w:w="2860" w:type="dxa"/>
            <w:vAlign w:val="bottom"/>
            <w:tcBorders>
              <w:bottom w:val="single" w:sz="8" w:color="auto"/>
            </w:tcBorders>
            <w:gridSpan w:val="2"/>
          </w:tcPr>
          <w:p>
            <w:pPr>
              <w:ind w:left="1200"/>
              <w:spacing w:after="0"/>
              <w:rPr>
                <w:sz w:val="20"/>
                <w:szCs w:val="20"/>
                <w:color w:val="auto"/>
              </w:rPr>
            </w:pPr>
            <w:r>
              <w:rPr>
                <w:rFonts w:ascii="Arial" w:cs="Arial" w:eastAsia="Arial" w:hAnsi="Arial"/>
                <w:sz w:val="15"/>
                <w:szCs w:val="15"/>
                <w:b w:val="1"/>
                <w:bCs w:val="1"/>
                <w:color w:val="auto"/>
              </w:rPr>
              <w:t>Collars</w:t>
            </w:r>
          </w:p>
        </w:tc>
      </w:tr>
      <w:tr>
        <w:trPr>
          <w:trHeight w:val="148"/>
        </w:trPr>
        <w:tc>
          <w:tcPr>
            <w:tcW w:w="1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0" w:type="dxa"/>
            <w:vAlign w:val="bottom"/>
          </w:tcPr>
          <w:p>
            <w:pPr>
              <w:jc w:val="center"/>
              <w:ind w:left="12"/>
              <w:spacing w:after="0" w:line="149" w:lineRule="exact"/>
              <w:rPr>
                <w:sz w:val="20"/>
                <w:szCs w:val="20"/>
                <w:color w:val="auto"/>
              </w:rPr>
            </w:pPr>
            <w:r>
              <w:rPr>
                <w:rFonts w:ascii="Arial" w:cs="Arial" w:eastAsia="Arial" w:hAnsi="Arial"/>
                <w:sz w:val="15"/>
                <w:szCs w:val="15"/>
                <w:b w:val="1"/>
                <w:bCs w:val="1"/>
                <w:color w:val="auto"/>
                <w:w w:val="99"/>
              </w:rPr>
              <w:t>Bbls/MMBtu</w:t>
            </w:r>
          </w:p>
        </w:tc>
        <w:tc>
          <w:tcPr>
            <w:tcW w:w="17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91"/>
              </w:rPr>
              <w:t>Weighted Average</w:t>
            </w:r>
          </w:p>
        </w:tc>
        <w:tc>
          <w:tcPr>
            <w:tcW w:w="142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90"/>
              </w:rPr>
              <w:t>Weighted Average</w:t>
            </w:r>
          </w:p>
        </w:tc>
        <w:tc>
          <w:tcPr>
            <w:tcW w:w="144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91"/>
              </w:rPr>
              <w:t>Weighted Average</w:t>
            </w:r>
          </w:p>
        </w:tc>
      </w:tr>
      <w:tr>
        <w:trPr>
          <w:trHeight w:val="212"/>
        </w:trPr>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Settlement Month</w:t>
            </w:r>
          </w:p>
        </w:tc>
        <w:tc>
          <w:tcPr>
            <w:tcW w:w="1260" w:type="dxa"/>
            <w:vAlign w:val="bottom"/>
            <w:tcBorders>
              <w:bottom w:val="single" w:sz="8" w:color="auto"/>
            </w:tcBorders>
          </w:tcPr>
          <w:p>
            <w:pPr>
              <w:jc w:val="center"/>
              <w:ind w:right="51"/>
              <w:spacing w:after="0"/>
              <w:rPr>
                <w:sz w:val="20"/>
                <w:szCs w:val="20"/>
                <w:color w:val="auto"/>
              </w:rPr>
            </w:pPr>
            <w:r>
              <w:rPr>
                <w:rFonts w:ascii="Arial" w:cs="Arial" w:eastAsia="Arial" w:hAnsi="Arial"/>
                <w:sz w:val="15"/>
                <w:szCs w:val="15"/>
                <w:b w:val="1"/>
                <w:bCs w:val="1"/>
                <w:color w:val="auto"/>
                <w:w w:val="91"/>
              </w:rPr>
              <w:t>Settlement Year</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Type of Contract</w:t>
            </w:r>
          </w:p>
        </w:tc>
        <w:tc>
          <w:tcPr>
            <w:tcW w:w="1200" w:type="dxa"/>
            <w:vAlign w:val="bottom"/>
            <w:tcBorders>
              <w:bottom w:val="single" w:sz="8" w:color="auto"/>
            </w:tcBorders>
          </w:tcPr>
          <w:p>
            <w:pPr>
              <w:jc w:val="center"/>
              <w:ind w:left="12"/>
              <w:spacing w:after="0"/>
              <w:rPr>
                <w:sz w:val="20"/>
                <w:szCs w:val="20"/>
                <w:color w:val="auto"/>
              </w:rPr>
            </w:pPr>
            <w:r>
              <w:rPr>
                <w:rFonts w:ascii="Arial" w:cs="Arial" w:eastAsia="Arial" w:hAnsi="Arial"/>
                <w:sz w:val="15"/>
                <w:szCs w:val="15"/>
                <w:b w:val="1"/>
                <w:bCs w:val="1"/>
                <w:color w:val="auto"/>
                <w:w w:val="96"/>
              </w:rPr>
              <w:t>Per Day</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Index</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Differential</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Floor Price</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Ceiling Price</w:t>
            </w:r>
          </w:p>
        </w:tc>
      </w:tr>
      <w:tr>
        <w:trPr>
          <w:trHeight w:val="200"/>
        </w:trPr>
        <w:tc>
          <w:tcPr>
            <w:tcW w:w="12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OIL</w:t>
            </w:r>
          </w:p>
        </w:tc>
        <w:tc>
          <w:tcPr>
            <w:tcW w:w="12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30"/>
        </w:trPr>
        <w:tc>
          <w:tcPr>
            <w:tcW w:w="1260" w:type="dxa"/>
            <w:vAlign w:val="bottom"/>
          </w:tcPr>
          <w:p>
            <w:pPr>
              <w:jc w:val="center"/>
              <w:spacing w:after="0"/>
              <w:rPr>
                <w:sz w:val="20"/>
                <w:szCs w:val="20"/>
                <w:color w:val="auto"/>
              </w:rPr>
            </w:pPr>
            <w:r>
              <w:rPr>
                <w:rFonts w:ascii="Arial" w:cs="Arial" w:eastAsia="Arial" w:hAnsi="Arial"/>
                <w:sz w:val="18"/>
                <w:szCs w:val="18"/>
                <w:color w:val="auto"/>
                <w:w w:val="90"/>
              </w:rPr>
              <w:t>Oct. - Dec.</w:t>
            </w:r>
          </w:p>
        </w:tc>
        <w:tc>
          <w:tcPr>
            <w:tcW w:w="1260" w:type="dxa"/>
            <w:vAlign w:val="bottom"/>
          </w:tcPr>
          <w:p>
            <w:pPr>
              <w:jc w:val="center"/>
              <w:ind w:right="51"/>
              <w:spacing w:after="0"/>
              <w:rPr>
                <w:sz w:val="20"/>
                <w:szCs w:val="20"/>
                <w:color w:val="auto"/>
              </w:rPr>
            </w:pPr>
            <w:r>
              <w:rPr>
                <w:rFonts w:ascii="Arial" w:cs="Arial" w:eastAsia="Arial" w:hAnsi="Arial"/>
                <w:sz w:val="18"/>
                <w:szCs w:val="18"/>
                <w:color w:val="auto"/>
                <w:w w:val="89"/>
              </w:rPr>
              <w:t>2022</w:t>
            </w:r>
          </w:p>
        </w:tc>
        <w:tc>
          <w:tcPr>
            <w:tcW w:w="1520" w:type="dxa"/>
            <w:vAlign w:val="bottom"/>
          </w:tcPr>
          <w:p>
            <w:pPr>
              <w:jc w:val="center"/>
              <w:spacing w:after="0" w:line="230" w:lineRule="exact"/>
              <w:rPr>
                <w:sz w:val="20"/>
                <w:szCs w:val="20"/>
                <w:color w:val="auto"/>
              </w:rPr>
            </w:pPr>
            <w:r>
              <w:rPr>
                <w:rFonts w:ascii="Arial" w:cs="Arial" w:eastAsia="Arial" w:hAnsi="Arial"/>
                <w:sz w:val="18"/>
                <w:szCs w:val="18"/>
                <w:color w:val="auto"/>
                <w:w w:val="86"/>
              </w:rPr>
              <w:t>Basis Swap</w:t>
            </w:r>
            <w:r>
              <w:rPr>
                <w:rFonts w:ascii="Arial" w:cs="Arial" w:eastAsia="Arial" w:hAnsi="Arial"/>
                <w:sz w:val="23"/>
                <w:szCs w:val="23"/>
                <w:color w:val="auto"/>
                <w:w w:val="86"/>
                <w:vertAlign w:val="superscript"/>
              </w:rPr>
              <w:t>(1)</w:t>
            </w:r>
          </w:p>
        </w:tc>
        <w:tc>
          <w:tcPr>
            <w:tcW w:w="1200" w:type="dxa"/>
            <w:vAlign w:val="bottom"/>
          </w:tcPr>
          <w:p>
            <w:pPr>
              <w:jc w:val="center"/>
              <w:ind w:left="12"/>
              <w:spacing w:after="0"/>
              <w:rPr>
                <w:sz w:val="20"/>
                <w:szCs w:val="20"/>
                <w:color w:val="auto"/>
              </w:rPr>
            </w:pPr>
            <w:r>
              <w:rPr>
                <w:rFonts w:ascii="Arial" w:cs="Arial" w:eastAsia="Arial" w:hAnsi="Arial"/>
                <w:sz w:val="18"/>
                <w:szCs w:val="18"/>
                <w:color w:val="auto"/>
                <w:w w:val="90"/>
              </w:rPr>
              <w:t>10,000</w:t>
            </w:r>
          </w:p>
        </w:tc>
        <w:tc>
          <w:tcPr>
            <w:tcW w:w="1700" w:type="dxa"/>
            <w:vAlign w:val="bottom"/>
          </w:tcPr>
          <w:p>
            <w:pPr>
              <w:jc w:val="center"/>
              <w:spacing w:after="0"/>
              <w:rPr>
                <w:sz w:val="20"/>
                <w:szCs w:val="20"/>
                <w:color w:val="auto"/>
              </w:rPr>
            </w:pPr>
            <w:r>
              <w:rPr>
                <w:rFonts w:ascii="Arial" w:cs="Arial" w:eastAsia="Arial" w:hAnsi="Arial"/>
                <w:sz w:val="18"/>
                <w:szCs w:val="18"/>
                <w:color w:val="auto"/>
                <w:w w:val="96"/>
              </w:rPr>
              <w:t>Argus WTI Midland</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$0.84</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29"/>
        </w:trPr>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Oct. - Dec.</w:t>
            </w:r>
          </w:p>
        </w:tc>
        <w:tc>
          <w:tcPr>
            <w:tcW w:w="1260" w:type="dxa"/>
            <w:vAlign w:val="bottom"/>
            <w:shd w:val="clear" w:color="auto" w:fill="CCEEFF"/>
          </w:tcPr>
          <w:p>
            <w:pPr>
              <w:jc w:val="center"/>
              <w:ind w:right="51"/>
              <w:spacing w:after="0"/>
              <w:rPr>
                <w:sz w:val="20"/>
                <w:szCs w:val="20"/>
                <w:color w:val="auto"/>
              </w:rPr>
            </w:pPr>
            <w:r>
              <w:rPr>
                <w:rFonts w:ascii="Arial" w:cs="Arial" w:eastAsia="Arial" w:hAnsi="Arial"/>
                <w:sz w:val="18"/>
                <w:szCs w:val="18"/>
                <w:color w:val="auto"/>
                <w:w w:val="89"/>
              </w:rPr>
              <w:t>2022</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Roll Swap</w:t>
            </w:r>
          </w:p>
        </w:tc>
        <w:tc>
          <w:tcPr>
            <w:tcW w:w="120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0"/>
              </w:rPr>
              <w:t>55,000</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WTI</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$0.89</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29"/>
        </w:trPr>
        <w:tc>
          <w:tcPr>
            <w:tcW w:w="1260" w:type="dxa"/>
            <w:vAlign w:val="bottom"/>
          </w:tcPr>
          <w:p>
            <w:pPr>
              <w:jc w:val="center"/>
              <w:spacing w:after="0"/>
              <w:rPr>
                <w:sz w:val="20"/>
                <w:szCs w:val="20"/>
                <w:color w:val="auto"/>
              </w:rPr>
            </w:pPr>
            <w:r>
              <w:rPr>
                <w:rFonts w:ascii="Arial" w:cs="Arial" w:eastAsia="Arial" w:hAnsi="Arial"/>
                <w:sz w:val="18"/>
                <w:szCs w:val="18"/>
                <w:color w:val="auto"/>
                <w:w w:val="90"/>
              </w:rPr>
              <w:t>Oct. - Dec.</w:t>
            </w:r>
          </w:p>
        </w:tc>
        <w:tc>
          <w:tcPr>
            <w:tcW w:w="1260" w:type="dxa"/>
            <w:vAlign w:val="bottom"/>
          </w:tcPr>
          <w:p>
            <w:pPr>
              <w:jc w:val="center"/>
              <w:ind w:right="51"/>
              <w:spacing w:after="0"/>
              <w:rPr>
                <w:sz w:val="20"/>
                <w:szCs w:val="20"/>
                <w:color w:val="auto"/>
              </w:rPr>
            </w:pPr>
            <w:r>
              <w:rPr>
                <w:rFonts w:ascii="Arial" w:cs="Arial" w:eastAsia="Arial" w:hAnsi="Arial"/>
                <w:sz w:val="18"/>
                <w:szCs w:val="18"/>
                <w:color w:val="auto"/>
                <w:w w:val="89"/>
              </w:rPr>
              <w:t>2022</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Costless Collar</w:t>
            </w:r>
          </w:p>
        </w:tc>
        <w:tc>
          <w:tcPr>
            <w:tcW w:w="1200" w:type="dxa"/>
            <w:vAlign w:val="bottom"/>
          </w:tcPr>
          <w:p>
            <w:pPr>
              <w:jc w:val="center"/>
              <w:ind w:left="12"/>
              <w:spacing w:after="0"/>
              <w:rPr>
                <w:sz w:val="20"/>
                <w:szCs w:val="20"/>
                <w:color w:val="auto"/>
              </w:rPr>
            </w:pPr>
            <w:r>
              <w:rPr>
                <w:rFonts w:ascii="Arial" w:cs="Arial" w:eastAsia="Arial" w:hAnsi="Arial"/>
                <w:sz w:val="18"/>
                <w:szCs w:val="18"/>
                <w:color w:val="auto"/>
                <w:w w:val="90"/>
              </w:rPr>
              <w:t>15,000</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Brent</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$55.00</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$103.06</w:t>
            </w:r>
          </w:p>
        </w:tc>
      </w:tr>
      <w:tr>
        <w:trPr>
          <w:trHeight w:val="230"/>
        </w:trPr>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Oct. - Dec.</w:t>
            </w:r>
          </w:p>
        </w:tc>
        <w:tc>
          <w:tcPr>
            <w:tcW w:w="1260" w:type="dxa"/>
            <w:vAlign w:val="bottom"/>
            <w:shd w:val="clear" w:color="auto" w:fill="CCEEFF"/>
          </w:tcPr>
          <w:p>
            <w:pPr>
              <w:jc w:val="center"/>
              <w:ind w:right="51"/>
              <w:spacing w:after="0"/>
              <w:rPr>
                <w:sz w:val="20"/>
                <w:szCs w:val="20"/>
                <w:color w:val="auto"/>
              </w:rPr>
            </w:pPr>
            <w:r>
              <w:rPr>
                <w:rFonts w:ascii="Arial" w:cs="Arial" w:eastAsia="Arial" w:hAnsi="Arial"/>
                <w:sz w:val="18"/>
                <w:szCs w:val="18"/>
                <w:color w:val="auto"/>
                <w:w w:val="89"/>
              </w:rPr>
              <w:t>2022</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Costless Collar</w:t>
            </w:r>
          </w:p>
        </w:tc>
        <w:tc>
          <w:tcPr>
            <w:tcW w:w="120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8"/>
              </w:rPr>
              <w:t>7,000</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Argus WTI Houston</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$50.00</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$95.55</w:t>
            </w:r>
          </w:p>
        </w:tc>
      </w:tr>
      <w:tr>
        <w:trPr>
          <w:trHeight w:val="229"/>
        </w:trPr>
        <w:tc>
          <w:tcPr>
            <w:tcW w:w="1260" w:type="dxa"/>
            <w:vAlign w:val="bottom"/>
          </w:tcPr>
          <w:p>
            <w:pPr>
              <w:jc w:val="center"/>
              <w:spacing w:after="0"/>
              <w:rPr>
                <w:sz w:val="20"/>
                <w:szCs w:val="20"/>
                <w:color w:val="auto"/>
              </w:rPr>
            </w:pPr>
            <w:r>
              <w:rPr>
                <w:rFonts w:ascii="Arial" w:cs="Arial" w:eastAsia="Arial" w:hAnsi="Arial"/>
                <w:sz w:val="18"/>
                <w:szCs w:val="18"/>
                <w:color w:val="auto"/>
                <w:w w:val="90"/>
              </w:rPr>
              <w:t>Oct. - Dec.</w:t>
            </w:r>
          </w:p>
        </w:tc>
        <w:tc>
          <w:tcPr>
            <w:tcW w:w="1260" w:type="dxa"/>
            <w:vAlign w:val="bottom"/>
          </w:tcPr>
          <w:p>
            <w:pPr>
              <w:jc w:val="center"/>
              <w:ind w:right="51"/>
              <w:spacing w:after="0"/>
              <w:rPr>
                <w:sz w:val="20"/>
                <w:szCs w:val="20"/>
                <w:color w:val="auto"/>
              </w:rPr>
            </w:pPr>
            <w:r>
              <w:rPr>
                <w:rFonts w:ascii="Arial" w:cs="Arial" w:eastAsia="Arial" w:hAnsi="Arial"/>
                <w:sz w:val="18"/>
                <w:szCs w:val="18"/>
                <w:color w:val="auto"/>
                <w:w w:val="89"/>
              </w:rPr>
              <w:t>2022</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Costless Collar</w:t>
            </w:r>
          </w:p>
        </w:tc>
        <w:tc>
          <w:tcPr>
            <w:tcW w:w="1200" w:type="dxa"/>
            <w:vAlign w:val="bottom"/>
          </w:tcPr>
          <w:p>
            <w:pPr>
              <w:jc w:val="center"/>
              <w:ind w:left="32"/>
              <w:spacing w:after="0"/>
              <w:rPr>
                <w:sz w:val="20"/>
                <w:szCs w:val="20"/>
                <w:color w:val="auto"/>
              </w:rPr>
            </w:pPr>
            <w:r>
              <w:rPr>
                <w:rFonts w:ascii="Arial" w:cs="Arial" w:eastAsia="Arial" w:hAnsi="Arial"/>
                <w:sz w:val="18"/>
                <w:szCs w:val="18"/>
                <w:color w:val="auto"/>
                <w:w w:val="88"/>
              </w:rPr>
              <w:t>4,000</w:t>
            </w:r>
          </w:p>
        </w:tc>
        <w:tc>
          <w:tcPr>
            <w:tcW w:w="1700" w:type="dxa"/>
            <w:vAlign w:val="bottom"/>
          </w:tcPr>
          <w:p>
            <w:pPr>
              <w:jc w:val="center"/>
              <w:spacing w:after="0"/>
              <w:rPr>
                <w:sz w:val="20"/>
                <w:szCs w:val="20"/>
                <w:color w:val="auto"/>
              </w:rPr>
            </w:pPr>
            <w:r>
              <w:rPr>
                <w:rFonts w:ascii="Arial" w:cs="Arial" w:eastAsia="Arial" w:hAnsi="Arial"/>
                <w:sz w:val="18"/>
                <w:szCs w:val="18"/>
                <w:color w:val="auto"/>
              </w:rPr>
              <w:t>WTI</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$50.00</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$128.01</w:t>
            </w:r>
          </w:p>
        </w:tc>
      </w:tr>
      <w:tr>
        <w:trPr>
          <w:trHeight w:val="230"/>
        </w:trPr>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 - June</w:t>
            </w:r>
          </w:p>
        </w:tc>
        <w:tc>
          <w:tcPr>
            <w:tcW w:w="1260" w:type="dxa"/>
            <w:vAlign w:val="bottom"/>
            <w:shd w:val="clear" w:color="auto" w:fill="CCEEFF"/>
          </w:tcPr>
          <w:p>
            <w:pPr>
              <w:jc w:val="center"/>
              <w:ind w:right="51"/>
              <w:spacing w:after="0"/>
              <w:rPr>
                <w:sz w:val="20"/>
                <w:szCs w:val="20"/>
                <w:color w:val="auto"/>
              </w:rPr>
            </w:pPr>
            <w:r>
              <w:rPr>
                <w:rFonts w:ascii="Arial" w:cs="Arial" w:eastAsia="Arial" w:hAnsi="Arial"/>
                <w:sz w:val="18"/>
                <w:szCs w:val="18"/>
                <w:color w:val="auto"/>
                <w:w w:val="89"/>
              </w:rPr>
              <w:t>2023</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Costless Collar</w:t>
            </w:r>
          </w:p>
        </w:tc>
        <w:tc>
          <w:tcPr>
            <w:tcW w:w="120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8"/>
              </w:rPr>
              <w:t>6,000</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Brent</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$60.00</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$114.57</w:t>
            </w:r>
          </w:p>
        </w:tc>
      </w:tr>
      <w:tr>
        <w:trPr>
          <w:trHeight w:val="229"/>
        </w:trPr>
        <w:tc>
          <w:tcPr>
            <w:tcW w:w="1260" w:type="dxa"/>
            <w:vAlign w:val="bottom"/>
          </w:tcPr>
          <w:p>
            <w:pPr>
              <w:jc w:val="center"/>
              <w:spacing w:after="0"/>
              <w:rPr>
                <w:sz w:val="20"/>
                <w:szCs w:val="20"/>
                <w:color w:val="auto"/>
              </w:rPr>
            </w:pPr>
            <w:r>
              <w:rPr>
                <w:rFonts w:ascii="Arial" w:cs="Arial" w:eastAsia="Arial" w:hAnsi="Arial"/>
                <w:sz w:val="18"/>
                <w:szCs w:val="18"/>
                <w:color w:val="auto"/>
                <w:w w:val="89"/>
              </w:rPr>
              <w:t>Jan. - Dec.</w:t>
            </w:r>
          </w:p>
        </w:tc>
        <w:tc>
          <w:tcPr>
            <w:tcW w:w="1260" w:type="dxa"/>
            <w:vAlign w:val="bottom"/>
          </w:tcPr>
          <w:p>
            <w:pPr>
              <w:jc w:val="center"/>
              <w:ind w:right="51"/>
              <w:spacing w:after="0"/>
              <w:rPr>
                <w:sz w:val="20"/>
                <w:szCs w:val="20"/>
                <w:color w:val="auto"/>
              </w:rPr>
            </w:pPr>
            <w:r>
              <w:rPr>
                <w:rFonts w:ascii="Arial" w:cs="Arial" w:eastAsia="Arial" w:hAnsi="Arial"/>
                <w:sz w:val="18"/>
                <w:szCs w:val="18"/>
                <w:color w:val="auto"/>
                <w:w w:val="89"/>
              </w:rPr>
              <w:t>2023</w:t>
            </w:r>
          </w:p>
        </w:tc>
        <w:tc>
          <w:tcPr>
            <w:tcW w:w="1520" w:type="dxa"/>
            <w:vAlign w:val="bottom"/>
          </w:tcPr>
          <w:p>
            <w:pPr>
              <w:jc w:val="center"/>
              <w:spacing w:after="0" w:line="230" w:lineRule="exact"/>
              <w:rPr>
                <w:sz w:val="20"/>
                <w:szCs w:val="20"/>
                <w:color w:val="auto"/>
              </w:rPr>
            </w:pPr>
            <w:r>
              <w:rPr>
                <w:rFonts w:ascii="Arial" w:cs="Arial" w:eastAsia="Arial" w:hAnsi="Arial"/>
                <w:sz w:val="18"/>
                <w:szCs w:val="18"/>
                <w:color w:val="auto"/>
                <w:w w:val="86"/>
              </w:rPr>
              <w:t>Basis Swap</w:t>
            </w:r>
            <w:r>
              <w:rPr>
                <w:rFonts w:ascii="Arial" w:cs="Arial" w:eastAsia="Arial" w:hAnsi="Arial"/>
                <w:sz w:val="23"/>
                <w:szCs w:val="23"/>
                <w:color w:val="auto"/>
                <w:w w:val="86"/>
                <w:vertAlign w:val="superscript"/>
              </w:rPr>
              <w:t>(1)</w:t>
            </w:r>
          </w:p>
        </w:tc>
        <w:tc>
          <w:tcPr>
            <w:tcW w:w="1200" w:type="dxa"/>
            <w:vAlign w:val="bottom"/>
          </w:tcPr>
          <w:p>
            <w:pPr>
              <w:jc w:val="center"/>
              <w:ind w:left="12"/>
              <w:spacing w:after="0"/>
              <w:rPr>
                <w:sz w:val="20"/>
                <w:szCs w:val="20"/>
                <w:color w:val="auto"/>
              </w:rPr>
            </w:pPr>
            <w:r>
              <w:rPr>
                <w:rFonts w:ascii="Arial" w:cs="Arial" w:eastAsia="Arial" w:hAnsi="Arial"/>
                <w:sz w:val="18"/>
                <w:szCs w:val="18"/>
                <w:color w:val="auto"/>
                <w:w w:val="90"/>
              </w:rPr>
              <w:t>22,000</w:t>
            </w:r>
          </w:p>
        </w:tc>
        <w:tc>
          <w:tcPr>
            <w:tcW w:w="1700" w:type="dxa"/>
            <w:vAlign w:val="bottom"/>
          </w:tcPr>
          <w:p>
            <w:pPr>
              <w:jc w:val="center"/>
              <w:spacing w:after="0"/>
              <w:rPr>
                <w:sz w:val="20"/>
                <w:szCs w:val="20"/>
                <w:color w:val="auto"/>
              </w:rPr>
            </w:pPr>
            <w:r>
              <w:rPr>
                <w:rFonts w:ascii="Arial" w:cs="Arial" w:eastAsia="Arial" w:hAnsi="Arial"/>
                <w:sz w:val="18"/>
                <w:szCs w:val="18"/>
                <w:color w:val="auto"/>
                <w:w w:val="96"/>
              </w:rPr>
              <w:t>Argus WTI Midland</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$0.88</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03"/>
        </w:trPr>
        <w:tc>
          <w:tcPr>
            <w:tcW w:w="12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NATURAL GAS</w:t>
            </w:r>
          </w:p>
        </w:tc>
        <w:tc>
          <w:tcPr>
            <w:tcW w:w="12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29"/>
        </w:trPr>
        <w:tc>
          <w:tcPr>
            <w:tcW w:w="1260" w:type="dxa"/>
            <w:vAlign w:val="bottom"/>
          </w:tcPr>
          <w:p>
            <w:pPr>
              <w:jc w:val="center"/>
              <w:spacing w:after="0"/>
              <w:rPr>
                <w:sz w:val="20"/>
                <w:szCs w:val="20"/>
                <w:color w:val="auto"/>
              </w:rPr>
            </w:pPr>
            <w:r>
              <w:rPr>
                <w:rFonts w:ascii="Arial" w:cs="Arial" w:eastAsia="Arial" w:hAnsi="Arial"/>
                <w:sz w:val="18"/>
                <w:szCs w:val="18"/>
                <w:color w:val="auto"/>
                <w:w w:val="90"/>
              </w:rPr>
              <w:t>Oct. - Dec.</w:t>
            </w:r>
          </w:p>
        </w:tc>
        <w:tc>
          <w:tcPr>
            <w:tcW w:w="1260" w:type="dxa"/>
            <w:vAlign w:val="bottom"/>
          </w:tcPr>
          <w:p>
            <w:pPr>
              <w:jc w:val="center"/>
              <w:ind w:right="51"/>
              <w:spacing w:after="0"/>
              <w:rPr>
                <w:sz w:val="20"/>
                <w:szCs w:val="20"/>
                <w:color w:val="auto"/>
              </w:rPr>
            </w:pPr>
            <w:r>
              <w:rPr>
                <w:rFonts w:ascii="Arial" w:cs="Arial" w:eastAsia="Arial" w:hAnsi="Arial"/>
                <w:sz w:val="18"/>
                <w:szCs w:val="18"/>
                <w:color w:val="auto"/>
                <w:w w:val="89"/>
              </w:rPr>
              <w:t>2022</w:t>
            </w:r>
          </w:p>
        </w:tc>
        <w:tc>
          <w:tcPr>
            <w:tcW w:w="1520" w:type="dxa"/>
            <w:vAlign w:val="bottom"/>
          </w:tcPr>
          <w:p>
            <w:pPr>
              <w:jc w:val="center"/>
              <w:spacing w:after="0" w:line="230" w:lineRule="exact"/>
              <w:rPr>
                <w:sz w:val="20"/>
                <w:szCs w:val="20"/>
                <w:color w:val="auto"/>
              </w:rPr>
            </w:pPr>
            <w:r>
              <w:rPr>
                <w:rFonts w:ascii="Arial" w:cs="Arial" w:eastAsia="Arial" w:hAnsi="Arial"/>
                <w:sz w:val="18"/>
                <w:szCs w:val="18"/>
                <w:color w:val="auto"/>
                <w:w w:val="86"/>
              </w:rPr>
              <w:t>Basis Swap</w:t>
            </w:r>
            <w:r>
              <w:rPr>
                <w:rFonts w:ascii="Arial" w:cs="Arial" w:eastAsia="Arial" w:hAnsi="Arial"/>
                <w:sz w:val="23"/>
                <w:szCs w:val="23"/>
                <w:color w:val="auto"/>
                <w:w w:val="86"/>
                <w:vertAlign w:val="superscript"/>
              </w:rPr>
              <w:t>(1)</w:t>
            </w:r>
          </w:p>
        </w:tc>
        <w:tc>
          <w:tcPr>
            <w:tcW w:w="1200" w:type="dxa"/>
            <w:vAlign w:val="bottom"/>
          </w:tcPr>
          <w:p>
            <w:pPr>
              <w:jc w:val="center"/>
              <w:ind w:left="12"/>
              <w:spacing w:after="0"/>
              <w:rPr>
                <w:sz w:val="20"/>
                <w:szCs w:val="20"/>
                <w:color w:val="auto"/>
              </w:rPr>
            </w:pPr>
            <w:r>
              <w:rPr>
                <w:rFonts w:ascii="Arial" w:cs="Arial" w:eastAsia="Arial" w:hAnsi="Arial"/>
                <w:sz w:val="18"/>
                <w:szCs w:val="18"/>
                <w:color w:val="auto"/>
                <w:w w:val="89"/>
              </w:rPr>
              <w:t>330,000</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Waha Hub</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$(0.68)</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Oct. - Dec.</w:t>
            </w:r>
          </w:p>
        </w:tc>
        <w:tc>
          <w:tcPr>
            <w:tcW w:w="1260" w:type="dxa"/>
            <w:vAlign w:val="bottom"/>
            <w:shd w:val="clear" w:color="auto" w:fill="CCEEFF"/>
          </w:tcPr>
          <w:p>
            <w:pPr>
              <w:jc w:val="center"/>
              <w:ind w:right="51"/>
              <w:spacing w:after="0"/>
              <w:rPr>
                <w:sz w:val="20"/>
                <w:szCs w:val="20"/>
                <w:color w:val="auto"/>
              </w:rPr>
            </w:pPr>
            <w:r>
              <w:rPr>
                <w:rFonts w:ascii="Arial" w:cs="Arial" w:eastAsia="Arial" w:hAnsi="Arial"/>
                <w:sz w:val="18"/>
                <w:szCs w:val="18"/>
                <w:color w:val="auto"/>
                <w:w w:val="89"/>
              </w:rPr>
              <w:t>2022</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Costless Collar</w:t>
            </w:r>
          </w:p>
        </w:tc>
        <w:tc>
          <w:tcPr>
            <w:tcW w:w="120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9"/>
              </w:rPr>
              <w:t>380,000</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Henry Hub</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$2.79</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$6.24</w:t>
            </w:r>
          </w:p>
        </w:tc>
      </w:tr>
      <w:tr>
        <w:trPr>
          <w:trHeight w:val="229"/>
        </w:trPr>
        <w:tc>
          <w:tcPr>
            <w:tcW w:w="1260" w:type="dxa"/>
            <w:vAlign w:val="bottom"/>
          </w:tcPr>
          <w:p>
            <w:pPr>
              <w:jc w:val="center"/>
              <w:spacing w:after="0"/>
              <w:rPr>
                <w:sz w:val="20"/>
                <w:szCs w:val="20"/>
                <w:color w:val="auto"/>
              </w:rPr>
            </w:pPr>
            <w:r>
              <w:rPr>
                <w:rFonts w:ascii="Arial" w:cs="Arial" w:eastAsia="Arial" w:hAnsi="Arial"/>
                <w:sz w:val="18"/>
                <w:szCs w:val="18"/>
                <w:color w:val="auto"/>
                <w:w w:val="87"/>
              </w:rPr>
              <w:t>Jan. - June</w:t>
            </w:r>
          </w:p>
        </w:tc>
        <w:tc>
          <w:tcPr>
            <w:tcW w:w="1260" w:type="dxa"/>
            <w:vAlign w:val="bottom"/>
          </w:tcPr>
          <w:p>
            <w:pPr>
              <w:jc w:val="center"/>
              <w:ind w:right="51"/>
              <w:spacing w:after="0"/>
              <w:rPr>
                <w:sz w:val="20"/>
                <w:szCs w:val="20"/>
                <w:color w:val="auto"/>
              </w:rPr>
            </w:pPr>
            <w:r>
              <w:rPr>
                <w:rFonts w:ascii="Arial" w:cs="Arial" w:eastAsia="Arial" w:hAnsi="Arial"/>
                <w:sz w:val="18"/>
                <w:szCs w:val="18"/>
                <w:color w:val="auto"/>
                <w:w w:val="89"/>
              </w:rPr>
              <w:t>2023</w:t>
            </w:r>
          </w:p>
        </w:tc>
        <w:tc>
          <w:tcPr>
            <w:tcW w:w="1520" w:type="dxa"/>
            <w:vAlign w:val="bottom"/>
          </w:tcPr>
          <w:p>
            <w:pPr>
              <w:jc w:val="center"/>
              <w:spacing w:after="0" w:line="230" w:lineRule="exact"/>
              <w:rPr>
                <w:sz w:val="20"/>
                <w:szCs w:val="20"/>
                <w:color w:val="auto"/>
              </w:rPr>
            </w:pPr>
            <w:r>
              <w:rPr>
                <w:rFonts w:ascii="Arial" w:cs="Arial" w:eastAsia="Arial" w:hAnsi="Arial"/>
                <w:sz w:val="18"/>
                <w:szCs w:val="18"/>
                <w:color w:val="auto"/>
                <w:w w:val="86"/>
              </w:rPr>
              <w:t>Basis Swap</w:t>
            </w:r>
            <w:r>
              <w:rPr>
                <w:rFonts w:ascii="Arial" w:cs="Arial" w:eastAsia="Arial" w:hAnsi="Arial"/>
                <w:sz w:val="23"/>
                <w:szCs w:val="23"/>
                <w:color w:val="auto"/>
                <w:w w:val="86"/>
                <w:vertAlign w:val="superscript"/>
              </w:rPr>
              <w:t>(1)</w:t>
            </w:r>
          </w:p>
        </w:tc>
        <w:tc>
          <w:tcPr>
            <w:tcW w:w="1200" w:type="dxa"/>
            <w:vAlign w:val="bottom"/>
          </w:tcPr>
          <w:p>
            <w:pPr>
              <w:jc w:val="center"/>
              <w:ind w:left="12"/>
              <w:spacing w:after="0"/>
              <w:rPr>
                <w:sz w:val="20"/>
                <w:szCs w:val="20"/>
                <w:color w:val="auto"/>
              </w:rPr>
            </w:pPr>
            <w:r>
              <w:rPr>
                <w:rFonts w:ascii="Arial" w:cs="Arial" w:eastAsia="Arial" w:hAnsi="Arial"/>
                <w:sz w:val="18"/>
                <w:szCs w:val="18"/>
                <w:color w:val="auto"/>
                <w:w w:val="89"/>
              </w:rPr>
              <w:t>350,000</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Waha Hub</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$(1.20)</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29"/>
        </w:trPr>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Jan. - Mar.</w:t>
            </w:r>
          </w:p>
        </w:tc>
        <w:tc>
          <w:tcPr>
            <w:tcW w:w="1260" w:type="dxa"/>
            <w:vAlign w:val="bottom"/>
            <w:shd w:val="clear" w:color="auto" w:fill="CCEEFF"/>
          </w:tcPr>
          <w:p>
            <w:pPr>
              <w:jc w:val="center"/>
              <w:ind w:right="51"/>
              <w:spacing w:after="0"/>
              <w:rPr>
                <w:sz w:val="20"/>
                <w:szCs w:val="20"/>
                <w:color w:val="auto"/>
              </w:rPr>
            </w:pPr>
            <w:r>
              <w:rPr>
                <w:rFonts w:ascii="Arial" w:cs="Arial" w:eastAsia="Arial" w:hAnsi="Arial"/>
                <w:sz w:val="18"/>
                <w:szCs w:val="18"/>
                <w:color w:val="auto"/>
                <w:w w:val="89"/>
              </w:rPr>
              <w:t>2023</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Costless Collar</w:t>
            </w:r>
          </w:p>
        </w:tc>
        <w:tc>
          <w:tcPr>
            <w:tcW w:w="120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9"/>
              </w:rPr>
              <w:t>370,000</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Henry Hub</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$3.14</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$9.28</w:t>
            </w:r>
          </w:p>
        </w:tc>
      </w:tr>
      <w:tr>
        <w:trPr>
          <w:trHeight w:val="230"/>
        </w:trPr>
        <w:tc>
          <w:tcPr>
            <w:tcW w:w="1260" w:type="dxa"/>
            <w:vAlign w:val="bottom"/>
          </w:tcPr>
          <w:p>
            <w:pPr>
              <w:jc w:val="center"/>
              <w:spacing w:after="0"/>
              <w:rPr>
                <w:sz w:val="20"/>
                <w:szCs w:val="20"/>
                <w:color w:val="auto"/>
              </w:rPr>
            </w:pPr>
            <w:r>
              <w:rPr>
                <w:rFonts w:ascii="Arial" w:cs="Arial" w:eastAsia="Arial" w:hAnsi="Arial"/>
                <w:sz w:val="18"/>
                <w:szCs w:val="18"/>
                <w:color w:val="auto"/>
                <w:w w:val="88"/>
              </w:rPr>
              <w:t>Apr. - June</w:t>
            </w:r>
          </w:p>
        </w:tc>
        <w:tc>
          <w:tcPr>
            <w:tcW w:w="1260" w:type="dxa"/>
            <w:vAlign w:val="bottom"/>
          </w:tcPr>
          <w:p>
            <w:pPr>
              <w:jc w:val="center"/>
              <w:ind w:right="51"/>
              <w:spacing w:after="0"/>
              <w:rPr>
                <w:sz w:val="20"/>
                <w:szCs w:val="20"/>
                <w:color w:val="auto"/>
              </w:rPr>
            </w:pPr>
            <w:r>
              <w:rPr>
                <w:rFonts w:ascii="Arial" w:cs="Arial" w:eastAsia="Arial" w:hAnsi="Arial"/>
                <w:sz w:val="18"/>
                <w:szCs w:val="18"/>
                <w:color w:val="auto"/>
                <w:w w:val="89"/>
              </w:rPr>
              <w:t>2023</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Costless Collar</w:t>
            </w:r>
          </w:p>
        </w:tc>
        <w:tc>
          <w:tcPr>
            <w:tcW w:w="1200" w:type="dxa"/>
            <w:vAlign w:val="bottom"/>
          </w:tcPr>
          <w:p>
            <w:pPr>
              <w:jc w:val="center"/>
              <w:ind w:left="12"/>
              <w:spacing w:after="0"/>
              <w:rPr>
                <w:sz w:val="20"/>
                <w:szCs w:val="20"/>
                <w:color w:val="auto"/>
              </w:rPr>
            </w:pPr>
            <w:r>
              <w:rPr>
                <w:rFonts w:ascii="Arial" w:cs="Arial" w:eastAsia="Arial" w:hAnsi="Arial"/>
                <w:sz w:val="18"/>
                <w:szCs w:val="18"/>
                <w:color w:val="auto"/>
                <w:w w:val="89"/>
              </w:rPr>
              <w:t>330,000</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Henry Hub</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$3.17</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$9.13</w:t>
            </w:r>
          </w:p>
        </w:tc>
      </w:tr>
      <w:tr>
        <w:trPr>
          <w:trHeight w:val="229"/>
        </w:trPr>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 Dec.</w:t>
            </w:r>
          </w:p>
        </w:tc>
        <w:tc>
          <w:tcPr>
            <w:tcW w:w="1260" w:type="dxa"/>
            <w:vAlign w:val="bottom"/>
            <w:shd w:val="clear" w:color="auto" w:fill="CCEEFF"/>
          </w:tcPr>
          <w:p>
            <w:pPr>
              <w:jc w:val="center"/>
              <w:ind w:right="51"/>
              <w:spacing w:after="0"/>
              <w:rPr>
                <w:sz w:val="20"/>
                <w:szCs w:val="20"/>
                <w:color w:val="auto"/>
              </w:rPr>
            </w:pPr>
            <w:r>
              <w:rPr>
                <w:rFonts w:ascii="Arial" w:cs="Arial" w:eastAsia="Arial" w:hAnsi="Arial"/>
                <w:sz w:val="18"/>
                <w:szCs w:val="18"/>
                <w:color w:val="auto"/>
                <w:w w:val="89"/>
              </w:rPr>
              <w:t>2023</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Costless Collar</w:t>
            </w:r>
          </w:p>
        </w:tc>
        <w:tc>
          <w:tcPr>
            <w:tcW w:w="120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9"/>
              </w:rPr>
              <w:t>310,000</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Henry Hub</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$3.18</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$9.22</w:t>
            </w:r>
          </w:p>
        </w:tc>
      </w:tr>
      <w:tr>
        <w:trPr>
          <w:trHeight w:val="23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July - Dec.</w:t>
            </w:r>
          </w:p>
        </w:tc>
        <w:tc>
          <w:tcPr>
            <w:tcW w:w="1260" w:type="dxa"/>
            <w:vAlign w:val="bottom"/>
          </w:tcPr>
          <w:p>
            <w:pPr>
              <w:jc w:val="center"/>
              <w:ind w:right="51"/>
              <w:spacing w:after="0"/>
              <w:rPr>
                <w:sz w:val="20"/>
                <w:szCs w:val="20"/>
                <w:color w:val="auto"/>
              </w:rPr>
            </w:pPr>
            <w:r>
              <w:rPr>
                <w:rFonts w:ascii="Arial" w:cs="Arial" w:eastAsia="Arial" w:hAnsi="Arial"/>
                <w:sz w:val="18"/>
                <w:szCs w:val="18"/>
                <w:color w:val="auto"/>
                <w:w w:val="89"/>
              </w:rPr>
              <w:t>2023</w:t>
            </w:r>
          </w:p>
        </w:tc>
        <w:tc>
          <w:tcPr>
            <w:tcW w:w="1520" w:type="dxa"/>
            <w:vAlign w:val="bottom"/>
          </w:tcPr>
          <w:p>
            <w:pPr>
              <w:jc w:val="center"/>
              <w:spacing w:after="0" w:line="230" w:lineRule="exact"/>
              <w:rPr>
                <w:sz w:val="20"/>
                <w:szCs w:val="20"/>
                <w:color w:val="auto"/>
              </w:rPr>
            </w:pPr>
            <w:r>
              <w:rPr>
                <w:rFonts w:ascii="Arial" w:cs="Arial" w:eastAsia="Arial" w:hAnsi="Arial"/>
                <w:sz w:val="18"/>
                <w:szCs w:val="18"/>
                <w:color w:val="auto"/>
                <w:w w:val="86"/>
              </w:rPr>
              <w:t>Basis Swap</w:t>
            </w:r>
            <w:r>
              <w:rPr>
                <w:rFonts w:ascii="Arial" w:cs="Arial" w:eastAsia="Arial" w:hAnsi="Arial"/>
                <w:sz w:val="23"/>
                <w:szCs w:val="23"/>
                <w:color w:val="auto"/>
                <w:w w:val="86"/>
                <w:vertAlign w:val="superscript"/>
              </w:rPr>
              <w:t>(1)</w:t>
            </w:r>
          </w:p>
        </w:tc>
        <w:tc>
          <w:tcPr>
            <w:tcW w:w="1200" w:type="dxa"/>
            <w:vAlign w:val="bottom"/>
          </w:tcPr>
          <w:p>
            <w:pPr>
              <w:jc w:val="center"/>
              <w:ind w:left="12"/>
              <w:spacing w:after="0"/>
              <w:rPr>
                <w:sz w:val="20"/>
                <w:szCs w:val="20"/>
                <w:color w:val="auto"/>
              </w:rPr>
            </w:pPr>
            <w:r>
              <w:rPr>
                <w:rFonts w:ascii="Arial" w:cs="Arial" w:eastAsia="Arial" w:hAnsi="Arial"/>
                <w:sz w:val="18"/>
                <w:szCs w:val="18"/>
                <w:color w:val="auto"/>
                <w:w w:val="89"/>
              </w:rPr>
              <w:t>330,000</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Waha Hub</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$(1.24)</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29"/>
        </w:trPr>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 - Dec.</w:t>
            </w:r>
          </w:p>
        </w:tc>
        <w:tc>
          <w:tcPr>
            <w:tcW w:w="1260" w:type="dxa"/>
            <w:vAlign w:val="bottom"/>
            <w:shd w:val="clear" w:color="auto" w:fill="CCEEFF"/>
          </w:tcPr>
          <w:p>
            <w:pPr>
              <w:jc w:val="center"/>
              <w:ind w:right="51"/>
              <w:spacing w:after="0"/>
              <w:rPr>
                <w:sz w:val="20"/>
                <w:szCs w:val="20"/>
                <w:color w:val="auto"/>
              </w:rPr>
            </w:pPr>
            <w:r>
              <w:rPr>
                <w:rFonts w:ascii="Arial" w:cs="Arial" w:eastAsia="Arial" w:hAnsi="Arial"/>
                <w:sz w:val="18"/>
                <w:szCs w:val="18"/>
                <w:color w:val="auto"/>
                <w:w w:val="89"/>
              </w:rPr>
              <w:t>2024</w:t>
            </w:r>
          </w:p>
        </w:tc>
        <w:tc>
          <w:tcPr>
            <w:tcW w:w="1520" w:type="dxa"/>
            <w:vAlign w:val="bottom"/>
            <w:shd w:val="clear" w:color="auto" w:fill="CCEEFF"/>
          </w:tcPr>
          <w:p>
            <w:pPr>
              <w:jc w:val="center"/>
              <w:spacing w:after="0" w:line="230" w:lineRule="exact"/>
              <w:rPr>
                <w:sz w:val="20"/>
                <w:szCs w:val="20"/>
                <w:color w:val="auto"/>
              </w:rPr>
            </w:pPr>
            <w:r>
              <w:rPr>
                <w:rFonts w:ascii="Arial" w:cs="Arial" w:eastAsia="Arial" w:hAnsi="Arial"/>
                <w:sz w:val="18"/>
                <w:szCs w:val="18"/>
                <w:color w:val="auto"/>
                <w:w w:val="86"/>
              </w:rPr>
              <w:t>Basis Swap</w:t>
            </w:r>
            <w:r>
              <w:rPr>
                <w:rFonts w:ascii="Arial" w:cs="Arial" w:eastAsia="Arial" w:hAnsi="Arial"/>
                <w:sz w:val="23"/>
                <w:szCs w:val="23"/>
                <w:color w:val="auto"/>
                <w:w w:val="86"/>
                <w:vertAlign w:val="superscript"/>
              </w:rPr>
              <w:t>(1)</w:t>
            </w:r>
          </w:p>
        </w:tc>
        <w:tc>
          <w:tcPr>
            <w:tcW w:w="120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0"/>
              </w:rPr>
              <w:t>30,000</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Waha Hub</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$(0.96)</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bl>
    <w:p>
      <w:pPr>
        <w:spacing w:after="0" w:line="80" w:lineRule="exact"/>
        <w:rPr>
          <w:sz w:val="20"/>
          <w:szCs w:val="20"/>
          <w:color w:val="auto"/>
        </w:rPr>
      </w:pPr>
    </w:p>
    <w:p>
      <w:pPr>
        <w:jc w:val="both"/>
        <w:ind w:left="340" w:hanging="332"/>
        <w:spacing w:after="0" w:line="311" w:lineRule="auto"/>
        <w:tabs>
          <w:tab w:leader="none" w:pos="462"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has fixed price basis swaps for the spread between the Cushing crude oil price and the Midland WTI crude oil price as well as the spread between the Henry Hub natural gas price and the Waha Hub natural gas price. The weighted average differential represents the amount of reduction to the Cushing, Oklahoma oil price and the Waha Hub natural gas price for the notional volumes covered by the basis swap contracts.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00" w:type="dxa"/>
            <w:vAlign w:val="bottom"/>
          </w:tcPr>
          <w:p>
            <w:pPr>
              <w:jc w:val="center"/>
              <w:ind w:left="32"/>
              <w:spacing w:after="0"/>
              <w:rPr>
                <w:sz w:val="20"/>
                <w:szCs w:val="20"/>
                <w:color w:val="auto"/>
              </w:rPr>
            </w:pPr>
            <w:r>
              <w:rPr>
                <w:rFonts w:ascii="Arial" w:cs="Arial" w:eastAsia="Arial" w:hAnsi="Arial"/>
                <w:sz w:val="15"/>
                <w:szCs w:val="15"/>
                <w:b w:val="1"/>
                <w:bCs w:val="1"/>
                <w:color w:val="auto"/>
                <w:w w:val="90"/>
              </w:rPr>
              <w:t>Weighted Average</w:t>
            </w:r>
          </w:p>
        </w:tc>
        <w:tc>
          <w:tcPr>
            <w:tcW w:w="1420" w:type="dxa"/>
            <w:vAlign w:val="bottom"/>
          </w:tcPr>
          <w:p>
            <w:pPr>
              <w:spacing w:after="0"/>
              <w:rPr>
                <w:sz w:val="15"/>
                <w:szCs w:val="15"/>
                <w:color w:val="auto"/>
              </w:rPr>
            </w:pPr>
          </w:p>
        </w:tc>
      </w:tr>
      <w:tr>
        <w:trPr>
          <w:trHeight w:val="212"/>
        </w:trPr>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Settlement Month</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Settlement Year</w:t>
            </w:r>
          </w:p>
        </w:tc>
        <w:tc>
          <w:tcPr>
            <w:tcW w:w="1520" w:type="dxa"/>
            <w:vAlign w:val="bottom"/>
            <w:tcBorders>
              <w:bottom w:val="single" w:sz="8" w:color="auto"/>
            </w:tcBorders>
          </w:tcPr>
          <w:p>
            <w:pPr>
              <w:jc w:val="center"/>
              <w:ind w:right="131"/>
              <w:spacing w:after="0"/>
              <w:rPr>
                <w:sz w:val="20"/>
                <w:szCs w:val="20"/>
                <w:color w:val="auto"/>
              </w:rPr>
            </w:pPr>
            <w:r>
              <w:rPr>
                <w:rFonts w:ascii="Arial" w:cs="Arial" w:eastAsia="Arial" w:hAnsi="Arial"/>
                <w:sz w:val="15"/>
                <w:szCs w:val="15"/>
                <w:b w:val="1"/>
                <w:bCs w:val="1"/>
                <w:color w:val="auto"/>
                <w:w w:val="92"/>
              </w:rPr>
              <w:t>Type of Contract</w:t>
            </w:r>
          </w:p>
        </w:tc>
        <w:tc>
          <w:tcPr>
            <w:tcW w:w="1560" w:type="dxa"/>
            <w:vAlign w:val="bottom"/>
            <w:tcBorders>
              <w:bottom w:val="single" w:sz="8" w:color="auto"/>
            </w:tcBorders>
          </w:tcPr>
          <w:p>
            <w:pPr>
              <w:ind w:left="300"/>
              <w:spacing w:after="0"/>
              <w:rPr>
                <w:sz w:val="20"/>
                <w:szCs w:val="20"/>
                <w:color w:val="auto"/>
              </w:rPr>
            </w:pPr>
            <w:r>
              <w:rPr>
                <w:rFonts w:ascii="Arial" w:cs="Arial" w:eastAsia="Arial" w:hAnsi="Arial"/>
                <w:sz w:val="15"/>
                <w:szCs w:val="15"/>
                <w:b w:val="1"/>
                <w:bCs w:val="1"/>
                <w:color w:val="auto"/>
              </w:rPr>
              <w:t>Bbls Per Day</w:t>
            </w:r>
          </w:p>
        </w:tc>
        <w:tc>
          <w:tcPr>
            <w:tcW w:w="1520" w:type="dxa"/>
            <w:vAlign w:val="bottom"/>
            <w:tcBorders>
              <w:bottom w:val="single" w:sz="8" w:color="auto"/>
            </w:tcBorders>
          </w:tcPr>
          <w:p>
            <w:pPr>
              <w:jc w:val="center"/>
              <w:ind w:left="11"/>
              <w:spacing w:after="0"/>
              <w:rPr>
                <w:sz w:val="20"/>
                <w:szCs w:val="20"/>
                <w:color w:val="auto"/>
              </w:rPr>
            </w:pPr>
            <w:r>
              <w:rPr>
                <w:rFonts w:ascii="Arial" w:cs="Arial" w:eastAsia="Arial" w:hAnsi="Arial"/>
                <w:sz w:val="15"/>
                <w:szCs w:val="15"/>
                <w:b w:val="1"/>
                <w:bCs w:val="1"/>
                <w:color w:val="auto"/>
                <w:w w:val="96"/>
              </w:rPr>
              <w:t>Index</w:t>
            </w:r>
          </w:p>
        </w:tc>
        <w:tc>
          <w:tcPr>
            <w:tcW w:w="1280" w:type="dxa"/>
            <w:vAlign w:val="bottom"/>
            <w:tcBorders>
              <w:bottom w:val="single" w:sz="8" w:color="auto"/>
            </w:tcBorders>
          </w:tcPr>
          <w:p>
            <w:pPr>
              <w:ind w:left="300"/>
              <w:spacing w:after="0"/>
              <w:rPr>
                <w:sz w:val="20"/>
                <w:szCs w:val="20"/>
                <w:color w:val="auto"/>
              </w:rPr>
            </w:pPr>
            <w:r>
              <w:rPr>
                <w:rFonts w:ascii="Arial" w:cs="Arial" w:eastAsia="Arial" w:hAnsi="Arial"/>
                <w:sz w:val="15"/>
                <w:szCs w:val="15"/>
                <w:b w:val="1"/>
                <w:bCs w:val="1"/>
                <w:color w:val="auto"/>
              </w:rPr>
              <w:t>Strike Price</w:t>
            </w:r>
          </w:p>
        </w:tc>
        <w:tc>
          <w:tcPr>
            <w:tcW w:w="1500" w:type="dxa"/>
            <w:vAlign w:val="bottom"/>
            <w:tcBorders>
              <w:bottom w:val="single" w:sz="8" w:color="auto"/>
            </w:tcBorders>
          </w:tcPr>
          <w:p>
            <w:pPr>
              <w:jc w:val="center"/>
              <w:ind w:left="52"/>
              <w:spacing w:after="0"/>
              <w:rPr>
                <w:sz w:val="20"/>
                <w:szCs w:val="20"/>
                <w:color w:val="auto"/>
              </w:rPr>
            </w:pPr>
            <w:r>
              <w:rPr>
                <w:rFonts w:ascii="Arial" w:cs="Arial" w:eastAsia="Arial" w:hAnsi="Arial"/>
                <w:sz w:val="15"/>
                <w:szCs w:val="15"/>
                <w:b w:val="1"/>
                <w:bCs w:val="1"/>
                <w:color w:val="auto"/>
                <w:w w:val="96"/>
              </w:rPr>
              <w:t>Differential</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Deferred Premium</w:t>
            </w:r>
          </w:p>
        </w:tc>
      </w:tr>
      <w:tr>
        <w:trPr>
          <w:trHeight w:val="200"/>
        </w:trPr>
        <w:tc>
          <w:tcPr>
            <w:tcW w:w="12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OIL</w:t>
            </w:r>
          </w:p>
        </w:tc>
        <w:tc>
          <w:tcPr>
            <w:tcW w:w="1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30"/>
        </w:trPr>
        <w:tc>
          <w:tcPr>
            <w:tcW w:w="1260" w:type="dxa"/>
            <w:vAlign w:val="bottom"/>
          </w:tcPr>
          <w:p>
            <w:pPr>
              <w:jc w:val="center"/>
              <w:spacing w:after="0"/>
              <w:rPr>
                <w:sz w:val="20"/>
                <w:szCs w:val="20"/>
                <w:color w:val="auto"/>
              </w:rPr>
            </w:pPr>
            <w:r>
              <w:rPr>
                <w:rFonts w:ascii="Arial" w:cs="Arial" w:eastAsia="Arial" w:hAnsi="Arial"/>
                <w:sz w:val="18"/>
                <w:szCs w:val="18"/>
                <w:color w:val="auto"/>
                <w:w w:val="92"/>
              </w:rPr>
              <w:t>Oct. - Dec.</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520" w:type="dxa"/>
            <w:vAlign w:val="bottom"/>
          </w:tcPr>
          <w:p>
            <w:pPr>
              <w:jc w:val="center"/>
              <w:ind w:right="151"/>
              <w:spacing w:after="0"/>
              <w:rPr>
                <w:sz w:val="20"/>
                <w:szCs w:val="20"/>
                <w:color w:val="auto"/>
              </w:rPr>
            </w:pPr>
            <w:r>
              <w:rPr>
                <w:rFonts w:ascii="Arial" w:cs="Arial" w:eastAsia="Arial" w:hAnsi="Arial"/>
                <w:sz w:val="18"/>
                <w:szCs w:val="18"/>
                <w:color w:val="auto"/>
                <w:w w:val="88"/>
              </w:rPr>
              <w:t>Put</w:t>
            </w:r>
          </w:p>
        </w:tc>
        <w:tc>
          <w:tcPr>
            <w:tcW w:w="1560" w:type="dxa"/>
            <w:vAlign w:val="bottom"/>
          </w:tcPr>
          <w:p>
            <w:pPr>
              <w:jc w:val="center"/>
              <w:ind w:right="11"/>
              <w:spacing w:after="0"/>
              <w:rPr>
                <w:sz w:val="20"/>
                <w:szCs w:val="20"/>
                <w:color w:val="auto"/>
              </w:rPr>
            </w:pPr>
            <w:r>
              <w:rPr>
                <w:rFonts w:ascii="Arial" w:cs="Arial" w:eastAsia="Arial" w:hAnsi="Arial"/>
                <w:sz w:val="18"/>
                <w:szCs w:val="18"/>
                <w:color w:val="auto"/>
                <w:w w:val="90"/>
              </w:rPr>
              <w:t>71,000</w:t>
            </w: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Brent</w:t>
            </w:r>
          </w:p>
        </w:tc>
        <w:tc>
          <w:tcPr>
            <w:tcW w:w="1280" w:type="dxa"/>
            <w:vAlign w:val="bottom"/>
          </w:tcPr>
          <w:p>
            <w:pPr>
              <w:jc w:val="center"/>
              <w:ind w:left="11"/>
              <w:spacing w:after="0"/>
              <w:rPr>
                <w:sz w:val="20"/>
                <w:szCs w:val="20"/>
                <w:color w:val="auto"/>
              </w:rPr>
            </w:pPr>
            <w:r>
              <w:rPr>
                <w:rFonts w:ascii="Arial" w:cs="Arial" w:eastAsia="Arial" w:hAnsi="Arial"/>
                <w:sz w:val="18"/>
                <w:szCs w:val="18"/>
                <w:color w:val="auto"/>
                <w:w w:val="90"/>
              </w:rPr>
              <w:t>$51.13</w:t>
            </w:r>
          </w:p>
        </w:tc>
        <w:tc>
          <w:tcPr>
            <w:tcW w:w="1500" w:type="dxa"/>
            <w:vAlign w:val="bottom"/>
          </w:tcPr>
          <w:p>
            <w:pPr>
              <w:jc w:val="center"/>
              <w:ind w:left="32"/>
              <w:spacing w:after="0"/>
              <w:rPr>
                <w:sz w:val="20"/>
                <w:szCs w:val="20"/>
                <w:color w:val="auto"/>
              </w:rPr>
            </w:pPr>
            <w:r>
              <w:rPr>
                <w:rFonts w:ascii="Arial" w:cs="Arial" w:eastAsia="Arial" w:hAnsi="Arial"/>
                <w:sz w:val="18"/>
                <w:szCs w:val="18"/>
                <w:color w:val="auto"/>
                <w:w w:val="92"/>
              </w:rPr>
              <w:t>$—</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$1.78</w:t>
            </w:r>
          </w:p>
        </w:tc>
      </w:tr>
      <w:tr>
        <w:trPr>
          <w:trHeight w:val="175"/>
        </w:trPr>
        <w:tc>
          <w:tcPr>
            <w:tcW w:w="1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520" w:type="dxa"/>
            <w:vAlign w:val="bottom"/>
            <w:shd w:val="clear" w:color="auto" w:fill="CCEEFF"/>
          </w:tcPr>
          <w:p>
            <w:pPr>
              <w:jc w:val="center"/>
              <w:ind w:left="11"/>
              <w:spacing w:after="0" w:line="176" w:lineRule="exact"/>
              <w:rPr>
                <w:sz w:val="20"/>
                <w:szCs w:val="20"/>
                <w:color w:val="auto"/>
              </w:rPr>
            </w:pPr>
            <w:r>
              <w:rPr>
                <w:rFonts w:ascii="Arial" w:cs="Arial" w:eastAsia="Arial" w:hAnsi="Arial"/>
                <w:sz w:val="18"/>
                <w:szCs w:val="18"/>
                <w:color w:val="auto"/>
                <w:w w:val="96"/>
              </w:rPr>
              <w:t>Argus WTI</w:t>
            </w:r>
          </w:p>
        </w:tc>
        <w:tc>
          <w:tcPr>
            <w:tcW w:w="12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43"/>
        </w:trPr>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Oct. - Dec.</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520" w:type="dxa"/>
            <w:vAlign w:val="bottom"/>
            <w:shd w:val="clear" w:color="auto" w:fill="CCEEFF"/>
          </w:tcPr>
          <w:p>
            <w:pPr>
              <w:jc w:val="center"/>
              <w:ind w:right="151"/>
              <w:spacing w:after="0"/>
              <w:rPr>
                <w:sz w:val="20"/>
                <w:szCs w:val="20"/>
                <w:color w:val="auto"/>
              </w:rPr>
            </w:pPr>
            <w:r>
              <w:rPr>
                <w:rFonts w:ascii="Arial" w:cs="Arial" w:eastAsia="Arial" w:hAnsi="Arial"/>
                <w:sz w:val="18"/>
                <w:szCs w:val="18"/>
                <w:color w:val="auto"/>
                <w:w w:val="88"/>
              </w:rPr>
              <w:t>Put</w:t>
            </w:r>
          </w:p>
        </w:tc>
        <w:tc>
          <w:tcPr>
            <w:tcW w:w="1560" w:type="dxa"/>
            <w:vAlign w:val="bottom"/>
            <w:shd w:val="clear" w:color="auto" w:fill="CCEEFF"/>
          </w:tcPr>
          <w:p>
            <w:pPr>
              <w:jc w:val="center"/>
              <w:ind w:right="11"/>
              <w:spacing w:after="0"/>
              <w:rPr>
                <w:sz w:val="20"/>
                <w:szCs w:val="20"/>
                <w:color w:val="auto"/>
              </w:rPr>
            </w:pPr>
            <w:r>
              <w:rPr>
                <w:rFonts w:ascii="Arial" w:cs="Arial" w:eastAsia="Arial" w:hAnsi="Arial"/>
                <w:sz w:val="18"/>
                <w:szCs w:val="18"/>
                <w:color w:val="auto"/>
                <w:w w:val="90"/>
              </w:rPr>
              <w:t>20,000</w:t>
            </w:r>
          </w:p>
        </w:tc>
        <w:tc>
          <w:tcPr>
            <w:tcW w:w="152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2"/>
              </w:rPr>
              <w:t>Houston</w:t>
            </w:r>
          </w:p>
        </w:tc>
        <w:tc>
          <w:tcPr>
            <w:tcW w:w="12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0"/>
              </w:rPr>
              <w:t>$51.00</w:t>
            </w:r>
          </w:p>
        </w:tc>
        <w:tc>
          <w:tcPr>
            <w:tcW w:w="150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92"/>
              </w:rPr>
              <w:t>$—</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$1.81</w:t>
            </w:r>
          </w:p>
        </w:tc>
      </w:tr>
      <w:tr>
        <w:trPr>
          <w:trHeight w:val="230"/>
        </w:trPr>
        <w:tc>
          <w:tcPr>
            <w:tcW w:w="1260" w:type="dxa"/>
            <w:vAlign w:val="bottom"/>
          </w:tcPr>
          <w:p>
            <w:pPr>
              <w:jc w:val="center"/>
              <w:spacing w:after="0"/>
              <w:rPr>
                <w:sz w:val="20"/>
                <w:szCs w:val="20"/>
                <w:color w:val="auto"/>
              </w:rPr>
            </w:pPr>
            <w:r>
              <w:rPr>
                <w:rFonts w:ascii="Arial" w:cs="Arial" w:eastAsia="Arial" w:hAnsi="Arial"/>
                <w:sz w:val="18"/>
                <w:szCs w:val="18"/>
                <w:color w:val="auto"/>
                <w:w w:val="92"/>
              </w:rPr>
              <w:t>Oct. - Dec.</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520" w:type="dxa"/>
            <w:vAlign w:val="bottom"/>
          </w:tcPr>
          <w:p>
            <w:pPr>
              <w:jc w:val="center"/>
              <w:ind w:right="151"/>
              <w:spacing w:after="0"/>
              <w:rPr>
                <w:sz w:val="20"/>
                <w:szCs w:val="20"/>
                <w:color w:val="auto"/>
              </w:rPr>
            </w:pPr>
            <w:r>
              <w:rPr>
                <w:rFonts w:ascii="Arial" w:cs="Arial" w:eastAsia="Arial" w:hAnsi="Arial"/>
                <w:sz w:val="18"/>
                <w:szCs w:val="18"/>
                <w:color w:val="auto"/>
                <w:w w:val="88"/>
              </w:rPr>
              <w:t>Put</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8,000</w:t>
            </w:r>
          </w:p>
        </w:tc>
        <w:tc>
          <w:tcPr>
            <w:tcW w:w="1520" w:type="dxa"/>
            <w:vAlign w:val="bottom"/>
          </w:tcPr>
          <w:p>
            <w:pPr>
              <w:jc w:val="center"/>
              <w:ind w:left="11"/>
              <w:spacing w:after="0"/>
              <w:rPr>
                <w:sz w:val="20"/>
                <w:szCs w:val="20"/>
                <w:color w:val="auto"/>
              </w:rPr>
            </w:pPr>
            <w:r>
              <w:rPr>
                <w:rFonts w:ascii="Arial" w:cs="Arial" w:eastAsia="Arial" w:hAnsi="Arial"/>
                <w:sz w:val="18"/>
                <w:szCs w:val="18"/>
                <w:color w:val="auto"/>
              </w:rPr>
              <w:t>WTI</w:t>
            </w:r>
          </w:p>
        </w:tc>
        <w:tc>
          <w:tcPr>
            <w:tcW w:w="1280" w:type="dxa"/>
            <w:vAlign w:val="bottom"/>
          </w:tcPr>
          <w:p>
            <w:pPr>
              <w:jc w:val="center"/>
              <w:ind w:left="11"/>
              <w:spacing w:after="0"/>
              <w:rPr>
                <w:sz w:val="20"/>
                <w:szCs w:val="20"/>
                <w:color w:val="auto"/>
              </w:rPr>
            </w:pPr>
            <w:r>
              <w:rPr>
                <w:rFonts w:ascii="Arial" w:cs="Arial" w:eastAsia="Arial" w:hAnsi="Arial"/>
                <w:sz w:val="18"/>
                <w:szCs w:val="18"/>
                <w:color w:val="auto"/>
                <w:w w:val="90"/>
              </w:rPr>
              <w:t>$55.00</w:t>
            </w:r>
          </w:p>
        </w:tc>
        <w:tc>
          <w:tcPr>
            <w:tcW w:w="1500" w:type="dxa"/>
            <w:vAlign w:val="bottom"/>
          </w:tcPr>
          <w:p>
            <w:pPr>
              <w:jc w:val="center"/>
              <w:ind w:left="32"/>
              <w:spacing w:after="0"/>
              <w:rPr>
                <w:sz w:val="20"/>
                <w:szCs w:val="20"/>
                <w:color w:val="auto"/>
              </w:rPr>
            </w:pPr>
            <w:r>
              <w:rPr>
                <w:rFonts w:ascii="Arial" w:cs="Arial" w:eastAsia="Arial" w:hAnsi="Arial"/>
                <w:sz w:val="18"/>
                <w:szCs w:val="18"/>
                <w:color w:val="auto"/>
                <w:w w:val="92"/>
              </w:rPr>
              <w:t>$—</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$1.54</w:t>
            </w:r>
          </w:p>
        </w:tc>
      </w:tr>
      <w:tr>
        <w:trPr>
          <w:trHeight w:val="229"/>
        </w:trPr>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Oct. - Dec.</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520" w:type="dxa"/>
            <w:vAlign w:val="bottom"/>
            <w:shd w:val="clear" w:color="auto" w:fill="CCEEFF"/>
          </w:tcPr>
          <w:p>
            <w:pPr>
              <w:jc w:val="center"/>
              <w:ind w:right="131"/>
              <w:spacing w:after="0" w:line="230" w:lineRule="exact"/>
              <w:rPr>
                <w:sz w:val="20"/>
                <w:szCs w:val="20"/>
                <w:color w:val="auto"/>
              </w:rPr>
            </w:pPr>
            <w:r>
              <w:rPr>
                <w:rFonts w:ascii="Arial" w:cs="Arial" w:eastAsia="Arial" w:hAnsi="Arial"/>
                <w:sz w:val="18"/>
                <w:szCs w:val="18"/>
                <w:color w:val="auto"/>
                <w:w w:val="86"/>
              </w:rPr>
              <w:t>Basis Put</w:t>
            </w:r>
            <w:r>
              <w:rPr>
                <w:rFonts w:ascii="Arial" w:cs="Arial" w:eastAsia="Arial" w:hAnsi="Arial"/>
                <w:sz w:val="23"/>
                <w:szCs w:val="23"/>
                <w:color w:val="auto"/>
                <w:w w:val="86"/>
                <w:vertAlign w:val="superscript"/>
              </w:rPr>
              <w:t>(1)</w:t>
            </w:r>
          </w:p>
        </w:tc>
        <w:tc>
          <w:tcPr>
            <w:tcW w:w="1560" w:type="dxa"/>
            <w:vAlign w:val="bottom"/>
            <w:shd w:val="clear" w:color="auto" w:fill="CCEEFF"/>
          </w:tcPr>
          <w:p>
            <w:pPr>
              <w:jc w:val="center"/>
              <w:ind w:right="11"/>
              <w:spacing w:after="0"/>
              <w:rPr>
                <w:sz w:val="20"/>
                <w:szCs w:val="20"/>
                <w:color w:val="auto"/>
              </w:rPr>
            </w:pPr>
            <w:r>
              <w:rPr>
                <w:rFonts w:ascii="Arial" w:cs="Arial" w:eastAsia="Arial" w:hAnsi="Arial"/>
                <w:sz w:val="18"/>
                <w:szCs w:val="18"/>
                <w:color w:val="auto"/>
                <w:w w:val="90"/>
              </w:rPr>
              <w:t>50,000</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Brent</w:t>
            </w:r>
          </w:p>
        </w:tc>
        <w:tc>
          <w:tcPr>
            <w:tcW w:w="12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2"/>
              </w:rPr>
              <w:t>$—</w:t>
            </w:r>
          </w:p>
        </w:tc>
        <w:tc>
          <w:tcPr>
            <w:tcW w:w="150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92"/>
              </w:rPr>
              <w:t>$(10.40)</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$0.78</w:t>
            </w:r>
          </w:p>
        </w:tc>
      </w:tr>
      <w:tr>
        <w:trPr>
          <w:trHeight w:val="230"/>
        </w:trPr>
        <w:tc>
          <w:tcPr>
            <w:tcW w:w="1260" w:type="dxa"/>
            <w:vAlign w:val="bottom"/>
          </w:tcPr>
          <w:p>
            <w:pPr>
              <w:jc w:val="center"/>
              <w:spacing w:after="0"/>
              <w:rPr>
                <w:sz w:val="20"/>
                <w:szCs w:val="20"/>
                <w:color w:val="auto"/>
              </w:rPr>
            </w:pPr>
            <w:r>
              <w:rPr>
                <w:rFonts w:ascii="Arial" w:cs="Arial" w:eastAsia="Arial" w:hAnsi="Arial"/>
                <w:sz w:val="18"/>
                <w:szCs w:val="18"/>
                <w:color w:val="auto"/>
                <w:w w:val="88"/>
              </w:rPr>
              <w:t>Jan. - Mar.</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520" w:type="dxa"/>
            <w:vAlign w:val="bottom"/>
          </w:tcPr>
          <w:p>
            <w:pPr>
              <w:jc w:val="center"/>
              <w:ind w:right="151"/>
              <w:spacing w:after="0"/>
              <w:rPr>
                <w:sz w:val="20"/>
                <w:szCs w:val="20"/>
                <w:color w:val="auto"/>
              </w:rPr>
            </w:pPr>
            <w:r>
              <w:rPr>
                <w:rFonts w:ascii="Arial" w:cs="Arial" w:eastAsia="Arial" w:hAnsi="Arial"/>
                <w:sz w:val="18"/>
                <w:szCs w:val="18"/>
                <w:color w:val="auto"/>
                <w:w w:val="88"/>
              </w:rPr>
              <w:t>Put</w:t>
            </w:r>
          </w:p>
        </w:tc>
        <w:tc>
          <w:tcPr>
            <w:tcW w:w="1560" w:type="dxa"/>
            <w:vAlign w:val="bottom"/>
          </w:tcPr>
          <w:p>
            <w:pPr>
              <w:jc w:val="center"/>
              <w:ind w:right="11"/>
              <w:spacing w:after="0"/>
              <w:rPr>
                <w:sz w:val="20"/>
                <w:szCs w:val="20"/>
                <w:color w:val="auto"/>
              </w:rPr>
            </w:pPr>
            <w:r>
              <w:rPr>
                <w:rFonts w:ascii="Arial" w:cs="Arial" w:eastAsia="Arial" w:hAnsi="Arial"/>
                <w:sz w:val="18"/>
                <w:szCs w:val="18"/>
                <w:color w:val="auto"/>
                <w:w w:val="90"/>
              </w:rPr>
              <w:t>53,000</w:t>
            </w: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Brent</w:t>
            </w:r>
          </w:p>
        </w:tc>
        <w:tc>
          <w:tcPr>
            <w:tcW w:w="1280" w:type="dxa"/>
            <w:vAlign w:val="bottom"/>
          </w:tcPr>
          <w:p>
            <w:pPr>
              <w:jc w:val="center"/>
              <w:ind w:left="11"/>
              <w:spacing w:after="0"/>
              <w:rPr>
                <w:sz w:val="20"/>
                <w:szCs w:val="20"/>
                <w:color w:val="auto"/>
              </w:rPr>
            </w:pPr>
            <w:r>
              <w:rPr>
                <w:rFonts w:ascii="Arial" w:cs="Arial" w:eastAsia="Arial" w:hAnsi="Arial"/>
                <w:sz w:val="18"/>
                <w:szCs w:val="18"/>
                <w:color w:val="auto"/>
                <w:w w:val="90"/>
              </w:rPr>
              <w:t>$52.83</w:t>
            </w:r>
          </w:p>
        </w:tc>
        <w:tc>
          <w:tcPr>
            <w:tcW w:w="1500" w:type="dxa"/>
            <w:vAlign w:val="bottom"/>
          </w:tcPr>
          <w:p>
            <w:pPr>
              <w:jc w:val="center"/>
              <w:ind w:left="32"/>
              <w:spacing w:after="0"/>
              <w:rPr>
                <w:sz w:val="20"/>
                <w:szCs w:val="20"/>
                <w:color w:val="auto"/>
              </w:rPr>
            </w:pPr>
            <w:r>
              <w:rPr>
                <w:rFonts w:ascii="Arial" w:cs="Arial" w:eastAsia="Arial" w:hAnsi="Arial"/>
                <w:sz w:val="18"/>
                <w:szCs w:val="18"/>
                <w:color w:val="auto"/>
                <w:w w:val="92"/>
              </w:rPr>
              <w:t>$—</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$1.75</w:t>
            </w:r>
          </w:p>
        </w:tc>
      </w:tr>
      <w:tr>
        <w:trPr>
          <w:trHeight w:val="175"/>
        </w:trPr>
        <w:tc>
          <w:tcPr>
            <w:tcW w:w="1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520" w:type="dxa"/>
            <w:vAlign w:val="bottom"/>
            <w:shd w:val="clear" w:color="auto" w:fill="CCEEFF"/>
          </w:tcPr>
          <w:p>
            <w:pPr>
              <w:jc w:val="center"/>
              <w:ind w:left="11"/>
              <w:spacing w:after="0" w:line="176" w:lineRule="exact"/>
              <w:rPr>
                <w:sz w:val="20"/>
                <w:szCs w:val="20"/>
                <w:color w:val="auto"/>
              </w:rPr>
            </w:pPr>
            <w:r>
              <w:rPr>
                <w:rFonts w:ascii="Arial" w:cs="Arial" w:eastAsia="Arial" w:hAnsi="Arial"/>
                <w:sz w:val="18"/>
                <w:szCs w:val="18"/>
                <w:color w:val="auto"/>
                <w:w w:val="96"/>
              </w:rPr>
              <w:t>Argus WTI</w:t>
            </w:r>
          </w:p>
        </w:tc>
        <w:tc>
          <w:tcPr>
            <w:tcW w:w="12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43"/>
        </w:trPr>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Jan. - Mar.</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520" w:type="dxa"/>
            <w:vAlign w:val="bottom"/>
            <w:shd w:val="clear" w:color="auto" w:fill="CCEEFF"/>
          </w:tcPr>
          <w:p>
            <w:pPr>
              <w:jc w:val="center"/>
              <w:ind w:right="151"/>
              <w:spacing w:after="0"/>
              <w:rPr>
                <w:sz w:val="20"/>
                <w:szCs w:val="20"/>
                <w:color w:val="auto"/>
              </w:rPr>
            </w:pPr>
            <w:r>
              <w:rPr>
                <w:rFonts w:ascii="Arial" w:cs="Arial" w:eastAsia="Arial" w:hAnsi="Arial"/>
                <w:sz w:val="18"/>
                <w:szCs w:val="18"/>
                <w:color w:val="auto"/>
                <w:w w:val="88"/>
              </w:rPr>
              <w:t>Put</w:t>
            </w:r>
          </w:p>
        </w:tc>
        <w:tc>
          <w:tcPr>
            <w:tcW w:w="1560" w:type="dxa"/>
            <w:vAlign w:val="bottom"/>
            <w:shd w:val="clear" w:color="auto" w:fill="CCEEFF"/>
          </w:tcPr>
          <w:p>
            <w:pPr>
              <w:jc w:val="center"/>
              <w:ind w:right="11"/>
              <w:spacing w:after="0"/>
              <w:rPr>
                <w:sz w:val="20"/>
                <w:szCs w:val="20"/>
                <w:color w:val="auto"/>
              </w:rPr>
            </w:pPr>
            <w:r>
              <w:rPr>
                <w:rFonts w:ascii="Arial" w:cs="Arial" w:eastAsia="Arial" w:hAnsi="Arial"/>
                <w:sz w:val="18"/>
                <w:szCs w:val="18"/>
                <w:color w:val="auto"/>
                <w:w w:val="90"/>
              </w:rPr>
              <w:t>18,000</w:t>
            </w:r>
          </w:p>
        </w:tc>
        <w:tc>
          <w:tcPr>
            <w:tcW w:w="152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2"/>
              </w:rPr>
              <w:t>Houston</w:t>
            </w:r>
          </w:p>
        </w:tc>
        <w:tc>
          <w:tcPr>
            <w:tcW w:w="12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0"/>
              </w:rPr>
              <w:t>$53.33</w:t>
            </w:r>
          </w:p>
        </w:tc>
        <w:tc>
          <w:tcPr>
            <w:tcW w:w="150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92"/>
              </w:rPr>
              <w:t>$—</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$1.79</w:t>
            </w:r>
          </w:p>
        </w:tc>
      </w:tr>
      <w:tr>
        <w:trPr>
          <w:trHeight w:val="229"/>
        </w:trPr>
        <w:tc>
          <w:tcPr>
            <w:tcW w:w="1260" w:type="dxa"/>
            <w:vAlign w:val="bottom"/>
          </w:tcPr>
          <w:p>
            <w:pPr>
              <w:jc w:val="center"/>
              <w:spacing w:after="0"/>
              <w:rPr>
                <w:sz w:val="20"/>
                <w:szCs w:val="20"/>
                <w:color w:val="auto"/>
              </w:rPr>
            </w:pPr>
            <w:r>
              <w:rPr>
                <w:rFonts w:ascii="Arial" w:cs="Arial" w:eastAsia="Arial" w:hAnsi="Arial"/>
                <w:sz w:val="18"/>
                <w:szCs w:val="18"/>
                <w:color w:val="auto"/>
                <w:w w:val="88"/>
              </w:rPr>
              <w:t>Jan. - Mar.</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520" w:type="dxa"/>
            <w:vAlign w:val="bottom"/>
          </w:tcPr>
          <w:p>
            <w:pPr>
              <w:jc w:val="center"/>
              <w:ind w:right="151"/>
              <w:spacing w:after="0"/>
              <w:rPr>
                <w:sz w:val="20"/>
                <w:szCs w:val="20"/>
                <w:color w:val="auto"/>
              </w:rPr>
            </w:pPr>
            <w:r>
              <w:rPr>
                <w:rFonts w:ascii="Arial" w:cs="Arial" w:eastAsia="Arial" w:hAnsi="Arial"/>
                <w:sz w:val="18"/>
                <w:szCs w:val="18"/>
                <w:color w:val="auto"/>
                <w:w w:val="88"/>
              </w:rPr>
              <w:t>Put</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8,000</w:t>
            </w:r>
          </w:p>
        </w:tc>
        <w:tc>
          <w:tcPr>
            <w:tcW w:w="1520" w:type="dxa"/>
            <w:vAlign w:val="bottom"/>
          </w:tcPr>
          <w:p>
            <w:pPr>
              <w:jc w:val="center"/>
              <w:ind w:left="11"/>
              <w:spacing w:after="0"/>
              <w:rPr>
                <w:sz w:val="20"/>
                <w:szCs w:val="20"/>
                <w:color w:val="auto"/>
              </w:rPr>
            </w:pPr>
            <w:r>
              <w:rPr>
                <w:rFonts w:ascii="Arial" w:cs="Arial" w:eastAsia="Arial" w:hAnsi="Arial"/>
                <w:sz w:val="18"/>
                <w:szCs w:val="18"/>
                <w:color w:val="auto"/>
              </w:rPr>
              <w:t>WTI</w:t>
            </w:r>
          </w:p>
        </w:tc>
        <w:tc>
          <w:tcPr>
            <w:tcW w:w="1280" w:type="dxa"/>
            <w:vAlign w:val="bottom"/>
          </w:tcPr>
          <w:p>
            <w:pPr>
              <w:jc w:val="center"/>
              <w:ind w:left="11"/>
              <w:spacing w:after="0"/>
              <w:rPr>
                <w:sz w:val="20"/>
                <w:szCs w:val="20"/>
                <w:color w:val="auto"/>
              </w:rPr>
            </w:pPr>
            <w:r>
              <w:rPr>
                <w:rFonts w:ascii="Arial" w:cs="Arial" w:eastAsia="Arial" w:hAnsi="Arial"/>
                <w:sz w:val="18"/>
                <w:szCs w:val="18"/>
                <w:color w:val="auto"/>
                <w:w w:val="90"/>
              </w:rPr>
              <w:t>$54.25</w:t>
            </w:r>
          </w:p>
        </w:tc>
        <w:tc>
          <w:tcPr>
            <w:tcW w:w="1500" w:type="dxa"/>
            <w:vAlign w:val="bottom"/>
          </w:tcPr>
          <w:p>
            <w:pPr>
              <w:jc w:val="center"/>
              <w:ind w:left="32"/>
              <w:spacing w:after="0"/>
              <w:rPr>
                <w:sz w:val="20"/>
                <w:szCs w:val="20"/>
                <w:color w:val="auto"/>
              </w:rPr>
            </w:pPr>
            <w:r>
              <w:rPr>
                <w:rFonts w:ascii="Arial" w:cs="Arial" w:eastAsia="Arial" w:hAnsi="Arial"/>
                <w:sz w:val="18"/>
                <w:szCs w:val="18"/>
                <w:color w:val="auto"/>
                <w:w w:val="92"/>
              </w:rPr>
              <w:t>$—</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$1.90</w:t>
            </w:r>
          </w:p>
        </w:tc>
      </w:tr>
      <w:tr>
        <w:trPr>
          <w:trHeight w:val="230"/>
        </w:trPr>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Apr. - June</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520" w:type="dxa"/>
            <w:vAlign w:val="bottom"/>
            <w:shd w:val="clear" w:color="auto" w:fill="CCEEFF"/>
          </w:tcPr>
          <w:p>
            <w:pPr>
              <w:jc w:val="center"/>
              <w:ind w:right="151"/>
              <w:spacing w:after="0"/>
              <w:rPr>
                <w:sz w:val="20"/>
                <w:szCs w:val="20"/>
                <w:color w:val="auto"/>
              </w:rPr>
            </w:pPr>
            <w:r>
              <w:rPr>
                <w:rFonts w:ascii="Arial" w:cs="Arial" w:eastAsia="Arial" w:hAnsi="Arial"/>
                <w:sz w:val="18"/>
                <w:szCs w:val="18"/>
                <w:color w:val="auto"/>
                <w:w w:val="88"/>
              </w:rPr>
              <w:t>Put</w:t>
            </w:r>
          </w:p>
        </w:tc>
        <w:tc>
          <w:tcPr>
            <w:tcW w:w="1560" w:type="dxa"/>
            <w:vAlign w:val="bottom"/>
            <w:shd w:val="clear" w:color="auto" w:fill="CCEEFF"/>
          </w:tcPr>
          <w:p>
            <w:pPr>
              <w:jc w:val="center"/>
              <w:ind w:right="11"/>
              <w:spacing w:after="0"/>
              <w:rPr>
                <w:sz w:val="20"/>
                <w:szCs w:val="20"/>
                <w:color w:val="auto"/>
              </w:rPr>
            </w:pPr>
            <w:r>
              <w:rPr>
                <w:rFonts w:ascii="Arial" w:cs="Arial" w:eastAsia="Arial" w:hAnsi="Arial"/>
                <w:sz w:val="18"/>
                <w:szCs w:val="18"/>
                <w:color w:val="auto"/>
                <w:w w:val="90"/>
              </w:rPr>
              <w:t>31,000</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Brent</w:t>
            </w:r>
          </w:p>
        </w:tc>
        <w:tc>
          <w:tcPr>
            <w:tcW w:w="12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0"/>
              </w:rPr>
              <w:t>$51.94</w:t>
            </w:r>
          </w:p>
        </w:tc>
        <w:tc>
          <w:tcPr>
            <w:tcW w:w="150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92"/>
              </w:rPr>
              <w:t>$—</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$1.81</w:t>
            </w:r>
          </w:p>
        </w:tc>
      </w:tr>
      <w:tr>
        <w:trPr>
          <w:trHeight w:val="175"/>
        </w:trPr>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20" w:type="dxa"/>
            <w:vAlign w:val="bottom"/>
          </w:tcPr>
          <w:p>
            <w:pPr>
              <w:jc w:val="center"/>
              <w:ind w:left="11"/>
              <w:spacing w:after="0" w:line="176" w:lineRule="exact"/>
              <w:rPr>
                <w:sz w:val="20"/>
                <w:szCs w:val="20"/>
                <w:color w:val="auto"/>
              </w:rPr>
            </w:pPr>
            <w:r>
              <w:rPr>
                <w:rFonts w:ascii="Arial" w:cs="Arial" w:eastAsia="Arial" w:hAnsi="Arial"/>
                <w:sz w:val="18"/>
                <w:szCs w:val="18"/>
                <w:color w:val="auto"/>
                <w:w w:val="96"/>
              </w:rPr>
              <w:t>Argus WTI</w:t>
            </w:r>
          </w:p>
        </w:tc>
        <w:tc>
          <w:tcPr>
            <w:tcW w:w="1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43"/>
        </w:trPr>
        <w:tc>
          <w:tcPr>
            <w:tcW w:w="1260" w:type="dxa"/>
            <w:vAlign w:val="bottom"/>
          </w:tcPr>
          <w:p>
            <w:pPr>
              <w:jc w:val="center"/>
              <w:spacing w:after="0"/>
              <w:rPr>
                <w:sz w:val="20"/>
                <w:szCs w:val="20"/>
                <w:color w:val="auto"/>
              </w:rPr>
            </w:pPr>
            <w:r>
              <w:rPr>
                <w:rFonts w:ascii="Arial" w:cs="Arial" w:eastAsia="Arial" w:hAnsi="Arial"/>
                <w:sz w:val="18"/>
                <w:szCs w:val="18"/>
                <w:color w:val="auto"/>
                <w:w w:val="90"/>
              </w:rPr>
              <w:t>Apr. - June</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520" w:type="dxa"/>
            <w:vAlign w:val="bottom"/>
          </w:tcPr>
          <w:p>
            <w:pPr>
              <w:jc w:val="center"/>
              <w:ind w:right="151"/>
              <w:spacing w:after="0"/>
              <w:rPr>
                <w:sz w:val="20"/>
                <w:szCs w:val="20"/>
                <w:color w:val="auto"/>
              </w:rPr>
            </w:pPr>
            <w:r>
              <w:rPr>
                <w:rFonts w:ascii="Arial" w:cs="Arial" w:eastAsia="Arial" w:hAnsi="Arial"/>
                <w:sz w:val="18"/>
                <w:szCs w:val="18"/>
                <w:color w:val="auto"/>
                <w:w w:val="88"/>
              </w:rPr>
              <w:t>Put</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8,000</w:t>
            </w:r>
          </w:p>
        </w:tc>
        <w:tc>
          <w:tcPr>
            <w:tcW w:w="1520" w:type="dxa"/>
            <w:vAlign w:val="bottom"/>
          </w:tcPr>
          <w:p>
            <w:pPr>
              <w:jc w:val="center"/>
              <w:ind w:left="11"/>
              <w:spacing w:after="0"/>
              <w:rPr>
                <w:sz w:val="20"/>
                <w:szCs w:val="20"/>
                <w:color w:val="auto"/>
              </w:rPr>
            </w:pPr>
            <w:r>
              <w:rPr>
                <w:rFonts w:ascii="Arial" w:cs="Arial" w:eastAsia="Arial" w:hAnsi="Arial"/>
                <w:sz w:val="18"/>
                <w:szCs w:val="18"/>
                <w:color w:val="auto"/>
                <w:w w:val="92"/>
              </w:rPr>
              <w:t>Houston</w:t>
            </w:r>
          </w:p>
        </w:tc>
        <w:tc>
          <w:tcPr>
            <w:tcW w:w="1280" w:type="dxa"/>
            <w:vAlign w:val="bottom"/>
          </w:tcPr>
          <w:p>
            <w:pPr>
              <w:jc w:val="center"/>
              <w:ind w:left="11"/>
              <w:spacing w:after="0"/>
              <w:rPr>
                <w:sz w:val="20"/>
                <w:szCs w:val="20"/>
                <w:color w:val="auto"/>
              </w:rPr>
            </w:pPr>
            <w:r>
              <w:rPr>
                <w:rFonts w:ascii="Arial" w:cs="Arial" w:eastAsia="Arial" w:hAnsi="Arial"/>
                <w:sz w:val="18"/>
                <w:szCs w:val="18"/>
                <w:color w:val="auto"/>
                <w:w w:val="90"/>
              </w:rPr>
              <w:t>$51.25</w:t>
            </w:r>
          </w:p>
        </w:tc>
        <w:tc>
          <w:tcPr>
            <w:tcW w:w="1500" w:type="dxa"/>
            <w:vAlign w:val="bottom"/>
          </w:tcPr>
          <w:p>
            <w:pPr>
              <w:jc w:val="center"/>
              <w:ind w:left="32"/>
              <w:spacing w:after="0"/>
              <w:rPr>
                <w:sz w:val="20"/>
                <w:szCs w:val="20"/>
                <w:color w:val="auto"/>
              </w:rPr>
            </w:pPr>
            <w:r>
              <w:rPr>
                <w:rFonts w:ascii="Arial" w:cs="Arial" w:eastAsia="Arial" w:hAnsi="Arial"/>
                <w:sz w:val="18"/>
                <w:szCs w:val="18"/>
                <w:color w:val="auto"/>
                <w:w w:val="92"/>
              </w:rPr>
              <w:t>$—</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$1.77</w:t>
            </w:r>
          </w:p>
        </w:tc>
      </w:tr>
      <w:tr>
        <w:trPr>
          <w:trHeight w:val="230"/>
        </w:trPr>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July - Sep.</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520" w:type="dxa"/>
            <w:vAlign w:val="bottom"/>
            <w:shd w:val="clear" w:color="auto" w:fill="CCEEFF"/>
          </w:tcPr>
          <w:p>
            <w:pPr>
              <w:jc w:val="center"/>
              <w:ind w:right="151"/>
              <w:spacing w:after="0"/>
              <w:rPr>
                <w:sz w:val="20"/>
                <w:szCs w:val="20"/>
                <w:color w:val="auto"/>
              </w:rPr>
            </w:pPr>
            <w:r>
              <w:rPr>
                <w:rFonts w:ascii="Arial" w:cs="Arial" w:eastAsia="Arial" w:hAnsi="Arial"/>
                <w:sz w:val="18"/>
                <w:szCs w:val="18"/>
                <w:color w:val="auto"/>
                <w:w w:val="88"/>
              </w:rPr>
              <w:t>Put</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9,000</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Brent</w:t>
            </w:r>
          </w:p>
        </w:tc>
        <w:tc>
          <w:tcPr>
            <w:tcW w:w="12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0"/>
              </w:rPr>
              <w:t>$51.11</w:t>
            </w:r>
          </w:p>
        </w:tc>
        <w:tc>
          <w:tcPr>
            <w:tcW w:w="150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92"/>
              </w:rPr>
              <w:t>$—</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$1.91</w:t>
            </w:r>
          </w:p>
        </w:tc>
      </w:tr>
      <w:tr>
        <w:trPr>
          <w:trHeight w:val="175"/>
        </w:trPr>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20" w:type="dxa"/>
            <w:vAlign w:val="bottom"/>
          </w:tcPr>
          <w:p>
            <w:pPr>
              <w:jc w:val="center"/>
              <w:ind w:left="11"/>
              <w:spacing w:after="0" w:line="176" w:lineRule="exact"/>
              <w:rPr>
                <w:sz w:val="20"/>
                <w:szCs w:val="20"/>
                <w:color w:val="auto"/>
              </w:rPr>
            </w:pPr>
            <w:r>
              <w:rPr>
                <w:rFonts w:ascii="Arial" w:cs="Arial" w:eastAsia="Arial" w:hAnsi="Arial"/>
                <w:sz w:val="18"/>
                <w:szCs w:val="18"/>
                <w:color w:val="auto"/>
                <w:w w:val="96"/>
              </w:rPr>
              <w:t>Argus WTI</w:t>
            </w:r>
          </w:p>
        </w:tc>
        <w:tc>
          <w:tcPr>
            <w:tcW w:w="1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43"/>
        </w:trPr>
        <w:tc>
          <w:tcPr>
            <w:tcW w:w="1260" w:type="dxa"/>
            <w:vAlign w:val="bottom"/>
          </w:tcPr>
          <w:p>
            <w:pPr>
              <w:jc w:val="center"/>
              <w:spacing w:after="0"/>
              <w:rPr>
                <w:sz w:val="20"/>
                <w:szCs w:val="20"/>
                <w:color w:val="auto"/>
              </w:rPr>
            </w:pPr>
            <w:r>
              <w:rPr>
                <w:rFonts w:ascii="Arial" w:cs="Arial" w:eastAsia="Arial" w:hAnsi="Arial"/>
                <w:sz w:val="18"/>
                <w:szCs w:val="18"/>
                <w:color w:val="auto"/>
                <w:w w:val="89"/>
              </w:rPr>
              <w:t>July - Sep.</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520" w:type="dxa"/>
            <w:vAlign w:val="bottom"/>
          </w:tcPr>
          <w:p>
            <w:pPr>
              <w:jc w:val="center"/>
              <w:ind w:right="151"/>
              <w:spacing w:after="0"/>
              <w:rPr>
                <w:sz w:val="20"/>
                <w:szCs w:val="20"/>
                <w:color w:val="auto"/>
              </w:rPr>
            </w:pPr>
            <w:r>
              <w:rPr>
                <w:rFonts w:ascii="Arial" w:cs="Arial" w:eastAsia="Arial" w:hAnsi="Arial"/>
                <w:sz w:val="18"/>
                <w:szCs w:val="18"/>
                <w:color w:val="auto"/>
                <w:w w:val="88"/>
              </w:rPr>
              <w:t>Put</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2,000</w:t>
            </w:r>
          </w:p>
        </w:tc>
        <w:tc>
          <w:tcPr>
            <w:tcW w:w="1520" w:type="dxa"/>
            <w:vAlign w:val="bottom"/>
          </w:tcPr>
          <w:p>
            <w:pPr>
              <w:jc w:val="center"/>
              <w:ind w:left="11"/>
              <w:spacing w:after="0"/>
              <w:rPr>
                <w:sz w:val="20"/>
                <w:szCs w:val="20"/>
                <w:color w:val="auto"/>
              </w:rPr>
            </w:pPr>
            <w:r>
              <w:rPr>
                <w:rFonts w:ascii="Arial" w:cs="Arial" w:eastAsia="Arial" w:hAnsi="Arial"/>
                <w:sz w:val="18"/>
                <w:szCs w:val="18"/>
                <w:color w:val="auto"/>
                <w:w w:val="92"/>
              </w:rPr>
              <w:t>Houston</w:t>
            </w:r>
          </w:p>
        </w:tc>
        <w:tc>
          <w:tcPr>
            <w:tcW w:w="1280" w:type="dxa"/>
            <w:vAlign w:val="bottom"/>
          </w:tcPr>
          <w:p>
            <w:pPr>
              <w:jc w:val="center"/>
              <w:ind w:left="11"/>
              <w:spacing w:after="0"/>
              <w:rPr>
                <w:sz w:val="20"/>
                <w:szCs w:val="20"/>
                <w:color w:val="auto"/>
              </w:rPr>
            </w:pPr>
            <w:r>
              <w:rPr>
                <w:rFonts w:ascii="Arial" w:cs="Arial" w:eastAsia="Arial" w:hAnsi="Arial"/>
                <w:sz w:val="18"/>
                <w:szCs w:val="18"/>
                <w:color w:val="auto"/>
                <w:w w:val="90"/>
              </w:rPr>
              <w:t>$55.00</w:t>
            </w:r>
          </w:p>
        </w:tc>
        <w:tc>
          <w:tcPr>
            <w:tcW w:w="1500" w:type="dxa"/>
            <w:vAlign w:val="bottom"/>
          </w:tcPr>
          <w:p>
            <w:pPr>
              <w:jc w:val="center"/>
              <w:ind w:left="32"/>
              <w:spacing w:after="0"/>
              <w:rPr>
                <w:sz w:val="20"/>
                <w:szCs w:val="20"/>
                <w:color w:val="auto"/>
              </w:rPr>
            </w:pPr>
            <w:r>
              <w:rPr>
                <w:rFonts w:ascii="Arial" w:cs="Arial" w:eastAsia="Arial" w:hAnsi="Arial"/>
                <w:sz w:val="18"/>
                <w:szCs w:val="18"/>
                <w:color w:val="auto"/>
                <w:w w:val="92"/>
              </w:rPr>
              <w:t>$—</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$1.86</w:t>
            </w:r>
          </w:p>
        </w:tc>
      </w:tr>
    </w:tbl>
    <w:p>
      <w:pPr>
        <w:spacing w:after="0" w:line="67" w:lineRule="exact"/>
        <w:rPr>
          <w:sz w:val="20"/>
          <w:szCs w:val="20"/>
          <w:color w:val="auto"/>
        </w:rPr>
      </w:pPr>
    </w:p>
    <w:p>
      <w:pPr>
        <w:ind w:left="5540" w:right="2800" w:hanging="5532"/>
        <w:spacing w:after="0" w:line="778" w:lineRule="auto"/>
        <w:tabs>
          <w:tab w:leader="none" w:pos="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has basis puts for the spread between the Brent crude oil price and NYMEX WTI crude oil price.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18"/>
          <w:szCs w:val="18"/>
          <w:color w:val="auto"/>
        </w:rPr>
        <w:t>During the nine months ended September 30, 2022, the Company terminated certain commodity derivative contracts prior to their contractual maturities as shown in the table below:</w:t>
      </w:r>
    </w:p>
    <w:tbl>
      <w:tblPr>
        <w:tblLayout w:type="fixed"/>
        <w:tblInd w:w="0" w:type="dxa"/>
        <w:tblCellMar>
          <w:top w:w="0" w:type="dxa"/>
          <w:left w:w="0" w:type="dxa"/>
          <w:bottom w:w="0" w:type="dxa"/>
          <w:right w:w="0" w:type="dxa"/>
        </w:tblCellMar>
      </w:tblPr>
      <w:tr>
        <w:trPr>
          <w:trHeight w:val="202"/>
        </w:trPr>
        <w:tc>
          <w:tcPr>
            <w:tcW w:w="1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Swaps</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5"/>
              </w:rPr>
              <w:t>Puts</w:t>
            </w:r>
          </w:p>
        </w:tc>
        <w:tc>
          <w:tcPr>
            <w:tcW w:w="9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Collars</w:t>
            </w:r>
          </w:p>
        </w:tc>
        <w:tc>
          <w:tcPr>
            <w:tcW w:w="0" w:type="dxa"/>
            <w:vAlign w:val="bottom"/>
          </w:tcPr>
          <w:p>
            <w:pPr>
              <w:spacing w:after="0"/>
              <w:rPr>
                <w:sz w:val="1"/>
                <w:szCs w:val="1"/>
                <w:color w:val="auto"/>
              </w:rPr>
            </w:pPr>
          </w:p>
        </w:tc>
      </w:tr>
      <w:tr>
        <w:trPr>
          <w:trHeight w:val="146"/>
        </w:trPr>
        <w:tc>
          <w:tcPr>
            <w:tcW w:w="11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88"/>
              </w:rPr>
              <w:t>Settlement</w:t>
            </w:r>
          </w:p>
        </w:tc>
        <w:tc>
          <w:tcPr>
            <w:tcW w:w="102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88"/>
              </w:rPr>
              <w:t>Settlement</w:t>
            </w:r>
          </w:p>
        </w:tc>
        <w:tc>
          <w:tcPr>
            <w:tcW w:w="1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2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1"/>
              </w:rPr>
              <w:t>Weighted</w:t>
            </w:r>
          </w:p>
        </w:tc>
        <w:tc>
          <w:tcPr>
            <w:tcW w:w="1080" w:type="dxa"/>
            <w:vAlign w:val="bottom"/>
          </w:tcPr>
          <w:p>
            <w:pPr>
              <w:spacing w:after="0"/>
              <w:rPr>
                <w:sz w:val="12"/>
                <w:szCs w:val="12"/>
                <w:color w:val="auto"/>
              </w:rPr>
            </w:pPr>
          </w:p>
        </w:tc>
        <w:tc>
          <w:tcPr>
            <w:tcW w:w="960" w:type="dxa"/>
            <w:vAlign w:val="bottom"/>
          </w:tcPr>
          <w:p>
            <w:pPr>
              <w:jc w:val="center"/>
              <w:ind w:left="173"/>
              <w:spacing w:after="0" w:line="146" w:lineRule="exact"/>
              <w:rPr>
                <w:sz w:val="20"/>
                <w:szCs w:val="20"/>
                <w:color w:val="auto"/>
              </w:rPr>
            </w:pPr>
            <w:r>
              <w:rPr>
                <w:rFonts w:ascii="Arial" w:cs="Arial" w:eastAsia="Arial" w:hAnsi="Arial"/>
                <w:sz w:val="15"/>
                <w:szCs w:val="15"/>
                <w:b w:val="1"/>
                <w:bCs w:val="1"/>
                <w:color w:val="auto"/>
                <w:w w:val="91"/>
              </w:rPr>
              <w:t>Weighted</w:t>
            </w:r>
          </w:p>
        </w:tc>
        <w:tc>
          <w:tcPr>
            <w:tcW w:w="1460" w:type="dxa"/>
            <w:vAlign w:val="bottom"/>
          </w:tcPr>
          <w:p>
            <w:pPr>
              <w:jc w:val="center"/>
              <w:ind w:left="153"/>
              <w:spacing w:after="0" w:line="146" w:lineRule="exact"/>
              <w:rPr>
                <w:sz w:val="20"/>
                <w:szCs w:val="20"/>
                <w:color w:val="auto"/>
              </w:rPr>
            </w:pPr>
            <w:r>
              <w:rPr>
                <w:rFonts w:ascii="Arial" w:cs="Arial" w:eastAsia="Arial" w:hAnsi="Arial"/>
                <w:sz w:val="15"/>
                <w:szCs w:val="15"/>
                <w:b w:val="1"/>
                <w:bCs w:val="1"/>
                <w:color w:val="auto"/>
                <w:w w:val="91"/>
              </w:rPr>
              <w:t>Weighted</w:t>
            </w:r>
          </w:p>
        </w:tc>
        <w:tc>
          <w:tcPr>
            <w:tcW w:w="0" w:type="dxa"/>
            <w:vAlign w:val="bottom"/>
          </w:tcPr>
          <w:p>
            <w:pPr>
              <w:spacing w:after="0"/>
              <w:rPr>
                <w:sz w:val="1"/>
                <w:szCs w:val="1"/>
                <w:color w:val="auto"/>
              </w:rPr>
            </w:pPr>
          </w:p>
        </w:tc>
      </w:tr>
      <w:tr>
        <w:trPr>
          <w:trHeight w:val="148"/>
        </w:trPr>
        <w:tc>
          <w:tcPr>
            <w:tcW w:w="116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91"/>
              </w:rPr>
              <w:t>Average Fixed</w:t>
            </w:r>
          </w:p>
        </w:tc>
        <w:tc>
          <w:tcPr>
            <w:tcW w:w="1080" w:type="dxa"/>
            <w:vAlign w:val="bottom"/>
          </w:tcPr>
          <w:p>
            <w:pPr>
              <w:spacing w:after="0"/>
              <w:rPr>
                <w:sz w:val="12"/>
                <w:szCs w:val="12"/>
                <w:color w:val="auto"/>
              </w:rPr>
            </w:pPr>
          </w:p>
        </w:tc>
        <w:tc>
          <w:tcPr>
            <w:tcW w:w="2420" w:type="dxa"/>
            <w:vAlign w:val="bottom"/>
            <w:gridSpan w:val="2"/>
          </w:tcPr>
          <w:p>
            <w:pPr>
              <w:ind w:left="160"/>
              <w:spacing w:after="0" w:line="149" w:lineRule="exact"/>
              <w:rPr>
                <w:sz w:val="20"/>
                <w:szCs w:val="20"/>
                <w:color w:val="auto"/>
              </w:rPr>
            </w:pPr>
            <w:r>
              <w:rPr>
                <w:rFonts w:ascii="Arial" w:cs="Arial" w:eastAsia="Arial" w:hAnsi="Arial"/>
                <w:sz w:val="15"/>
                <w:szCs w:val="15"/>
                <w:b w:val="1"/>
                <w:bCs w:val="1"/>
                <w:color w:val="auto"/>
                <w:w w:val="98"/>
              </w:rPr>
              <w:t>Average Floor   Average Ceiling</w:t>
            </w:r>
          </w:p>
        </w:tc>
        <w:tc>
          <w:tcPr>
            <w:tcW w:w="0" w:type="dxa"/>
            <w:vAlign w:val="bottom"/>
          </w:tcPr>
          <w:p>
            <w:pPr>
              <w:spacing w:after="0"/>
              <w:rPr>
                <w:sz w:val="1"/>
                <w:szCs w:val="1"/>
                <w:color w:val="auto"/>
              </w:rPr>
            </w:pPr>
          </w:p>
        </w:tc>
      </w:tr>
      <w:tr>
        <w:trPr>
          <w:trHeight w:val="212"/>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Month</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Year</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Type of Contract</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Bbls Per Day</w:t>
            </w:r>
          </w:p>
        </w:tc>
        <w:tc>
          <w:tcPr>
            <w:tcW w:w="1840" w:type="dxa"/>
            <w:vAlign w:val="bottom"/>
            <w:tcBorders>
              <w:bottom w:val="single" w:sz="8" w:color="auto"/>
            </w:tcBorders>
          </w:tcPr>
          <w:p>
            <w:pPr>
              <w:jc w:val="center"/>
              <w:ind w:right="11"/>
              <w:spacing w:after="0"/>
              <w:rPr>
                <w:sz w:val="20"/>
                <w:szCs w:val="20"/>
                <w:color w:val="auto"/>
              </w:rPr>
            </w:pPr>
            <w:r>
              <w:rPr>
                <w:rFonts w:ascii="Arial" w:cs="Arial" w:eastAsia="Arial" w:hAnsi="Arial"/>
                <w:sz w:val="15"/>
                <w:szCs w:val="15"/>
                <w:b w:val="1"/>
                <w:bCs w:val="1"/>
                <w:color w:val="auto"/>
                <w:w w:val="96"/>
              </w:rPr>
              <w:t>Index</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Price</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Strike Price</w:t>
            </w:r>
          </w:p>
        </w:tc>
        <w:tc>
          <w:tcPr>
            <w:tcW w:w="960" w:type="dxa"/>
            <w:vAlign w:val="bottom"/>
            <w:tcBorders>
              <w:bottom w:val="single" w:sz="8" w:color="auto"/>
            </w:tcBorders>
          </w:tcPr>
          <w:p>
            <w:pPr>
              <w:jc w:val="center"/>
              <w:ind w:left="173"/>
              <w:spacing w:after="0"/>
              <w:rPr>
                <w:sz w:val="20"/>
                <w:szCs w:val="20"/>
                <w:color w:val="auto"/>
              </w:rPr>
            </w:pPr>
            <w:r>
              <w:rPr>
                <w:rFonts w:ascii="Arial" w:cs="Arial" w:eastAsia="Arial" w:hAnsi="Arial"/>
                <w:sz w:val="15"/>
                <w:szCs w:val="15"/>
                <w:b w:val="1"/>
                <w:bCs w:val="1"/>
                <w:color w:val="auto"/>
                <w:w w:val="92"/>
              </w:rPr>
              <w:t>Price</w:t>
            </w:r>
          </w:p>
        </w:tc>
        <w:tc>
          <w:tcPr>
            <w:tcW w:w="1460" w:type="dxa"/>
            <w:vAlign w:val="bottom"/>
            <w:tcBorders>
              <w:bottom w:val="single" w:sz="8" w:color="auto"/>
            </w:tcBorders>
          </w:tcPr>
          <w:p>
            <w:pPr>
              <w:jc w:val="center"/>
              <w:ind w:left="153"/>
              <w:spacing w:after="0"/>
              <w:rPr>
                <w:sz w:val="20"/>
                <w:szCs w:val="20"/>
                <w:color w:val="auto"/>
              </w:rPr>
            </w:pPr>
            <w:r>
              <w:rPr>
                <w:rFonts w:ascii="Arial" w:cs="Arial" w:eastAsia="Arial" w:hAnsi="Arial"/>
                <w:sz w:val="15"/>
                <w:szCs w:val="15"/>
                <w:b w:val="1"/>
                <w:bCs w:val="1"/>
                <w:color w:val="auto"/>
                <w:w w:val="92"/>
              </w:rPr>
              <w:t>Price</w:t>
            </w:r>
          </w:p>
        </w:tc>
        <w:tc>
          <w:tcPr>
            <w:tcW w:w="0" w:type="dxa"/>
            <w:vAlign w:val="bottom"/>
          </w:tcPr>
          <w:p>
            <w:pPr>
              <w:spacing w:after="0"/>
              <w:rPr>
                <w:sz w:val="1"/>
                <w:szCs w:val="1"/>
                <w:color w:val="auto"/>
              </w:rPr>
            </w:pPr>
          </w:p>
        </w:tc>
      </w:tr>
      <w:tr>
        <w:trPr>
          <w:trHeight w:val="200"/>
        </w:trPr>
        <w:tc>
          <w:tcPr>
            <w:tcW w:w="11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OIL</w:t>
            </w:r>
          </w:p>
        </w:tc>
        <w:tc>
          <w:tcPr>
            <w:tcW w:w="10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160" w:type="dxa"/>
            <w:vAlign w:val="bottom"/>
          </w:tcPr>
          <w:p>
            <w:pPr>
              <w:jc w:val="center"/>
              <w:spacing w:after="0"/>
              <w:rPr>
                <w:sz w:val="20"/>
                <w:szCs w:val="20"/>
                <w:color w:val="auto"/>
              </w:rPr>
            </w:pPr>
            <w:r>
              <w:rPr>
                <w:rFonts w:ascii="Arial" w:cs="Arial" w:eastAsia="Arial" w:hAnsi="Arial"/>
                <w:sz w:val="18"/>
                <w:szCs w:val="18"/>
                <w:color w:val="auto"/>
                <w:w w:val="90"/>
              </w:rPr>
              <w:t>Apr. - June</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Costless Collar</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8,000</w:t>
            </w:r>
          </w:p>
        </w:tc>
        <w:tc>
          <w:tcPr>
            <w:tcW w:w="1840" w:type="dxa"/>
            <w:vAlign w:val="bottom"/>
          </w:tcPr>
          <w:p>
            <w:pPr>
              <w:jc w:val="center"/>
              <w:ind w:right="11"/>
              <w:spacing w:after="0"/>
              <w:rPr>
                <w:sz w:val="20"/>
                <w:szCs w:val="20"/>
                <w:color w:val="auto"/>
              </w:rPr>
            </w:pPr>
            <w:r>
              <w:rPr>
                <w:rFonts w:ascii="Arial" w:cs="Arial" w:eastAsia="Arial" w:hAnsi="Arial"/>
                <w:sz w:val="18"/>
                <w:szCs w:val="18"/>
                <w:color w:val="auto"/>
              </w:rPr>
              <w:t>WTI</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Pr>
          <w:p>
            <w:pPr>
              <w:jc w:val="center"/>
              <w:ind w:left="193"/>
              <w:spacing w:after="0"/>
              <w:rPr>
                <w:sz w:val="20"/>
                <w:szCs w:val="20"/>
                <w:color w:val="auto"/>
              </w:rPr>
            </w:pPr>
            <w:r>
              <w:rPr>
                <w:rFonts w:ascii="Arial" w:cs="Arial" w:eastAsia="Arial" w:hAnsi="Arial"/>
                <w:sz w:val="18"/>
                <w:szCs w:val="18"/>
                <w:color w:val="auto"/>
                <w:w w:val="87"/>
              </w:rPr>
              <w:t>$45.00</w:t>
            </w:r>
          </w:p>
        </w:tc>
        <w:tc>
          <w:tcPr>
            <w:tcW w:w="1460" w:type="dxa"/>
            <w:vAlign w:val="bottom"/>
          </w:tcPr>
          <w:p>
            <w:pPr>
              <w:jc w:val="center"/>
              <w:ind w:left="173"/>
              <w:spacing w:after="0"/>
              <w:rPr>
                <w:sz w:val="20"/>
                <w:szCs w:val="20"/>
                <w:color w:val="auto"/>
              </w:rPr>
            </w:pPr>
            <w:r>
              <w:rPr>
                <w:rFonts w:ascii="Arial" w:cs="Arial" w:eastAsia="Arial" w:hAnsi="Arial"/>
                <w:sz w:val="18"/>
                <w:szCs w:val="18"/>
                <w:color w:val="auto"/>
                <w:w w:val="87"/>
              </w:rPr>
              <w:t>$71.60</w:t>
            </w:r>
          </w:p>
        </w:tc>
        <w:tc>
          <w:tcPr>
            <w:tcW w:w="0" w:type="dxa"/>
            <w:vAlign w:val="bottom"/>
          </w:tcPr>
          <w:p>
            <w:pPr>
              <w:spacing w:after="0"/>
              <w:rPr>
                <w:sz w:val="1"/>
                <w:szCs w:val="1"/>
                <w:color w:val="auto"/>
              </w:rPr>
            </w:pPr>
          </w:p>
        </w:tc>
      </w:tr>
      <w:tr>
        <w:trPr>
          <w:trHeight w:val="230"/>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Apr. - June</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Costless Collar</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8,000</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Brent</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ind w:left="193"/>
              <w:spacing w:after="0"/>
              <w:rPr>
                <w:sz w:val="20"/>
                <w:szCs w:val="20"/>
                <w:color w:val="auto"/>
              </w:rPr>
            </w:pPr>
            <w:r>
              <w:rPr>
                <w:rFonts w:ascii="Arial" w:cs="Arial" w:eastAsia="Arial" w:hAnsi="Arial"/>
                <w:sz w:val="18"/>
                <w:szCs w:val="18"/>
                <w:color w:val="auto"/>
                <w:w w:val="87"/>
              </w:rPr>
              <w:t>$45.00</w:t>
            </w:r>
          </w:p>
        </w:tc>
        <w:tc>
          <w:tcPr>
            <w:tcW w:w="1460" w:type="dxa"/>
            <w:vAlign w:val="bottom"/>
            <w:shd w:val="clear" w:color="auto" w:fill="CCEEFF"/>
          </w:tcPr>
          <w:p>
            <w:pPr>
              <w:jc w:val="center"/>
              <w:ind w:left="173"/>
              <w:spacing w:after="0"/>
              <w:rPr>
                <w:sz w:val="20"/>
                <w:szCs w:val="20"/>
                <w:color w:val="auto"/>
              </w:rPr>
            </w:pPr>
            <w:r>
              <w:rPr>
                <w:rFonts w:ascii="Arial" w:cs="Arial" w:eastAsia="Arial" w:hAnsi="Arial"/>
                <w:sz w:val="18"/>
                <w:szCs w:val="18"/>
                <w:color w:val="auto"/>
                <w:w w:val="87"/>
              </w:rPr>
              <w:t>$74.78</w:t>
            </w:r>
          </w:p>
        </w:tc>
        <w:tc>
          <w:tcPr>
            <w:tcW w:w="0" w:type="dxa"/>
            <w:vAlign w:val="bottom"/>
          </w:tcPr>
          <w:p>
            <w:pPr>
              <w:spacing w:after="0"/>
              <w:rPr>
                <w:sz w:val="1"/>
                <w:szCs w:val="1"/>
                <w:color w:val="auto"/>
              </w:rPr>
            </w:pPr>
          </w:p>
        </w:tc>
      </w:tr>
      <w:tr>
        <w:trPr>
          <w:trHeight w:val="229"/>
        </w:trPr>
        <w:tc>
          <w:tcPr>
            <w:tcW w:w="1160" w:type="dxa"/>
            <w:vAlign w:val="bottom"/>
          </w:tcPr>
          <w:p>
            <w:pPr>
              <w:jc w:val="center"/>
              <w:spacing w:after="0"/>
              <w:rPr>
                <w:sz w:val="20"/>
                <w:szCs w:val="20"/>
                <w:color w:val="auto"/>
              </w:rPr>
            </w:pPr>
            <w:r>
              <w:rPr>
                <w:rFonts w:ascii="Arial" w:cs="Arial" w:eastAsia="Arial" w:hAnsi="Arial"/>
                <w:sz w:val="18"/>
                <w:szCs w:val="18"/>
                <w:color w:val="auto"/>
                <w:w w:val="90"/>
              </w:rPr>
              <w:t>Apr. - June</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Costless Collar</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6,000</w:t>
            </w:r>
          </w:p>
        </w:tc>
        <w:tc>
          <w:tcPr>
            <w:tcW w:w="1840" w:type="dxa"/>
            <w:vAlign w:val="bottom"/>
          </w:tcPr>
          <w:p>
            <w:pPr>
              <w:jc w:val="center"/>
              <w:spacing w:after="0"/>
              <w:rPr>
                <w:sz w:val="20"/>
                <w:szCs w:val="20"/>
                <w:color w:val="auto"/>
              </w:rPr>
            </w:pPr>
            <w:r>
              <w:rPr>
                <w:rFonts w:ascii="Arial" w:cs="Arial" w:eastAsia="Arial" w:hAnsi="Arial"/>
                <w:sz w:val="18"/>
                <w:szCs w:val="18"/>
                <w:color w:val="auto"/>
                <w:w w:val="94"/>
              </w:rPr>
              <w:t>Argus WTI Houston</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Pr>
          <w:p>
            <w:pPr>
              <w:jc w:val="center"/>
              <w:ind w:left="193"/>
              <w:spacing w:after="0"/>
              <w:rPr>
                <w:sz w:val="20"/>
                <w:szCs w:val="20"/>
                <w:color w:val="auto"/>
              </w:rPr>
            </w:pPr>
            <w:r>
              <w:rPr>
                <w:rFonts w:ascii="Arial" w:cs="Arial" w:eastAsia="Arial" w:hAnsi="Arial"/>
                <w:sz w:val="18"/>
                <w:szCs w:val="18"/>
                <w:color w:val="auto"/>
                <w:w w:val="87"/>
              </w:rPr>
              <w:t>$45.00</w:t>
            </w:r>
          </w:p>
        </w:tc>
        <w:tc>
          <w:tcPr>
            <w:tcW w:w="1460" w:type="dxa"/>
            <w:vAlign w:val="bottom"/>
          </w:tcPr>
          <w:p>
            <w:pPr>
              <w:jc w:val="center"/>
              <w:ind w:left="173"/>
              <w:spacing w:after="0"/>
              <w:rPr>
                <w:sz w:val="20"/>
                <w:szCs w:val="20"/>
                <w:color w:val="auto"/>
              </w:rPr>
            </w:pPr>
            <w:r>
              <w:rPr>
                <w:rFonts w:ascii="Arial" w:cs="Arial" w:eastAsia="Arial" w:hAnsi="Arial"/>
                <w:sz w:val="18"/>
                <w:szCs w:val="18"/>
                <w:color w:val="auto"/>
                <w:w w:val="87"/>
              </w:rPr>
              <w:t>$69.53</w:t>
            </w:r>
          </w:p>
        </w:tc>
        <w:tc>
          <w:tcPr>
            <w:tcW w:w="0" w:type="dxa"/>
            <w:vAlign w:val="bottom"/>
          </w:tcPr>
          <w:p>
            <w:pPr>
              <w:spacing w:after="0"/>
              <w:rPr>
                <w:sz w:val="1"/>
                <w:szCs w:val="1"/>
                <w:color w:val="auto"/>
              </w:rPr>
            </w:pPr>
          </w:p>
        </w:tc>
      </w:tr>
      <w:tr>
        <w:trPr>
          <w:trHeight w:val="230"/>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Apr. - Sep.</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Costless Collar</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2,000</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Brent</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ind w:left="193"/>
              <w:spacing w:after="0"/>
              <w:rPr>
                <w:sz w:val="20"/>
                <w:szCs w:val="20"/>
                <w:color w:val="auto"/>
              </w:rPr>
            </w:pPr>
            <w:r>
              <w:rPr>
                <w:rFonts w:ascii="Arial" w:cs="Arial" w:eastAsia="Arial" w:hAnsi="Arial"/>
                <w:sz w:val="18"/>
                <w:szCs w:val="18"/>
                <w:color w:val="auto"/>
                <w:w w:val="87"/>
              </w:rPr>
              <w:t>$50.00</w:t>
            </w:r>
          </w:p>
        </w:tc>
        <w:tc>
          <w:tcPr>
            <w:tcW w:w="1460" w:type="dxa"/>
            <w:vAlign w:val="bottom"/>
            <w:shd w:val="clear" w:color="auto" w:fill="CCEEFF"/>
          </w:tcPr>
          <w:p>
            <w:pPr>
              <w:jc w:val="center"/>
              <w:ind w:left="173"/>
              <w:spacing w:after="0"/>
              <w:rPr>
                <w:sz w:val="20"/>
                <w:szCs w:val="20"/>
                <w:color w:val="auto"/>
              </w:rPr>
            </w:pPr>
            <w:r>
              <w:rPr>
                <w:rFonts w:ascii="Arial" w:cs="Arial" w:eastAsia="Arial" w:hAnsi="Arial"/>
                <w:sz w:val="18"/>
                <w:szCs w:val="18"/>
                <w:color w:val="auto"/>
                <w:w w:val="87"/>
              </w:rPr>
              <w:t>$80.00</w:t>
            </w:r>
          </w:p>
        </w:tc>
        <w:tc>
          <w:tcPr>
            <w:tcW w:w="0" w:type="dxa"/>
            <w:vAlign w:val="bottom"/>
          </w:tcPr>
          <w:p>
            <w:pPr>
              <w:spacing w:after="0"/>
              <w:rPr>
                <w:sz w:val="1"/>
                <w:szCs w:val="1"/>
                <w:color w:val="auto"/>
              </w:rPr>
            </w:pPr>
          </w:p>
        </w:tc>
      </w:tr>
      <w:tr>
        <w:trPr>
          <w:trHeight w:val="229"/>
        </w:trPr>
        <w:tc>
          <w:tcPr>
            <w:tcW w:w="1160" w:type="dxa"/>
            <w:vAlign w:val="bottom"/>
          </w:tcPr>
          <w:p>
            <w:pPr>
              <w:jc w:val="center"/>
              <w:spacing w:after="0"/>
              <w:rPr>
                <w:sz w:val="20"/>
                <w:szCs w:val="20"/>
                <w:color w:val="auto"/>
              </w:rPr>
            </w:pPr>
            <w:r>
              <w:rPr>
                <w:rFonts w:ascii="Arial" w:cs="Arial" w:eastAsia="Arial" w:hAnsi="Arial"/>
                <w:sz w:val="18"/>
                <w:szCs w:val="18"/>
                <w:color w:val="auto"/>
                <w:w w:val="90"/>
              </w:rPr>
              <w:t>Apr. - Sep.</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Costless Collar</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2,000</w:t>
            </w:r>
          </w:p>
        </w:tc>
        <w:tc>
          <w:tcPr>
            <w:tcW w:w="1840" w:type="dxa"/>
            <w:vAlign w:val="bottom"/>
          </w:tcPr>
          <w:p>
            <w:pPr>
              <w:jc w:val="center"/>
              <w:spacing w:after="0"/>
              <w:rPr>
                <w:sz w:val="20"/>
                <w:szCs w:val="20"/>
                <w:color w:val="auto"/>
              </w:rPr>
            </w:pPr>
            <w:r>
              <w:rPr>
                <w:rFonts w:ascii="Arial" w:cs="Arial" w:eastAsia="Arial" w:hAnsi="Arial"/>
                <w:sz w:val="18"/>
                <w:szCs w:val="18"/>
                <w:color w:val="auto"/>
                <w:w w:val="94"/>
              </w:rPr>
              <w:t>Argus WTI Houston</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Pr>
          <w:p>
            <w:pPr>
              <w:jc w:val="center"/>
              <w:ind w:left="193"/>
              <w:spacing w:after="0"/>
              <w:rPr>
                <w:sz w:val="20"/>
                <w:szCs w:val="20"/>
                <w:color w:val="auto"/>
              </w:rPr>
            </w:pPr>
            <w:r>
              <w:rPr>
                <w:rFonts w:ascii="Arial" w:cs="Arial" w:eastAsia="Arial" w:hAnsi="Arial"/>
                <w:sz w:val="18"/>
                <w:szCs w:val="18"/>
                <w:color w:val="auto"/>
                <w:w w:val="87"/>
              </w:rPr>
              <w:t>$50.00</w:t>
            </w:r>
          </w:p>
        </w:tc>
        <w:tc>
          <w:tcPr>
            <w:tcW w:w="1460" w:type="dxa"/>
            <w:vAlign w:val="bottom"/>
          </w:tcPr>
          <w:p>
            <w:pPr>
              <w:jc w:val="center"/>
              <w:ind w:left="173"/>
              <w:spacing w:after="0"/>
              <w:rPr>
                <w:sz w:val="20"/>
                <w:szCs w:val="20"/>
                <w:color w:val="auto"/>
              </w:rPr>
            </w:pPr>
            <w:r>
              <w:rPr>
                <w:rFonts w:ascii="Arial" w:cs="Arial" w:eastAsia="Arial" w:hAnsi="Arial"/>
                <w:sz w:val="18"/>
                <w:szCs w:val="18"/>
                <w:color w:val="auto"/>
                <w:w w:val="87"/>
              </w:rPr>
              <w:t>$76.70</w:t>
            </w:r>
          </w:p>
        </w:tc>
        <w:tc>
          <w:tcPr>
            <w:tcW w:w="0" w:type="dxa"/>
            <w:vAlign w:val="bottom"/>
          </w:tcPr>
          <w:p>
            <w:pPr>
              <w:spacing w:after="0"/>
              <w:rPr>
                <w:sz w:val="1"/>
                <w:szCs w:val="1"/>
                <w:color w:val="auto"/>
              </w:rPr>
            </w:pPr>
          </w:p>
        </w:tc>
      </w:tr>
      <w:tr>
        <w:trPr>
          <w:trHeight w:val="229"/>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July - Sep.</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Costless Collar</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4,000</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Argus WTI Houston</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ind w:left="193"/>
              <w:spacing w:after="0"/>
              <w:rPr>
                <w:sz w:val="20"/>
                <w:szCs w:val="20"/>
                <w:color w:val="auto"/>
              </w:rPr>
            </w:pPr>
            <w:r>
              <w:rPr>
                <w:rFonts w:ascii="Arial" w:cs="Arial" w:eastAsia="Arial" w:hAnsi="Arial"/>
                <w:sz w:val="18"/>
                <w:szCs w:val="18"/>
                <w:color w:val="auto"/>
                <w:w w:val="87"/>
              </w:rPr>
              <w:t>$50.00</w:t>
            </w:r>
          </w:p>
        </w:tc>
        <w:tc>
          <w:tcPr>
            <w:tcW w:w="1460" w:type="dxa"/>
            <w:vAlign w:val="bottom"/>
            <w:shd w:val="clear" w:color="auto" w:fill="CCEEFF"/>
          </w:tcPr>
          <w:p>
            <w:pPr>
              <w:jc w:val="center"/>
              <w:ind w:left="173"/>
              <w:spacing w:after="0"/>
              <w:rPr>
                <w:sz w:val="20"/>
                <w:szCs w:val="20"/>
                <w:color w:val="auto"/>
              </w:rPr>
            </w:pPr>
            <w:r>
              <w:rPr>
                <w:rFonts w:ascii="Arial" w:cs="Arial" w:eastAsia="Arial" w:hAnsi="Arial"/>
                <w:sz w:val="18"/>
                <w:szCs w:val="18"/>
                <w:color w:val="auto"/>
                <w:w w:val="87"/>
              </w:rPr>
              <w:t>$75.00</w:t>
            </w:r>
          </w:p>
        </w:tc>
        <w:tc>
          <w:tcPr>
            <w:tcW w:w="0" w:type="dxa"/>
            <w:vAlign w:val="bottom"/>
          </w:tcPr>
          <w:p>
            <w:pPr>
              <w:spacing w:after="0"/>
              <w:rPr>
                <w:sz w:val="1"/>
                <w:szCs w:val="1"/>
                <w:color w:val="auto"/>
              </w:rPr>
            </w:pPr>
          </w:p>
        </w:tc>
      </w:tr>
      <w:tr>
        <w:trPr>
          <w:trHeight w:val="230"/>
        </w:trPr>
        <w:tc>
          <w:tcPr>
            <w:tcW w:w="1160" w:type="dxa"/>
            <w:vAlign w:val="bottom"/>
          </w:tcPr>
          <w:p>
            <w:pPr>
              <w:jc w:val="center"/>
              <w:spacing w:after="0"/>
              <w:rPr>
                <w:sz w:val="20"/>
                <w:szCs w:val="20"/>
                <w:color w:val="auto"/>
              </w:rPr>
            </w:pPr>
            <w:r>
              <w:rPr>
                <w:rFonts w:ascii="Arial" w:cs="Arial" w:eastAsia="Arial" w:hAnsi="Arial"/>
                <w:sz w:val="18"/>
                <w:szCs w:val="18"/>
                <w:color w:val="auto"/>
                <w:w w:val="94"/>
              </w:rPr>
              <w:t>July - Dec.</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Swaption</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8,250</w:t>
            </w: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Brent</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$68.62</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Pr>
          <w:p>
            <w:pPr>
              <w:jc w:val="center"/>
              <w:ind w:left="193"/>
              <w:spacing w:after="0"/>
              <w:rPr>
                <w:sz w:val="20"/>
                <w:szCs w:val="20"/>
                <w:color w:val="auto"/>
              </w:rPr>
            </w:pPr>
            <w:r>
              <w:rPr>
                <w:rFonts w:ascii="Arial" w:cs="Arial" w:eastAsia="Arial" w:hAnsi="Arial"/>
                <w:sz w:val="18"/>
                <w:szCs w:val="18"/>
                <w:color w:val="auto"/>
                <w:w w:val="99"/>
              </w:rPr>
              <w:t>$—</w:t>
            </w:r>
          </w:p>
        </w:tc>
        <w:tc>
          <w:tcPr>
            <w:tcW w:w="1460" w:type="dxa"/>
            <w:vAlign w:val="bottom"/>
          </w:tcPr>
          <w:p>
            <w:pPr>
              <w:jc w:val="center"/>
              <w:ind w:left="17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July - Sept.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Collar</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2,000</w:t>
            </w:r>
          </w:p>
        </w:tc>
        <w:tc>
          <w:tcPr>
            <w:tcW w:w="1840" w:type="dxa"/>
            <w:vAlign w:val="bottom"/>
            <w:shd w:val="clear" w:color="auto" w:fill="CCEEFF"/>
          </w:tcPr>
          <w:p>
            <w:pPr>
              <w:jc w:val="center"/>
              <w:ind w:right="11"/>
              <w:spacing w:after="0"/>
              <w:rPr>
                <w:sz w:val="20"/>
                <w:szCs w:val="20"/>
                <w:color w:val="auto"/>
              </w:rPr>
            </w:pPr>
            <w:r>
              <w:rPr>
                <w:rFonts w:ascii="Arial" w:cs="Arial" w:eastAsia="Arial" w:hAnsi="Arial"/>
                <w:sz w:val="18"/>
                <w:szCs w:val="18"/>
                <w:color w:val="auto"/>
                <w:w w:val="94"/>
              </w:rPr>
              <w:t>WTI Cushing</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ind w:left="193"/>
              <w:spacing w:after="0"/>
              <w:rPr>
                <w:sz w:val="20"/>
                <w:szCs w:val="20"/>
                <w:color w:val="auto"/>
              </w:rPr>
            </w:pPr>
            <w:r>
              <w:rPr>
                <w:rFonts w:ascii="Arial" w:cs="Arial" w:eastAsia="Arial" w:hAnsi="Arial"/>
                <w:sz w:val="18"/>
                <w:szCs w:val="18"/>
                <w:color w:val="auto"/>
                <w:w w:val="87"/>
              </w:rPr>
              <w:t>$45.00</w:t>
            </w:r>
          </w:p>
        </w:tc>
        <w:tc>
          <w:tcPr>
            <w:tcW w:w="1460" w:type="dxa"/>
            <w:vAlign w:val="bottom"/>
            <w:shd w:val="clear" w:color="auto" w:fill="CCEEFF"/>
          </w:tcPr>
          <w:p>
            <w:pPr>
              <w:jc w:val="center"/>
              <w:ind w:left="173"/>
              <w:spacing w:after="0"/>
              <w:rPr>
                <w:sz w:val="20"/>
                <w:szCs w:val="20"/>
                <w:color w:val="auto"/>
              </w:rPr>
            </w:pPr>
            <w:r>
              <w:rPr>
                <w:rFonts w:ascii="Arial" w:cs="Arial" w:eastAsia="Arial" w:hAnsi="Arial"/>
                <w:sz w:val="18"/>
                <w:szCs w:val="18"/>
                <w:color w:val="auto"/>
                <w:w w:val="87"/>
              </w:rPr>
              <w:t>$95.30</w:t>
            </w:r>
          </w:p>
        </w:tc>
        <w:tc>
          <w:tcPr>
            <w:tcW w:w="0" w:type="dxa"/>
            <w:vAlign w:val="bottom"/>
          </w:tcPr>
          <w:p>
            <w:pPr>
              <w:spacing w:after="0"/>
              <w:rPr>
                <w:sz w:val="1"/>
                <w:szCs w:val="1"/>
                <w:color w:val="auto"/>
              </w:rPr>
            </w:pPr>
          </w:p>
        </w:tc>
      </w:tr>
      <w:tr>
        <w:trPr>
          <w:trHeight w:val="230"/>
        </w:trPr>
        <w:tc>
          <w:tcPr>
            <w:tcW w:w="1160" w:type="dxa"/>
            <w:vAlign w:val="bottom"/>
          </w:tcPr>
          <w:p>
            <w:pPr>
              <w:jc w:val="center"/>
              <w:spacing w:after="0"/>
              <w:rPr>
                <w:sz w:val="20"/>
                <w:szCs w:val="20"/>
                <w:color w:val="auto"/>
              </w:rPr>
            </w:pPr>
            <w:r>
              <w:rPr>
                <w:rFonts w:ascii="Arial" w:cs="Arial" w:eastAsia="Arial" w:hAnsi="Arial"/>
                <w:sz w:val="18"/>
                <w:szCs w:val="18"/>
                <w:color w:val="auto"/>
                <w:w w:val="88"/>
              </w:rPr>
              <w:t>July - Sept.</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400" w:type="dxa"/>
            <w:vAlign w:val="bottom"/>
          </w:tcPr>
          <w:p>
            <w:pPr>
              <w:jc w:val="center"/>
              <w:spacing w:after="0"/>
              <w:rPr>
                <w:sz w:val="20"/>
                <w:szCs w:val="20"/>
                <w:color w:val="auto"/>
              </w:rPr>
            </w:pPr>
            <w:r>
              <w:rPr>
                <w:rFonts w:ascii="Arial" w:cs="Arial" w:eastAsia="Arial" w:hAnsi="Arial"/>
                <w:sz w:val="18"/>
                <w:szCs w:val="18"/>
                <w:color w:val="auto"/>
                <w:w w:val="96"/>
              </w:rPr>
              <w:t>Call</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2,000</w:t>
            </w:r>
          </w:p>
        </w:tc>
        <w:tc>
          <w:tcPr>
            <w:tcW w:w="1840" w:type="dxa"/>
            <w:vAlign w:val="bottom"/>
          </w:tcPr>
          <w:p>
            <w:pPr>
              <w:jc w:val="center"/>
              <w:ind w:right="11"/>
              <w:spacing w:after="0"/>
              <w:rPr>
                <w:sz w:val="20"/>
                <w:szCs w:val="20"/>
                <w:color w:val="auto"/>
              </w:rPr>
            </w:pPr>
            <w:r>
              <w:rPr>
                <w:rFonts w:ascii="Arial" w:cs="Arial" w:eastAsia="Arial" w:hAnsi="Arial"/>
                <w:sz w:val="18"/>
                <w:szCs w:val="18"/>
                <w:color w:val="auto"/>
                <w:w w:val="94"/>
              </w:rPr>
              <w:t>WTI Cushing</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$90.00</w:t>
            </w:r>
          </w:p>
        </w:tc>
        <w:tc>
          <w:tcPr>
            <w:tcW w:w="960" w:type="dxa"/>
            <w:vAlign w:val="bottom"/>
          </w:tcPr>
          <w:p>
            <w:pPr>
              <w:jc w:val="center"/>
              <w:ind w:left="193"/>
              <w:spacing w:after="0"/>
              <w:rPr>
                <w:sz w:val="20"/>
                <w:szCs w:val="20"/>
                <w:color w:val="auto"/>
              </w:rPr>
            </w:pPr>
            <w:r>
              <w:rPr>
                <w:rFonts w:ascii="Arial" w:cs="Arial" w:eastAsia="Arial" w:hAnsi="Arial"/>
                <w:sz w:val="18"/>
                <w:szCs w:val="18"/>
                <w:color w:val="auto"/>
                <w:w w:val="99"/>
              </w:rPr>
              <w:t>$—</w:t>
            </w:r>
          </w:p>
        </w:tc>
        <w:tc>
          <w:tcPr>
            <w:tcW w:w="1460" w:type="dxa"/>
            <w:vAlign w:val="bottom"/>
          </w:tcPr>
          <w:p>
            <w:pPr>
              <w:jc w:val="center"/>
              <w:ind w:left="17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second quarter of 2021, the Company entered into two interest rate swap agreements for notional amounts of $600 million, which were designated as fair value hedges of the Company’s $1.2 billion 3.50% fixed rate senior notes due 2029 (the “2029 Notes”) at inception. The Company receives a fixed 3.50% rate of interest on these swaps and pays an average variable rate of interest based on three month LIBOR plus 2.1865%, thereby limiting its exposure to changes in the fair value of debt due to movements in LIBOR interest rates. Under hedge accounting, these interest rate swaps were considered perfectly effective and gains and losses due to changes in the fair value of the interest rate swaps were completely offset by changes in the fair value of the hedged portion of the 2029 Notes in the condensed consolidated statements of operations.</w:t>
      </w:r>
    </w:p>
    <w:p>
      <w:pPr>
        <w:spacing w:after="0" w:line="20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the second quarter of 2022, the Company elected to fully dedesignate these interest rate swaps and hedge accounting was discontinued. The cumulative fair value basis adjustment recorded on the 2029 Notes at the time of dedesignation totaled $135 million. This basis adjustment is being amortized to interest expense over the remaining term of the 2029 Notes utilizing the effective interest method. The dedesignated interest rate swaps are considered economic hedges of the Company’s fixed-rate debt. As such, changes in the fair value of the interest rate swaps after the date of dedesignation have been recorded in earnings under the caption “Gain (loss) on derivative instruments, net” in the condensed consolidated statements of operations.</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the first quarter of 2021, the Company used interest rate swaps to reduce its exposure to variable rate interest payments associated with the Company’s revolving credit facility. These interest rate swaps were not designated as hedging instruments and as a result, the Company recognized all changes in fair value immediately in earnings. During the first quarter of 2021, the Company terminated all of its previously outstanding interest rate swaps which resulted in cash received upon settlement of $80 million, net of fees, during the nine months ended September 30, 2021. The interest swaps contained an other-than-insignificant financing element at inception, and therefore, the cash receipts were classified as cash flows from financing activities in the condensed consolidated statements of cash flow for the nine months ended September 30, 2021.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Offsetting of Derivative Assets and Liabilities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 of derivative instruments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See Note 12—</w:t>
      </w:r>
      <w:r>
        <w:rPr>
          <w:rFonts w:ascii="Arial" w:cs="Arial" w:eastAsia="Arial" w:hAnsi="Arial"/>
          <w:sz w:val="18"/>
          <w:szCs w:val="18"/>
          <w:u w:val="single" w:color="auto"/>
          <w:color w:val="0000FF"/>
        </w:rPr>
        <w:t>Fair Value Measurements</w:t>
      </w:r>
      <w:r>
        <w:rPr>
          <w:rFonts w:ascii="Arial" w:cs="Arial" w:eastAsia="Arial" w:hAnsi="Arial"/>
          <w:sz w:val="18"/>
          <w:szCs w:val="18"/>
          <w:color w:val="auto"/>
        </w:rPr>
        <w:t xml:space="preserve"> for further details.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Gains and Losses on Derivative Instruments</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the gains and losses on derivative instruments not designated as hedging instruments included in the condensed consolidated statements of operations: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60" w:type="dxa"/>
            <w:vAlign w:val="bottom"/>
          </w:tcPr>
          <w:p>
            <w:pPr>
              <w:spacing w:after="0"/>
              <w:rPr>
                <w:sz w:val="18"/>
                <w:szCs w:val="18"/>
                <w:color w:val="auto"/>
              </w:rPr>
            </w:pPr>
          </w:p>
        </w:tc>
        <w:tc>
          <w:tcPr>
            <w:tcW w:w="2680" w:type="dxa"/>
            <w:vAlign w:val="bottom"/>
            <w:gridSpan w:val="6"/>
          </w:tcPr>
          <w:p>
            <w:pPr>
              <w:ind w:left="40"/>
              <w:spacing w:after="0"/>
              <w:rPr>
                <w:sz w:val="20"/>
                <w:szCs w:val="20"/>
                <w:color w:val="auto"/>
              </w:rPr>
            </w:pPr>
            <w:r>
              <w:rPr>
                <w:rFonts w:ascii="Arial" w:cs="Arial" w:eastAsia="Arial" w:hAnsi="Arial"/>
                <w:sz w:val="16"/>
                <w:szCs w:val="16"/>
                <w:b w:val="1"/>
                <w:bCs w:val="1"/>
                <w:color w:val="auto"/>
                <w:w w:val="96"/>
              </w:rPr>
              <w:t>Three Months Ended September 30,</w:t>
            </w:r>
          </w:p>
        </w:tc>
        <w:tc>
          <w:tcPr>
            <w:tcW w:w="2600" w:type="dxa"/>
            <w:vAlign w:val="bottom"/>
            <w:gridSpan w:val="5"/>
          </w:tcPr>
          <w:p>
            <w:pPr>
              <w:jc w:val="right"/>
              <w:ind w:right="11"/>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210"/>
        </w:trPr>
        <w:tc>
          <w:tcPr>
            <w:tcW w:w="5960" w:type="dxa"/>
            <w:vAlign w:val="bottom"/>
          </w:tcPr>
          <w:p>
            <w:pPr>
              <w:spacing w:after="0"/>
              <w:rPr>
                <w:sz w:val="18"/>
                <w:szCs w:val="18"/>
                <w:color w:val="auto"/>
              </w:rPr>
            </w:pPr>
          </w:p>
        </w:tc>
        <w:tc>
          <w:tcPr>
            <w:tcW w:w="8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w w:val="95"/>
              </w:rPr>
              <w:t>2022</w:t>
            </w: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2021</w:t>
            </w:r>
          </w:p>
        </w:tc>
      </w:tr>
      <w:tr>
        <w:trPr>
          <w:trHeight w:val="210"/>
        </w:trPr>
        <w:tc>
          <w:tcPr>
            <w:tcW w:w="5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2"/>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derivative instruments, net:</w:t>
            </w:r>
          </w:p>
        </w:tc>
        <w:tc>
          <w:tcPr>
            <w:tcW w:w="8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9"/>
        </w:trPr>
        <w:tc>
          <w:tcPr>
            <w:tcW w:w="5960" w:type="dxa"/>
            <w:vAlign w:val="bottom"/>
          </w:tcPr>
          <w:p>
            <w:pPr>
              <w:ind w:left="220"/>
              <w:spacing w:after="0"/>
              <w:rPr>
                <w:sz w:val="20"/>
                <w:szCs w:val="20"/>
                <w:color w:val="auto"/>
              </w:rPr>
            </w:pPr>
            <w:r>
              <w:rPr>
                <w:rFonts w:ascii="Arial" w:cs="Arial" w:eastAsia="Arial" w:hAnsi="Arial"/>
                <w:sz w:val="18"/>
                <w:szCs w:val="18"/>
                <w:color w:val="auto"/>
              </w:rPr>
              <w:t>Commodity contracts</w:t>
            </w:r>
          </w:p>
        </w:tc>
        <w:tc>
          <w:tcPr>
            <w:tcW w:w="860" w:type="dxa"/>
            <w:vAlign w:val="bottom"/>
          </w:tcPr>
          <w:p>
            <w:pPr>
              <w:ind w:left="20"/>
              <w:spacing w:after="0"/>
              <w:rPr>
                <w:sz w:val="20"/>
                <w:szCs w:val="20"/>
                <w:color w:val="auto"/>
              </w:rPr>
            </w:pPr>
            <w:r>
              <w:rPr>
                <w:rFonts w:ascii="Arial" w:cs="Arial" w:eastAsia="Arial" w:hAnsi="Arial"/>
                <w:sz w:val="18"/>
                <w:szCs w:val="18"/>
                <w:color w:val="auto"/>
              </w:rPr>
              <w:t>$</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(1,025)</w:t>
            </w:r>
          </w:p>
        </w:tc>
      </w:tr>
      <w:tr>
        <w:trPr>
          <w:trHeight w:val="230"/>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 swaps</w:t>
            </w: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23"/>
        </w:trPr>
        <w:tc>
          <w:tcPr>
            <w:tcW w:w="5960" w:type="dxa"/>
            <w:vAlign w:val="bottom"/>
          </w:tcPr>
          <w:p>
            <w:pPr>
              <w:ind w:left="480"/>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3"/>
              </w:rPr>
              <w:t>(24)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(895)</w:t>
            </w: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59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Net cash received (paid) on settlements:</w:t>
            </w: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9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Commodity contracts</w:t>
            </w:r>
            <w:r>
              <w:rPr>
                <w:rFonts w:ascii="Arial" w:cs="Arial" w:eastAsia="Arial" w:hAnsi="Arial"/>
                <w:sz w:val="23"/>
                <w:szCs w:val="23"/>
                <w:color w:val="auto"/>
                <w:vertAlign w:val="superscript"/>
              </w:rPr>
              <w:t>(1)(2)</w:t>
            </w:r>
          </w:p>
        </w:tc>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r>
      <w:tr>
        <w:trPr>
          <w:trHeight w:val="229"/>
        </w:trPr>
        <w:tc>
          <w:tcPr>
            <w:tcW w:w="5960" w:type="dxa"/>
            <w:vAlign w:val="bottom"/>
          </w:tcPr>
          <w:p>
            <w:pPr>
              <w:ind w:left="220"/>
              <w:spacing w:after="0" w:line="230" w:lineRule="exact"/>
              <w:rPr>
                <w:sz w:val="20"/>
                <w:szCs w:val="20"/>
                <w:color w:val="auto"/>
              </w:rPr>
            </w:pPr>
            <w:r>
              <w:rPr>
                <w:rFonts w:ascii="Arial" w:cs="Arial" w:eastAsia="Arial" w:hAnsi="Arial"/>
                <w:sz w:val="18"/>
                <w:szCs w:val="18"/>
                <w:color w:val="auto"/>
              </w:rPr>
              <w:t>Interest rate swaps</w:t>
            </w:r>
            <w:r>
              <w:rPr>
                <w:rFonts w:ascii="Arial" w:cs="Arial" w:eastAsia="Arial" w:hAnsi="Arial"/>
                <w:sz w:val="23"/>
                <w:szCs w:val="23"/>
                <w:color w:val="auto"/>
                <w:vertAlign w:val="superscript"/>
              </w:rPr>
              <w:t>(3)</w:t>
            </w:r>
          </w:p>
        </w:tc>
        <w:tc>
          <w:tcPr>
            <w:tcW w:w="860" w:type="dxa"/>
            <w:vAlign w:val="bottom"/>
          </w:tcPr>
          <w:p>
            <w:pPr>
              <w:spacing w:after="0"/>
              <w:rPr>
                <w:sz w:val="19"/>
                <w:szCs w:val="19"/>
                <w:color w:val="auto"/>
              </w:rPr>
            </w:pPr>
          </w:p>
        </w:tc>
        <w:tc>
          <w:tcPr>
            <w:tcW w:w="4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48"/>
        </w:trPr>
        <w:tc>
          <w:tcPr>
            <w:tcW w:w="596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hanging="332"/>
        <w:spacing w:after="0" w:line="258" w:lineRule="auto"/>
        <w:tabs>
          <w:tab w:leader="none" w:pos="33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three and nine months ended September 30, 2022 includes cash paid on commodity contracts terminated prior to their contractual maturity of $3 million and $138 million, respectively.</w:t>
      </w:r>
    </w:p>
    <w:p>
      <w:pPr>
        <w:spacing w:after="0" w:line="1" w:lineRule="exact"/>
        <w:rPr>
          <w:rFonts w:ascii="Arial" w:cs="Arial" w:eastAsia="Arial" w:hAnsi="Arial"/>
          <w:sz w:val="18"/>
          <w:szCs w:val="18"/>
          <w:color w:val="auto"/>
        </w:rPr>
      </w:pPr>
    </w:p>
    <w:p>
      <w:pPr>
        <w:ind w:left="340" w:hanging="332"/>
        <w:spacing w:after="0" w:line="250" w:lineRule="auto"/>
        <w:tabs>
          <w:tab w:leader="none" w:pos="33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three and nine months ended September 30, 2021 include cash paid on commodity contracts terminated prior to their contractual maturity of $16 million.</w:t>
      </w:r>
    </w:p>
    <w:p>
      <w:pPr>
        <w:ind w:left="340" w:hanging="332"/>
        <w:spacing w:after="0" w:line="260" w:lineRule="auto"/>
        <w:tabs>
          <w:tab w:leader="none" w:pos="33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nine months ended September 30, 2021 includes cash received on interest rate swap contracts terminated prior to their contractual maturity of $80 million.</w:t>
      </w:r>
    </w:p>
    <w:p>
      <w:pPr>
        <w:spacing w:after="0" w:line="20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FAIR VALUE MEASUREMENTS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fair value hierarchy is based on three levels of inputs, of which the first two are considered observable and the last unobservable, that may be used to measure fair value. The Company’s assessment of the significance of a particular input to the fair value measurements requires judgment and may affect the valuation of the assets and liabilities being measured and their placement within the fair value hierarchy. The Company uses appropriate valuation techniques based on available inputs to measure the fair values of its assets and liabilities.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1 - Observable inputs that reflect unadjusted quoted prices for identical assets or liabilities in active markets as of the reporting date.</w:t>
      </w:r>
    </w:p>
    <w:p>
      <w:pPr>
        <w:spacing w:after="0" w:line="26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2 - Observable market-based inputs or unobservable inputs that are corroborated by market data. These are inputs other than quoted prices in active markets included in Level 1, which are either directly or indirectly observable as of the reporting date.</w:t>
      </w:r>
    </w:p>
    <w:p>
      <w:pPr>
        <w:spacing w:after="0" w:line="19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3 - Unobservable inputs that are not corroborated by market data and may be used with internally developed methodologies that result in management’s best estimate of fair value.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 and liabilities are classified based on the lowest level of input that is significant to the fair value measurement.</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See Note 4—</w:t>
      </w:r>
      <w:r>
        <w:rPr>
          <w:rFonts w:ascii="Arial" w:cs="Arial" w:eastAsia="Arial" w:hAnsi="Arial"/>
          <w:sz w:val="18"/>
          <w:szCs w:val="18"/>
          <w:u w:val="single" w:color="auto"/>
          <w:color w:val="0000FF"/>
        </w:rPr>
        <w:t>Acquisitions and Divestitures</w:t>
      </w:r>
      <w:r>
        <w:rPr>
          <w:rFonts w:ascii="Arial" w:cs="Arial" w:eastAsia="Arial" w:hAnsi="Arial"/>
          <w:sz w:val="18"/>
          <w:szCs w:val="18"/>
          <w:color w:val="auto"/>
        </w:rPr>
        <w:t xml:space="preserve"> for discussion of the fair values of proved oil and natural gas properties assumed in business combinations.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Certain assets and liabilities are reported at fair value on a recurring basis, including the Company’s commodity derivative instruments and interest rate swaps. The fair values of the Company’s commodity derivative contracts are measured internally using established commodity futures price strips for the underlying commodity provided by a reputable third party, the contracted notional volumes, and time to maturity. The fair values of the Company’s interest rate swaps designated as fair value hedges and those that are not designated as hedges are determined based on inputs that are readily available in public markets, can be derived from information available in publicly quoted markets, or are provided by financial institutions that trade these contracts. These valuations are Level 2 inputs. The fair value of interest rate swaps is recorded as an asset or liability on the condensed consolidated balance sheet. At December 31, 2021, the net change in fair value of the Company’s interest rate swaps designated as hedges were offset by the change in value of the hedged item, long-term debt, within the condensed consolidated balance sheet.</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 fair value measurement information for financial assets and liabilities measured at fair value on a recurring basis,</w:t>
      </w:r>
    </w:p>
    <w:p>
      <w:pPr>
        <w:spacing w:after="0" w:line="46" w:lineRule="exact"/>
        <w:rPr>
          <w:sz w:val="20"/>
          <w:szCs w:val="20"/>
          <w:color w:val="auto"/>
        </w:rPr>
      </w:pPr>
    </w:p>
    <w:p>
      <w:pPr>
        <w:jc w:val="both"/>
        <w:ind w:firstLine="8"/>
        <w:spacing w:after="0" w:line="253" w:lineRule="auto"/>
        <w:tabs>
          <w:tab w:leader="none" w:pos="26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gross amounts of recognized derivative assets and liabilities, (iii) the amounts offset under master netting arrangements with counterparties, and (iv) the resulting net amounts presented under the captions “Derivative instruments” in the Company’s condensed consolidated balance sheets as of September 30, 2022 and December 31, 2021. The net amounts of derivative instruments are classified as current or noncurrent based on their anticipated settlement dates.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4"/>
          </w:tcPr>
          <w:p>
            <w:pPr>
              <w:jc w:val="center"/>
              <w:ind w:right="595"/>
              <w:spacing w:after="0"/>
              <w:rPr>
                <w:sz w:val="20"/>
                <w:szCs w:val="20"/>
                <w:color w:val="auto"/>
              </w:rPr>
            </w:pPr>
            <w:r>
              <w:rPr>
                <w:rFonts w:ascii="Arial" w:cs="Arial" w:eastAsia="Arial" w:hAnsi="Arial"/>
                <w:sz w:val="16"/>
                <w:szCs w:val="16"/>
                <w:b w:val="1"/>
                <w:bCs w:val="1"/>
                <w:color w:val="auto"/>
                <w:w w:val="90"/>
              </w:rPr>
              <w:t>As of September 30, 2022</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gridSpan w:val="2"/>
            <w:vMerge w:val="restart"/>
          </w:tcPr>
          <w:p>
            <w:pPr>
              <w:jc w:val="center"/>
              <w:ind w:left="755"/>
              <w:spacing w:after="0"/>
              <w:rPr>
                <w:sz w:val="20"/>
                <w:szCs w:val="20"/>
                <w:color w:val="auto"/>
              </w:rPr>
            </w:pPr>
            <w:r>
              <w:rPr>
                <w:rFonts w:ascii="Arial" w:cs="Arial" w:eastAsia="Arial" w:hAnsi="Arial"/>
                <w:sz w:val="16"/>
                <w:szCs w:val="16"/>
                <w:b w:val="1"/>
                <w:bCs w:val="1"/>
                <w:color w:val="auto"/>
                <w:w w:val="92"/>
              </w:rPr>
              <w:t>Total Gross Fair</w:t>
            </w:r>
          </w:p>
        </w:tc>
        <w:tc>
          <w:tcPr>
            <w:tcW w:w="140" w:type="dxa"/>
            <w:vAlign w:val="bottom"/>
          </w:tcPr>
          <w:p>
            <w:pPr>
              <w:spacing w:after="0"/>
              <w:rPr>
                <w:sz w:val="13"/>
                <w:szCs w:val="13"/>
                <w:color w:val="auto"/>
              </w:rPr>
            </w:pPr>
          </w:p>
        </w:tc>
        <w:tc>
          <w:tcPr>
            <w:tcW w:w="1400" w:type="dxa"/>
            <w:vAlign w:val="bottom"/>
          </w:tcPr>
          <w:p>
            <w:pPr>
              <w:jc w:val="center"/>
              <w:ind w:right="55"/>
              <w:spacing w:after="0" w:line="158" w:lineRule="exact"/>
              <w:rPr>
                <w:sz w:val="20"/>
                <w:szCs w:val="20"/>
                <w:color w:val="auto"/>
              </w:rPr>
            </w:pPr>
            <w:r>
              <w:rPr>
                <w:rFonts w:ascii="Arial" w:cs="Arial" w:eastAsia="Arial" w:hAnsi="Arial"/>
                <w:sz w:val="16"/>
                <w:szCs w:val="16"/>
                <w:b w:val="1"/>
                <w:bCs w:val="1"/>
                <w:color w:val="auto"/>
                <w:w w:val="88"/>
              </w:rPr>
              <w:t>Gross Amounts</w:t>
            </w:r>
          </w:p>
        </w:tc>
        <w:tc>
          <w:tcPr>
            <w:tcW w:w="180" w:type="dxa"/>
            <w:vAlign w:val="bottom"/>
          </w:tcPr>
          <w:p>
            <w:pPr>
              <w:spacing w:after="0"/>
              <w:rPr>
                <w:sz w:val="13"/>
                <w:szCs w:val="13"/>
                <w:color w:val="auto"/>
              </w:rPr>
            </w:pPr>
          </w:p>
        </w:tc>
        <w:tc>
          <w:tcPr>
            <w:tcW w:w="1340" w:type="dxa"/>
            <w:vAlign w:val="bottom"/>
          </w:tcPr>
          <w:p>
            <w:pPr>
              <w:jc w:val="center"/>
              <w:ind w:right="95"/>
              <w:spacing w:after="0" w:line="158" w:lineRule="exact"/>
              <w:rPr>
                <w:sz w:val="20"/>
                <w:szCs w:val="20"/>
                <w:color w:val="auto"/>
              </w:rPr>
            </w:pPr>
            <w:r>
              <w:rPr>
                <w:rFonts w:ascii="Arial" w:cs="Arial" w:eastAsia="Arial" w:hAnsi="Arial"/>
                <w:sz w:val="16"/>
                <w:szCs w:val="16"/>
                <w:b w:val="1"/>
                <w:bCs w:val="1"/>
                <w:color w:val="auto"/>
                <w:w w:val="93"/>
              </w:rPr>
              <w:t>Net Fair Value</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Level 1</w:t>
            </w:r>
          </w:p>
        </w:tc>
        <w:tc>
          <w:tcPr>
            <w:tcW w:w="800" w:type="dxa"/>
            <w:vAlign w:val="bottom"/>
            <w:vMerge w:val="restart"/>
          </w:tcPr>
          <w:p>
            <w:pPr>
              <w:jc w:val="right"/>
              <w:ind w:right="134"/>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center"/>
              <w:ind w:right="55"/>
              <w:spacing w:after="0" w:line="162" w:lineRule="exact"/>
              <w:rPr>
                <w:sz w:val="20"/>
                <w:szCs w:val="20"/>
                <w:color w:val="auto"/>
              </w:rPr>
            </w:pPr>
            <w:r>
              <w:rPr>
                <w:rFonts w:ascii="Arial" w:cs="Arial" w:eastAsia="Arial" w:hAnsi="Arial"/>
                <w:sz w:val="16"/>
                <w:szCs w:val="16"/>
                <w:b w:val="1"/>
                <w:bCs w:val="1"/>
                <w:color w:val="auto"/>
                <w:w w:val="90"/>
              </w:rPr>
              <w:t>Offset in Balance</w:t>
            </w:r>
          </w:p>
        </w:tc>
        <w:tc>
          <w:tcPr>
            <w:tcW w:w="152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88"/>
              </w:rPr>
              <w:t>Presented in Balance</w:t>
            </w:r>
          </w:p>
        </w:tc>
        <w:tc>
          <w:tcPr>
            <w:tcW w:w="0" w:type="dxa"/>
            <w:vAlign w:val="bottom"/>
          </w:tcPr>
          <w:p>
            <w:pPr>
              <w:spacing w:after="0"/>
              <w:rPr>
                <w:sz w:val="1"/>
                <w:szCs w:val="1"/>
                <w:color w:val="auto"/>
              </w:rPr>
            </w:pPr>
          </w:p>
        </w:tc>
      </w:tr>
      <w:tr>
        <w:trPr>
          <w:trHeight w:val="213"/>
        </w:trPr>
        <w:tc>
          <w:tcPr>
            <w:tcW w:w="39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Level 3</w:t>
            </w:r>
          </w:p>
        </w:tc>
        <w:tc>
          <w:tcPr>
            <w:tcW w:w="1040" w:type="dxa"/>
            <w:vAlign w:val="bottom"/>
            <w:tcBorders>
              <w:bottom w:val="single" w:sz="8" w:color="auto"/>
            </w:tcBorders>
          </w:tcPr>
          <w:p>
            <w:pPr>
              <w:jc w:val="center"/>
              <w:ind w:right="55"/>
              <w:spacing w:after="0"/>
              <w:rPr>
                <w:sz w:val="20"/>
                <w:szCs w:val="20"/>
                <w:color w:val="auto"/>
              </w:rPr>
            </w:pPr>
            <w:r>
              <w:rPr>
                <w:rFonts w:ascii="Arial" w:cs="Arial" w:eastAsia="Arial" w:hAnsi="Arial"/>
                <w:sz w:val="16"/>
                <w:szCs w:val="16"/>
                <w:b w:val="1"/>
                <w:bCs w:val="1"/>
                <w:color w:val="auto"/>
                <w:w w:val="88"/>
              </w:rPr>
              <w:t>Value</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55"/>
              <w:spacing w:after="0"/>
              <w:rPr>
                <w:sz w:val="20"/>
                <w:szCs w:val="20"/>
                <w:color w:val="auto"/>
              </w:rPr>
            </w:pPr>
            <w:r>
              <w:rPr>
                <w:rFonts w:ascii="Arial" w:cs="Arial" w:eastAsia="Arial" w:hAnsi="Arial"/>
                <w:sz w:val="16"/>
                <w:szCs w:val="16"/>
                <w:b w:val="1"/>
                <w:bCs w:val="1"/>
                <w:color w:val="auto"/>
                <w:w w:val="87"/>
              </w:rPr>
              <w:t>Sheet</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15"/>
              <w:spacing w:after="0"/>
              <w:rPr>
                <w:sz w:val="20"/>
                <w:szCs w:val="20"/>
                <w:color w:val="auto"/>
              </w:rPr>
            </w:pPr>
            <w:r>
              <w:rPr>
                <w:rFonts w:ascii="Arial" w:cs="Arial" w:eastAsia="Arial" w:hAnsi="Arial"/>
                <w:sz w:val="16"/>
                <w:szCs w:val="16"/>
                <w:b w:val="1"/>
                <w:bCs w:val="1"/>
                <w:color w:val="auto"/>
                <w:w w:val="87"/>
              </w:rPr>
              <w:t>Sheet</w:t>
            </w:r>
          </w:p>
        </w:tc>
        <w:tc>
          <w:tcPr>
            <w:tcW w:w="0" w:type="dxa"/>
            <w:vAlign w:val="bottom"/>
          </w:tcPr>
          <w:p>
            <w:pPr>
              <w:spacing w:after="0"/>
              <w:rPr>
                <w:sz w:val="1"/>
                <w:szCs w:val="1"/>
                <w:color w:val="auto"/>
              </w:rPr>
            </w:pPr>
          </w:p>
        </w:tc>
      </w:tr>
      <w:tr>
        <w:trPr>
          <w:trHeight w:val="209"/>
        </w:trPr>
        <w:tc>
          <w:tcPr>
            <w:tcW w:w="3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jc w:val="center"/>
              <w:ind w:right="55"/>
              <w:spacing w:after="0"/>
              <w:rPr>
                <w:sz w:val="20"/>
                <w:szCs w:val="20"/>
                <w:color w:val="auto"/>
              </w:rPr>
            </w:pPr>
            <w:r>
              <w:rPr>
                <w:rFonts w:ascii="Arial" w:cs="Arial" w:eastAsia="Arial" w:hAnsi="Arial"/>
                <w:sz w:val="16"/>
                <w:szCs w:val="16"/>
                <w:b w:val="1"/>
                <w:bCs w:val="1"/>
                <w:color w:val="auto"/>
                <w:w w:val="95"/>
              </w:rPr>
              <w:t>(In millions)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940" w:type="dxa"/>
            <w:vAlign w:val="bottom"/>
          </w:tcPr>
          <w:p>
            <w:pPr>
              <w:ind w:left="220"/>
              <w:spacing w:after="0"/>
              <w:rPr>
                <w:sz w:val="20"/>
                <w:szCs w:val="20"/>
                <w:color w:val="auto"/>
              </w:rPr>
            </w:pPr>
            <w:r>
              <w:rPr>
                <w:rFonts w:ascii="Arial" w:cs="Arial" w:eastAsia="Arial" w:hAnsi="Arial"/>
                <w:sz w:val="17"/>
                <w:szCs w:val="17"/>
                <w:color w:val="auto"/>
              </w:rPr>
              <w:t>Current assets- Derivative instruments:</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Commodity derivative instruments</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ind w:left="580"/>
              <w:spacing w:after="0"/>
              <w:rPr>
                <w:sz w:val="20"/>
                <w:szCs w:val="20"/>
                <w:color w:val="auto"/>
              </w:rPr>
            </w:pPr>
            <w:r>
              <w:rPr>
                <w:rFonts w:ascii="Arial" w:cs="Arial" w:eastAsia="Arial" w:hAnsi="Arial"/>
                <w:sz w:val="17"/>
                <w:szCs w:val="17"/>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ind w:left="580"/>
              <w:spacing w:after="0"/>
              <w:rPr>
                <w:sz w:val="20"/>
                <w:szCs w:val="20"/>
                <w:color w:val="auto"/>
              </w:rPr>
            </w:pPr>
            <w:r>
              <w:rPr>
                <w:rFonts w:ascii="Arial" w:cs="Arial" w:eastAsia="Arial" w:hAnsi="Arial"/>
                <w:sz w:val="17"/>
                <w:szCs w:val="17"/>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center"/>
              <w:ind w:left="955"/>
              <w:spacing w:after="0"/>
              <w:rPr>
                <w:sz w:val="20"/>
                <w:szCs w:val="20"/>
                <w:color w:val="auto"/>
              </w:rPr>
            </w:pPr>
            <w:r>
              <w:rPr>
                <w:rFonts w:ascii="Arial" w:cs="Arial" w:eastAsia="Arial" w:hAnsi="Arial"/>
                <w:sz w:val="17"/>
                <w:szCs w:val="17"/>
                <w:color w:val="auto"/>
                <w:w w:val="92"/>
              </w:rPr>
              <w:t>(91)</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25"/>
        </w:trPr>
        <w:tc>
          <w:tcPr>
            <w:tcW w:w="3940" w:type="dxa"/>
            <w:vAlign w:val="bottom"/>
          </w:tcPr>
          <w:p>
            <w:pPr>
              <w:ind w:left="220"/>
              <w:spacing w:after="0"/>
              <w:rPr>
                <w:sz w:val="20"/>
                <w:szCs w:val="20"/>
                <w:color w:val="auto"/>
              </w:rPr>
            </w:pPr>
            <w:r>
              <w:rPr>
                <w:rFonts w:ascii="Arial" w:cs="Arial" w:eastAsia="Arial" w:hAnsi="Arial"/>
                <w:sz w:val="17"/>
                <w:szCs w:val="17"/>
                <w:color w:val="auto"/>
              </w:rPr>
              <w:t>Non-current assets- Derivative instruments:</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Commodity derivative instruments</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ind w:left="580"/>
              <w:spacing w:after="0"/>
              <w:rPr>
                <w:sz w:val="20"/>
                <w:szCs w:val="20"/>
                <w:color w:val="auto"/>
              </w:rPr>
            </w:pPr>
            <w:r>
              <w:rPr>
                <w:rFonts w:ascii="Arial" w:cs="Arial" w:eastAsia="Arial" w:hAnsi="Arial"/>
                <w:sz w:val="17"/>
                <w:szCs w:val="17"/>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ind w:left="580"/>
              <w:spacing w:after="0"/>
              <w:rPr>
                <w:sz w:val="20"/>
                <w:szCs w:val="20"/>
                <w:color w:val="auto"/>
              </w:rPr>
            </w:pPr>
            <w:r>
              <w:rPr>
                <w:rFonts w:ascii="Arial" w:cs="Arial" w:eastAsia="Arial" w:hAnsi="Arial"/>
                <w:sz w:val="17"/>
                <w:szCs w:val="17"/>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center"/>
              <w:ind w:left="955"/>
              <w:spacing w:after="0"/>
              <w:rPr>
                <w:sz w:val="20"/>
                <w:szCs w:val="20"/>
                <w:color w:val="auto"/>
              </w:rPr>
            </w:pPr>
            <w:r>
              <w:rPr>
                <w:rFonts w:ascii="Arial" w:cs="Arial" w:eastAsia="Arial" w:hAnsi="Arial"/>
                <w:sz w:val="17"/>
                <w:szCs w:val="17"/>
                <w:color w:val="auto"/>
                <w:w w:val="92"/>
              </w:rPr>
              <w:t>(14)</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28"/>
        </w:trPr>
        <w:tc>
          <w:tcPr>
            <w:tcW w:w="3940" w:type="dxa"/>
            <w:vAlign w:val="bottom"/>
          </w:tcPr>
          <w:p>
            <w:pPr>
              <w:ind w:left="20"/>
              <w:spacing w:after="0"/>
              <w:rPr>
                <w:sz w:val="20"/>
                <w:szCs w:val="20"/>
                <w:color w:val="auto"/>
              </w:rPr>
            </w:pPr>
            <w:r>
              <w:rPr>
                <w:rFonts w:ascii="Arial" w:cs="Arial" w:eastAsia="Arial" w:hAnsi="Arial"/>
                <w:sz w:val="17"/>
                <w:szCs w:val="17"/>
                <w:b w:val="1"/>
                <w:bCs w:val="1"/>
                <w:color w:val="auto"/>
              </w:rPr>
              <w:t>Liabilities:</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9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Current liabilities- Derivative instruments:</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940" w:type="dxa"/>
            <w:vAlign w:val="bottom"/>
          </w:tcPr>
          <w:p>
            <w:pPr>
              <w:ind w:left="440"/>
              <w:spacing w:after="0"/>
              <w:rPr>
                <w:sz w:val="20"/>
                <w:szCs w:val="20"/>
                <w:color w:val="auto"/>
              </w:rPr>
            </w:pPr>
            <w:r>
              <w:rPr>
                <w:rFonts w:ascii="Arial" w:cs="Arial" w:eastAsia="Arial" w:hAnsi="Arial"/>
                <w:sz w:val="17"/>
                <w:szCs w:val="17"/>
                <w:color w:val="auto"/>
              </w:rPr>
              <w:t>Commodity derivative instruments</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ind w:left="580"/>
              <w:spacing w:after="0"/>
              <w:rPr>
                <w:sz w:val="20"/>
                <w:szCs w:val="20"/>
                <w:color w:val="auto"/>
              </w:rPr>
            </w:pPr>
            <w:r>
              <w:rPr>
                <w:rFonts w:ascii="Arial" w:cs="Arial" w:eastAsia="Arial" w:hAnsi="Arial"/>
                <w:sz w:val="17"/>
                <w:szCs w:val="17"/>
                <w:color w:val="auto"/>
              </w:rPr>
              <w:t>— $</w:t>
            </w:r>
          </w:p>
        </w:tc>
        <w:tc>
          <w:tcPr>
            <w:tcW w:w="800" w:type="dxa"/>
            <w:vAlign w:val="bottom"/>
          </w:tcPr>
          <w:p>
            <w:pPr>
              <w:jc w:val="right"/>
              <w:spacing w:after="0"/>
              <w:rPr>
                <w:sz w:val="20"/>
                <w:szCs w:val="20"/>
                <w:color w:val="auto"/>
              </w:rPr>
            </w:pPr>
            <w:r>
              <w:rPr>
                <w:rFonts w:ascii="Arial" w:cs="Arial" w:eastAsia="Arial" w:hAnsi="Arial"/>
                <w:sz w:val="17"/>
                <w:szCs w:val="17"/>
                <w:color w:val="auto"/>
              </w:rPr>
              <w:t>154</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ind w:left="580"/>
              <w:spacing w:after="0"/>
              <w:rPr>
                <w:sz w:val="20"/>
                <w:szCs w:val="20"/>
                <w:color w:val="auto"/>
              </w:rPr>
            </w:pPr>
            <w:r>
              <w:rPr>
                <w:rFonts w:ascii="Arial" w:cs="Arial" w:eastAsia="Arial" w:hAnsi="Arial"/>
                <w:sz w:val="17"/>
                <w:szCs w:val="17"/>
                <w:color w:val="auto"/>
              </w:rPr>
              <w:t>— $</w:t>
            </w:r>
          </w:p>
        </w:tc>
        <w:tc>
          <w:tcPr>
            <w:tcW w:w="1040" w:type="dxa"/>
            <w:vAlign w:val="bottom"/>
          </w:tcPr>
          <w:p>
            <w:pPr>
              <w:jc w:val="right"/>
              <w:spacing w:after="0"/>
              <w:rPr>
                <w:sz w:val="20"/>
                <w:szCs w:val="20"/>
                <w:color w:val="auto"/>
              </w:rPr>
            </w:pPr>
            <w:r>
              <w:rPr>
                <w:rFonts w:ascii="Arial" w:cs="Arial" w:eastAsia="Arial" w:hAnsi="Arial"/>
                <w:sz w:val="17"/>
                <w:szCs w:val="17"/>
                <w:color w:val="auto"/>
              </w:rPr>
              <w:t>154</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400" w:type="dxa"/>
            <w:vAlign w:val="bottom"/>
          </w:tcPr>
          <w:p>
            <w:pPr>
              <w:jc w:val="center"/>
              <w:ind w:left="955"/>
              <w:spacing w:after="0"/>
              <w:rPr>
                <w:sz w:val="20"/>
                <w:szCs w:val="20"/>
                <w:color w:val="auto"/>
              </w:rPr>
            </w:pPr>
            <w:r>
              <w:rPr>
                <w:rFonts w:ascii="Arial" w:cs="Arial" w:eastAsia="Arial" w:hAnsi="Arial"/>
                <w:sz w:val="17"/>
                <w:szCs w:val="17"/>
                <w:color w:val="auto"/>
                <w:w w:val="92"/>
              </w:rPr>
              <w:t>(91)</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34"/>
        </w:trPr>
        <w:tc>
          <w:tcPr>
            <w:tcW w:w="39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Interest rate swaps</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ind w:left="580"/>
              <w:spacing w:after="0"/>
              <w:rPr>
                <w:sz w:val="20"/>
                <w:szCs w:val="20"/>
                <w:color w:val="auto"/>
              </w:rPr>
            </w:pPr>
            <w:r>
              <w:rPr>
                <w:rFonts w:ascii="Arial" w:cs="Arial" w:eastAsia="Arial" w:hAnsi="Arial"/>
                <w:sz w:val="17"/>
                <w:szCs w:val="17"/>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ind w:left="580"/>
              <w:spacing w:after="0"/>
              <w:rPr>
                <w:sz w:val="20"/>
                <w:szCs w:val="20"/>
                <w:color w:val="auto"/>
              </w:rPr>
            </w:pPr>
            <w:r>
              <w:rPr>
                <w:rFonts w:ascii="Arial" w:cs="Arial" w:eastAsia="Arial" w:hAnsi="Arial"/>
                <w:sz w:val="17"/>
                <w:szCs w:val="17"/>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center"/>
              <w:ind w:left="995"/>
              <w:spacing w:after="0"/>
              <w:rPr>
                <w:sz w:val="20"/>
                <w:szCs w:val="20"/>
                <w:color w:val="auto"/>
              </w:rPr>
            </w:pPr>
            <w:r>
              <w:rPr>
                <w:rFonts w:ascii="Arial" w:cs="Arial" w:eastAsia="Arial" w:hAnsi="Arial"/>
                <w:sz w:val="17"/>
                <w:szCs w:val="17"/>
                <w:color w:val="auto"/>
                <w:w w:val="93"/>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25"/>
        </w:trPr>
        <w:tc>
          <w:tcPr>
            <w:tcW w:w="3940" w:type="dxa"/>
            <w:vAlign w:val="bottom"/>
          </w:tcPr>
          <w:p>
            <w:pPr>
              <w:ind w:left="220"/>
              <w:spacing w:after="0"/>
              <w:rPr>
                <w:sz w:val="20"/>
                <w:szCs w:val="20"/>
                <w:color w:val="auto"/>
              </w:rPr>
            </w:pPr>
            <w:r>
              <w:rPr>
                <w:rFonts w:ascii="Arial" w:cs="Arial" w:eastAsia="Arial" w:hAnsi="Arial"/>
                <w:sz w:val="17"/>
                <w:szCs w:val="17"/>
                <w:color w:val="auto"/>
              </w:rPr>
              <w:t>Non-current liabilities- Derivative instruments:</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Commodity derivative instruments</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ind w:left="580"/>
              <w:spacing w:after="0"/>
              <w:rPr>
                <w:sz w:val="20"/>
                <w:szCs w:val="20"/>
                <w:color w:val="auto"/>
              </w:rPr>
            </w:pPr>
            <w:r>
              <w:rPr>
                <w:rFonts w:ascii="Arial" w:cs="Arial" w:eastAsia="Arial" w:hAnsi="Arial"/>
                <w:sz w:val="17"/>
                <w:szCs w:val="17"/>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ind w:left="580"/>
              <w:spacing w:after="0"/>
              <w:rPr>
                <w:sz w:val="20"/>
                <w:szCs w:val="20"/>
                <w:color w:val="auto"/>
              </w:rPr>
            </w:pPr>
            <w:r>
              <w:rPr>
                <w:rFonts w:ascii="Arial" w:cs="Arial" w:eastAsia="Arial" w:hAnsi="Arial"/>
                <w:sz w:val="17"/>
                <w:szCs w:val="17"/>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center"/>
              <w:ind w:left="955"/>
              <w:spacing w:after="0"/>
              <w:rPr>
                <w:sz w:val="20"/>
                <w:szCs w:val="20"/>
                <w:color w:val="auto"/>
              </w:rPr>
            </w:pPr>
            <w:r>
              <w:rPr>
                <w:rFonts w:ascii="Arial" w:cs="Arial" w:eastAsia="Arial" w:hAnsi="Arial"/>
                <w:sz w:val="17"/>
                <w:szCs w:val="17"/>
                <w:color w:val="auto"/>
                <w:w w:val="92"/>
              </w:rPr>
              <w:t>(14)</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21"/>
        </w:trPr>
        <w:tc>
          <w:tcPr>
            <w:tcW w:w="3940" w:type="dxa"/>
            <w:vAlign w:val="bottom"/>
          </w:tcPr>
          <w:p>
            <w:pPr>
              <w:ind w:left="440"/>
              <w:spacing w:after="0"/>
              <w:rPr>
                <w:sz w:val="20"/>
                <w:szCs w:val="20"/>
                <w:color w:val="auto"/>
              </w:rPr>
            </w:pPr>
            <w:r>
              <w:rPr>
                <w:rFonts w:ascii="Arial" w:cs="Arial" w:eastAsia="Arial" w:hAnsi="Arial"/>
                <w:sz w:val="17"/>
                <w:szCs w:val="17"/>
                <w:color w:val="auto"/>
              </w:rPr>
              <w:t>Interest rate swaps</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ind w:left="580"/>
              <w:spacing w:after="0"/>
              <w:rPr>
                <w:sz w:val="20"/>
                <w:szCs w:val="20"/>
                <w:color w:val="auto"/>
              </w:rPr>
            </w:pPr>
            <w:r>
              <w:rPr>
                <w:rFonts w:ascii="Arial" w:cs="Arial" w:eastAsia="Arial" w:hAnsi="Arial"/>
                <w:sz w:val="17"/>
                <w:szCs w:val="17"/>
                <w:color w:val="auto"/>
              </w:rPr>
              <w:t>— $</w:t>
            </w:r>
          </w:p>
        </w:tc>
        <w:tc>
          <w:tcPr>
            <w:tcW w:w="800" w:type="dxa"/>
            <w:vAlign w:val="bottom"/>
          </w:tcPr>
          <w:p>
            <w:pPr>
              <w:jc w:val="right"/>
              <w:spacing w:after="0"/>
              <w:rPr>
                <w:sz w:val="20"/>
                <w:szCs w:val="20"/>
                <w:color w:val="auto"/>
              </w:rPr>
            </w:pPr>
            <w:r>
              <w:rPr>
                <w:rFonts w:ascii="Arial" w:cs="Arial" w:eastAsia="Arial" w:hAnsi="Arial"/>
                <w:sz w:val="17"/>
                <w:szCs w:val="17"/>
                <w:color w:val="auto"/>
              </w:rPr>
              <w:t>176</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ind w:left="580"/>
              <w:spacing w:after="0"/>
              <w:rPr>
                <w:sz w:val="20"/>
                <w:szCs w:val="20"/>
                <w:color w:val="auto"/>
              </w:rPr>
            </w:pPr>
            <w:r>
              <w:rPr>
                <w:rFonts w:ascii="Arial" w:cs="Arial" w:eastAsia="Arial" w:hAnsi="Arial"/>
                <w:sz w:val="17"/>
                <w:szCs w:val="17"/>
                <w:color w:val="auto"/>
              </w:rPr>
              <w:t>— $</w:t>
            </w:r>
          </w:p>
        </w:tc>
        <w:tc>
          <w:tcPr>
            <w:tcW w:w="1040" w:type="dxa"/>
            <w:vAlign w:val="bottom"/>
          </w:tcPr>
          <w:p>
            <w:pPr>
              <w:jc w:val="right"/>
              <w:spacing w:after="0"/>
              <w:rPr>
                <w:sz w:val="20"/>
                <w:szCs w:val="20"/>
                <w:color w:val="auto"/>
              </w:rPr>
            </w:pPr>
            <w:r>
              <w:rPr>
                <w:rFonts w:ascii="Arial" w:cs="Arial" w:eastAsia="Arial" w:hAnsi="Arial"/>
                <w:sz w:val="17"/>
                <w:szCs w:val="17"/>
                <w:color w:val="auto"/>
              </w:rPr>
              <w:t>176</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58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1340" w:type="dxa"/>
            <w:vAlign w:val="bottom"/>
          </w:tcPr>
          <w:p>
            <w:pPr>
              <w:jc w:val="right"/>
              <w:spacing w:after="0"/>
              <w:rPr>
                <w:sz w:val="20"/>
                <w:szCs w:val="20"/>
                <w:color w:val="auto"/>
              </w:rPr>
            </w:pPr>
            <w:r>
              <w:rPr>
                <w:rFonts w:ascii="Arial" w:cs="Arial" w:eastAsia="Arial" w:hAnsi="Arial"/>
                <w:sz w:val="17"/>
                <w:szCs w:val="17"/>
                <w:color w:val="auto"/>
              </w:rPr>
              <w:t>176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4"/>
          </w:tcPr>
          <w:p>
            <w:pPr>
              <w:ind w:left="580"/>
              <w:spacing w:after="0"/>
              <w:rPr>
                <w:sz w:val="20"/>
                <w:szCs w:val="20"/>
                <w:color w:val="auto"/>
              </w:rPr>
            </w:pPr>
            <w:r>
              <w:rPr>
                <w:rFonts w:ascii="Arial" w:cs="Arial" w:eastAsia="Arial" w:hAnsi="Arial"/>
                <w:sz w:val="16"/>
                <w:szCs w:val="16"/>
                <w:b w:val="1"/>
                <w:bCs w:val="1"/>
                <w:color w:val="auto"/>
              </w:rPr>
              <w:t>As of December 31, 2021</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gridSpan w:val="2"/>
            <w:vMerge w:val="restart"/>
          </w:tcPr>
          <w:p>
            <w:pPr>
              <w:jc w:val="center"/>
              <w:ind w:left="755"/>
              <w:spacing w:after="0"/>
              <w:rPr>
                <w:sz w:val="20"/>
                <w:szCs w:val="20"/>
                <w:color w:val="auto"/>
              </w:rPr>
            </w:pPr>
            <w:r>
              <w:rPr>
                <w:rFonts w:ascii="Arial" w:cs="Arial" w:eastAsia="Arial" w:hAnsi="Arial"/>
                <w:sz w:val="16"/>
                <w:szCs w:val="16"/>
                <w:b w:val="1"/>
                <w:bCs w:val="1"/>
                <w:color w:val="auto"/>
                <w:w w:val="91"/>
              </w:rPr>
              <w:t>Total Gross Fair</w:t>
            </w:r>
          </w:p>
        </w:tc>
        <w:tc>
          <w:tcPr>
            <w:tcW w:w="140" w:type="dxa"/>
            <w:vAlign w:val="bottom"/>
          </w:tcPr>
          <w:p>
            <w:pPr>
              <w:spacing w:after="0"/>
              <w:rPr>
                <w:sz w:val="13"/>
                <w:szCs w:val="13"/>
                <w:color w:val="auto"/>
              </w:rPr>
            </w:pPr>
          </w:p>
        </w:tc>
        <w:tc>
          <w:tcPr>
            <w:tcW w:w="1380" w:type="dxa"/>
            <w:vAlign w:val="bottom"/>
          </w:tcPr>
          <w:p>
            <w:pPr>
              <w:jc w:val="center"/>
              <w:ind w:right="55"/>
              <w:spacing w:after="0" w:line="158" w:lineRule="exact"/>
              <w:rPr>
                <w:sz w:val="20"/>
                <w:szCs w:val="20"/>
                <w:color w:val="auto"/>
              </w:rPr>
            </w:pPr>
            <w:r>
              <w:rPr>
                <w:rFonts w:ascii="Arial" w:cs="Arial" w:eastAsia="Arial" w:hAnsi="Arial"/>
                <w:sz w:val="16"/>
                <w:szCs w:val="16"/>
                <w:b w:val="1"/>
                <w:bCs w:val="1"/>
                <w:color w:val="auto"/>
                <w:w w:val="89"/>
              </w:rPr>
              <w:t>Gross Amounts</w:t>
            </w:r>
          </w:p>
        </w:tc>
        <w:tc>
          <w:tcPr>
            <w:tcW w:w="180" w:type="dxa"/>
            <w:vAlign w:val="bottom"/>
          </w:tcPr>
          <w:p>
            <w:pPr>
              <w:spacing w:after="0"/>
              <w:rPr>
                <w:sz w:val="13"/>
                <w:szCs w:val="13"/>
                <w:color w:val="auto"/>
              </w:rPr>
            </w:pPr>
          </w:p>
        </w:tc>
        <w:tc>
          <w:tcPr>
            <w:tcW w:w="1340" w:type="dxa"/>
            <w:vAlign w:val="bottom"/>
          </w:tcPr>
          <w:p>
            <w:pPr>
              <w:jc w:val="right"/>
              <w:ind w:right="174"/>
              <w:spacing w:after="0" w:line="158" w:lineRule="exact"/>
              <w:rPr>
                <w:sz w:val="20"/>
                <w:szCs w:val="20"/>
                <w:color w:val="auto"/>
              </w:rPr>
            </w:pPr>
            <w:r>
              <w:rPr>
                <w:rFonts w:ascii="Arial" w:cs="Arial" w:eastAsia="Arial" w:hAnsi="Arial"/>
                <w:sz w:val="16"/>
                <w:szCs w:val="16"/>
                <w:b w:val="1"/>
                <w:bCs w:val="1"/>
                <w:color w:val="auto"/>
                <w:w w:val="99"/>
              </w:rPr>
              <w:t>Net Fair Value</w:t>
            </w: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Level 1</w:t>
            </w:r>
          </w:p>
        </w:tc>
        <w:tc>
          <w:tcPr>
            <w:tcW w:w="800" w:type="dxa"/>
            <w:vAlign w:val="bottom"/>
            <w:vMerge w:val="restart"/>
          </w:tcPr>
          <w:p>
            <w:pPr>
              <w:jc w:val="right"/>
              <w:ind w:right="134"/>
              <w:spacing w:after="0"/>
              <w:rPr>
                <w:sz w:val="20"/>
                <w:szCs w:val="20"/>
                <w:color w:val="auto"/>
              </w:rPr>
            </w:pPr>
            <w:r>
              <w:rPr>
                <w:rFonts w:ascii="Arial" w:cs="Arial" w:eastAsia="Arial" w:hAnsi="Arial"/>
                <w:sz w:val="16"/>
                <w:szCs w:val="16"/>
                <w:b w:val="1"/>
                <w:bCs w:val="1"/>
                <w:color w:val="auto"/>
              </w:rPr>
              <w:t>Level 2</w:t>
            </w:r>
          </w:p>
        </w:tc>
        <w:tc>
          <w:tcPr>
            <w:tcW w:w="200" w:type="dxa"/>
            <w:vAlign w:val="bottom"/>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center"/>
              <w:ind w:right="35"/>
              <w:spacing w:after="0" w:line="162" w:lineRule="exact"/>
              <w:rPr>
                <w:sz w:val="20"/>
                <w:szCs w:val="20"/>
                <w:color w:val="auto"/>
              </w:rPr>
            </w:pPr>
            <w:r>
              <w:rPr>
                <w:rFonts w:ascii="Arial" w:cs="Arial" w:eastAsia="Arial" w:hAnsi="Arial"/>
                <w:sz w:val="16"/>
                <w:szCs w:val="16"/>
                <w:b w:val="1"/>
                <w:bCs w:val="1"/>
                <w:color w:val="auto"/>
                <w:w w:val="90"/>
              </w:rPr>
              <w:t>Offset in Balance</w:t>
            </w:r>
          </w:p>
        </w:tc>
        <w:tc>
          <w:tcPr>
            <w:tcW w:w="152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w w:val="90"/>
              </w:rPr>
              <w:t>Presented in Balance</w:t>
            </w:r>
          </w:p>
        </w:tc>
        <w:tc>
          <w:tcPr>
            <w:tcW w:w="0" w:type="dxa"/>
            <w:vAlign w:val="bottom"/>
          </w:tcPr>
          <w:p>
            <w:pPr>
              <w:spacing w:after="0"/>
              <w:rPr>
                <w:sz w:val="1"/>
                <w:szCs w:val="1"/>
                <w:color w:val="auto"/>
              </w:rPr>
            </w:pPr>
          </w:p>
        </w:tc>
      </w:tr>
      <w:tr>
        <w:trPr>
          <w:trHeight w:val="213"/>
        </w:trPr>
        <w:tc>
          <w:tcPr>
            <w:tcW w:w="39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Level 3</w:t>
            </w:r>
          </w:p>
        </w:tc>
        <w:tc>
          <w:tcPr>
            <w:tcW w:w="106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b w:val="1"/>
                <w:bCs w:val="1"/>
                <w:color w:val="auto"/>
                <w:w w:val="93"/>
              </w:rPr>
              <w:t>Value</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35"/>
              <w:spacing w:after="0"/>
              <w:rPr>
                <w:sz w:val="20"/>
                <w:szCs w:val="20"/>
                <w:color w:val="auto"/>
              </w:rPr>
            </w:pPr>
            <w:r>
              <w:rPr>
                <w:rFonts w:ascii="Arial" w:cs="Arial" w:eastAsia="Arial" w:hAnsi="Arial"/>
                <w:sz w:val="16"/>
                <w:szCs w:val="16"/>
                <w:b w:val="1"/>
                <w:bCs w:val="1"/>
                <w:color w:val="auto"/>
                <w:w w:val="87"/>
              </w:rPr>
              <w:t>Sheet</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Sheet</w:t>
            </w:r>
          </w:p>
        </w:tc>
        <w:tc>
          <w:tcPr>
            <w:tcW w:w="0" w:type="dxa"/>
            <w:vAlign w:val="bottom"/>
          </w:tcPr>
          <w:p>
            <w:pPr>
              <w:spacing w:after="0"/>
              <w:rPr>
                <w:sz w:val="1"/>
                <w:szCs w:val="1"/>
                <w:color w:val="auto"/>
              </w:rPr>
            </w:pPr>
          </w:p>
        </w:tc>
      </w:tr>
      <w:tr>
        <w:trPr>
          <w:trHeight w:val="209"/>
        </w:trPr>
        <w:tc>
          <w:tcPr>
            <w:tcW w:w="3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jc w:val="center"/>
              <w:ind w:right="54"/>
              <w:spacing w:after="0"/>
              <w:rPr>
                <w:sz w:val="20"/>
                <w:szCs w:val="20"/>
                <w:color w:val="auto"/>
              </w:rPr>
            </w:pPr>
            <w:r>
              <w:rPr>
                <w:rFonts w:ascii="Arial" w:cs="Arial" w:eastAsia="Arial" w:hAnsi="Arial"/>
                <w:sz w:val="16"/>
                <w:szCs w:val="16"/>
                <w:b w:val="1"/>
                <w:bCs w:val="1"/>
                <w:color w:val="auto"/>
                <w:w w:val="93"/>
              </w:rPr>
              <w:t>(In millions)</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960" w:type="dxa"/>
            <w:vAlign w:val="bottom"/>
          </w:tcPr>
          <w:p>
            <w:pPr>
              <w:ind w:left="220"/>
              <w:spacing w:after="0"/>
              <w:rPr>
                <w:sz w:val="20"/>
                <w:szCs w:val="20"/>
                <w:color w:val="auto"/>
              </w:rPr>
            </w:pPr>
            <w:r>
              <w:rPr>
                <w:rFonts w:ascii="Arial" w:cs="Arial" w:eastAsia="Arial" w:hAnsi="Arial"/>
                <w:sz w:val="17"/>
                <w:szCs w:val="17"/>
                <w:color w:val="auto"/>
              </w:rPr>
              <w:t>Current assets- Derivative instruments: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Commodity derivative instruments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ind w:left="600"/>
              <w:spacing w:after="0"/>
              <w:rPr>
                <w:sz w:val="20"/>
                <w:szCs w:val="20"/>
                <w:color w:val="auto"/>
              </w:rPr>
            </w:pPr>
            <w:r>
              <w:rPr>
                <w:rFonts w:ascii="Arial" w:cs="Arial" w:eastAsia="Arial" w:hAnsi="Arial"/>
                <w:sz w:val="17"/>
                <w:szCs w:val="17"/>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ind w:left="600"/>
              <w:spacing w:after="0"/>
              <w:rPr>
                <w:sz w:val="20"/>
                <w:szCs w:val="20"/>
                <w:color w:val="auto"/>
              </w:rPr>
            </w:pPr>
            <w:r>
              <w:rPr>
                <w:rFonts w:ascii="Arial" w:cs="Arial" w:eastAsia="Arial" w:hAnsi="Arial"/>
                <w:sz w:val="17"/>
                <w:szCs w:val="17"/>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25"/>
        </w:trPr>
        <w:tc>
          <w:tcPr>
            <w:tcW w:w="3960" w:type="dxa"/>
            <w:vAlign w:val="bottom"/>
          </w:tcPr>
          <w:p>
            <w:pPr>
              <w:ind w:left="440"/>
              <w:spacing w:after="0"/>
              <w:rPr>
                <w:sz w:val="20"/>
                <w:szCs w:val="20"/>
                <w:color w:val="auto"/>
              </w:rPr>
            </w:pPr>
            <w:r>
              <w:rPr>
                <w:rFonts w:ascii="Arial" w:cs="Arial" w:eastAsia="Arial" w:hAnsi="Arial"/>
                <w:sz w:val="17"/>
                <w:szCs w:val="17"/>
                <w:color w:val="auto"/>
              </w:rPr>
              <w:t>Interest rate swaps designated as hedges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ind w:left="600"/>
              <w:spacing w:after="0"/>
              <w:rPr>
                <w:sz w:val="20"/>
                <w:szCs w:val="20"/>
                <w:color w:val="auto"/>
              </w:rPr>
            </w:pPr>
            <w:r>
              <w:rPr>
                <w:rFonts w:ascii="Arial" w:cs="Arial" w:eastAsia="Arial" w:hAnsi="Arial"/>
                <w:sz w:val="17"/>
                <w:szCs w:val="17"/>
                <w:color w:val="auto"/>
              </w:rPr>
              <w:t>— $</w:t>
            </w:r>
          </w:p>
        </w:tc>
        <w:tc>
          <w:tcPr>
            <w:tcW w:w="800" w:type="dxa"/>
            <w:vAlign w:val="bottom"/>
          </w:tcPr>
          <w:p>
            <w:pPr>
              <w:jc w:val="right"/>
              <w:spacing w:after="0"/>
              <w:rPr>
                <w:sz w:val="20"/>
                <w:szCs w:val="20"/>
                <w:color w:val="auto"/>
              </w:rPr>
            </w:pPr>
            <w:r>
              <w:rPr>
                <w:rFonts w:ascii="Arial" w:cs="Arial" w:eastAsia="Arial" w:hAnsi="Arial"/>
                <w:sz w:val="17"/>
                <w:szCs w:val="17"/>
                <w:color w:val="auto"/>
              </w:rPr>
              <w:t>10</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ind w:left="600"/>
              <w:spacing w:after="0"/>
              <w:rPr>
                <w:sz w:val="20"/>
                <w:szCs w:val="20"/>
                <w:color w:val="auto"/>
              </w:rPr>
            </w:pPr>
            <w:r>
              <w:rPr>
                <w:rFonts w:ascii="Arial" w:cs="Arial" w:eastAsia="Arial" w:hAnsi="Arial"/>
                <w:sz w:val="17"/>
                <w:szCs w:val="17"/>
                <w:color w:val="auto"/>
              </w:rPr>
              <w:t>— $</w:t>
            </w:r>
          </w:p>
        </w:tc>
        <w:tc>
          <w:tcPr>
            <w:tcW w:w="1060" w:type="dxa"/>
            <w:vAlign w:val="bottom"/>
          </w:tcPr>
          <w:p>
            <w:pPr>
              <w:jc w:val="right"/>
              <w:spacing w:after="0"/>
              <w:rPr>
                <w:sz w:val="20"/>
                <w:szCs w:val="20"/>
                <w:color w:val="auto"/>
              </w:rPr>
            </w:pPr>
            <w:r>
              <w:rPr>
                <w:rFonts w:ascii="Arial" w:cs="Arial" w:eastAsia="Arial" w:hAnsi="Arial"/>
                <w:sz w:val="17"/>
                <w:szCs w:val="17"/>
                <w:color w:val="auto"/>
              </w:rPr>
              <w:t>10</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34"/>
        </w:trPr>
        <w:tc>
          <w:tcPr>
            <w:tcW w:w="39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Non-current assets- Derivative instruments:</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960" w:type="dxa"/>
            <w:vAlign w:val="bottom"/>
          </w:tcPr>
          <w:p>
            <w:pPr>
              <w:ind w:left="440"/>
              <w:spacing w:after="0"/>
              <w:rPr>
                <w:sz w:val="20"/>
                <w:szCs w:val="20"/>
                <w:color w:val="auto"/>
              </w:rPr>
            </w:pPr>
            <w:r>
              <w:rPr>
                <w:rFonts w:ascii="Arial" w:cs="Arial" w:eastAsia="Arial" w:hAnsi="Arial"/>
                <w:sz w:val="17"/>
                <w:szCs w:val="17"/>
                <w:color w:val="auto"/>
              </w:rPr>
              <w:t>Commodity derivative instruments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ind w:left="600"/>
              <w:spacing w:after="0"/>
              <w:rPr>
                <w:sz w:val="20"/>
                <w:szCs w:val="20"/>
                <w:color w:val="auto"/>
              </w:rPr>
            </w:pPr>
            <w:r>
              <w:rPr>
                <w:rFonts w:ascii="Arial" w:cs="Arial" w:eastAsia="Arial" w:hAnsi="Arial"/>
                <w:sz w:val="17"/>
                <w:szCs w:val="17"/>
                <w:color w:val="auto"/>
              </w:rPr>
              <w:t>— $</w:t>
            </w:r>
          </w:p>
        </w:tc>
        <w:tc>
          <w:tcPr>
            <w:tcW w:w="800" w:type="dxa"/>
            <w:vAlign w:val="bottom"/>
          </w:tcPr>
          <w:p>
            <w:pPr>
              <w:jc w:val="right"/>
              <w:spacing w:after="0"/>
              <w:rPr>
                <w:sz w:val="20"/>
                <w:szCs w:val="20"/>
                <w:color w:val="auto"/>
              </w:rPr>
            </w:pPr>
            <w:r>
              <w:rPr>
                <w:rFonts w:ascii="Arial" w:cs="Arial" w:eastAsia="Arial" w:hAnsi="Arial"/>
                <w:sz w:val="17"/>
                <w:szCs w:val="17"/>
                <w:color w:val="auto"/>
              </w:rPr>
              <w:t>12</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ind w:left="600"/>
              <w:spacing w:after="0"/>
              <w:rPr>
                <w:sz w:val="20"/>
                <w:szCs w:val="20"/>
                <w:color w:val="auto"/>
              </w:rPr>
            </w:pPr>
            <w:r>
              <w:rPr>
                <w:rFonts w:ascii="Arial" w:cs="Arial" w:eastAsia="Arial" w:hAnsi="Arial"/>
                <w:sz w:val="17"/>
                <w:szCs w:val="17"/>
                <w:color w:val="auto"/>
              </w:rPr>
              <w:t>— $</w:t>
            </w:r>
          </w:p>
        </w:tc>
        <w:tc>
          <w:tcPr>
            <w:tcW w:w="1060" w:type="dxa"/>
            <w:vAlign w:val="bottom"/>
          </w:tcPr>
          <w:p>
            <w:pPr>
              <w:jc w:val="right"/>
              <w:spacing w:after="0"/>
              <w:rPr>
                <w:sz w:val="20"/>
                <w:szCs w:val="20"/>
                <w:color w:val="auto"/>
              </w:rPr>
            </w:pPr>
            <w:r>
              <w:rPr>
                <w:rFonts w:ascii="Arial" w:cs="Arial" w:eastAsia="Arial" w:hAnsi="Arial"/>
                <w:sz w:val="17"/>
                <w:szCs w:val="17"/>
                <w:color w:val="auto"/>
              </w:rPr>
              <w:t>12</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(8)</w:t>
            </w: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34"/>
        </w:trPr>
        <w:tc>
          <w:tcPr>
            <w:tcW w:w="39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Interest rate swaps designated as hedges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ind w:left="600"/>
              <w:spacing w:after="0"/>
              <w:rPr>
                <w:sz w:val="20"/>
                <w:szCs w:val="20"/>
                <w:color w:val="auto"/>
              </w:rPr>
            </w:pPr>
            <w:r>
              <w:rPr>
                <w:rFonts w:ascii="Arial" w:cs="Arial" w:eastAsia="Arial" w:hAnsi="Arial"/>
                <w:sz w:val="17"/>
                <w:szCs w:val="17"/>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ind w:left="600"/>
              <w:spacing w:after="0"/>
              <w:rPr>
                <w:sz w:val="20"/>
                <w:szCs w:val="20"/>
                <w:color w:val="auto"/>
              </w:rPr>
            </w:pPr>
            <w:r>
              <w:rPr>
                <w:rFonts w:ascii="Arial" w:cs="Arial" w:eastAsia="Arial" w:hAnsi="Arial"/>
                <w:sz w:val="17"/>
                <w:szCs w:val="17"/>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3960" w:type="dxa"/>
            <w:vAlign w:val="bottom"/>
          </w:tcPr>
          <w:p>
            <w:pPr>
              <w:ind w:left="20"/>
              <w:spacing w:after="0"/>
              <w:rPr>
                <w:sz w:val="20"/>
                <w:szCs w:val="20"/>
                <w:color w:val="auto"/>
              </w:rPr>
            </w:pPr>
            <w:r>
              <w:rPr>
                <w:rFonts w:ascii="Arial" w:cs="Arial" w:eastAsia="Arial" w:hAnsi="Arial"/>
                <w:sz w:val="17"/>
                <w:szCs w:val="17"/>
                <w:b w:val="1"/>
                <w:bCs w:val="1"/>
                <w:color w:val="auto"/>
              </w:rPr>
              <w:t>Liabilities: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9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Current liabilities- Derivative instruments:</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960" w:type="dxa"/>
            <w:vAlign w:val="bottom"/>
          </w:tcPr>
          <w:p>
            <w:pPr>
              <w:ind w:left="440"/>
              <w:spacing w:after="0"/>
              <w:rPr>
                <w:sz w:val="20"/>
                <w:szCs w:val="20"/>
                <w:color w:val="auto"/>
              </w:rPr>
            </w:pPr>
            <w:r>
              <w:rPr>
                <w:rFonts w:ascii="Arial" w:cs="Arial" w:eastAsia="Arial" w:hAnsi="Arial"/>
                <w:sz w:val="17"/>
                <w:szCs w:val="17"/>
                <w:color w:val="auto"/>
              </w:rPr>
              <w:t>Commodity derivative instruments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ind w:left="600"/>
              <w:spacing w:after="0"/>
              <w:rPr>
                <w:sz w:val="20"/>
                <w:szCs w:val="20"/>
                <w:color w:val="auto"/>
              </w:rPr>
            </w:pPr>
            <w:r>
              <w:rPr>
                <w:rFonts w:ascii="Arial" w:cs="Arial" w:eastAsia="Arial" w:hAnsi="Arial"/>
                <w:sz w:val="17"/>
                <w:szCs w:val="17"/>
                <w:color w:val="auto"/>
              </w:rPr>
              <w:t>— $</w:t>
            </w:r>
          </w:p>
        </w:tc>
        <w:tc>
          <w:tcPr>
            <w:tcW w:w="800" w:type="dxa"/>
            <w:vAlign w:val="bottom"/>
          </w:tcPr>
          <w:p>
            <w:pPr>
              <w:jc w:val="right"/>
              <w:spacing w:after="0"/>
              <w:rPr>
                <w:sz w:val="20"/>
                <w:szCs w:val="20"/>
                <w:color w:val="auto"/>
              </w:rPr>
            </w:pPr>
            <w:r>
              <w:rPr>
                <w:rFonts w:ascii="Arial" w:cs="Arial" w:eastAsia="Arial" w:hAnsi="Arial"/>
                <w:sz w:val="17"/>
                <w:szCs w:val="17"/>
                <w:color w:val="auto"/>
              </w:rPr>
              <w:t>231</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ind w:left="600"/>
              <w:spacing w:after="0"/>
              <w:rPr>
                <w:sz w:val="20"/>
                <w:szCs w:val="20"/>
                <w:color w:val="auto"/>
              </w:rPr>
            </w:pPr>
            <w:r>
              <w:rPr>
                <w:rFonts w:ascii="Arial" w:cs="Arial" w:eastAsia="Arial" w:hAnsi="Arial"/>
                <w:sz w:val="17"/>
                <w:szCs w:val="17"/>
                <w:color w:val="auto"/>
              </w:rPr>
              <w:t>— $</w:t>
            </w:r>
          </w:p>
        </w:tc>
        <w:tc>
          <w:tcPr>
            <w:tcW w:w="1060" w:type="dxa"/>
            <w:vAlign w:val="bottom"/>
          </w:tcPr>
          <w:p>
            <w:pPr>
              <w:jc w:val="right"/>
              <w:spacing w:after="0"/>
              <w:rPr>
                <w:sz w:val="20"/>
                <w:szCs w:val="20"/>
                <w:color w:val="auto"/>
              </w:rPr>
            </w:pPr>
            <w:r>
              <w:rPr>
                <w:rFonts w:ascii="Arial" w:cs="Arial" w:eastAsia="Arial" w:hAnsi="Arial"/>
                <w:sz w:val="17"/>
                <w:szCs w:val="17"/>
                <w:color w:val="auto"/>
              </w:rPr>
              <w:t>231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(57)</w:t>
            </w: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174</w:t>
            </w:r>
          </w:p>
        </w:tc>
        <w:tc>
          <w:tcPr>
            <w:tcW w:w="0" w:type="dxa"/>
            <w:vAlign w:val="bottom"/>
          </w:tcPr>
          <w:p>
            <w:pPr>
              <w:spacing w:after="0"/>
              <w:rPr>
                <w:sz w:val="1"/>
                <w:szCs w:val="1"/>
                <w:color w:val="auto"/>
              </w:rPr>
            </w:pPr>
          </w:p>
        </w:tc>
      </w:tr>
      <w:tr>
        <w:trPr>
          <w:trHeight w:val="234"/>
        </w:trPr>
        <w:tc>
          <w:tcPr>
            <w:tcW w:w="39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Non-current liabilities- Derivative instruments:</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960" w:type="dxa"/>
            <w:vAlign w:val="bottom"/>
          </w:tcPr>
          <w:p>
            <w:pPr>
              <w:ind w:left="440"/>
              <w:spacing w:after="0"/>
              <w:rPr>
                <w:sz w:val="20"/>
                <w:szCs w:val="20"/>
                <w:color w:val="auto"/>
              </w:rPr>
            </w:pPr>
            <w:r>
              <w:rPr>
                <w:rFonts w:ascii="Arial" w:cs="Arial" w:eastAsia="Arial" w:hAnsi="Arial"/>
                <w:sz w:val="17"/>
                <w:szCs w:val="17"/>
                <w:color w:val="auto"/>
              </w:rPr>
              <w:t>Commodity derivative instruments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ind w:left="600"/>
              <w:spacing w:after="0"/>
              <w:rPr>
                <w:sz w:val="20"/>
                <w:szCs w:val="20"/>
                <w:color w:val="auto"/>
              </w:rPr>
            </w:pPr>
            <w:r>
              <w:rPr>
                <w:rFonts w:ascii="Arial" w:cs="Arial" w:eastAsia="Arial" w:hAnsi="Arial"/>
                <w:sz w:val="17"/>
                <w:szCs w:val="17"/>
                <w:color w:val="auto"/>
              </w:rPr>
              <w:t>— $</w:t>
            </w:r>
          </w:p>
        </w:tc>
        <w:tc>
          <w:tcPr>
            <w:tcW w:w="800" w:type="dxa"/>
            <w:vAlign w:val="bottom"/>
          </w:tcPr>
          <w:p>
            <w:pPr>
              <w:jc w:val="right"/>
              <w:spacing w:after="0"/>
              <w:rPr>
                <w:sz w:val="20"/>
                <w:szCs w:val="20"/>
                <w:color w:val="auto"/>
              </w:rPr>
            </w:pPr>
            <w:r>
              <w:rPr>
                <w:rFonts w:ascii="Arial" w:cs="Arial" w:eastAsia="Arial" w:hAnsi="Arial"/>
                <w:sz w:val="17"/>
                <w:szCs w:val="17"/>
                <w:color w:val="auto"/>
              </w:rPr>
              <w:t>9</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ind w:left="600"/>
              <w:spacing w:after="0"/>
              <w:rPr>
                <w:sz w:val="20"/>
                <w:szCs w:val="20"/>
                <w:color w:val="auto"/>
              </w:rPr>
            </w:pPr>
            <w:r>
              <w:rPr>
                <w:rFonts w:ascii="Arial" w:cs="Arial" w:eastAsia="Arial" w:hAnsi="Arial"/>
                <w:sz w:val="17"/>
                <w:szCs w:val="17"/>
                <w:color w:val="auto"/>
              </w:rPr>
              <w:t>— $</w:t>
            </w:r>
          </w:p>
        </w:tc>
        <w:tc>
          <w:tcPr>
            <w:tcW w:w="1060" w:type="dxa"/>
            <w:vAlign w:val="bottom"/>
          </w:tcPr>
          <w:p>
            <w:pPr>
              <w:jc w:val="right"/>
              <w:spacing w:after="0"/>
              <w:rPr>
                <w:sz w:val="20"/>
                <w:szCs w:val="20"/>
                <w:color w:val="auto"/>
              </w:rPr>
            </w:pPr>
            <w:r>
              <w:rPr>
                <w:rFonts w:ascii="Arial" w:cs="Arial" w:eastAsia="Arial" w:hAnsi="Arial"/>
                <w:sz w:val="17"/>
                <w:szCs w:val="17"/>
                <w:color w:val="auto"/>
              </w:rPr>
              <w:t>9</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(8)</w:t>
            </w: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34"/>
        </w:trPr>
        <w:tc>
          <w:tcPr>
            <w:tcW w:w="39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Interest rate swaps designated as hedges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ind w:left="600"/>
              <w:spacing w:after="0"/>
              <w:rPr>
                <w:sz w:val="20"/>
                <w:szCs w:val="20"/>
                <w:color w:val="auto"/>
              </w:rPr>
            </w:pPr>
            <w:r>
              <w:rPr>
                <w:rFonts w:ascii="Arial" w:cs="Arial" w:eastAsia="Arial" w:hAnsi="Arial"/>
                <w:sz w:val="17"/>
                <w:szCs w:val="17"/>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ind w:left="600"/>
              <w:spacing w:after="0"/>
              <w:rPr>
                <w:sz w:val="20"/>
                <w:szCs w:val="20"/>
                <w:color w:val="auto"/>
              </w:rPr>
            </w:pPr>
            <w:r>
              <w:rPr>
                <w:rFonts w:ascii="Arial" w:cs="Arial" w:eastAsia="Arial" w:hAnsi="Arial"/>
                <w:sz w:val="17"/>
                <w:szCs w:val="17"/>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Not Recorded at Fair Value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the fair value of financial instruments that are not recorded at fair value in the condensed consolidated balance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sheets: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0" w:type="dxa"/>
            <w:vAlign w:val="bottom"/>
            <w:gridSpan w:val="4"/>
          </w:tcPr>
          <w:p>
            <w:pPr>
              <w:ind w:left="460"/>
              <w:spacing w:after="0"/>
              <w:rPr>
                <w:sz w:val="20"/>
                <w:szCs w:val="20"/>
                <w:color w:val="auto"/>
              </w:rPr>
            </w:pPr>
            <w:r>
              <w:rPr>
                <w:rFonts w:ascii="Arial" w:cs="Arial" w:eastAsia="Arial" w:hAnsi="Arial"/>
                <w:sz w:val="16"/>
                <w:szCs w:val="16"/>
                <w:b w:val="1"/>
                <w:bCs w:val="1"/>
                <w:color w:val="auto"/>
              </w:rPr>
              <w:t>September 30, 2022</w:t>
            </w:r>
          </w:p>
        </w:tc>
        <w:tc>
          <w:tcPr>
            <w:tcW w:w="220" w:type="dxa"/>
            <w:vAlign w:val="bottom"/>
          </w:tcPr>
          <w:p>
            <w:pPr>
              <w:spacing w:after="0"/>
              <w:rPr>
                <w:sz w:val="18"/>
                <w:szCs w:val="18"/>
                <w:color w:val="auto"/>
              </w:rPr>
            </w:pPr>
          </w:p>
        </w:tc>
        <w:tc>
          <w:tcPr>
            <w:tcW w:w="2520" w:type="dxa"/>
            <w:vAlign w:val="bottom"/>
            <w:gridSpan w:val="3"/>
          </w:tcPr>
          <w:p>
            <w:pPr>
              <w:jc w:val="right"/>
              <w:ind w:right="635"/>
              <w:spacing w:after="0"/>
              <w:rPr>
                <w:sz w:val="20"/>
                <w:szCs w:val="20"/>
                <w:color w:val="auto"/>
              </w:rPr>
            </w:pPr>
            <w:r>
              <w:rPr>
                <w:rFonts w:ascii="Arial" w:cs="Arial" w:eastAsia="Arial" w:hAnsi="Arial"/>
                <w:sz w:val="16"/>
                <w:szCs w:val="16"/>
                <w:b w:val="1"/>
                <w:bCs w:val="1"/>
                <w:color w:val="auto"/>
              </w:rPr>
              <w:t>December 31, 2021</w:t>
            </w:r>
          </w:p>
        </w:tc>
      </w:tr>
      <w:tr>
        <w:trPr>
          <w:trHeight w:val="207"/>
        </w:trPr>
        <w:tc>
          <w:tcPr>
            <w:tcW w:w="56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ind w:right="157"/>
              <w:spacing w:after="0"/>
              <w:rPr>
                <w:sz w:val="20"/>
                <w:szCs w:val="20"/>
                <w:color w:val="auto"/>
              </w:rPr>
            </w:pPr>
            <w:r>
              <w:rPr>
                <w:rFonts w:ascii="Arial" w:cs="Arial" w:eastAsia="Arial" w:hAnsi="Arial"/>
                <w:sz w:val="16"/>
                <w:szCs w:val="16"/>
                <w:b w:val="1"/>
                <w:bCs w:val="1"/>
                <w:color w:val="auto"/>
                <w:w w:val="97"/>
              </w:rPr>
              <w:t>Carrying</w:t>
            </w:r>
          </w:p>
        </w:tc>
        <w:tc>
          <w:tcPr>
            <w:tcW w:w="2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ind w:right="157"/>
              <w:spacing w:after="0"/>
              <w:rPr>
                <w:sz w:val="20"/>
                <w:szCs w:val="20"/>
                <w:color w:val="auto"/>
              </w:rPr>
            </w:pPr>
            <w:r>
              <w:rPr>
                <w:rFonts w:ascii="Arial" w:cs="Arial" w:eastAsia="Arial" w:hAnsi="Arial"/>
                <w:sz w:val="16"/>
                <w:szCs w:val="16"/>
                <w:b w:val="1"/>
                <w:bCs w:val="1"/>
                <w:color w:val="auto"/>
                <w:w w:val="97"/>
              </w:rPr>
              <w:t>Carrying</w:t>
            </w: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219"/>
        </w:trPr>
        <w:tc>
          <w:tcPr>
            <w:tcW w:w="56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57"/>
              <w:spacing w:after="0"/>
              <w:rPr>
                <w:sz w:val="20"/>
                <w:szCs w:val="20"/>
                <w:color w:val="auto"/>
              </w:rPr>
            </w:pPr>
            <w:r>
              <w:rPr>
                <w:rFonts w:ascii="Arial" w:cs="Arial" w:eastAsia="Arial" w:hAnsi="Arial"/>
                <w:sz w:val="16"/>
                <w:szCs w:val="16"/>
                <w:b w:val="1"/>
                <w:bCs w:val="1"/>
                <w:color w:val="auto"/>
                <w:w w:val="93"/>
              </w:rPr>
              <w:t>Value</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Fair Value</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57"/>
              <w:spacing w:after="0"/>
              <w:rPr>
                <w:sz w:val="20"/>
                <w:szCs w:val="20"/>
                <w:color w:val="auto"/>
              </w:rPr>
            </w:pPr>
            <w:r>
              <w:rPr>
                <w:rFonts w:ascii="Arial" w:cs="Arial" w:eastAsia="Arial" w:hAnsi="Arial"/>
                <w:sz w:val="16"/>
                <w:szCs w:val="16"/>
                <w:b w:val="1"/>
                <w:bCs w:val="1"/>
                <w:color w:val="auto"/>
                <w:w w:val="93"/>
              </w:rPr>
              <w:t>Value</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15"/>
              <w:spacing w:after="0"/>
              <w:rPr>
                <w:sz w:val="20"/>
                <w:szCs w:val="20"/>
                <w:color w:val="auto"/>
              </w:rPr>
            </w:pPr>
            <w:r>
              <w:rPr>
                <w:rFonts w:ascii="Arial" w:cs="Arial" w:eastAsia="Arial" w:hAnsi="Arial"/>
                <w:sz w:val="16"/>
                <w:szCs w:val="16"/>
                <w:b w:val="1"/>
                <w:bCs w:val="1"/>
                <w:color w:val="auto"/>
              </w:rPr>
              <w:t>Fair Value</w:t>
            </w:r>
          </w:p>
        </w:tc>
      </w:tr>
      <w:tr>
        <w:trPr>
          <w:trHeight w:val="210"/>
        </w:trPr>
        <w:tc>
          <w:tcPr>
            <w:tcW w:w="5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gridSpan w:val="4"/>
          </w:tcPr>
          <w:p>
            <w:pPr>
              <w:jc w:val="right"/>
              <w:ind w:right="877"/>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2"/>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5,357</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6,687</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7,148</w:t>
            </w:r>
          </w:p>
        </w:tc>
      </w:tr>
    </w:tbl>
    <w:p>
      <w:pPr>
        <w:spacing w:after="0" w:line="32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fair values of the Company’s credit agreement and the Viper credit agreement approximate their carrying values based on borrowing rates available to the Company for bank loans with similar terms and maturities and is classified as Level 2 in the fair value hierarchy. The fair values of the outstanding notes were determined using the quoted market price at each period end, a Level 1 classification in the fair value hierarchy.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assets and liabilities are measured at fair value on a nonrecurring basis in certain circumstances. These assets and liabilities can include those acquired in a business combination, inventory, proved and unproved oil and gas properties and other long-lived assets that are written down to fair value when they are impaired or held for sale. Refer to Note 4—</w:t>
      </w:r>
      <w:r>
        <w:rPr>
          <w:rFonts w:ascii="Arial" w:cs="Arial" w:eastAsia="Arial" w:hAnsi="Arial"/>
          <w:sz w:val="18"/>
          <w:szCs w:val="18"/>
          <w:u w:val="single" w:color="auto"/>
          <w:color w:val="0000FF"/>
        </w:rPr>
        <w:t>Acquisitions and Divestitures</w:t>
      </w:r>
      <w:r>
        <w:rPr>
          <w:rFonts w:ascii="Arial" w:cs="Arial" w:eastAsia="Arial" w:hAnsi="Arial"/>
          <w:sz w:val="18"/>
          <w:szCs w:val="18"/>
          <w:color w:val="auto"/>
        </w:rPr>
        <w:t xml:space="preserve"> and Note 5—</w:t>
      </w:r>
      <w:r>
        <w:rPr>
          <w:rFonts w:ascii="Arial" w:cs="Arial" w:eastAsia="Arial" w:hAnsi="Arial"/>
          <w:sz w:val="18"/>
          <w:szCs w:val="18"/>
          <w:u w:val="single" w:color="auto"/>
          <w:color w:val="0000FF"/>
        </w:rPr>
        <w:t>Property and Equipment</w:t>
      </w:r>
      <w:r>
        <w:rPr>
          <w:rFonts w:ascii="Arial" w:cs="Arial" w:eastAsia="Arial" w:hAnsi="Arial"/>
          <w:sz w:val="18"/>
          <w:szCs w:val="18"/>
          <w:color w:val="auto"/>
        </w:rPr>
        <w:t xml:space="preserve"> for additional discussion of nonrecurring fair value adjustments.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Assets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carrying amount of cash and cash equivalents, receivables, funds held in escrow, prepaid expenses and other current assets, payables and other accrued liabilities approximate their fair value because of the short-term nature of the instruments.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SUPPLEMENTAL INFORMATION TO STATEMENTS OF CASH FLOWS</w:t>
      </w:r>
    </w:p>
    <w:p>
      <w:pPr>
        <w:spacing w:after="0" w:line="297" w:lineRule="exact"/>
        <w:rPr>
          <w:sz w:val="20"/>
          <w:szCs w:val="20"/>
          <w:color w:val="auto"/>
        </w:rPr>
      </w:pPr>
    </w:p>
    <w:p>
      <w:pPr>
        <w:jc w:val="center"/>
        <w:ind w:left="8080"/>
        <w:spacing w:after="0"/>
        <w:rPr>
          <w:sz w:val="20"/>
          <w:szCs w:val="20"/>
          <w:color w:val="auto"/>
        </w:rPr>
      </w:pPr>
      <w:r>
        <w:rPr>
          <w:rFonts w:ascii="Arial" w:cs="Arial" w:eastAsia="Arial" w:hAnsi="Arial"/>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20320</wp:posOffset>
            </wp:positionV>
            <wp:extent cx="19970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pacing w:after="0" w:line="26" w:lineRule="exact"/>
        <w:rPr>
          <w:sz w:val="20"/>
          <w:szCs w:val="20"/>
          <w:color w:val="auto"/>
        </w:rPr>
      </w:pPr>
    </w:p>
    <w:p>
      <w:pPr>
        <w:ind w:left="8700"/>
        <w:spacing w:after="0"/>
        <w:tabs>
          <w:tab w:leader="none" w:pos="10300" w:val="left"/>
        </w:tabs>
        <w:rPr>
          <w:sz w:val="20"/>
          <w:szCs w:val="20"/>
          <w:color w:val="auto"/>
        </w:rPr>
      </w:pPr>
      <w:r>
        <w:rPr>
          <w:rFonts w:ascii="Arial" w:cs="Arial" w:eastAsia="Arial" w:hAnsi="Arial"/>
          <w:sz w:val="16"/>
          <w:szCs w:val="16"/>
          <w:b w:val="1"/>
          <w:bCs w:val="1"/>
          <w:color w:val="auto"/>
        </w:rPr>
        <w:t>2022</w:t>
      </w:r>
      <w:r>
        <w:rPr>
          <w:sz w:val="20"/>
          <w:szCs w:val="20"/>
          <w:color w:val="auto"/>
        </w:rPr>
        <w:tab/>
      </w:r>
      <w:r>
        <w:rPr>
          <w:rFonts w:ascii="Arial" w:cs="Arial" w:eastAsia="Arial" w:hAnsi="Arial"/>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20320</wp:posOffset>
            </wp:positionV>
            <wp:extent cx="19970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6" w:lineRule="exact"/>
        <w:rPr>
          <w:sz w:val="20"/>
          <w:szCs w:val="20"/>
          <w:color w:val="auto"/>
        </w:rPr>
      </w:pPr>
    </w:p>
    <w:p>
      <w:pPr>
        <w:ind w:left="9240"/>
        <w:spacing w:after="0"/>
        <w:rPr>
          <w:sz w:val="20"/>
          <w:szCs w:val="20"/>
          <w:color w:val="auto"/>
        </w:rPr>
      </w:pPr>
      <w:r>
        <w:rPr>
          <w:rFonts w:ascii="Arial" w:cs="Arial" w:eastAsia="Arial" w:hAnsi="Arial"/>
          <w:sz w:val="16"/>
          <w:szCs w:val="16"/>
          <w:b w:val="1"/>
          <w:bCs w:val="1"/>
          <w:color w:val="auto"/>
        </w:rPr>
        <w:t>(In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16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0"/>
        </w:trPr>
        <w:tc>
          <w:tcPr>
            <w:tcW w:w="7140" w:type="dxa"/>
            <w:vAlign w:val="bottom"/>
          </w:tcPr>
          <w:p>
            <w:pPr>
              <w:ind w:left="360"/>
              <w:spacing w:after="0"/>
              <w:rPr>
                <w:sz w:val="20"/>
                <w:szCs w:val="20"/>
                <w:color w:val="auto"/>
              </w:rPr>
            </w:pPr>
            <w:r>
              <w:rPr>
                <w:rFonts w:ascii="Arial" w:cs="Arial" w:eastAsia="Arial" w:hAnsi="Arial"/>
                <w:sz w:val="18"/>
                <w:szCs w:val="18"/>
                <w:color w:val="auto"/>
              </w:rPr>
              <w:t>Cash paid (received) for income taxes</w:t>
            </w:r>
          </w:p>
        </w:tc>
        <w:tc>
          <w:tcPr>
            <w:tcW w:w="16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560</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non-cash transactions:</w:t>
            </w:r>
          </w:p>
        </w:tc>
        <w:tc>
          <w:tcPr>
            <w:tcW w:w="1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7140" w:type="dxa"/>
            <w:vAlign w:val="bottom"/>
          </w:tcPr>
          <w:p>
            <w:pPr>
              <w:ind w:left="360"/>
              <w:spacing w:after="0"/>
              <w:rPr>
                <w:sz w:val="20"/>
                <w:szCs w:val="20"/>
                <w:color w:val="auto"/>
              </w:rPr>
            </w:pPr>
            <w:r>
              <w:rPr>
                <w:rFonts w:ascii="Arial" w:cs="Arial" w:eastAsia="Arial" w:hAnsi="Arial"/>
                <w:sz w:val="18"/>
                <w:szCs w:val="18"/>
                <w:color w:val="auto"/>
              </w:rPr>
              <w:t>Accrued capital expenditures included in accounts payable and accrued expenses</w:t>
            </w:r>
          </w:p>
        </w:tc>
        <w:tc>
          <w:tcPr>
            <w:tcW w:w="16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431</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30"/>
        </w:trPr>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 issued for business combination and acquisitions</w:t>
            </w:r>
          </w:p>
        </w:tc>
        <w:tc>
          <w:tcPr>
            <w:tcW w:w="16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595</w:t>
            </w:r>
          </w:p>
        </w:tc>
        <w:tc>
          <w:tcPr>
            <w:tcW w:w="6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w:t>
            </w:r>
          </w:p>
        </w:tc>
      </w:tr>
    </w:tbl>
    <w:p>
      <w:pPr>
        <w:spacing w:after="0" w:line="31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tab/>
        <w:t>COMMITMENTS AND CONTINGENCIES</w:t>
      </w:r>
    </w:p>
    <w:p>
      <w:pPr>
        <w:spacing w:after="0" w:line="25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is a party to various routine legal proceedings, disputes and claims arising in the ordinary course of its business, including those that arise from interpretation of federal and state laws and regulations affecting the crude oil and natural gas industry, personal injury claims, title disputes, royalty disputes, contract claims, contamination claims relating to oil and natural gas exploration and development and environmental claims, including claims involving assets previously sold to third parties and no longer part of the Company’s current operations. While the ultimate outcome of the pending proceedings, disputes or claims, and any resulting impact on the Company, cannot be predicted with certainty, the Company’s management believes that none of these matters, if ultimately decided adversely, will have a material adverse effect on the Company’s financial condition, results of operations or cash flows. The Company’s assessment is based on information known about the pending matters and its experience in contesting, litigating and settling similar matters. Actual outcomes could differ materially from the Company’s assessment. The Company records reserves for contingencies related to outstanding legal proceedings, disputes or claims when information available indicates that a loss is probable and the amount of the loss can be reasonably estimated.</w:t>
      </w:r>
    </w:p>
    <w:p>
      <w:pPr>
        <w:spacing w:after="0" w:line="21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SUBSEQUENT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2022 Dividend Declaration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November 4, 2022, the board of directors of the Company declared a cash dividend for the third quarter of 2022 of $2.26 per share of common stock, payable on November 25, 2022 to its stockholders of record at the close of business on November 17, 2022. The dividend consists of a base quarterly dividend of $0.75 per share of common stock and a variable quarterly dividend of $1.51 per share of common stock. Future base and variable dividends are at the discretion of the board of directors of the Company.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Divestiture</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October 11, 2022, the Company entered into a definitive purchase and sale agreement with FireBird Energy LLC to acquire approximately 75,000 gross (68,000 net) acres in the Midland Basin and certain related oil and gas assets (the “FireBird Acquisition”). Consideration for the FireBird Acquisition consists of $775 million in cash and 5.86 million shares of the Company’s common stock, subject to customary adjustments. The FireBird Acquisition is expected to close late in the fourth quarter of 2022, subject to continued diligence and closing conditions, including completion of the waiting period under the Hart-Scott-Rodino Act.</w:t>
      </w:r>
    </w:p>
    <w:p>
      <w:pPr>
        <w:spacing w:after="0" w:line="20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In October 2022, the Company completed the divestiture of non-core Delaware Basin acreage consisting of approximately 3,250 net acres, with net production of approximately 550 BO/d (800 BOE/d) for $155 million of net proceeds. The Company expects to use the net proceeds from this transaction towards debt reduction.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October 2022 Notes Offering and Redemption of Rattler’s 5.625% Senior Notes due 2025</w:t>
      </w:r>
    </w:p>
    <w:p>
      <w:pPr>
        <w:spacing w:after="0" w:line="2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On October 28, 2022, the Company issued $1.1 billion of 6.250% Senior Notes due 2033 (the “October 2022 Notes”) and received gross proceeds of $1.1 billion, before any adjustments for debt issuance costs and discounts. The Company used a portion of the net proceeds from the October 2022 Notes offering to fund, in full, the redemption of all of the outstanding Rattler 5.625% Senior Notes due 2025 in the aggregate principal amount of $500 million, including a premium and accrued and unpaid interest thereon. The Company intends to use the remaining net proceeds for general corporate purposes, including the funding of a portion of the cash consideration for the FireBird Acquisition at closing, if it occurs. Interest on the October 2022 Notes is payable semi-annually in March and September, beginning in March 2023.</w:t>
      </w:r>
    </w:p>
    <w:p>
      <w:pPr>
        <w:spacing w:after="0" w:line="21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tab/>
        <w:t>SEGMENT INFORMATION</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September 30, 2022, the Company has one reportable segment, the upstream segment, which is engaged in the acquisition, development, exploration and exploitation of unconventional, onshore oil and natural gas reserves primarily in the Permian Basin in West Texas. Other operations are included in the “All Other” category in the table below.</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the results of the Company’s operating segments during the periods presented: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Upstream</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All Other</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Total</w:t>
            </w:r>
          </w:p>
        </w:tc>
      </w:tr>
      <w:tr>
        <w:trPr>
          <w:trHeight w:val="210"/>
        </w:trPr>
        <w:tc>
          <w:tcPr>
            <w:tcW w:w="5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gridSpan w:val="5"/>
          </w:tcPr>
          <w:p>
            <w:pPr>
              <w:ind w:left="660"/>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September 30, 2022:</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5"/>
        </w:trPr>
        <w:tc>
          <w:tcPr>
            <w:tcW w:w="5900" w:type="dxa"/>
            <w:vAlign w:val="bottom"/>
          </w:tcPr>
          <w:p>
            <w:pPr>
              <w:ind w:left="20"/>
              <w:spacing w:after="0"/>
              <w:rPr>
                <w:sz w:val="20"/>
                <w:szCs w:val="20"/>
                <w:color w:val="auto"/>
              </w:rPr>
            </w:pPr>
            <w:r>
              <w:rPr>
                <w:rFonts w:ascii="Arial" w:cs="Arial" w:eastAsia="Arial" w:hAnsi="Arial"/>
                <w:sz w:val="17"/>
                <w:szCs w:val="17"/>
                <w:color w:val="auto"/>
              </w:rPr>
              <w:t>Third-party revenues</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2,419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2,437</w:t>
            </w:r>
          </w:p>
        </w:tc>
      </w:tr>
      <w:tr>
        <w:trPr>
          <w:trHeight w:val="234"/>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Intersegment revenues</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5900" w:type="dxa"/>
            <w:vAlign w:val="bottom"/>
          </w:tcPr>
          <w:p>
            <w:pPr>
              <w:ind w:left="220"/>
              <w:spacing w:after="0"/>
              <w:rPr>
                <w:sz w:val="20"/>
                <w:szCs w:val="20"/>
                <w:color w:val="auto"/>
              </w:rPr>
            </w:pPr>
            <w:r>
              <w:rPr>
                <w:rFonts w:ascii="Arial" w:cs="Arial" w:eastAsia="Arial" w:hAnsi="Arial"/>
                <w:sz w:val="17"/>
                <w:szCs w:val="17"/>
                <w:color w:val="auto"/>
              </w:rPr>
              <w:t>Total revenues</w:t>
            </w: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2,419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(96)</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2,437</w:t>
            </w:r>
          </w:p>
        </w:tc>
      </w:tr>
      <w:tr>
        <w:trPr>
          <w:trHeight w:val="234"/>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depletion, amortization and accretion</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w:t>
            </w:r>
          </w:p>
        </w:tc>
      </w:tr>
      <w:tr>
        <w:trPr>
          <w:trHeight w:val="225"/>
        </w:trPr>
        <w:tc>
          <w:tcPr>
            <w:tcW w:w="5900" w:type="dxa"/>
            <w:vAlign w:val="bottom"/>
          </w:tcPr>
          <w:p>
            <w:pPr>
              <w:ind w:left="20"/>
              <w:spacing w:after="0"/>
              <w:rPr>
                <w:sz w:val="20"/>
                <w:szCs w:val="20"/>
                <w:color w:val="auto"/>
              </w:rPr>
            </w:pPr>
            <w:r>
              <w:rPr>
                <w:rFonts w:ascii="Arial" w:cs="Arial" w:eastAsia="Arial" w:hAnsi="Arial"/>
                <w:sz w:val="17"/>
                <w:szCs w:val="17"/>
                <w:color w:val="auto"/>
              </w:rPr>
              <w:t>Income (loss) from operations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1,598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1,614</w:t>
            </w:r>
          </w:p>
        </w:tc>
      </w:tr>
      <w:tr>
        <w:trPr>
          <w:trHeight w:val="234"/>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r>
      <w:tr>
        <w:trPr>
          <w:trHeight w:val="225"/>
        </w:trPr>
        <w:tc>
          <w:tcPr>
            <w:tcW w:w="5900" w:type="dxa"/>
            <w:vAlign w:val="bottom"/>
          </w:tcPr>
          <w:p>
            <w:pPr>
              <w:ind w:left="20"/>
              <w:spacing w:after="0"/>
              <w:rPr>
                <w:sz w:val="20"/>
                <w:szCs w:val="20"/>
                <w:color w:val="auto"/>
              </w:rPr>
            </w:pPr>
            <w:r>
              <w:rPr>
                <w:rFonts w:ascii="Arial" w:cs="Arial" w:eastAsia="Arial" w:hAnsi="Arial"/>
                <w:sz w:val="17"/>
                <w:szCs w:val="17"/>
                <w:color w:val="auto"/>
              </w:rPr>
              <w:t>Other income (expense)</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34"/>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(benefit from) income taxes</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w:t>
            </w:r>
          </w:p>
        </w:tc>
      </w:tr>
      <w:tr>
        <w:trPr>
          <w:trHeight w:val="225"/>
        </w:trPr>
        <w:tc>
          <w:tcPr>
            <w:tcW w:w="5900" w:type="dxa"/>
            <w:vAlign w:val="bottom"/>
          </w:tcPr>
          <w:p>
            <w:pPr>
              <w:ind w:left="20"/>
              <w:spacing w:after="0"/>
              <w:rPr>
                <w:sz w:val="20"/>
                <w:szCs w:val="20"/>
                <w:color w:val="auto"/>
              </w:rPr>
            </w:pPr>
            <w:r>
              <w:rPr>
                <w:rFonts w:ascii="Arial" w:cs="Arial" w:eastAsia="Arial" w:hAnsi="Arial"/>
                <w:sz w:val="17"/>
                <w:szCs w:val="17"/>
                <w:color w:val="auto"/>
              </w:rPr>
              <w:t>Net income (loss) attributable to non-controlling interest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86</w:t>
            </w:r>
          </w:p>
        </w:tc>
      </w:tr>
      <w:tr>
        <w:trPr>
          <w:trHeight w:val="234"/>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 attributable to Diamondback Energy, Inc.</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1,184</w:t>
            </w: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As of September 30, 2022:</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2"/>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22,225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23,843</w:t>
            </w:r>
          </w:p>
        </w:tc>
      </w:tr>
      <w:tr>
        <w:trPr>
          <w:trHeight w:val="564"/>
        </w:trPr>
        <w:tc>
          <w:tcPr>
            <w:tcW w:w="59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Upstream</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All Other</w:t>
            </w: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Total</w:t>
            </w:r>
          </w:p>
        </w:tc>
      </w:tr>
      <w:tr>
        <w:trPr>
          <w:trHeight w:val="210"/>
        </w:trPr>
        <w:tc>
          <w:tcPr>
            <w:tcW w:w="5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gridSpan w:val="5"/>
          </w:tcPr>
          <w:p>
            <w:pPr>
              <w:ind w:left="660"/>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September 30, 2021:</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5"/>
        </w:trPr>
        <w:tc>
          <w:tcPr>
            <w:tcW w:w="5900" w:type="dxa"/>
            <w:vAlign w:val="bottom"/>
          </w:tcPr>
          <w:p>
            <w:pPr>
              <w:ind w:left="20"/>
              <w:spacing w:after="0"/>
              <w:rPr>
                <w:sz w:val="20"/>
                <w:szCs w:val="20"/>
                <w:color w:val="auto"/>
              </w:rPr>
            </w:pPr>
            <w:r>
              <w:rPr>
                <w:rFonts w:ascii="Arial" w:cs="Arial" w:eastAsia="Arial" w:hAnsi="Arial"/>
                <w:sz w:val="17"/>
                <w:szCs w:val="17"/>
                <w:color w:val="auto"/>
              </w:rPr>
              <w:t>Third-party revenues</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1,896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1,910</w:t>
            </w:r>
          </w:p>
        </w:tc>
      </w:tr>
      <w:tr>
        <w:trPr>
          <w:trHeight w:val="234"/>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Intersegment revenues</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5900" w:type="dxa"/>
            <w:vAlign w:val="bottom"/>
          </w:tcPr>
          <w:p>
            <w:pPr>
              <w:ind w:left="220"/>
              <w:spacing w:after="0"/>
              <w:rPr>
                <w:sz w:val="20"/>
                <w:szCs w:val="20"/>
                <w:color w:val="auto"/>
              </w:rPr>
            </w:pPr>
            <w:r>
              <w:rPr>
                <w:rFonts w:ascii="Arial" w:cs="Arial" w:eastAsia="Arial" w:hAnsi="Arial"/>
                <w:sz w:val="17"/>
                <w:szCs w:val="17"/>
                <w:color w:val="auto"/>
              </w:rPr>
              <w:t>Total revenues</w:t>
            </w: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1,896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1,910</w:t>
            </w:r>
          </w:p>
        </w:tc>
      </w:tr>
      <w:tr>
        <w:trPr>
          <w:trHeight w:val="234"/>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depletion, amortization and accretion</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w:t>
            </w:r>
          </w:p>
        </w:tc>
      </w:tr>
      <w:tr>
        <w:trPr>
          <w:trHeight w:val="225"/>
        </w:trPr>
        <w:tc>
          <w:tcPr>
            <w:tcW w:w="5900" w:type="dxa"/>
            <w:vAlign w:val="bottom"/>
          </w:tcPr>
          <w:p>
            <w:pPr>
              <w:ind w:left="20"/>
              <w:spacing w:after="0"/>
              <w:rPr>
                <w:sz w:val="20"/>
                <w:szCs w:val="20"/>
                <w:color w:val="auto"/>
              </w:rPr>
            </w:pPr>
            <w:r>
              <w:rPr>
                <w:rFonts w:ascii="Arial" w:cs="Arial" w:eastAsia="Arial" w:hAnsi="Arial"/>
                <w:sz w:val="17"/>
                <w:szCs w:val="17"/>
                <w:color w:val="auto"/>
              </w:rPr>
              <w:t>Income (loss) from operations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1,164</w:t>
            </w:r>
          </w:p>
        </w:tc>
      </w:tr>
      <w:tr>
        <w:trPr>
          <w:trHeight w:val="234"/>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r>
      <w:tr>
        <w:trPr>
          <w:trHeight w:val="225"/>
        </w:trPr>
        <w:tc>
          <w:tcPr>
            <w:tcW w:w="5900" w:type="dxa"/>
            <w:vAlign w:val="bottom"/>
          </w:tcPr>
          <w:p>
            <w:pPr>
              <w:ind w:left="20"/>
              <w:spacing w:after="0"/>
              <w:rPr>
                <w:sz w:val="20"/>
                <w:szCs w:val="20"/>
                <w:color w:val="auto"/>
              </w:rPr>
            </w:pPr>
            <w:r>
              <w:rPr>
                <w:rFonts w:ascii="Arial" w:cs="Arial" w:eastAsia="Arial" w:hAnsi="Arial"/>
                <w:sz w:val="17"/>
                <w:szCs w:val="17"/>
                <w:color w:val="auto"/>
              </w:rPr>
              <w:t>Other income (expense)</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(240)</w:t>
            </w:r>
          </w:p>
        </w:tc>
      </w:tr>
      <w:tr>
        <w:trPr>
          <w:trHeight w:val="234"/>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(benefit from) income taxes</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r>
      <w:tr>
        <w:trPr>
          <w:trHeight w:val="225"/>
        </w:trPr>
        <w:tc>
          <w:tcPr>
            <w:tcW w:w="5900" w:type="dxa"/>
            <w:vAlign w:val="bottom"/>
          </w:tcPr>
          <w:p>
            <w:pPr>
              <w:ind w:left="20"/>
              <w:spacing w:after="0"/>
              <w:rPr>
                <w:sz w:val="20"/>
                <w:szCs w:val="20"/>
                <w:color w:val="auto"/>
              </w:rPr>
            </w:pPr>
            <w:r>
              <w:rPr>
                <w:rFonts w:ascii="Arial" w:cs="Arial" w:eastAsia="Arial" w:hAnsi="Arial"/>
                <w:sz w:val="17"/>
                <w:szCs w:val="17"/>
                <w:color w:val="auto"/>
              </w:rPr>
              <w:t>Net income (loss) attributable to non-controlling interest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34"/>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 attributable to Diamondback Energy, Inc.</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649</w:t>
            </w: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As of December 31, 2021:</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2"/>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21,329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22,898</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Upstream</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All Other</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Total</w:t>
            </w:r>
          </w:p>
        </w:tc>
      </w:tr>
      <w:tr>
        <w:trPr>
          <w:trHeight w:val="210"/>
        </w:trPr>
        <w:tc>
          <w:tcPr>
            <w:tcW w:w="5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gridSpan w:val="5"/>
          </w:tcPr>
          <w:p>
            <w:pPr>
              <w:ind w:left="660"/>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Nine Months Ended September 30, 2022:</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5"/>
        </w:trPr>
        <w:tc>
          <w:tcPr>
            <w:tcW w:w="5900" w:type="dxa"/>
            <w:vAlign w:val="bottom"/>
          </w:tcPr>
          <w:p>
            <w:pPr>
              <w:ind w:left="20"/>
              <w:spacing w:after="0"/>
              <w:rPr>
                <w:sz w:val="20"/>
                <w:szCs w:val="20"/>
                <w:color w:val="auto"/>
              </w:rPr>
            </w:pPr>
            <w:r>
              <w:rPr>
                <w:rFonts w:ascii="Arial" w:cs="Arial" w:eastAsia="Arial" w:hAnsi="Arial"/>
                <w:sz w:val="17"/>
                <w:szCs w:val="17"/>
                <w:color w:val="auto"/>
              </w:rPr>
              <w:t>Third-party revenues</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7,563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7,613</w:t>
            </w:r>
          </w:p>
        </w:tc>
      </w:tr>
      <w:tr>
        <w:trPr>
          <w:trHeight w:val="234"/>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Intersegment revenues</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5900" w:type="dxa"/>
            <w:vAlign w:val="bottom"/>
          </w:tcPr>
          <w:p>
            <w:pPr>
              <w:ind w:left="220"/>
              <w:spacing w:after="0"/>
              <w:rPr>
                <w:sz w:val="20"/>
                <w:szCs w:val="20"/>
                <w:color w:val="auto"/>
              </w:rPr>
            </w:pPr>
            <w:r>
              <w:rPr>
                <w:rFonts w:ascii="Arial" w:cs="Arial" w:eastAsia="Arial" w:hAnsi="Arial"/>
                <w:sz w:val="17"/>
                <w:szCs w:val="17"/>
                <w:color w:val="auto"/>
              </w:rPr>
              <w:t>Total revenues</w:t>
            </w: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7,563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7,613</w:t>
            </w:r>
          </w:p>
        </w:tc>
      </w:tr>
      <w:tr>
        <w:trPr>
          <w:trHeight w:val="234"/>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depletion, amortization and accretion</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979</w:t>
            </w:r>
          </w:p>
        </w:tc>
      </w:tr>
      <w:tr>
        <w:trPr>
          <w:trHeight w:val="225"/>
        </w:trPr>
        <w:tc>
          <w:tcPr>
            <w:tcW w:w="5900" w:type="dxa"/>
            <w:vAlign w:val="bottom"/>
          </w:tcPr>
          <w:p>
            <w:pPr>
              <w:ind w:left="20"/>
              <w:spacing w:after="0"/>
              <w:rPr>
                <w:sz w:val="20"/>
                <w:szCs w:val="20"/>
                <w:color w:val="auto"/>
              </w:rPr>
            </w:pPr>
            <w:r>
              <w:rPr>
                <w:rFonts w:ascii="Arial" w:cs="Arial" w:eastAsia="Arial" w:hAnsi="Arial"/>
                <w:sz w:val="17"/>
                <w:szCs w:val="17"/>
                <w:color w:val="auto"/>
              </w:rPr>
              <w:t>Income (loss) from operations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5,197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5,252</w:t>
            </w:r>
          </w:p>
        </w:tc>
      </w:tr>
      <w:tr>
        <w:trPr>
          <w:trHeight w:val="234"/>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w:t>
            </w:r>
          </w:p>
        </w:tc>
      </w:tr>
      <w:tr>
        <w:trPr>
          <w:trHeight w:val="225"/>
        </w:trPr>
        <w:tc>
          <w:tcPr>
            <w:tcW w:w="5900" w:type="dxa"/>
            <w:vAlign w:val="bottom"/>
          </w:tcPr>
          <w:p>
            <w:pPr>
              <w:ind w:left="20"/>
              <w:spacing w:after="0"/>
              <w:rPr>
                <w:sz w:val="20"/>
                <w:szCs w:val="20"/>
                <w:color w:val="auto"/>
              </w:rPr>
            </w:pPr>
            <w:r>
              <w:rPr>
                <w:rFonts w:ascii="Arial" w:cs="Arial" w:eastAsia="Arial" w:hAnsi="Arial"/>
                <w:sz w:val="17"/>
                <w:szCs w:val="17"/>
                <w:color w:val="auto"/>
              </w:rPr>
              <w:t>Other income (expense)</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(683)</w:t>
            </w:r>
          </w:p>
        </w:tc>
      </w:tr>
      <w:tr>
        <w:trPr>
          <w:trHeight w:val="234"/>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(benefit from) income taxes</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913</w:t>
            </w:r>
          </w:p>
        </w:tc>
      </w:tr>
      <w:tr>
        <w:trPr>
          <w:trHeight w:val="225"/>
        </w:trPr>
        <w:tc>
          <w:tcPr>
            <w:tcW w:w="5900" w:type="dxa"/>
            <w:vAlign w:val="bottom"/>
          </w:tcPr>
          <w:p>
            <w:pPr>
              <w:ind w:left="20"/>
              <w:spacing w:after="0"/>
              <w:rPr>
                <w:sz w:val="20"/>
                <w:szCs w:val="20"/>
                <w:color w:val="auto"/>
              </w:rPr>
            </w:pPr>
            <w:r>
              <w:rPr>
                <w:rFonts w:ascii="Arial" w:cs="Arial" w:eastAsia="Arial" w:hAnsi="Arial"/>
                <w:sz w:val="17"/>
                <w:szCs w:val="17"/>
                <w:color w:val="auto"/>
              </w:rPr>
              <w:t>Net income (loss) attributable to non-controlling interest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155</w:t>
            </w:r>
          </w:p>
        </w:tc>
      </w:tr>
      <w:tr>
        <w:trPr>
          <w:trHeight w:val="234"/>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 attributable to Diamondback Energy, Inc.</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3,379</w:t>
            </w: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As of September 30, 2022:</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2"/>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22,225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23,843</w:t>
            </w:r>
          </w:p>
        </w:tc>
      </w:tr>
      <w:tr>
        <w:trPr>
          <w:trHeight w:val="578"/>
        </w:trPr>
        <w:tc>
          <w:tcPr>
            <w:tcW w:w="59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Upstream</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All Other</w:t>
            </w: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Total</w:t>
            </w:r>
          </w:p>
        </w:tc>
      </w:tr>
      <w:tr>
        <w:trPr>
          <w:trHeight w:val="210"/>
        </w:trPr>
        <w:tc>
          <w:tcPr>
            <w:tcW w:w="5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gridSpan w:val="5"/>
          </w:tcPr>
          <w:p>
            <w:pPr>
              <w:ind w:left="660"/>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Nine Months Ended September 30, 2021:</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5"/>
        </w:trPr>
        <w:tc>
          <w:tcPr>
            <w:tcW w:w="5900" w:type="dxa"/>
            <w:vAlign w:val="bottom"/>
          </w:tcPr>
          <w:p>
            <w:pPr>
              <w:ind w:left="20"/>
              <w:spacing w:after="0"/>
              <w:rPr>
                <w:sz w:val="20"/>
                <w:szCs w:val="20"/>
                <w:color w:val="auto"/>
              </w:rPr>
            </w:pPr>
            <w:r>
              <w:rPr>
                <w:rFonts w:ascii="Arial" w:cs="Arial" w:eastAsia="Arial" w:hAnsi="Arial"/>
                <w:sz w:val="17"/>
                <w:szCs w:val="17"/>
                <w:color w:val="auto"/>
              </w:rPr>
              <w:t>Third-party revenues</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4,737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4,775</w:t>
            </w:r>
          </w:p>
        </w:tc>
      </w:tr>
      <w:tr>
        <w:trPr>
          <w:trHeight w:val="234"/>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Intersegment revenues</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5900" w:type="dxa"/>
            <w:vAlign w:val="bottom"/>
          </w:tcPr>
          <w:p>
            <w:pPr>
              <w:ind w:left="220"/>
              <w:spacing w:after="0"/>
              <w:rPr>
                <w:sz w:val="20"/>
                <w:szCs w:val="20"/>
                <w:color w:val="auto"/>
              </w:rPr>
            </w:pPr>
            <w:r>
              <w:rPr>
                <w:rFonts w:ascii="Arial" w:cs="Arial" w:eastAsia="Arial" w:hAnsi="Arial"/>
                <w:sz w:val="17"/>
                <w:szCs w:val="17"/>
                <w:color w:val="auto"/>
              </w:rPr>
              <w:t>Total revenues</w:t>
            </w: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4,737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(281)</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4,775</w:t>
            </w:r>
          </w:p>
        </w:tc>
      </w:tr>
      <w:tr>
        <w:trPr>
          <w:trHeight w:val="234"/>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depletion, amortization and accretion</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955</w:t>
            </w:r>
          </w:p>
        </w:tc>
      </w:tr>
      <w:tr>
        <w:trPr>
          <w:trHeight w:val="225"/>
        </w:trPr>
        <w:tc>
          <w:tcPr>
            <w:tcW w:w="5900" w:type="dxa"/>
            <w:vAlign w:val="bottom"/>
          </w:tcPr>
          <w:p>
            <w:pPr>
              <w:ind w:left="20"/>
              <w:spacing w:after="0"/>
              <w:rPr>
                <w:sz w:val="20"/>
                <w:szCs w:val="20"/>
                <w:color w:val="auto"/>
              </w:rPr>
            </w:pPr>
            <w:r>
              <w:rPr>
                <w:rFonts w:ascii="Arial" w:cs="Arial" w:eastAsia="Arial" w:hAnsi="Arial"/>
                <w:sz w:val="17"/>
                <w:szCs w:val="17"/>
                <w:color w:val="auto"/>
              </w:rPr>
              <w:t>Impairment of midstream assets</w:t>
            </w: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34"/>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(loss) from operations</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2,690</w:t>
            </w:r>
          </w:p>
        </w:tc>
      </w:tr>
      <w:tr>
        <w:trPr>
          <w:trHeight w:val="225"/>
        </w:trPr>
        <w:tc>
          <w:tcPr>
            <w:tcW w:w="5900" w:type="dxa"/>
            <w:vAlign w:val="bottom"/>
          </w:tcPr>
          <w:p>
            <w:pPr>
              <w:ind w:left="20"/>
              <w:spacing w:after="0"/>
              <w:rPr>
                <w:sz w:val="20"/>
                <w:szCs w:val="20"/>
                <w:color w:val="auto"/>
              </w:rPr>
            </w:pPr>
            <w:r>
              <w:rPr>
                <w:rFonts w:ascii="Arial" w:cs="Arial" w:eastAsia="Arial" w:hAnsi="Arial"/>
                <w:sz w:val="17"/>
                <w:szCs w:val="17"/>
                <w:color w:val="auto"/>
              </w:rPr>
              <w:t>Interest expense, net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(170)</w:t>
            </w:r>
          </w:p>
        </w:tc>
      </w:tr>
      <w:tr>
        <w:trPr>
          <w:trHeight w:val="234"/>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(943)</w:t>
            </w:r>
          </w:p>
        </w:tc>
      </w:tr>
      <w:tr>
        <w:trPr>
          <w:trHeight w:val="225"/>
        </w:trPr>
        <w:tc>
          <w:tcPr>
            <w:tcW w:w="5900" w:type="dxa"/>
            <w:vAlign w:val="bottom"/>
          </w:tcPr>
          <w:p>
            <w:pPr>
              <w:ind w:left="20"/>
              <w:spacing w:after="0"/>
              <w:rPr>
                <w:sz w:val="20"/>
                <w:szCs w:val="20"/>
                <w:color w:val="auto"/>
              </w:rPr>
            </w:pPr>
            <w:r>
              <w:rPr>
                <w:rFonts w:ascii="Arial" w:cs="Arial" w:eastAsia="Arial" w:hAnsi="Arial"/>
                <w:sz w:val="17"/>
                <w:szCs w:val="17"/>
                <w:color w:val="auto"/>
              </w:rPr>
              <w:t>Provision for (benefit from) income taxes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352</w:t>
            </w:r>
          </w:p>
        </w:tc>
      </w:tr>
      <w:tr>
        <w:trPr>
          <w:trHeight w:val="234"/>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 attributable to non-controlling interest</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r>
      <w:tr>
        <w:trPr>
          <w:trHeight w:val="225"/>
        </w:trPr>
        <w:tc>
          <w:tcPr>
            <w:tcW w:w="5900" w:type="dxa"/>
            <w:vAlign w:val="bottom"/>
          </w:tcPr>
          <w:p>
            <w:pPr>
              <w:ind w:left="20"/>
              <w:spacing w:after="0"/>
              <w:rPr>
                <w:sz w:val="20"/>
                <w:szCs w:val="20"/>
                <w:color w:val="auto"/>
              </w:rPr>
            </w:pPr>
            <w:r>
              <w:rPr>
                <w:rFonts w:ascii="Arial" w:cs="Arial" w:eastAsia="Arial" w:hAnsi="Arial"/>
                <w:sz w:val="17"/>
                <w:szCs w:val="17"/>
                <w:color w:val="auto"/>
              </w:rPr>
              <w:t>Net income (loss) attributable to Diamondback Energy, Inc.</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1,180</w:t>
            </w:r>
          </w:p>
        </w:tc>
      </w:tr>
      <w:tr>
        <w:trPr>
          <w:trHeight w:val="221"/>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 of December 31, 2021:</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0"/>
        </w:trPr>
        <w:tc>
          <w:tcPr>
            <w:tcW w:w="590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21,329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1,942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(373)</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22,898</w:t>
            </w: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ind w:firstLine="648"/>
        <w:spacing w:after="0" w:line="275" w:lineRule="auto"/>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The following discussion and analysis should be read in conjunction with our unaudited consolidated financial statements and notes thereto presented in this report as well as our audited consolidated financial statements and notes thereto included in our </w:t>
      </w:r>
      <w:hyperlink r:id="rId29">
        <w:r>
          <w:rPr>
            <w:rFonts w:ascii="Arial" w:cs="Arial" w:eastAsia="Arial" w:hAnsi="Arial"/>
            <w:sz w:val="17"/>
            <w:szCs w:val="17"/>
            <w:i w:val="1"/>
            <w:iCs w:val="1"/>
            <w:u w:val="single" w:color="auto"/>
            <w:color w:val="0000FF"/>
          </w:rPr>
          <w:t>Annual Report on Form 10-K</w:t>
        </w:r>
        <w:r>
          <w:rPr>
            <w:rFonts w:ascii="Arial" w:cs="Arial" w:eastAsia="Arial" w:hAnsi="Arial"/>
            <w:sz w:val="17"/>
            <w:szCs w:val="17"/>
            <w:i w:val="1"/>
            <w:iCs w:val="1"/>
            <w:u w:val="single" w:color="auto"/>
            <w:color w:val="auto"/>
          </w:rPr>
          <w:t xml:space="preserve"> </w:t>
        </w:r>
      </w:hyperlink>
      <w:r>
        <w:rPr>
          <w:rFonts w:ascii="Arial" w:cs="Arial" w:eastAsia="Arial" w:hAnsi="Arial"/>
          <w:sz w:val="17"/>
          <w:szCs w:val="17"/>
          <w:i w:val="1"/>
          <w:iCs w:val="1"/>
          <w:color w:val="auto"/>
        </w:rPr>
        <w:t>for the year ended December 31, 2021. The following discussion contains “forward-looking statements” that reflect our future plans, estimates, beliefs, and expected performance. Actual results and the timing of events may differ materially from those contained in these forward-looking statements due to a number of factors. See “</w:t>
      </w:r>
      <w:r>
        <w:rPr>
          <w:rFonts w:ascii="Arial" w:cs="Arial" w:eastAsia="Arial" w:hAnsi="Arial"/>
          <w:sz w:val="17"/>
          <w:szCs w:val="17"/>
          <w:i w:val="1"/>
          <w:iCs w:val="1"/>
          <w:u w:val="single" w:color="auto"/>
          <w:color w:val="0000FF"/>
        </w:rPr>
        <w:t>Part II. Item 1A. Risk Factors</w:t>
      </w:r>
      <w:r>
        <w:rPr>
          <w:rFonts w:ascii="Arial" w:cs="Arial" w:eastAsia="Arial" w:hAnsi="Arial"/>
          <w:sz w:val="17"/>
          <w:szCs w:val="17"/>
          <w:i w:val="1"/>
          <w:iCs w:val="1"/>
          <w:color w:val="auto"/>
        </w:rPr>
        <w:t>” and “</w:t>
      </w:r>
      <w:r>
        <w:rPr>
          <w:rFonts w:ascii="Arial" w:cs="Arial" w:eastAsia="Arial" w:hAnsi="Arial"/>
          <w:sz w:val="17"/>
          <w:szCs w:val="17"/>
          <w:i w:val="1"/>
          <w:iCs w:val="1"/>
          <w:u w:val="single" w:color="auto"/>
          <w:color w:val="0000FF"/>
        </w:rPr>
        <w:t>Cautionary Statement Regarding Forward-Looking Statements</w:t>
      </w:r>
      <w:r>
        <w:rPr>
          <w:rFonts w:ascii="Arial" w:cs="Arial" w:eastAsia="Arial" w:hAnsi="Arial"/>
          <w:sz w:val="17"/>
          <w:szCs w:val="17"/>
          <w:i w:val="1"/>
          <w:iCs w:val="1"/>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are an independent oil and natural gas company currently focused on the acquisition, development, exploration and exploitation of unconventional, onshore oil and natural gas reserves in the Permian Basin in West Texas. As of September 30, 2022, we have one reportable segment, the upstream segment. See Note 1—</w:t>
      </w:r>
      <w:r>
        <w:rPr>
          <w:rFonts w:ascii="Arial" w:cs="Arial" w:eastAsia="Arial" w:hAnsi="Arial"/>
          <w:sz w:val="17"/>
          <w:szCs w:val="17"/>
          <w:u w:val="single" w:color="auto"/>
          <w:color w:val="0000FF"/>
        </w:rPr>
        <w:t>Description of the Business and Basis of Presentation</w:t>
      </w:r>
      <w:r>
        <w:rPr>
          <w:rFonts w:ascii="Arial" w:cs="Arial" w:eastAsia="Arial" w:hAnsi="Arial"/>
          <w:sz w:val="17"/>
          <w:szCs w:val="17"/>
          <w:color w:val="auto"/>
        </w:rPr>
        <w:t xml:space="preserve"> and Note 16—</w:t>
      </w:r>
      <w:r>
        <w:rPr>
          <w:rFonts w:ascii="Arial" w:cs="Arial" w:eastAsia="Arial" w:hAnsi="Arial"/>
          <w:sz w:val="17"/>
          <w:szCs w:val="17"/>
          <w:u w:val="single" w:color="auto"/>
          <w:color w:val="0000FF"/>
        </w:rPr>
        <w:t>Segment Information</w:t>
      </w:r>
      <w:r>
        <w:rPr>
          <w:rFonts w:ascii="Arial" w:cs="Arial" w:eastAsia="Arial" w:hAnsi="Arial"/>
          <w:sz w:val="17"/>
          <w:szCs w:val="17"/>
          <w:color w:val="auto"/>
        </w:rPr>
        <w:t>.</w:t>
      </w:r>
    </w:p>
    <w:p>
      <w:pPr>
        <w:spacing w:after="0" w:line="19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Despite the recovery in commodity prices and rising demand in recent quarters, we expect to hold our oil production levels flat for the remainder of 2022. During the second quarter of 2022, we announced an increase to our quarterly return of capital commitment to at least 75% of our free cash flow beginning in the third quarter of 2022. Accordingly, we are utilizing our free cash flow to meet our quarterly return of capital commitment and for debt repayment rather than expanding our drilling program. During and subsequent to the third quarter of 2022, we continued to pay down debt and believe we have a strong balance sheet that can withstand another down cycle. We are focused on maintaining high cash margins and a low-cost structure to drive an increasing return on capital and operational excellence, and to mitigate inflationary pressures through improvements and efficiencies in our drilling and completion programs. Going forward, we intend to continue to remain flexible and use a combination of our growing and sustainable base dividend, variable dividend and opportunistic share repurchase program to generate the highest value proposition for our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4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On October 11, 2022, we entered into a definitive purchase and sale agreement for the FireBird Acquisition to acquire approximately 75,000 gross (68,000 net) acres in the Midland Basin and certain related oil and gas assets. Consideration for the FireBird Acquisition consists of $775 million in cash and 5.86 million shares of our common stock, subject to customary adjustments. The FireBird Acquisition is expected to close late in the fourth quarter of 2022, subject to continued diligence and closing conditions, including completion of the waiting period under the Hart-Scott-Rodino Act.</w:t>
      </w:r>
    </w:p>
    <w:p>
      <w:pPr>
        <w:spacing w:after="0" w:line="18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On October 28, 2022, we issued $1.1 billion in principal amount of the October 2022 Notes and received gross proceeds of $1.1 billion, before any adjustments for debt issuance costs and discounts. We used a portion of the net proceeds from the October 2022 Notes offering to fund, in full, the redemption of all of the outstanding Rattler 5.625% Senior Notes due 2025 in the aggregate principal amount of $500 million including a premium and accrued and unpaid interest thereon, and intend to use the remaining net proceeds for general corporate purposes, including the funding of a portion of the cash consideration for the FireBird Acquisition at closing, if it occurs.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In October 2022, we announced our target to sell at least $500 million of non-core assets by year-end 2023, ensuring that we maintain our investment grade balance sheet and improve our overall financial position. The announced target includes the $155 million of non-core assets sold in October 2022, which are discussed further in Note 15 — </w:t>
      </w:r>
      <w:r>
        <w:rPr>
          <w:rFonts w:ascii="Arial" w:cs="Arial" w:eastAsia="Arial" w:hAnsi="Arial"/>
          <w:sz w:val="18"/>
          <w:szCs w:val="18"/>
          <w:u w:val="single" w:color="auto"/>
          <w:color w:val="0000FF"/>
        </w:rPr>
        <w:t>Subsequent Events</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2022 Highlights</w:t>
      </w:r>
    </w:p>
    <w:p>
      <w:pPr>
        <w:spacing w:after="0" w:line="239"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color w:val="auto"/>
        </w:rPr>
        <w:t>We recorded net income of $1.2 billion for the third quarter of 2022.</w:t>
      </w:r>
    </w:p>
    <w:p>
      <w:pPr>
        <w:spacing w:after="0" w:line="225" w:lineRule="exact"/>
        <w:rPr>
          <w:rFonts w:ascii="Arial" w:cs="Arial" w:eastAsia="Arial" w:hAnsi="Arial"/>
          <w:sz w:val="18"/>
          <w:szCs w:val="18"/>
          <w:b w:val="1"/>
          <w:bCs w:val="1"/>
          <w:i w:val="1"/>
          <w:iCs w:val="1"/>
          <w:color w:val="auto"/>
        </w:rPr>
      </w:pPr>
    </w:p>
    <w:p>
      <w:pPr>
        <w:jc w:val="both"/>
        <w:ind w:left="660" w:hanging="328"/>
        <w:spacing w:after="0" w:line="248"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Paid dividends to stockholders of $526 million during the third quarter of 2022 and declared a cash dividend payable in the fourth quarter of 2022 of $2.26 per share of common stock, consisting of a base quarterly dividend of $0.75 per share of common stock and a variable quarterly dividend of $1.51 per share of common stock.</w:t>
      </w:r>
    </w:p>
    <w:p>
      <w:pPr>
        <w:spacing w:after="0" w:line="19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Repurchased $472 million of our common stock, leaving approximately $2.8 billion available for future purchases under our common stock repurchase program at September 30, 2022.</w:t>
      </w:r>
    </w:p>
    <w:p>
      <w:pPr>
        <w:spacing w:after="0" w:line="197"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Completed the Rattler Merger on August 24, 2022, which resulted in the issuance of approximately 4 million additional common shares and the full repayment of $269 million of borrowings outstanding under the Rattler LLC credit agreement.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77" w:lineRule="exact"/>
        <w:rPr>
          <w:sz w:val="20"/>
          <w:szCs w:val="20"/>
          <w:color w:val="auto"/>
        </w:rPr>
      </w:pPr>
    </w:p>
    <w:p>
      <w:pPr>
        <w:ind w:left="660" w:hanging="328"/>
        <w:spacing w:after="0" w:line="324" w:lineRule="auto"/>
        <w:tabs>
          <w:tab w:leader="none" w:pos="6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cash operating costs for the third quarter of 2022 were $11.97 per BOE, including lease operating expenses of $5.09 per BOE, cash general and administrative expenses of $0.56 per BOE and production and ad valorem taxes and gathering and transportation expenses of $6.32 per BOE.</w:t>
      </w:r>
    </w:p>
    <w:p>
      <w:pPr>
        <w:spacing w:after="0" w:line="137"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average production was 390.6 MBOE/d during the third quarter of 2022.</w:t>
      </w:r>
    </w:p>
    <w:p>
      <w:pPr>
        <w:spacing w:after="0" w:line="23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Drilled 48 gross horizontal wells in the Midland Basin and 11 gross horizontal wells in the Delaware Basin, and turned 63 gross operated horizontal wells (42 in the Midland Basin and 21 in the Delaware Basin) to production.</w:t>
      </w:r>
    </w:p>
    <w:p>
      <w:pPr>
        <w:spacing w:after="0" w:line="184" w:lineRule="exact"/>
        <w:rPr>
          <w:rFonts w:ascii="Arial" w:cs="Arial" w:eastAsia="Arial" w:hAnsi="Arial"/>
          <w:sz w:val="18"/>
          <w:szCs w:val="18"/>
          <w:color w:val="auto"/>
        </w:rPr>
      </w:pPr>
    </w:p>
    <w:p>
      <w:pPr>
        <w:ind w:left="700" w:hanging="368"/>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Incurred capital expenditures, excluding acquisitions, of $491 million during the third quarter of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Prices and Inflation</w:t>
      </w:r>
    </w:p>
    <w:p>
      <w:pPr>
        <w:spacing w:after="0" w:line="23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Prices for oil, natural gas and natural gas liquids are determined primarily by prevailing market conditions. Regional and worldwide economic activity, including any economic downturn or recession that has occurred or may occur in the future, extreme weather conditions and other substantially variable factors, influence market conditions for these products. These factors are beyond our control and are difficult to predict. During 2022 and 2021, NYMEX WTI price for crude oil ranged from $47.62 to $123.70 per Bbl, and the NYMEX Henry Hub price of natural gas ranged from $2.45 to $9.68 per MMBtu, with seven-year highs reached in 2022. The war in Ukraine, the COVID-19 pandemic, rising interest rates, global supply chain disruptions, concerns about a potential economic downturn or recession and recent measures to combat persistent inflation have continued to contribute to economic and pricing volatility during 2022. Although the impact of inflation on our business has been insignificant in prior periods, inflation in the U.S. has been rising at its fastest rate in over 40 years, creating inflationary pressure on the cost of services, equipment and other goods in the energy industry and other sectors, which is contributing to labor and materials shortages across the supply-chain. Additionally, OPEC and its non-OPEC allies, known collectively as OPEC+, continues to meet regularly to evaluate the state of global oil supply, demand and inventory levels, and has planned production decreases in order to stabilize oil prices during the third quarter of 2022. As such, pricing may remain volatile during the remainder of 2022.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Upstream Segment</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activities are primarily directed at the horizontal development of the Wolfcamp and Spraberry formations in the Midland Basin and the Wolfcamp and Bone Spring formations in the Delaware Basin within the Permian Basin. We intend to continue to develop our reserves and increase production through development drilling and exploitation and exploration activities on our multi-year inventory of identified potential drilling locations and through acquisitions that meet our strategic and financial objectives, targeting oil-weighted reserves. Additionally, our publicly-traded subsidiary, Viper, is focused on owning and acquiring mineral interests and royalty interests in oil and natural gas properties primarily in the Permian Basin and derives royalty income and lease bonus income from such interests.</w:t>
      </w:r>
    </w:p>
    <w:p>
      <w:pPr>
        <w:spacing w:after="0" w:line="21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September 30, 2022, we had approximately 450,045 net acres, which primarily consisted of approximately 268,782 net acres in the Midland Basin and 153,203 net acres in the Delaware Basin.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total number of operated horizontal wells drilled and completed during the third quarter of 2022:</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40" w:type="dxa"/>
            <w:vAlign w:val="bottom"/>
          </w:tcPr>
          <w:p>
            <w:pPr>
              <w:spacing w:after="0"/>
              <w:rPr>
                <w:sz w:val="18"/>
                <w:szCs w:val="18"/>
                <w:color w:val="auto"/>
              </w:rPr>
            </w:pPr>
          </w:p>
        </w:tc>
        <w:tc>
          <w:tcPr>
            <w:tcW w:w="3580" w:type="dxa"/>
            <w:vAlign w:val="bottom"/>
            <w:tcBorders>
              <w:bottom w:val="single" w:sz="8" w:color="auto"/>
            </w:tcBorders>
            <w:gridSpan w:val="8"/>
          </w:tcPr>
          <w:p>
            <w:pPr>
              <w:ind w:left="680"/>
              <w:spacing w:after="0"/>
              <w:rPr>
                <w:sz w:val="20"/>
                <w:szCs w:val="20"/>
                <w:color w:val="auto"/>
              </w:rPr>
            </w:pPr>
            <w:r>
              <w:rPr>
                <w:rFonts w:ascii="Arial" w:cs="Arial" w:eastAsia="Arial" w:hAnsi="Arial"/>
                <w:sz w:val="16"/>
                <w:szCs w:val="16"/>
                <w:b w:val="1"/>
                <w:bCs w:val="1"/>
                <w:color w:val="auto"/>
                <w:w w:val="92"/>
              </w:rPr>
              <w:t>Three Months Ended September 30, 2022</w:t>
            </w:r>
          </w:p>
        </w:tc>
        <w:tc>
          <w:tcPr>
            <w:tcW w:w="3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580" w:type="dxa"/>
            <w:vAlign w:val="bottom"/>
            <w:tcBorders>
              <w:bottom w:val="single" w:sz="8" w:color="auto"/>
            </w:tcBorders>
            <w:gridSpan w:val="8"/>
          </w:tcPr>
          <w:p>
            <w:pPr>
              <w:ind w:left="740"/>
              <w:spacing w:after="0"/>
              <w:rPr>
                <w:sz w:val="20"/>
                <w:szCs w:val="20"/>
                <w:color w:val="auto"/>
              </w:rPr>
            </w:pPr>
            <w:r>
              <w:rPr>
                <w:rFonts w:ascii="Arial" w:cs="Arial" w:eastAsia="Arial" w:hAnsi="Arial"/>
                <w:sz w:val="16"/>
                <w:szCs w:val="16"/>
                <w:b w:val="1"/>
                <w:bCs w:val="1"/>
                <w:color w:val="auto"/>
                <w:w w:val="92"/>
              </w:rPr>
              <w:t>Nine Months Ended September 30, 2022</w:t>
            </w:r>
          </w:p>
        </w:tc>
        <w:tc>
          <w:tcPr>
            <w:tcW w:w="680" w:type="dxa"/>
            <w:vAlign w:val="bottom"/>
            <w:tcBorders>
              <w:bottom w:val="single" w:sz="8" w:color="auto"/>
            </w:tcBorders>
          </w:tcPr>
          <w:p>
            <w:pPr>
              <w:spacing w:after="0"/>
              <w:rPr>
                <w:sz w:val="18"/>
                <w:szCs w:val="18"/>
                <w:color w:val="auto"/>
              </w:rPr>
            </w:pPr>
          </w:p>
        </w:tc>
      </w:tr>
      <w:tr>
        <w:trPr>
          <w:trHeight w:val="213"/>
        </w:trPr>
        <w:tc>
          <w:tcPr>
            <w:tcW w:w="2640" w:type="dxa"/>
            <w:vAlign w:val="bottom"/>
          </w:tcPr>
          <w:p>
            <w:pPr>
              <w:spacing w:after="0"/>
              <w:rPr>
                <w:sz w:val="18"/>
                <w:szCs w:val="18"/>
                <w:color w:val="auto"/>
              </w:rPr>
            </w:pPr>
          </w:p>
        </w:tc>
        <w:tc>
          <w:tcPr>
            <w:tcW w:w="1360" w:type="dxa"/>
            <w:vAlign w:val="bottom"/>
            <w:tcBorders>
              <w:bottom w:val="single" w:sz="8" w:color="auto"/>
            </w:tcBorders>
            <w:gridSpan w:val="3"/>
          </w:tcPr>
          <w:p>
            <w:pPr>
              <w:ind w:left="800"/>
              <w:spacing w:after="0"/>
              <w:rPr>
                <w:sz w:val="20"/>
                <w:szCs w:val="20"/>
                <w:color w:val="auto"/>
              </w:rPr>
            </w:pPr>
            <w:r>
              <w:rPr>
                <w:rFonts w:ascii="Arial" w:cs="Arial" w:eastAsia="Arial" w:hAnsi="Arial"/>
                <w:sz w:val="16"/>
                <w:szCs w:val="16"/>
                <w:b w:val="1"/>
                <w:bCs w:val="1"/>
                <w:color w:val="auto"/>
              </w:rPr>
              <w:t>Drilled</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Borders>
              <w:bottom w:val="single" w:sz="8" w:color="auto"/>
            </w:tcBorders>
            <w:gridSpan w:val="4"/>
          </w:tcPr>
          <w:p>
            <w:pPr>
              <w:ind w:left="600"/>
              <w:spacing w:after="0" w:line="213" w:lineRule="exact"/>
              <w:rPr>
                <w:sz w:val="20"/>
                <w:szCs w:val="20"/>
                <w:color w:val="auto"/>
              </w:rPr>
            </w:pPr>
            <w:r>
              <w:rPr>
                <w:rFonts w:ascii="Arial" w:cs="Arial" w:eastAsia="Arial" w:hAnsi="Arial"/>
                <w:sz w:val="16"/>
                <w:szCs w:val="16"/>
                <w:b w:val="1"/>
                <w:bCs w:val="1"/>
                <w:color w:val="auto"/>
              </w:rPr>
              <w:t>Completed</w:t>
            </w:r>
            <w:r>
              <w:rPr>
                <w:rFonts w:ascii="Arial" w:cs="Arial" w:eastAsia="Arial" w:hAnsi="Arial"/>
                <w:sz w:val="21"/>
                <w:szCs w:val="21"/>
                <w:b w:val="1"/>
                <w:bCs w:val="1"/>
                <w:color w:val="auto"/>
                <w:vertAlign w:val="superscript"/>
              </w:rPr>
              <w:t>(1)</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bottom w:val="single" w:sz="8" w:color="auto"/>
            </w:tcBorders>
            <w:gridSpan w:val="3"/>
          </w:tcPr>
          <w:p>
            <w:pPr>
              <w:ind w:left="800"/>
              <w:spacing w:after="0"/>
              <w:rPr>
                <w:sz w:val="20"/>
                <w:szCs w:val="20"/>
                <w:color w:val="auto"/>
              </w:rPr>
            </w:pPr>
            <w:r>
              <w:rPr>
                <w:rFonts w:ascii="Arial" w:cs="Arial" w:eastAsia="Arial" w:hAnsi="Arial"/>
                <w:sz w:val="16"/>
                <w:szCs w:val="16"/>
                <w:b w:val="1"/>
                <w:bCs w:val="1"/>
                <w:color w:val="auto"/>
              </w:rPr>
              <w:t>Drilled</w:t>
            </w: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tcBorders>
              <w:bottom w:val="single" w:sz="8" w:color="auto"/>
            </w:tcBorders>
            <w:gridSpan w:val="4"/>
          </w:tcPr>
          <w:p>
            <w:pPr>
              <w:jc w:val="right"/>
              <w:ind w:right="512"/>
              <w:spacing w:after="0" w:line="213" w:lineRule="exact"/>
              <w:rPr>
                <w:sz w:val="20"/>
                <w:szCs w:val="20"/>
                <w:color w:val="auto"/>
              </w:rPr>
            </w:pPr>
            <w:r>
              <w:rPr>
                <w:rFonts w:ascii="Arial" w:cs="Arial" w:eastAsia="Arial" w:hAnsi="Arial"/>
                <w:sz w:val="16"/>
                <w:szCs w:val="16"/>
                <w:b w:val="1"/>
                <w:bCs w:val="1"/>
                <w:color w:val="auto"/>
              </w:rPr>
              <w:t>Completed</w:t>
            </w:r>
            <w:r>
              <w:rPr>
                <w:rFonts w:ascii="Arial" w:cs="Arial" w:eastAsia="Arial" w:hAnsi="Arial"/>
                <w:sz w:val="21"/>
                <w:szCs w:val="21"/>
                <w:b w:val="1"/>
                <w:bCs w:val="1"/>
                <w:color w:val="auto"/>
                <w:vertAlign w:val="superscript"/>
              </w:rPr>
              <w:t>(2)</w:t>
            </w:r>
          </w:p>
        </w:tc>
      </w:tr>
      <w:tr>
        <w:trPr>
          <w:trHeight w:val="207"/>
        </w:trPr>
        <w:tc>
          <w:tcPr>
            <w:tcW w:w="2640" w:type="dxa"/>
            <w:vAlign w:val="bottom"/>
          </w:tcPr>
          <w:p>
            <w:pPr>
              <w:ind w:left="20"/>
              <w:spacing w:after="0"/>
              <w:rPr>
                <w:sz w:val="20"/>
                <w:szCs w:val="20"/>
                <w:color w:val="auto"/>
              </w:rPr>
            </w:pPr>
            <w:r>
              <w:rPr>
                <w:rFonts w:ascii="Arial" w:cs="Arial" w:eastAsia="Arial" w:hAnsi="Arial"/>
                <w:sz w:val="16"/>
                <w:szCs w:val="16"/>
                <w:b w:val="1"/>
                <w:bCs w:val="1"/>
                <w:color w:val="auto"/>
              </w:rPr>
              <w:t>Area:</w:t>
            </w:r>
          </w:p>
        </w:tc>
        <w:tc>
          <w:tcPr>
            <w:tcW w:w="1360" w:type="dxa"/>
            <w:vAlign w:val="bottom"/>
            <w:gridSpan w:val="3"/>
          </w:tcPr>
          <w:p>
            <w:pPr>
              <w:ind w:left="300"/>
              <w:spacing w:after="0"/>
              <w:rPr>
                <w:sz w:val="20"/>
                <w:szCs w:val="20"/>
                <w:color w:val="auto"/>
              </w:rPr>
            </w:pPr>
            <w:r>
              <w:rPr>
                <w:rFonts w:ascii="Arial" w:cs="Arial" w:eastAsia="Arial" w:hAnsi="Arial"/>
                <w:sz w:val="16"/>
                <w:szCs w:val="16"/>
                <w:b w:val="1"/>
                <w:bCs w:val="1"/>
                <w:color w:val="auto"/>
              </w:rPr>
              <w:t>Gross</w:t>
            </w:r>
          </w:p>
        </w:tc>
        <w:tc>
          <w:tcPr>
            <w:tcW w:w="700" w:type="dxa"/>
            <w:vAlign w:val="bottom"/>
          </w:tcPr>
          <w:p>
            <w:pPr>
              <w:jc w:val="right"/>
              <w:ind w:right="272"/>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7"/>
                <w:szCs w:val="17"/>
                <w:color w:val="auto"/>
              </w:rPr>
            </w:pPr>
          </w:p>
        </w:tc>
        <w:tc>
          <w:tcPr>
            <w:tcW w:w="1420" w:type="dxa"/>
            <w:vAlign w:val="bottom"/>
            <w:gridSpan w:val="3"/>
          </w:tcPr>
          <w:p>
            <w:pPr>
              <w:ind w:left="300"/>
              <w:spacing w:after="0"/>
              <w:rPr>
                <w:sz w:val="20"/>
                <w:szCs w:val="20"/>
                <w:color w:val="auto"/>
              </w:rPr>
            </w:pPr>
            <w:r>
              <w:rPr>
                <w:rFonts w:ascii="Arial" w:cs="Arial" w:eastAsia="Arial" w:hAnsi="Arial"/>
                <w:sz w:val="16"/>
                <w:szCs w:val="16"/>
                <w:b w:val="1"/>
                <w:bCs w:val="1"/>
                <w:color w:val="auto"/>
              </w:rPr>
              <w:t>Gross</w:t>
            </w:r>
          </w:p>
        </w:tc>
        <w:tc>
          <w:tcPr>
            <w:tcW w:w="340" w:type="dxa"/>
            <w:vAlign w:val="bottom"/>
          </w:tcPr>
          <w:p>
            <w:pPr>
              <w:ind w:left="40"/>
              <w:spacing w:after="0"/>
              <w:rPr>
                <w:sz w:val="20"/>
                <w:szCs w:val="20"/>
                <w:color w:val="auto"/>
              </w:rPr>
            </w:pPr>
            <w:r>
              <w:rPr>
                <w:rFonts w:ascii="Arial" w:cs="Arial" w:eastAsia="Arial" w:hAnsi="Arial"/>
                <w:sz w:val="16"/>
                <w:szCs w:val="16"/>
                <w:b w:val="1"/>
                <w:bCs w:val="1"/>
                <w:color w:val="auto"/>
              </w:rPr>
              <w:t>Net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ind w:left="300"/>
              <w:spacing w:after="0"/>
              <w:rPr>
                <w:sz w:val="20"/>
                <w:szCs w:val="20"/>
                <w:color w:val="auto"/>
              </w:rPr>
            </w:pPr>
            <w:r>
              <w:rPr>
                <w:rFonts w:ascii="Arial" w:cs="Arial" w:eastAsia="Arial" w:hAnsi="Arial"/>
                <w:sz w:val="16"/>
                <w:szCs w:val="16"/>
                <w:b w:val="1"/>
                <w:bCs w:val="1"/>
                <w:color w:val="auto"/>
              </w:rPr>
              <w:t>Gross</w:t>
            </w:r>
          </w:p>
        </w:tc>
        <w:tc>
          <w:tcPr>
            <w:tcW w:w="720" w:type="dxa"/>
            <w:vAlign w:val="bottom"/>
          </w:tcPr>
          <w:p>
            <w:pPr>
              <w:jc w:val="right"/>
              <w:ind w:right="292"/>
              <w:spacing w:after="0"/>
              <w:rPr>
                <w:sz w:val="20"/>
                <w:szCs w:val="20"/>
                <w:color w:val="auto"/>
              </w:rPr>
            </w:pPr>
            <w:r>
              <w:rPr>
                <w:rFonts w:ascii="Arial" w:cs="Arial" w:eastAsia="Arial" w:hAnsi="Arial"/>
                <w:sz w:val="16"/>
                <w:szCs w:val="16"/>
                <w:b w:val="1"/>
                <w:bCs w:val="1"/>
                <w:color w:val="auto"/>
              </w:rPr>
              <w:t>Net</w:t>
            </w:r>
          </w:p>
        </w:tc>
        <w:tc>
          <w:tcPr>
            <w:tcW w:w="80" w:type="dxa"/>
            <w:vAlign w:val="bottom"/>
          </w:tcPr>
          <w:p>
            <w:pPr>
              <w:spacing w:after="0"/>
              <w:rPr>
                <w:sz w:val="17"/>
                <w:szCs w:val="17"/>
                <w:color w:val="auto"/>
              </w:rPr>
            </w:pPr>
          </w:p>
        </w:tc>
        <w:tc>
          <w:tcPr>
            <w:tcW w:w="1420" w:type="dxa"/>
            <w:vAlign w:val="bottom"/>
            <w:gridSpan w:val="3"/>
          </w:tcPr>
          <w:p>
            <w:pPr>
              <w:ind w:left="300"/>
              <w:spacing w:after="0"/>
              <w:rPr>
                <w:sz w:val="20"/>
                <w:szCs w:val="20"/>
                <w:color w:val="auto"/>
              </w:rPr>
            </w:pPr>
            <w:r>
              <w:rPr>
                <w:rFonts w:ascii="Arial" w:cs="Arial" w:eastAsia="Arial" w:hAnsi="Arial"/>
                <w:sz w:val="16"/>
                <w:szCs w:val="16"/>
                <w:b w:val="1"/>
                <w:bCs w:val="1"/>
                <w:color w:val="auto"/>
              </w:rPr>
              <w:t>Gross</w:t>
            </w:r>
          </w:p>
        </w:tc>
        <w:tc>
          <w:tcPr>
            <w:tcW w:w="680" w:type="dxa"/>
            <w:vAlign w:val="bottom"/>
          </w:tcPr>
          <w:p>
            <w:pPr>
              <w:jc w:val="right"/>
              <w:ind w:right="292"/>
              <w:spacing w:after="0"/>
              <w:rPr>
                <w:sz w:val="20"/>
                <w:szCs w:val="20"/>
                <w:color w:val="auto"/>
              </w:rPr>
            </w:pPr>
            <w:r>
              <w:rPr>
                <w:rFonts w:ascii="Arial" w:cs="Arial" w:eastAsia="Arial" w:hAnsi="Arial"/>
                <w:sz w:val="16"/>
                <w:szCs w:val="16"/>
                <w:b w:val="1"/>
                <w:bCs w:val="1"/>
                <w:color w:val="auto"/>
              </w:rPr>
              <w:t>Net</w:t>
            </w:r>
          </w:p>
        </w:tc>
      </w:tr>
      <w:tr>
        <w:trPr>
          <w:trHeight w:val="226"/>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Midland Basin</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30"/>
        </w:trPr>
        <w:tc>
          <w:tcPr>
            <w:tcW w:w="2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Delaware Basin</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48"/>
        </w:trPr>
        <w:tc>
          <w:tcPr>
            <w:tcW w:w="2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left="340" w:hanging="332"/>
        <w:spacing w:after="0" w:line="251" w:lineRule="auto"/>
        <w:tabs>
          <w:tab w:leader="none" w:pos="33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average lateral length for the wells completed during the third quarter of 2022 was 11,289 feet. Operated completions during the third quarter of 2022 consisted of 26 Wolfcamp A wells, 16 Lower Spraberry wells, 13 Wolfcamp B wells, three Second Bone Spring wells, two Third Bone Spring wells, two Jo Mill wells and one Middle Spraberry well.</w:t>
      </w:r>
    </w:p>
    <w:p>
      <w:pPr>
        <w:spacing w:after="0" w:line="1" w:lineRule="exact"/>
        <w:rPr>
          <w:rFonts w:ascii="Arial" w:cs="Arial" w:eastAsia="Arial" w:hAnsi="Arial"/>
          <w:sz w:val="18"/>
          <w:szCs w:val="18"/>
          <w:color w:val="auto"/>
        </w:rPr>
      </w:pPr>
    </w:p>
    <w:p>
      <w:pPr>
        <w:jc w:val="both"/>
        <w:ind w:left="340" w:hanging="332"/>
        <w:spacing w:after="0" w:line="239" w:lineRule="auto"/>
        <w:tabs>
          <w:tab w:leader="none" w:pos="33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average lateral length for the wells completed during the first nine months of 2022 was 10,439 feet. Operated completions during the first nine months of 2022 consisted of 61 Wolfcamp A wells, 50 Lower Spraberry wells, 32 Wolfcamp B wells, 21 Jo Mill wells, 15 Middle Spraberry wells, 11 Second Bone Spring wells, three Third Bone Spring wells and one Barnett well.</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2022, we operated the following wells: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6"/>
                <w:szCs w:val="16"/>
                <w:b w:val="1"/>
                <w:bCs w:val="1"/>
                <w:color w:val="auto"/>
                <w:w w:val="89"/>
              </w:rPr>
              <w:t>As of September 30, 2022</w:t>
            </w: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07"/>
        </w:trPr>
        <w:tc>
          <w:tcPr>
            <w:tcW w:w="4020" w:type="dxa"/>
            <w:vAlign w:val="bottom"/>
          </w:tcPr>
          <w:p>
            <w:pPr>
              <w:spacing w:after="0"/>
              <w:rPr>
                <w:sz w:val="17"/>
                <w:szCs w:val="17"/>
                <w:color w:val="auto"/>
              </w:rPr>
            </w:pPr>
          </w:p>
        </w:tc>
        <w:tc>
          <w:tcPr>
            <w:tcW w:w="1640" w:type="dxa"/>
            <w:vAlign w:val="bottom"/>
            <w:gridSpan w:val="3"/>
          </w:tcPr>
          <w:p>
            <w:pPr>
              <w:ind w:left="680"/>
              <w:spacing w:after="0"/>
              <w:rPr>
                <w:sz w:val="20"/>
                <w:szCs w:val="20"/>
                <w:color w:val="auto"/>
              </w:rPr>
            </w:pPr>
            <w:r>
              <w:rPr>
                <w:rFonts w:ascii="Arial" w:cs="Arial" w:eastAsia="Arial" w:hAnsi="Arial"/>
                <w:sz w:val="16"/>
                <w:szCs w:val="16"/>
                <w:b w:val="1"/>
                <w:bCs w:val="1"/>
                <w:color w:val="auto"/>
                <w:w w:val="90"/>
              </w:rPr>
              <w:t>Vertical Wells</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4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3"/>
              </w:rPr>
              <w:t>Horizontal Wells</w:t>
            </w:r>
          </w:p>
        </w:tc>
        <w:tc>
          <w:tcPr>
            <w:tcW w:w="1520" w:type="dxa"/>
            <w:vAlign w:val="bottom"/>
            <w:gridSpan w:val="3"/>
          </w:tcPr>
          <w:p>
            <w:pPr>
              <w:ind w:left="1000"/>
              <w:spacing w:after="0"/>
              <w:rPr>
                <w:sz w:val="20"/>
                <w:szCs w:val="20"/>
                <w:color w:val="auto"/>
              </w:rPr>
            </w:pPr>
            <w:r>
              <w:rPr>
                <w:rFonts w:ascii="Arial" w:cs="Arial" w:eastAsia="Arial" w:hAnsi="Arial"/>
                <w:sz w:val="16"/>
                <w:szCs w:val="16"/>
                <w:b w:val="1"/>
                <w:bCs w:val="1"/>
                <w:color w:val="auto"/>
              </w:rPr>
              <w:t>Total</w:t>
            </w:r>
          </w:p>
        </w:tc>
        <w:tc>
          <w:tcPr>
            <w:tcW w:w="840" w:type="dxa"/>
            <w:vAlign w:val="bottom"/>
          </w:tcPr>
          <w:p>
            <w:pPr>
              <w:spacing w:after="0"/>
              <w:rPr>
                <w:sz w:val="17"/>
                <w:szCs w:val="17"/>
                <w:color w:val="auto"/>
              </w:rPr>
            </w:pPr>
          </w:p>
        </w:tc>
      </w:tr>
      <w:tr>
        <w:trPr>
          <w:trHeight w:val="212"/>
        </w:trPr>
        <w:tc>
          <w:tcPr>
            <w:tcW w:w="4020" w:type="dxa"/>
            <w:vAlign w:val="bottom"/>
          </w:tcPr>
          <w:p>
            <w:pPr>
              <w:ind w:left="20"/>
              <w:spacing w:after="0"/>
              <w:rPr>
                <w:sz w:val="20"/>
                <w:szCs w:val="20"/>
                <w:color w:val="auto"/>
              </w:rPr>
            </w:pPr>
            <w:r>
              <w:rPr>
                <w:rFonts w:ascii="Arial" w:cs="Arial" w:eastAsia="Arial" w:hAnsi="Arial"/>
                <w:sz w:val="16"/>
                <w:szCs w:val="16"/>
                <w:b w:val="1"/>
                <w:bCs w:val="1"/>
                <w:color w:val="auto"/>
              </w:rPr>
              <w:t>Area:</w:t>
            </w:r>
          </w:p>
        </w:tc>
        <w:tc>
          <w:tcPr>
            <w:tcW w:w="1640" w:type="dxa"/>
            <w:vAlign w:val="bottom"/>
            <w:tcBorders>
              <w:top w:val="single" w:sz="8" w:color="auto"/>
            </w:tcBorders>
            <w:gridSpan w:val="3"/>
          </w:tcPr>
          <w:p>
            <w:pPr>
              <w:ind w:left="360"/>
              <w:spacing w:after="0"/>
              <w:rPr>
                <w:sz w:val="20"/>
                <w:szCs w:val="20"/>
                <w:color w:val="auto"/>
              </w:rPr>
            </w:pPr>
            <w:r>
              <w:rPr>
                <w:rFonts w:ascii="Arial" w:cs="Arial" w:eastAsia="Arial" w:hAnsi="Arial"/>
                <w:sz w:val="16"/>
                <w:szCs w:val="16"/>
                <w:b w:val="1"/>
                <w:bCs w:val="1"/>
                <w:color w:val="auto"/>
              </w:rPr>
              <w:t>Gross</w:t>
            </w:r>
          </w:p>
        </w:tc>
        <w:tc>
          <w:tcPr>
            <w:tcW w:w="700" w:type="dxa"/>
            <w:vAlign w:val="bottom"/>
            <w:tcBorders>
              <w:top w:val="single" w:sz="8" w:color="auto"/>
            </w:tcBorders>
          </w:tcPr>
          <w:p>
            <w:pPr>
              <w:jc w:val="right"/>
              <w:ind w:right="352"/>
              <w:spacing w:after="0"/>
              <w:rPr>
                <w:sz w:val="20"/>
                <w:szCs w:val="20"/>
                <w:color w:val="auto"/>
              </w:rPr>
            </w:pPr>
            <w:r>
              <w:rPr>
                <w:rFonts w:ascii="Arial" w:cs="Arial" w:eastAsia="Arial" w:hAnsi="Arial"/>
                <w:sz w:val="16"/>
                <w:szCs w:val="16"/>
                <w:b w:val="1"/>
                <w:bCs w:val="1"/>
                <w:color w:val="auto"/>
                <w:w w:val="92"/>
              </w:rPr>
              <w:t>Net</w:t>
            </w:r>
          </w:p>
        </w:tc>
        <w:tc>
          <w:tcPr>
            <w:tcW w:w="80" w:type="dxa"/>
            <w:vAlign w:val="bottom"/>
          </w:tcPr>
          <w:p>
            <w:pPr>
              <w:spacing w:after="0"/>
              <w:rPr>
                <w:sz w:val="18"/>
                <w:szCs w:val="18"/>
                <w:color w:val="auto"/>
              </w:rPr>
            </w:pPr>
          </w:p>
        </w:tc>
        <w:tc>
          <w:tcPr>
            <w:tcW w:w="1220" w:type="dxa"/>
            <w:vAlign w:val="bottom"/>
            <w:tcBorders>
              <w:top w:val="single" w:sz="8" w:color="auto"/>
            </w:tcBorders>
            <w:gridSpan w:val="2"/>
          </w:tcPr>
          <w:p>
            <w:pPr>
              <w:ind w:left="360"/>
              <w:spacing w:after="0"/>
              <w:rPr>
                <w:sz w:val="20"/>
                <w:szCs w:val="20"/>
                <w:color w:val="auto"/>
              </w:rPr>
            </w:pPr>
            <w:r>
              <w:rPr>
                <w:rFonts w:ascii="Arial" w:cs="Arial" w:eastAsia="Arial" w:hAnsi="Arial"/>
                <w:sz w:val="16"/>
                <w:szCs w:val="16"/>
                <w:b w:val="1"/>
                <w:bCs w:val="1"/>
                <w:color w:val="auto"/>
              </w:rPr>
              <w:t>Gross</w:t>
            </w:r>
          </w:p>
        </w:tc>
        <w:tc>
          <w:tcPr>
            <w:tcW w:w="1120" w:type="dxa"/>
            <w:vAlign w:val="bottom"/>
            <w:tcBorders>
              <w:top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8"/>
                <w:szCs w:val="18"/>
                <w:color w:val="auto"/>
              </w:rPr>
            </w:pPr>
          </w:p>
        </w:tc>
        <w:tc>
          <w:tcPr>
            <w:tcW w:w="1520" w:type="dxa"/>
            <w:vAlign w:val="bottom"/>
            <w:tcBorders>
              <w:top w:val="single" w:sz="8" w:color="auto"/>
            </w:tcBorders>
            <w:gridSpan w:val="3"/>
          </w:tcPr>
          <w:p>
            <w:pPr>
              <w:ind w:left="360"/>
              <w:spacing w:after="0"/>
              <w:rPr>
                <w:sz w:val="20"/>
                <w:szCs w:val="20"/>
                <w:color w:val="auto"/>
              </w:rPr>
            </w:pPr>
            <w:r>
              <w:rPr>
                <w:rFonts w:ascii="Arial" w:cs="Arial" w:eastAsia="Arial" w:hAnsi="Arial"/>
                <w:sz w:val="16"/>
                <w:szCs w:val="16"/>
                <w:b w:val="1"/>
                <w:bCs w:val="1"/>
                <w:color w:val="auto"/>
              </w:rPr>
              <w:t>Gross</w:t>
            </w:r>
          </w:p>
        </w:tc>
        <w:tc>
          <w:tcPr>
            <w:tcW w:w="840" w:type="dxa"/>
            <w:vAlign w:val="bottom"/>
            <w:tcBorders>
              <w:top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Net</w:t>
            </w:r>
          </w:p>
        </w:tc>
      </w:tr>
      <w:tr>
        <w:trPr>
          <w:trHeight w:val="226"/>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Midland Basin</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4,037</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3,777</w:t>
            </w:r>
          </w:p>
        </w:tc>
      </w:tr>
      <w:tr>
        <w:trPr>
          <w:trHeight w:val="229"/>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Delaware Basin</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r>
      <w:tr>
        <w:trPr>
          <w:trHeight w:val="248"/>
        </w:trPr>
        <w:tc>
          <w:tcPr>
            <w:tcW w:w="4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4,503</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2022, we held interests in 11,627 gross (4,616 net) wells, including wells that we do not operate.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2022 and June 30, 2022</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noted in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0000FF"/>
        </w:rPr>
        <w:t>Recent Developments</w:t>
      </w:r>
      <w:r>
        <w:rPr>
          <w:rFonts w:ascii="Arial" w:cs="Arial" w:eastAsia="Arial" w:hAnsi="Arial"/>
          <w:sz w:val="18"/>
          <w:szCs w:val="18"/>
          <w:i w:val="1"/>
          <w:iCs w:val="1"/>
          <w:color w:val="auto"/>
        </w:rPr>
        <w:t>,</w:t>
      </w:r>
      <w:r>
        <w:rPr>
          <w:rFonts w:ascii="Arial" w:cs="Arial" w:eastAsia="Arial" w:hAnsi="Arial"/>
          <w:sz w:val="18"/>
          <w:szCs w:val="18"/>
          <w:color w:val="auto"/>
        </w:rPr>
        <w:t>” the markets for oil and natural gas are highly volatile and are influenced by a number of factors which can lead to significant changes in our results of operations and management’s operational strategy on a quarterly basis. Accordingly, our results of operations discussion focuses on a comparison of the current quarter’s results of operations with those of the immediately preceding quarter. We believe our discussion provides investors with a more meaningful analysis of material operational and financial changes which occurred during the quarter based on current market and operational trends.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selected operating data for the three months ended September 30, 2022 and June 30, 2022:</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4"/>
          </w:tcPr>
          <w:p>
            <w:pPr>
              <w:jc w:val="right"/>
              <w:ind w:right="1050"/>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7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2022</w:t>
            </w:r>
          </w:p>
        </w:tc>
        <w:tc>
          <w:tcPr>
            <w:tcW w:w="280" w:type="dxa"/>
            <w:vAlign w:val="bottom"/>
          </w:tcPr>
          <w:p>
            <w:pPr>
              <w:spacing w:after="0"/>
              <w:rPr>
                <w:sz w:val="18"/>
                <w:szCs w:val="18"/>
                <w:color w:val="auto"/>
              </w:rPr>
            </w:pPr>
          </w:p>
        </w:tc>
        <w:tc>
          <w:tcPr>
            <w:tcW w:w="1540" w:type="dxa"/>
            <w:vAlign w:val="bottom"/>
          </w:tcPr>
          <w:p>
            <w:pPr>
              <w:jc w:val="right"/>
              <w:ind w:right="350"/>
              <w:spacing w:after="0"/>
              <w:rPr>
                <w:sz w:val="20"/>
                <w:szCs w:val="20"/>
                <w:color w:val="auto"/>
              </w:rPr>
            </w:pPr>
            <w:r>
              <w:rPr>
                <w:rFonts w:ascii="Arial" w:cs="Arial" w:eastAsia="Arial" w:hAnsi="Arial"/>
                <w:sz w:val="16"/>
                <w:szCs w:val="16"/>
                <w:b w:val="1"/>
                <w:bCs w:val="1"/>
                <w:color w:val="auto"/>
              </w:rPr>
              <w:t>June 30, 2022</w:t>
            </w:r>
          </w:p>
        </w:tc>
      </w:tr>
      <w:tr>
        <w:trPr>
          <w:trHeight w:val="199"/>
        </w:trPr>
        <w:tc>
          <w:tcPr>
            <w:tcW w:w="7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Revenues (In millions):</w:t>
            </w:r>
          </w:p>
        </w:tc>
        <w:tc>
          <w:tcPr>
            <w:tcW w:w="18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r>
      <w:tr>
        <w:trPr>
          <w:trHeight w:val="230"/>
        </w:trPr>
        <w:tc>
          <w:tcPr>
            <w:tcW w:w="7500" w:type="dxa"/>
            <w:vAlign w:val="bottom"/>
          </w:tcPr>
          <w:p>
            <w:pPr>
              <w:ind w:left="240"/>
              <w:spacing w:after="0"/>
              <w:rPr>
                <w:sz w:val="20"/>
                <w:szCs w:val="20"/>
                <w:color w:val="auto"/>
              </w:rPr>
            </w:pPr>
            <w:r>
              <w:rPr>
                <w:rFonts w:ascii="Arial" w:cs="Arial" w:eastAsia="Arial" w:hAnsi="Arial"/>
                <w:sz w:val="18"/>
                <w:szCs w:val="18"/>
                <w:color w:val="auto"/>
              </w:rPr>
              <w:t>Oil sales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1,853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2,189</w:t>
            </w:r>
          </w:p>
        </w:tc>
      </w:tr>
      <w:tr>
        <w:trPr>
          <w:trHeight w:val="230"/>
        </w:trPr>
        <w:tc>
          <w:tcPr>
            <w:tcW w:w="7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Natural gas sales</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29"/>
        </w:trPr>
        <w:tc>
          <w:tcPr>
            <w:tcW w:w="75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Natural gas liquid sales</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r>
      <w:tr>
        <w:trPr>
          <w:trHeight w:val="248"/>
        </w:trPr>
        <w:tc>
          <w:tcPr>
            <w:tcW w:w="75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oil, natural gas and natural gas liquid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2,752</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216"/>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Production Data:</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30"/>
        </w:trPr>
        <w:tc>
          <w:tcPr>
            <w:tcW w:w="7500" w:type="dxa"/>
            <w:vAlign w:val="bottom"/>
          </w:tcPr>
          <w:p>
            <w:pPr>
              <w:ind w:left="480"/>
              <w:spacing w:after="0"/>
              <w:rPr>
                <w:sz w:val="20"/>
                <w:szCs w:val="20"/>
                <w:color w:val="auto"/>
              </w:rPr>
            </w:pPr>
            <w:r>
              <w:rPr>
                <w:rFonts w:ascii="Arial" w:cs="Arial" w:eastAsia="Arial" w:hAnsi="Arial"/>
                <w:sz w:val="18"/>
                <w:szCs w:val="18"/>
                <w:color w:val="auto"/>
              </w:rPr>
              <w:t>Oil (MBbls)</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20,638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20,120</w:t>
            </w:r>
          </w:p>
        </w:tc>
      </w:tr>
      <w:tr>
        <w:trPr>
          <w:trHeight w:val="230"/>
        </w:trPr>
        <w:tc>
          <w:tcPr>
            <w:tcW w:w="7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Natural gas (MMcf)</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42,912</w:t>
            </w:r>
          </w:p>
        </w:tc>
      </w:tr>
      <w:tr>
        <w:trPr>
          <w:trHeight w:val="229"/>
        </w:trPr>
        <w:tc>
          <w:tcPr>
            <w:tcW w:w="7500" w:type="dxa"/>
            <w:vAlign w:val="bottom"/>
          </w:tcPr>
          <w:p>
            <w:pPr>
              <w:ind w:left="480"/>
              <w:spacing w:after="0"/>
              <w:rPr>
                <w:sz w:val="20"/>
                <w:szCs w:val="20"/>
                <w:color w:val="auto"/>
              </w:rPr>
            </w:pPr>
            <w:r>
              <w:rPr>
                <w:rFonts w:ascii="Arial" w:cs="Arial" w:eastAsia="Arial" w:hAnsi="Arial"/>
                <w:sz w:val="18"/>
                <w:szCs w:val="18"/>
                <w:color w:val="auto"/>
              </w:rPr>
              <w:t>Natural gas liquids (MBbls)</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7,667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7,349</w:t>
            </w:r>
          </w:p>
        </w:tc>
      </w:tr>
      <w:tr>
        <w:trPr>
          <w:trHeight w:val="230"/>
        </w:trPr>
        <w:tc>
          <w:tcPr>
            <w:tcW w:w="750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Combined volumes (MBOE)</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34,621</w:t>
            </w:r>
          </w:p>
        </w:tc>
      </w:tr>
      <w:tr>
        <w:trPr>
          <w:trHeight w:val="216"/>
        </w:trPr>
        <w:tc>
          <w:tcPr>
            <w:tcW w:w="7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Daily oil volumes (BO/d)</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221,099</w:t>
            </w: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Daily combined volumes (BOE/d)</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390,630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380,451</w:t>
            </w:r>
          </w:p>
        </w:tc>
      </w:tr>
      <w:tr>
        <w:trPr>
          <w:trHeight w:val="216"/>
        </w:trPr>
        <w:tc>
          <w:tcPr>
            <w:tcW w:w="7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3"/>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Average Prices:</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2"/>
        </w:trPr>
        <w:tc>
          <w:tcPr>
            <w:tcW w:w="7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Oil ($ per Bbl)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108.80</w:t>
            </w:r>
          </w:p>
        </w:tc>
      </w:tr>
      <w:tr>
        <w:trPr>
          <w:trHeight w:val="230"/>
        </w:trPr>
        <w:tc>
          <w:tcPr>
            <w:tcW w:w="7500" w:type="dxa"/>
            <w:vAlign w:val="bottom"/>
          </w:tcPr>
          <w:p>
            <w:pPr>
              <w:ind w:left="480"/>
              <w:spacing w:after="0"/>
              <w:rPr>
                <w:sz w:val="20"/>
                <w:szCs w:val="20"/>
                <w:color w:val="auto"/>
              </w:rPr>
            </w:pPr>
            <w:r>
              <w:rPr>
                <w:rFonts w:ascii="Arial" w:cs="Arial" w:eastAsia="Arial" w:hAnsi="Arial"/>
                <w:sz w:val="18"/>
                <w:szCs w:val="18"/>
                <w:color w:val="auto"/>
              </w:rPr>
              <w:t>Natural gas ($ per Mcf)</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6.15</w:t>
            </w:r>
          </w:p>
        </w:tc>
      </w:tr>
      <w:tr>
        <w:trPr>
          <w:trHeight w:val="230"/>
        </w:trPr>
        <w:tc>
          <w:tcPr>
            <w:tcW w:w="7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Natural gas liquids ($ per Bbl)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w:t>
            </w:r>
          </w:p>
        </w:tc>
      </w:tr>
      <w:tr>
        <w:trPr>
          <w:trHeight w:val="230"/>
        </w:trPr>
        <w:tc>
          <w:tcPr>
            <w:tcW w:w="7500" w:type="dxa"/>
            <w:vAlign w:val="bottom"/>
          </w:tcPr>
          <w:p>
            <w:pPr>
              <w:ind w:left="480"/>
              <w:spacing w:after="0"/>
              <w:rPr>
                <w:sz w:val="20"/>
                <w:szCs w:val="20"/>
                <w:color w:val="auto"/>
              </w:rPr>
            </w:pPr>
            <w:r>
              <w:rPr>
                <w:rFonts w:ascii="Arial" w:cs="Arial" w:eastAsia="Arial" w:hAnsi="Arial"/>
                <w:sz w:val="18"/>
                <w:szCs w:val="18"/>
                <w:color w:val="auto"/>
              </w:rPr>
              <w:t>Combined ($ per BOE)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67.25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79.49</w:t>
            </w:r>
          </w:p>
        </w:tc>
      </w:tr>
      <w:tr>
        <w:trPr>
          <w:trHeight w:val="216"/>
        </w:trPr>
        <w:tc>
          <w:tcPr>
            <w:tcW w:w="7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30"/>
        </w:trPr>
        <w:tc>
          <w:tcPr>
            <w:tcW w:w="7500" w:type="dxa"/>
            <w:vAlign w:val="bottom"/>
          </w:tcPr>
          <w:p>
            <w:pPr>
              <w:ind w:left="480"/>
              <w:spacing w:after="0" w:line="230" w:lineRule="exact"/>
              <w:rPr>
                <w:sz w:val="20"/>
                <w:szCs w:val="20"/>
                <w:color w:val="auto"/>
              </w:rPr>
            </w:pPr>
            <w:r>
              <w:rPr>
                <w:rFonts w:ascii="Arial" w:cs="Arial" w:eastAsia="Arial" w:hAnsi="Arial"/>
                <w:sz w:val="18"/>
                <w:szCs w:val="18"/>
                <w:color w:val="auto"/>
              </w:rPr>
              <w:t>Oil, hedged ($ per Bbl)</w:t>
            </w:r>
            <w:r>
              <w:rPr>
                <w:rFonts w:ascii="Arial" w:cs="Arial" w:eastAsia="Arial" w:hAnsi="Arial"/>
                <w:sz w:val="23"/>
                <w:szCs w:val="23"/>
                <w:color w:val="auto"/>
                <w:vertAlign w:val="superscript"/>
              </w:rPr>
              <w:t>(2)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87.41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97.32</w:t>
            </w:r>
          </w:p>
        </w:tc>
      </w:tr>
      <w:tr>
        <w:trPr>
          <w:trHeight w:val="229"/>
        </w:trPr>
        <w:tc>
          <w:tcPr>
            <w:tcW w:w="750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Natural gas, hedged ($ per Mcf)</w:t>
            </w:r>
            <w:r>
              <w:rPr>
                <w:rFonts w:ascii="Arial" w:cs="Arial" w:eastAsia="Arial" w:hAnsi="Arial"/>
                <w:sz w:val="23"/>
                <w:szCs w:val="23"/>
                <w:color w:val="auto"/>
                <w:vertAlign w:val="superscript"/>
              </w:rPr>
              <w:t>(2)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r>
      <w:tr>
        <w:trPr>
          <w:trHeight w:val="230"/>
        </w:trPr>
        <w:tc>
          <w:tcPr>
            <w:tcW w:w="7500" w:type="dxa"/>
            <w:vAlign w:val="bottom"/>
          </w:tcPr>
          <w:p>
            <w:pPr>
              <w:ind w:left="480"/>
              <w:spacing w:after="0" w:line="230" w:lineRule="exact"/>
              <w:rPr>
                <w:sz w:val="20"/>
                <w:szCs w:val="20"/>
                <w:color w:val="auto"/>
              </w:rPr>
            </w:pPr>
            <w:r>
              <w:rPr>
                <w:rFonts w:ascii="Arial" w:cs="Arial" w:eastAsia="Arial" w:hAnsi="Arial"/>
                <w:sz w:val="18"/>
                <w:szCs w:val="18"/>
                <w:color w:val="auto"/>
              </w:rPr>
              <w:t>Natural gas liquids, hedged ($ per Bbl)</w:t>
            </w:r>
            <w:r>
              <w:rPr>
                <w:rFonts w:ascii="Arial" w:cs="Arial" w:eastAsia="Arial" w:hAnsi="Arial"/>
                <w:sz w:val="23"/>
                <w:szCs w:val="23"/>
                <w:color w:val="auto"/>
                <w:vertAlign w:val="superscript"/>
              </w:rPr>
              <w:t>(2)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34.96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40.69</w:t>
            </w:r>
          </w:p>
        </w:tc>
      </w:tr>
      <w:tr>
        <w:trPr>
          <w:trHeight w:val="229"/>
        </w:trPr>
        <w:tc>
          <w:tcPr>
            <w:tcW w:w="750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Average price, hedged ($ per BOE)</w:t>
            </w:r>
            <w:r>
              <w:rPr>
                <w:rFonts w:ascii="Arial" w:cs="Arial" w:eastAsia="Arial" w:hAnsi="Arial"/>
                <w:sz w:val="23"/>
                <w:szCs w:val="23"/>
                <w:color w:val="auto"/>
                <w:vertAlign w:val="superscript"/>
              </w:rPr>
              <w:t>(2)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70.65</w:t>
            </w:r>
          </w:p>
        </w:tc>
      </w:tr>
    </w:tbl>
    <w:p>
      <w:pPr>
        <w:spacing w:after="0" w:line="80"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Bbl equivalents are calculated using a conversion rate of six Mcf per Bbl.</w:t>
      </w:r>
    </w:p>
    <w:p>
      <w:pPr>
        <w:spacing w:after="0" w:line="23" w:lineRule="exact"/>
        <w:rPr>
          <w:rFonts w:ascii="Arial" w:cs="Arial" w:eastAsia="Arial" w:hAnsi="Arial"/>
          <w:sz w:val="18"/>
          <w:szCs w:val="18"/>
          <w:color w:val="auto"/>
        </w:rPr>
      </w:pPr>
    </w:p>
    <w:p>
      <w:pPr>
        <w:jc w:val="both"/>
        <w:ind w:left="340" w:hanging="332"/>
        <w:spacing w:after="0" w:line="255" w:lineRule="auto"/>
        <w:tabs>
          <w:tab w:leader="none" w:pos="334" w:val="left"/>
        </w:tabs>
        <w:numPr>
          <w:ilvl w:val="0"/>
          <w:numId w:val="19"/>
        </w:numPr>
        <w:rPr>
          <w:rFonts w:ascii="Arial" w:cs="Arial" w:eastAsia="Arial" w:hAnsi="Arial"/>
          <w:sz w:val="18"/>
          <w:szCs w:val="18"/>
          <w:color w:val="auto"/>
        </w:rPr>
      </w:pPr>
      <w:r>
        <w:rPr>
          <w:rFonts w:ascii="Arial" w:cs="Arial" w:eastAsia="Arial" w:hAnsi="Arial"/>
          <w:sz w:val="18"/>
          <w:szCs w:val="18"/>
          <w:color w:val="auto"/>
        </w:rPr>
        <w:t>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ind w:firstLine="648"/>
        <w:spacing w:after="0" w:line="290" w:lineRule="auto"/>
        <w:rPr>
          <w:sz w:val="20"/>
          <w:szCs w:val="20"/>
          <w:color w:val="auto"/>
        </w:rPr>
      </w:pPr>
      <w:r>
        <w:rPr>
          <w:rFonts w:ascii="Arial" w:cs="Arial" w:eastAsia="Arial" w:hAnsi="Arial"/>
          <w:sz w:val="17"/>
          <w:szCs w:val="17"/>
          <w:b w:val="1"/>
          <w:bCs w:val="1"/>
          <w:i w:val="1"/>
          <w:iCs w:val="1"/>
          <w:color w:val="auto"/>
        </w:rPr>
        <w:t xml:space="preserve">Production Data. </w:t>
      </w:r>
      <w:r>
        <w:rPr>
          <w:rFonts w:ascii="Arial" w:cs="Arial" w:eastAsia="Arial" w:hAnsi="Arial"/>
          <w:sz w:val="17"/>
          <w:szCs w:val="17"/>
          <w:color w:val="auto"/>
        </w:rPr>
        <w:t>Substantially all of our revenues are generated through the sale of oil, natural gas and natural gas liquids production.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following tables provide information on the mix of our production for the three months ended September 30, 2022 and June 30,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7"/>
          </w:tcPr>
          <w:p>
            <w:pPr>
              <w:ind w:left="220"/>
              <w:spacing w:after="0"/>
              <w:rPr>
                <w:sz w:val="20"/>
                <w:szCs w:val="20"/>
                <w:color w:val="auto"/>
              </w:rPr>
            </w:pPr>
            <w:r>
              <w:rPr>
                <w:rFonts w:ascii="Arial" w:cs="Arial" w:eastAsia="Arial" w:hAnsi="Arial"/>
                <w:sz w:val="16"/>
                <w:szCs w:val="16"/>
                <w:b w:val="1"/>
                <w:bCs w:val="1"/>
                <w:color w:val="auto"/>
              </w:rPr>
              <w:t>Three Months Ended</w:t>
            </w: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4"/>
          </w:tcPr>
          <w:p>
            <w:pPr>
              <w:jc w:val="right"/>
              <w:ind w:right="380"/>
              <w:spacing w:after="0"/>
              <w:rPr>
                <w:sz w:val="20"/>
                <w:szCs w:val="20"/>
                <w:color w:val="auto"/>
              </w:rPr>
            </w:pPr>
            <w:r>
              <w:rPr>
                <w:rFonts w:ascii="Arial" w:cs="Arial" w:eastAsia="Arial" w:hAnsi="Arial"/>
                <w:sz w:val="16"/>
                <w:szCs w:val="16"/>
                <w:b w:val="1"/>
                <w:bCs w:val="1"/>
                <w:color w:val="auto"/>
              </w:rPr>
              <w:t>September 30, 2022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4"/>
          </w:tcPr>
          <w:p>
            <w:pPr>
              <w:jc w:val="right"/>
              <w:ind w:right="411"/>
              <w:spacing w:after="0"/>
              <w:rPr>
                <w:sz w:val="20"/>
                <w:szCs w:val="20"/>
                <w:color w:val="auto"/>
              </w:rPr>
            </w:pPr>
            <w:r>
              <w:rPr>
                <w:rFonts w:ascii="Arial" w:cs="Arial" w:eastAsia="Arial" w:hAnsi="Arial"/>
                <w:sz w:val="16"/>
                <w:szCs w:val="16"/>
                <w:b w:val="1"/>
                <w:bCs w:val="1"/>
                <w:color w:val="auto"/>
              </w:rPr>
              <w:t>June 30, 2022</w:t>
            </w:r>
          </w:p>
        </w:tc>
        <w:tc>
          <w:tcPr>
            <w:tcW w:w="0" w:type="dxa"/>
            <w:vAlign w:val="bottom"/>
          </w:tcPr>
          <w:p>
            <w:pPr>
              <w:spacing w:after="0"/>
              <w:rPr>
                <w:sz w:val="1"/>
                <w:szCs w:val="1"/>
                <w:color w:val="auto"/>
              </w:rPr>
            </w:pPr>
          </w:p>
        </w:tc>
      </w:tr>
      <w:tr>
        <w:trPr>
          <w:trHeight w:val="226"/>
        </w:trPr>
        <w:tc>
          <w:tcPr>
            <w:tcW w:w="2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(MBbls)</w:t>
            </w:r>
          </w:p>
        </w:tc>
        <w:tc>
          <w:tcPr>
            <w:tcW w:w="10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Natural gas (MMcf)</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liquids (MBbls)</w:t>
            </w: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23"/>
        </w:trPr>
        <w:tc>
          <w:tcPr>
            <w:tcW w:w="2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1"/>
        </w:trPr>
        <w:tc>
          <w:tcPr>
            <w:tcW w:w="2980" w:type="dxa"/>
            <w:vAlign w:val="bottom"/>
          </w:tcPr>
          <w:p>
            <w:pPr>
              <w:spacing w:after="0"/>
              <w:rPr>
                <w:sz w:val="24"/>
                <w:szCs w:val="24"/>
                <w:color w:val="auto"/>
              </w:rPr>
            </w:pPr>
          </w:p>
        </w:tc>
        <w:tc>
          <w:tcPr>
            <w:tcW w:w="3480" w:type="dxa"/>
            <w:vAlign w:val="bottom"/>
            <w:tcBorders>
              <w:bottom w:val="single" w:sz="8" w:color="auto"/>
            </w:tcBorders>
            <w:gridSpan w:val="7"/>
          </w:tcPr>
          <w:p>
            <w:pPr>
              <w:ind w:left="600"/>
              <w:spacing w:after="0"/>
              <w:rPr>
                <w:sz w:val="20"/>
                <w:szCs w:val="20"/>
                <w:color w:val="auto"/>
              </w:rPr>
            </w:pPr>
            <w:r>
              <w:rPr>
                <w:rFonts w:ascii="Arial" w:cs="Arial" w:eastAsia="Arial" w:hAnsi="Arial"/>
                <w:sz w:val="16"/>
                <w:szCs w:val="16"/>
                <w:b w:val="1"/>
                <w:bCs w:val="1"/>
                <w:color w:val="auto"/>
                <w:w w:val="91"/>
              </w:rPr>
              <w:t>Three Months Ended September 30, 2022</w:t>
            </w: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9"/>
          </w:tcPr>
          <w:p>
            <w:pPr>
              <w:ind w:left="700"/>
              <w:spacing w:after="0"/>
              <w:rPr>
                <w:sz w:val="20"/>
                <w:szCs w:val="20"/>
                <w:color w:val="auto"/>
              </w:rPr>
            </w:pPr>
            <w:r>
              <w:rPr>
                <w:rFonts w:ascii="Arial" w:cs="Arial" w:eastAsia="Arial" w:hAnsi="Arial"/>
                <w:sz w:val="16"/>
                <w:szCs w:val="16"/>
                <w:b w:val="1"/>
                <w:bCs w:val="1"/>
                <w:color w:val="auto"/>
                <w:w w:val="95"/>
              </w:rPr>
              <w:t>Three Months Ended June 30, 2022</w:t>
            </w: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980" w:type="dxa"/>
            <w:vAlign w:val="bottom"/>
          </w:tcPr>
          <w:p>
            <w:pPr>
              <w:spacing w:after="0"/>
              <w:rPr>
                <w:sz w:val="13"/>
                <w:szCs w:val="13"/>
                <w:color w:val="auto"/>
              </w:rPr>
            </w:pPr>
          </w:p>
        </w:tc>
        <w:tc>
          <w:tcPr>
            <w:tcW w:w="11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99"/>
              </w:rPr>
              <w:t>Midland</w:t>
            </w:r>
          </w:p>
        </w:tc>
        <w:tc>
          <w:tcPr>
            <w:tcW w:w="112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93"/>
              </w:rPr>
              <w:t>Delaware</w:t>
            </w:r>
          </w:p>
        </w:tc>
        <w:tc>
          <w:tcPr>
            <w:tcW w:w="1220" w:type="dxa"/>
            <w:vAlign w:val="bottom"/>
            <w:gridSpan w:val="3"/>
            <w:vMerge w:val="restart"/>
          </w:tcPr>
          <w:p>
            <w:pPr>
              <w:ind w:left="160"/>
              <w:spacing w:after="0"/>
              <w:rPr>
                <w:sz w:val="20"/>
                <w:szCs w:val="20"/>
                <w:color w:val="auto"/>
              </w:rPr>
            </w:pPr>
            <w:r>
              <w:rPr>
                <w:rFonts w:ascii="Arial" w:cs="Arial" w:eastAsia="Arial" w:hAnsi="Arial"/>
                <w:sz w:val="16"/>
                <w:szCs w:val="16"/>
                <w:b w:val="1"/>
                <w:bCs w:val="1"/>
                <w:color w:val="auto"/>
              </w:rPr>
              <w:t>Other</w:t>
            </w:r>
            <w:r>
              <w:rPr>
                <w:rFonts w:ascii="Arial" w:cs="Arial" w:eastAsia="Arial" w:hAnsi="Arial"/>
                <w:sz w:val="21"/>
                <w:szCs w:val="21"/>
                <w:b w:val="1"/>
                <w:bCs w:val="1"/>
                <w:color w:val="auto"/>
                <w:vertAlign w:val="superscript"/>
              </w:rPr>
              <w:t>(1)</w:t>
            </w:r>
          </w:p>
        </w:tc>
        <w:tc>
          <w:tcPr>
            <w:tcW w:w="82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Total</w:t>
            </w:r>
          </w:p>
        </w:tc>
        <w:tc>
          <w:tcPr>
            <w:tcW w:w="102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9"/>
              </w:rPr>
              <w:t>Midland</w:t>
            </w:r>
          </w:p>
        </w:tc>
        <w:tc>
          <w:tcPr>
            <w:tcW w:w="1000" w:type="dxa"/>
            <w:vAlign w:val="bottom"/>
            <w:gridSpan w:val="2"/>
          </w:tcPr>
          <w:p>
            <w:pPr>
              <w:jc w:val="right"/>
              <w:ind w:right="160"/>
              <w:spacing w:after="0" w:line="158" w:lineRule="exact"/>
              <w:rPr>
                <w:sz w:val="20"/>
                <w:szCs w:val="20"/>
                <w:color w:val="auto"/>
              </w:rPr>
            </w:pPr>
            <w:r>
              <w:rPr>
                <w:rFonts w:ascii="Arial" w:cs="Arial" w:eastAsia="Arial" w:hAnsi="Arial"/>
                <w:sz w:val="16"/>
                <w:szCs w:val="16"/>
                <w:b w:val="1"/>
                <w:bCs w:val="1"/>
                <w:color w:val="auto"/>
              </w:rPr>
              <w:t>Delaware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vMerge w:val="restart"/>
          </w:tcPr>
          <w:p>
            <w:pPr>
              <w:ind w:left="160"/>
              <w:spacing w:after="0"/>
              <w:rPr>
                <w:sz w:val="20"/>
                <w:szCs w:val="20"/>
                <w:color w:val="auto"/>
              </w:rPr>
            </w:pPr>
            <w:r>
              <w:rPr>
                <w:rFonts w:ascii="Arial" w:cs="Arial" w:eastAsia="Arial" w:hAnsi="Arial"/>
                <w:sz w:val="16"/>
                <w:szCs w:val="16"/>
                <w:b w:val="1"/>
                <w:bCs w:val="1"/>
                <w:color w:val="auto"/>
              </w:rPr>
              <w:t>Other</w:t>
            </w:r>
            <w:r>
              <w:rPr>
                <w:rFonts w:ascii="Arial" w:cs="Arial" w:eastAsia="Arial" w:hAnsi="Arial"/>
                <w:sz w:val="21"/>
                <w:szCs w:val="21"/>
                <w:b w:val="1"/>
                <w:bCs w:val="1"/>
                <w:color w:val="auto"/>
                <w:vertAlign w:val="superscript"/>
              </w:rPr>
              <w:t>(2)</w:t>
            </w:r>
          </w:p>
        </w:tc>
        <w:tc>
          <w:tcPr>
            <w:tcW w:w="700" w:type="dxa"/>
            <w:vAlign w:val="bottom"/>
            <w:vMerge w:val="restart"/>
          </w:tcPr>
          <w:p>
            <w:pPr>
              <w:jc w:val="right"/>
              <w:ind w:right="1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Basin</w:t>
            </w: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Basin</w:t>
            </w:r>
          </w:p>
        </w:tc>
        <w:tc>
          <w:tcPr>
            <w:tcW w:w="1220" w:type="dxa"/>
            <w:vAlign w:val="bottom"/>
            <w:gridSpan w:val="3"/>
            <w:vMerge w:val="continue"/>
          </w:tcPr>
          <w:p>
            <w:pPr>
              <w:spacing w:after="0"/>
              <w:rPr>
                <w:sz w:val="18"/>
                <w:szCs w:val="18"/>
                <w:color w:val="auto"/>
              </w:rPr>
            </w:pPr>
          </w:p>
        </w:tc>
        <w:tc>
          <w:tcPr>
            <w:tcW w:w="820" w:type="dxa"/>
            <w:vAlign w:val="bottom"/>
            <w:gridSpan w:val="3"/>
            <w:vMerge w:val="continue"/>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Basin</w:t>
            </w:r>
          </w:p>
        </w:tc>
        <w:tc>
          <w:tcPr>
            <w:tcW w:w="10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Basin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Production Data:</w:t>
            </w: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rPr>
                <w:sz w:val="20"/>
                <w:szCs w:val="20"/>
                <w:color w:val="auto"/>
              </w:rPr>
            </w:pPr>
            <w:r>
              <w:rPr>
                <w:rFonts w:ascii="Arial" w:cs="Arial" w:eastAsia="Arial" w:hAnsi="Arial"/>
                <w:sz w:val="18"/>
                <w:szCs w:val="18"/>
                <w:color w:val="auto"/>
              </w:rPr>
              <w:t>Oil (MBbls)</w:t>
            </w:r>
          </w:p>
        </w:tc>
        <w:tc>
          <w:tcPr>
            <w:tcW w:w="1040" w:type="dxa"/>
            <w:vAlign w:val="bottom"/>
          </w:tcPr>
          <w:p>
            <w:pPr>
              <w:jc w:val="right"/>
              <w:spacing w:after="0"/>
              <w:rPr>
                <w:sz w:val="20"/>
                <w:szCs w:val="20"/>
                <w:color w:val="auto"/>
              </w:rPr>
            </w:pPr>
            <w:r>
              <w:rPr>
                <w:rFonts w:ascii="Arial" w:cs="Arial" w:eastAsia="Arial" w:hAnsi="Arial"/>
                <w:sz w:val="18"/>
                <w:szCs w:val="18"/>
                <w:color w:val="auto"/>
              </w:rPr>
              <w:t>14,710</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5,891</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20,638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14,713</w:t>
            </w: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5,378</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20,120</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(MMcf)</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14,879</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45,799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28,539</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14,257</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42,912</w:t>
            </w: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Natural gas liquids (MBbls)</w:t>
            </w:r>
          </w:p>
        </w:tc>
        <w:tc>
          <w:tcPr>
            <w:tcW w:w="1040" w:type="dxa"/>
            <w:vAlign w:val="bottom"/>
          </w:tcPr>
          <w:p>
            <w:pPr>
              <w:jc w:val="right"/>
              <w:spacing w:after="0"/>
              <w:rPr>
                <w:sz w:val="20"/>
                <w:szCs w:val="20"/>
                <w:color w:val="auto"/>
              </w:rPr>
            </w:pPr>
            <w:r>
              <w:rPr>
                <w:rFonts w:ascii="Arial" w:cs="Arial" w:eastAsia="Arial" w:hAnsi="Arial"/>
                <w:sz w:val="18"/>
                <w:szCs w:val="18"/>
                <w:color w:val="auto"/>
              </w:rPr>
              <w:t>5,450</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2,202</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5,123</w:t>
            </w: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2,213</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7,349</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(MBOE)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10,573</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35,938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24,593</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9,967</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34,621</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the Eagle Ford Shale and Rockies.</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the Eagle Ford Shale and Rockies.</w:t>
      </w:r>
    </w:p>
    <w:p>
      <w:pPr>
        <w:spacing w:after="0" w:line="2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Oil, Natural Gas and Natural Gas Liquids Revenues. </w:t>
      </w:r>
      <w:r>
        <w:rPr>
          <w:rFonts w:ascii="Arial" w:cs="Arial" w:eastAsia="Arial" w:hAnsi="Arial"/>
          <w:sz w:val="18"/>
          <w:szCs w:val="18"/>
          <w:color w:val="auto"/>
        </w:rPr>
        <w:t>Our revenues are a function of oil, natural gas and natural gas liquids production volumes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sold and average sales prices received for those volumes.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oil, natural gas and natural gas liquids revenues for the third quarter of 2022 decreased by $335 million, or 12%, to $2.4 billion from $2.8 billion during the second quarter of 2022. Lower average combined prices primarily for oil, and to a lesser extent natural gas liquids, contributed $422 million of the total decrease, which was partially offset by an increase of $87 million due to a 4% growth in production volumes in the third quarter of 2022 compared to the second quarter of 2022.</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 xml:space="preserve">Other Revenues. </w:t>
      </w:r>
      <w:r>
        <w:rPr>
          <w:rFonts w:ascii="Arial" w:cs="Arial" w:eastAsia="Arial" w:hAnsi="Arial"/>
          <w:sz w:val="17"/>
          <w:szCs w:val="17"/>
          <w:color w:val="auto"/>
        </w:rPr>
        <w:t>The following table shows other insignificant revenue for the three months ended September 30, 2022 and June 30, 2022:</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r>
      <w:tr>
        <w:trPr>
          <w:trHeight w:val="213"/>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40" w:type="dxa"/>
            <w:vAlign w:val="bottom"/>
            <w:tcBorders>
              <w:bottom w:val="single" w:sz="8" w:color="auto"/>
            </w:tcBorders>
            <w:gridSpan w:val="7"/>
          </w:tcPr>
          <w:p>
            <w:pPr>
              <w:ind w:left="240"/>
              <w:spacing w:after="0"/>
              <w:rPr>
                <w:sz w:val="20"/>
                <w:szCs w:val="20"/>
                <w:color w:val="auto"/>
              </w:rPr>
            </w:pPr>
            <w:r>
              <w:rPr>
                <w:rFonts w:ascii="Arial" w:cs="Arial" w:eastAsia="Arial" w:hAnsi="Arial"/>
                <w:sz w:val="16"/>
                <w:szCs w:val="16"/>
                <w:b w:val="1"/>
                <w:bCs w:val="1"/>
                <w:color w:val="auto"/>
              </w:rPr>
              <w:t>September 30, 2022</w:t>
            </w:r>
          </w:p>
        </w:tc>
        <w:tc>
          <w:tcPr>
            <w:tcW w:w="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gridSpan w:val="3"/>
          </w:tcPr>
          <w:p>
            <w:pPr>
              <w:jc w:val="center"/>
              <w:ind w:left="316"/>
              <w:spacing w:after="0"/>
              <w:rPr>
                <w:sz w:val="20"/>
                <w:szCs w:val="20"/>
                <w:color w:val="auto"/>
              </w:rPr>
            </w:pPr>
            <w:r>
              <w:rPr>
                <w:rFonts w:ascii="Arial" w:cs="Arial" w:eastAsia="Arial" w:hAnsi="Arial"/>
                <w:sz w:val="16"/>
                <w:szCs w:val="16"/>
                <w:b w:val="1"/>
                <w:bCs w:val="1"/>
                <w:color w:val="auto"/>
                <w:w w:val="90"/>
              </w:rPr>
              <w:t>June 30, 2022</w:t>
            </w:r>
          </w:p>
        </w:tc>
        <w:tc>
          <w:tcPr>
            <w:tcW w:w="380" w:type="dxa"/>
            <w:vAlign w:val="bottom"/>
            <w:tcBorders>
              <w:bottom w:val="single" w:sz="8" w:color="auto"/>
            </w:tcBorders>
          </w:tcPr>
          <w:p>
            <w:pPr>
              <w:spacing w:after="0"/>
              <w:rPr>
                <w:sz w:val="18"/>
                <w:szCs w:val="18"/>
                <w:color w:val="auto"/>
              </w:rPr>
            </w:pPr>
          </w:p>
        </w:tc>
      </w:tr>
      <w:tr>
        <w:trPr>
          <w:trHeight w:val="226"/>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income</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20</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539"/>
        </w:trPr>
        <w:tc>
          <w:tcPr>
            <w:tcW w:w="11240" w:type="dxa"/>
            <w:vAlign w:val="bottom"/>
            <w:gridSpan w:val="15"/>
          </w:tcPr>
          <w:p>
            <w:pPr>
              <w:ind w:left="660"/>
              <w:spacing w:after="0"/>
              <w:rPr>
                <w:sz w:val="20"/>
                <w:szCs w:val="20"/>
                <w:color w:val="auto"/>
              </w:rPr>
            </w:pPr>
            <w:r>
              <w:rPr>
                <w:rFonts w:ascii="Arial" w:cs="Arial" w:eastAsia="Arial" w:hAnsi="Arial"/>
                <w:sz w:val="18"/>
                <w:szCs w:val="18"/>
                <w:b w:val="1"/>
                <w:bCs w:val="1"/>
                <w:i w:val="1"/>
                <w:iCs w:val="1"/>
                <w:color w:val="auto"/>
                <w:w w:val="91"/>
              </w:rPr>
              <w:t xml:space="preserve">Lease Operating Expenses. </w:t>
            </w:r>
            <w:r>
              <w:rPr>
                <w:rFonts w:ascii="Arial" w:cs="Arial" w:eastAsia="Arial" w:hAnsi="Arial"/>
                <w:sz w:val="18"/>
                <w:szCs w:val="18"/>
                <w:color w:val="auto"/>
                <w:w w:val="91"/>
              </w:rPr>
              <w:t>The following table shows lease operating expenses for the three months ended September 30, 2022 and June 30,</w:t>
            </w: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83"/>
        </w:trPr>
        <w:tc>
          <w:tcPr>
            <w:tcW w:w="7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7"/>
          </w:tcPr>
          <w:p>
            <w:pPr>
              <w:jc w:val="center"/>
              <w:ind w:right="220"/>
              <w:spacing w:after="0"/>
              <w:rPr>
                <w:sz w:val="20"/>
                <w:szCs w:val="20"/>
                <w:color w:val="auto"/>
              </w:rPr>
            </w:pPr>
            <w:r>
              <w:rPr>
                <w:rFonts w:ascii="Arial" w:cs="Arial" w:eastAsia="Arial" w:hAnsi="Arial"/>
                <w:sz w:val="16"/>
                <w:szCs w:val="16"/>
                <w:b w:val="1"/>
                <w:bCs w:val="1"/>
                <w:color w:val="auto"/>
                <w:w w:val="93"/>
              </w:rPr>
              <w:t>Three Months Ended</w:t>
            </w:r>
          </w:p>
        </w:tc>
        <w:tc>
          <w:tcPr>
            <w:tcW w:w="5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r>
      <w:tr>
        <w:trPr>
          <w:trHeight w:val="207"/>
        </w:trPr>
        <w:tc>
          <w:tcPr>
            <w:tcW w:w="7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5"/>
          </w:tcPr>
          <w:p>
            <w:pPr>
              <w:jc w:val="right"/>
              <w:ind w:right="157"/>
              <w:spacing w:after="0"/>
              <w:rPr>
                <w:sz w:val="20"/>
                <w:szCs w:val="20"/>
                <w:color w:val="auto"/>
              </w:rPr>
            </w:pPr>
            <w:r>
              <w:rPr>
                <w:rFonts w:ascii="Arial" w:cs="Arial" w:eastAsia="Arial" w:hAnsi="Arial"/>
                <w:sz w:val="16"/>
                <w:szCs w:val="16"/>
                <w:b w:val="1"/>
                <w:bCs w:val="1"/>
                <w:color w:val="auto"/>
                <w:w w:val="99"/>
              </w:rPr>
              <w:t>September 30, 2022</w:t>
            </w:r>
          </w:p>
        </w:tc>
        <w:tc>
          <w:tcPr>
            <w:tcW w:w="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ind w:left="280"/>
              <w:spacing w:after="0"/>
              <w:rPr>
                <w:sz w:val="20"/>
                <w:szCs w:val="20"/>
                <w:color w:val="auto"/>
              </w:rPr>
            </w:pPr>
            <w:r>
              <w:rPr>
                <w:rFonts w:ascii="Arial" w:cs="Arial" w:eastAsia="Arial" w:hAnsi="Arial"/>
                <w:sz w:val="16"/>
                <w:szCs w:val="16"/>
                <w:b w:val="1"/>
                <w:bCs w:val="1"/>
                <w:color w:val="auto"/>
                <w:w w:val="99"/>
              </w:rPr>
              <w:t>June 30, 2022</w:t>
            </w:r>
          </w:p>
        </w:tc>
        <w:tc>
          <w:tcPr>
            <w:tcW w:w="380" w:type="dxa"/>
            <w:vAlign w:val="bottom"/>
            <w:tcBorders>
              <w:bottom w:val="single" w:sz="8" w:color="auto"/>
            </w:tcBorders>
          </w:tcPr>
          <w:p>
            <w:pPr>
              <w:spacing w:after="0"/>
              <w:rPr>
                <w:sz w:val="17"/>
                <w:szCs w:val="17"/>
                <w:color w:val="auto"/>
              </w:rPr>
            </w:pPr>
          </w:p>
        </w:tc>
      </w:tr>
      <w:tr>
        <w:trPr>
          <w:trHeight w:val="212"/>
        </w:trPr>
        <w:tc>
          <w:tcPr>
            <w:tcW w:w="7280" w:type="dxa"/>
            <w:vAlign w:val="bottom"/>
          </w:tcPr>
          <w:p>
            <w:pPr>
              <w:ind w:left="20"/>
              <w:spacing w:after="0"/>
              <w:rPr>
                <w:sz w:val="20"/>
                <w:szCs w:val="20"/>
                <w:color w:val="auto"/>
              </w:rPr>
            </w:pPr>
            <w:r>
              <w:rPr>
                <w:rFonts w:ascii="Arial" w:cs="Arial" w:eastAsia="Arial" w:hAnsi="Arial"/>
                <w:sz w:val="16"/>
                <w:szCs w:val="16"/>
                <w:b w:val="1"/>
                <w:bCs w:val="1"/>
                <w:color w:val="auto"/>
              </w:rPr>
              <w:t>(In millions, except per BOE amounts)</w:t>
            </w:r>
          </w:p>
        </w:tc>
        <w:tc>
          <w:tcPr>
            <w:tcW w:w="140" w:type="dxa"/>
            <w:vAlign w:val="bottom"/>
          </w:tcPr>
          <w:p>
            <w:pPr>
              <w:spacing w:after="0"/>
              <w:rPr>
                <w:sz w:val="18"/>
                <w:szCs w:val="18"/>
                <w:color w:val="auto"/>
              </w:rPr>
            </w:pPr>
          </w:p>
        </w:tc>
        <w:tc>
          <w:tcPr>
            <w:tcW w:w="880" w:type="dxa"/>
            <w:vAlign w:val="bottom"/>
            <w:gridSpan w:val="3"/>
          </w:tcPr>
          <w:p>
            <w:pPr>
              <w:ind w:left="4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740" w:type="dxa"/>
            <w:vAlign w:val="bottom"/>
          </w:tcPr>
          <w:p>
            <w:pPr>
              <w:jc w:val="right"/>
              <w:ind w:right="17"/>
              <w:spacing w:after="0"/>
              <w:rPr>
                <w:sz w:val="20"/>
                <w:szCs w:val="20"/>
                <w:color w:val="auto"/>
              </w:rPr>
            </w:pPr>
            <w:r>
              <w:rPr>
                <w:rFonts w:ascii="Arial" w:cs="Arial" w:eastAsia="Arial" w:hAnsi="Arial"/>
                <w:sz w:val="16"/>
                <w:szCs w:val="16"/>
                <w:b w:val="1"/>
                <w:bCs w:val="1"/>
                <w:color w:val="auto"/>
                <w:w w:val="95"/>
              </w:rPr>
              <w:t>Per BOE</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ind w:left="40"/>
              <w:spacing w:after="0"/>
              <w:rPr>
                <w:sz w:val="20"/>
                <w:szCs w:val="20"/>
                <w:color w:val="auto"/>
              </w:rPr>
            </w:pPr>
            <w:r>
              <w:rPr>
                <w:rFonts w:ascii="Arial" w:cs="Arial" w:eastAsia="Arial" w:hAnsi="Arial"/>
                <w:sz w:val="16"/>
                <w:szCs w:val="16"/>
                <w:b w:val="1"/>
                <w:bCs w:val="1"/>
                <w:color w:val="auto"/>
              </w:rPr>
              <w:t>Amount</w:t>
            </w:r>
          </w:p>
        </w:tc>
        <w:tc>
          <w:tcPr>
            <w:tcW w:w="920" w:type="dxa"/>
            <w:vAlign w:val="bottom"/>
            <w:gridSpan w:val="2"/>
          </w:tcPr>
          <w:p>
            <w:pPr>
              <w:jc w:val="right"/>
              <w:ind w:right="50"/>
              <w:spacing w:after="0"/>
              <w:rPr>
                <w:sz w:val="20"/>
                <w:szCs w:val="20"/>
                <w:color w:val="auto"/>
              </w:rPr>
            </w:pPr>
            <w:r>
              <w:rPr>
                <w:rFonts w:ascii="Arial" w:cs="Arial" w:eastAsia="Arial" w:hAnsi="Arial"/>
                <w:sz w:val="16"/>
                <w:szCs w:val="16"/>
                <w:b w:val="1"/>
                <w:bCs w:val="1"/>
                <w:color w:val="auto"/>
              </w:rPr>
              <w:t>Per BOE</w:t>
            </w:r>
          </w:p>
        </w:tc>
      </w:tr>
      <w:tr>
        <w:trPr>
          <w:trHeight w:val="226"/>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operating expenses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gridSpan w:val="2"/>
            <w:shd w:val="clear" w:color="auto" w:fill="CCEEFF"/>
          </w:tcPr>
          <w:p>
            <w:pPr>
              <w:ind w:left="440"/>
              <w:spacing w:after="0"/>
              <w:rPr>
                <w:sz w:val="20"/>
                <w:szCs w:val="20"/>
                <w:color w:val="auto"/>
              </w:rPr>
            </w:pPr>
            <w:r>
              <w:rPr>
                <w:rFonts w:ascii="Arial" w:cs="Arial" w:eastAsia="Arial" w:hAnsi="Arial"/>
                <w:sz w:val="18"/>
                <w:szCs w:val="18"/>
                <w:color w:val="auto"/>
              </w:rPr>
              <w:t>183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5"/>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4.59</w:t>
            </w:r>
          </w:p>
        </w:tc>
      </w:tr>
    </w:tbl>
    <w:p>
      <w:pPr>
        <w:spacing w:after="0" w:line="31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7"/>
          <w:szCs w:val="17"/>
          <w:color w:val="auto"/>
        </w:rPr>
        <w:t>Lease operating expenses increased by $24 million, or $0.50 on a per BOE basis for the third quarter of 2022 compared to the second quarter of 2022, primarily due increased utility charges of approximately $13 million and continued service cost inflation in other categories.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 xml:space="preserve">Production and Ad Valorem Tax Expense. </w:t>
      </w:r>
      <w:r>
        <w:rPr>
          <w:rFonts w:ascii="Arial" w:cs="Arial" w:eastAsia="Arial" w:hAnsi="Arial"/>
          <w:sz w:val="17"/>
          <w:szCs w:val="17"/>
          <w:color w:val="auto"/>
        </w:rPr>
        <w:t>The following table shows production and ad valorem tax expense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and June 30, 2022:</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5"/>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07"/>
        </w:trPr>
        <w:tc>
          <w:tcPr>
            <w:tcW w:w="6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5"/>
          </w:tcPr>
          <w:p>
            <w:pPr>
              <w:ind w:left="180"/>
              <w:spacing w:after="0"/>
              <w:rPr>
                <w:sz w:val="20"/>
                <w:szCs w:val="20"/>
                <w:color w:val="auto"/>
              </w:rPr>
            </w:pPr>
            <w:r>
              <w:rPr>
                <w:rFonts w:ascii="Arial" w:cs="Arial" w:eastAsia="Arial" w:hAnsi="Arial"/>
                <w:sz w:val="16"/>
                <w:szCs w:val="16"/>
                <w:b w:val="1"/>
                <w:bCs w:val="1"/>
                <w:color w:val="auto"/>
              </w:rPr>
              <w:t>September 30, 2022</w:t>
            </w:r>
          </w:p>
        </w:tc>
        <w:tc>
          <w:tcPr>
            <w:tcW w:w="160" w:type="dxa"/>
            <w:vAlign w:val="bottom"/>
          </w:tcPr>
          <w:p>
            <w:pPr>
              <w:spacing w:after="0"/>
              <w:rPr>
                <w:sz w:val="17"/>
                <w:szCs w:val="17"/>
                <w:color w:val="auto"/>
              </w:rPr>
            </w:pPr>
          </w:p>
        </w:tc>
        <w:tc>
          <w:tcPr>
            <w:tcW w:w="1880" w:type="dxa"/>
            <w:vAlign w:val="bottom"/>
            <w:gridSpan w:val="4"/>
          </w:tcPr>
          <w:p>
            <w:pPr>
              <w:jc w:val="right"/>
              <w:ind w:right="452"/>
              <w:spacing w:after="0"/>
              <w:rPr>
                <w:sz w:val="20"/>
                <w:szCs w:val="20"/>
                <w:color w:val="auto"/>
              </w:rPr>
            </w:pPr>
            <w:r>
              <w:rPr>
                <w:rFonts w:ascii="Arial" w:cs="Arial" w:eastAsia="Arial" w:hAnsi="Arial"/>
                <w:sz w:val="16"/>
                <w:szCs w:val="16"/>
                <w:b w:val="1"/>
                <w:bCs w:val="1"/>
                <w:color w:val="auto"/>
              </w:rPr>
              <w:t>June 30, 2022</w:t>
            </w:r>
          </w:p>
        </w:tc>
      </w:tr>
      <w:tr>
        <w:trPr>
          <w:trHeight w:val="212"/>
        </w:trPr>
        <w:tc>
          <w:tcPr>
            <w:tcW w:w="6980" w:type="dxa"/>
            <w:vAlign w:val="bottom"/>
          </w:tcPr>
          <w:p>
            <w:pPr>
              <w:ind w:left="20"/>
              <w:spacing w:after="0"/>
              <w:rPr>
                <w:sz w:val="20"/>
                <w:szCs w:val="20"/>
                <w:color w:val="auto"/>
              </w:rPr>
            </w:pPr>
            <w:r>
              <w:rPr>
                <w:rFonts w:ascii="Arial" w:cs="Arial" w:eastAsia="Arial" w:hAnsi="Arial"/>
                <w:sz w:val="16"/>
                <w:szCs w:val="16"/>
                <w:b w:val="1"/>
                <w:bCs w:val="1"/>
                <w:color w:val="auto"/>
              </w:rPr>
              <w:t>(In millions, except per BOE amounts)</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54"/>
              <w:spacing w:after="0"/>
              <w:rPr>
                <w:sz w:val="20"/>
                <w:szCs w:val="20"/>
                <w:color w:val="auto"/>
              </w:rPr>
            </w:pPr>
            <w:r>
              <w:rPr>
                <w:rFonts w:ascii="Arial" w:cs="Arial" w:eastAsia="Arial" w:hAnsi="Arial"/>
                <w:sz w:val="16"/>
                <w:szCs w:val="16"/>
                <w:b w:val="1"/>
                <w:bCs w:val="1"/>
                <w:color w:val="auto"/>
                <w:w w:val="95"/>
              </w:rPr>
              <w:t>Per BOE</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52"/>
              <w:spacing w:after="0"/>
              <w:rPr>
                <w:sz w:val="20"/>
                <w:szCs w:val="20"/>
                <w:color w:val="auto"/>
              </w:rPr>
            </w:pPr>
            <w:r>
              <w:rPr>
                <w:rFonts w:ascii="Arial" w:cs="Arial" w:eastAsia="Arial" w:hAnsi="Arial"/>
                <w:sz w:val="16"/>
                <w:szCs w:val="16"/>
                <w:b w:val="1"/>
                <w:bCs w:val="1"/>
                <w:color w:val="auto"/>
                <w:w w:val="95"/>
              </w:rPr>
              <w:t>Per BOE</w:t>
            </w:r>
          </w:p>
        </w:tc>
      </w:tr>
      <w:tr>
        <w:trPr>
          <w:trHeight w:val="226"/>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Production taxes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125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139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r>
      <w:tr>
        <w:trPr>
          <w:trHeight w:val="229"/>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 valorem taxes</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r>
      <w:tr>
        <w:trPr>
          <w:trHeight w:val="248"/>
        </w:trPr>
        <w:tc>
          <w:tcPr>
            <w:tcW w:w="6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production and ad valorem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Production taxes as a % of oil, natural gas, and natural gas liquids revenue</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bl>
    <w:p>
      <w:pPr>
        <w:spacing w:after="0" w:line="32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general, production taxes are directly related to production revenues and are based upon current year commodity prices. Production taxes as a percentage of production revenues for the third quarter of 2022 remained consistent with the second quarter of 2022.</w:t>
      </w:r>
    </w:p>
    <w:p>
      <w:pPr>
        <w:spacing w:after="0" w:line="18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Ad valorem taxes are based, among other factors, on property values driven by prior year commodity prices. During the third quarter of 2022, we reduced our 2022 ad valorem tax estimates to correlate with rates published during the quarter.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 xml:space="preserve">Gathering and Transportation Expense. </w:t>
      </w:r>
      <w:r>
        <w:rPr>
          <w:rFonts w:ascii="Arial" w:cs="Arial" w:eastAsia="Arial" w:hAnsi="Arial"/>
          <w:sz w:val="17"/>
          <w:szCs w:val="17"/>
          <w:color w:val="auto"/>
        </w:rPr>
        <w:t>The following table shows gathering and transportation expense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and June 30, 2022:</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5"/>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07"/>
        </w:trPr>
        <w:tc>
          <w:tcPr>
            <w:tcW w:w="7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gridSpan w:val="5"/>
          </w:tcPr>
          <w:p>
            <w:pPr>
              <w:ind w:left="140"/>
              <w:spacing w:after="0"/>
              <w:rPr>
                <w:sz w:val="20"/>
                <w:szCs w:val="20"/>
                <w:color w:val="auto"/>
              </w:rPr>
            </w:pPr>
            <w:r>
              <w:rPr>
                <w:rFonts w:ascii="Arial" w:cs="Arial" w:eastAsia="Arial" w:hAnsi="Arial"/>
                <w:sz w:val="16"/>
                <w:szCs w:val="16"/>
                <w:b w:val="1"/>
                <w:bCs w:val="1"/>
                <w:color w:val="auto"/>
              </w:rPr>
              <w:t>September 30, 2022</w:t>
            </w:r>
          </w:p>
        </w:tc>
        <w:tc>
          <w:tcPr>
            <w:tcW w:w="140" w:type="dxa"/>
            <w:vAlign w:val="bottom"/>
          </w:tcPr>
          <w:p>
            <w:pPr>
              <w:spacing w:after="0"/>
              <w:rPr>
                <w:sz w:val="17"/>
                <w:szCs w:val="17"/>
                <w:color w:val="auto"/>
              </w:rPr>
            </w:pPr>
          </w:p>
        </w:tc>
        <w:tc>
          <w:tcPr>
            <w:tcW w:w="1760" w:type="dxa"/>
            <w:vAlign w:val="bottom"/>
            <w:gridSpan w:val="4"/>
          </w:tcPr>
          <w:p>
            <w:pPr>
              <w:jc w:val="right"/>
              <w:ind w:right="395"/>
              <w:spacing w:after="0"/>
              <w:rPr>
                <w:sz w:val="20"/>
                <w:szCs w:val="20"/>
                <w:color w:val="auto"/>
              </w:rPr>
            </w:pPr>
            <w:r>
              <w:rPr>
                <w:rFonts w:ascii="Arial" w:cs="Arial" w:eastAsia="Arial" w:hAnsi="Arial"/>
                <w:sz w:val="16"/>
                <w:szCs w:val="16"/>
                <w:b w:val="1"/>
                <w:bCs w:val="1"/>
                <w:color w:val="auto"/>
              </w:rPr>
              <w:t>June 30, 2022</w:t>
            </w:r>
          </w:p>
        </w:tc>
      </w:tr>
      <w:tr>
        <w:trPr>
          <w:trHeight w:val="212"/>
        </w:trPr>
        <w:tc>
          <w:tcPr>
            <w:tcW w:w="7340" w:type="dxa"/>
            <w:vAlign w:val="bottom"/>
          </w:tcPr>
          <w:p>
            <w:pPr>
              <w:ind w:left="20"/>
              <w:spacing w:after="0"/>
              <w:rPr>
                <w:sz w:val="20"/>
                <w:szCs w:val="20"/>
                <w:color w:val="auto"/>
              </w:rPr>
            </w:pPr>
            <w:r>
              <w:rPr>
                <w:rFonts w:ascii="Arial" w:cs="Arial" w:eastAsia="Arial" w:hAnsi="Arial"/>
                <w:sz w:val="16"/>
                <w:szCs w:val="16"/>
                <w:b w:val="1"/>
                <w:bCs w:val="1"/>
                <w:color w:val="auto"/>
              </w:rPr>
              <w:t>(In millions, except per BOE amounts)</w:t>
            </w: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56"/>
              <w:spacing w:after="0"/>
              <w:rPr>
                <w:sz w:val="20"/>
                <w:szCs w:val="20"/>
                <w:color w:val="auto"/>
              </w:rPr>
            </w:pPr>
            <w:r>
              <w:rPr>
                <w:rFonts w:ascii="Arial" w:cs="Arial" w:eastAsia="Arial" w:hAnsi="Arial"/>
                <w:sz w:val="16"/>
                <w:szCs w:val="16"/>
                <w:b w:val="1"/>
                <w:bCs w:val="1"/>
                <w:color w:val="auto"/>
                <w:w w:val="95"/>
              </w:rPr>
              <w:t>Per BOE</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55"/>
              <w:spacing w:after="0"/>
              <w:rPr>
                <w:sz w:val="20"/>
                <w:szCs w:val="20"/>
                <w:color w:val="auto"/>
              </w:rPr>
            </w:pPr>
            <w:r>
              <w:rPr>
                <w:rFonts w:ascii="Arial" w:cs="Arial" w:eastAsia="Arial" w:hAnsi="Arial"/>
                <w:sz w:val="16"/>
                <w:szCs w:val="16"/>
                <w:b w:val="1"/>
                <w:bCs w:val="1"/>
                <w:color w:val="auto"/>
                <w:w w:val="95"/>
              </w:rPr>
              <w:t>Per BOE</w:t>
            </w:r>
          </w:p>
        </w:tc>
      </w:tr>
      <w:tr>
        <w:trPr>
          <w:trHeight w:val="226"/>
        </w:trPr>
        <w:tc>
          <w:tcPr>
            <w:tcW w:w="7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Gathering and transportation</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r>
    </w:tbl>
    <w:p>
      <w:pPr>
        <w:spacing w:after="0" w:line="200" w:lineRule="exact"/>
        <w:rPr>
          <w:sz w:val="20"/>
          <w:szCs w:val="20"/>
          <w:color w:val="auto"/>
        </w:rPr>
      </w:pPr>
    </w:p>
    <w:p>
      <w:pPr>
        <w:spacing w:after="0" w:line="20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increase in gathering and transportation expenses for the third quarter of 2022 compared to the second quarter of 2022 is primarily attributable to $6 million in additional charges incurred to transport production to pipelines where we have minimum volume commitments. The remainder of the increase is primarily due to annual contractual rate escalations.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Depreciation, Depletion, Amortization and Accretion. </w:t>
      </w:r>
      <w:r>
        <w:rPr>
          <w:rFonts w:ascii="Arial" w:cs="Arial" w:eastAsia="Arial" w:hAnsi="Arial"/>
          <w:sz w:val="18"/>
          <w:szCs w:val="18"/>
          <w:color w:val="auto"/>
        </w:rPr>
        <w:t>The following table provides the components of our depreciation, depletion, amortization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accretion expense for the three months ended September 30, 2022 and June 30, 2022:</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4"/>
          </w:tcPr>
          <w:p>
            <w:pPr>
              <w:jc w:val="right"/>
              <w:ind w:right="991"/>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(In millions, except BOE amounts)</w:t>
            </w:r>
          </w:p>
        </w:tc>
        <w:tc>
          <w:tcPr>
            <w:tcW w:w="18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2022</w:t>
            </w:r>
          </w:p>
        </w:tc>
        <w:tc>
          <w:tcPr>
            <w:tcW w:w="260" w:type="dxa"/>
            <w:vAlign w:val="bottom"/>
          </w:tcPr>
          <w:p>
            <w:pPr>
              <w:spacing w:after="0"/>
              <w:rPr>
                <w:sz w:val="18"/>
                <w:szCs w:val="18"/>
                <w:color w:val="auto"/>
              </w:rPr>
            </w:pPr>
          </w:p>
        </w:tc>
        <w:tc>
          <w:tcPr>
            <w:tcW w:w="1460" w:type="dxa"/>
            <w:vAlign w:val="bottom"/>
          </w:tcPr>
          <w:p>
            <w:pPr>
              <w:jc w:val="right"/>
              <w:ind w:right="291"/>
              <w:spacing w:after="0"/>
              <w:rPr>
                <w:sz w:val="20"/>
                <w:szCs w:val="20"/>
                <w:color w:val="auto"/>
              </w:rPr>
            </w:pPr>
            <w:r>
              <w:rPr>
                <w:rFonts w:ascii="Arial" w:cs="Arial" w:eastAsia="Arial" w:hAnsi="Arial"/>
                <w:sz w:val="16"/>
                <w:szCs w:val="16"/>
                <w:b w:val="1"/>
                <w:bCs w:val="1"/>
                <w:color w:val="auto"/>
              </w:rPr>
              <w:t>June 30, 2022</w:t>
            </w:r>
          </w:p>
        </w:tc>
        <w:tc>
          <w:tcPr>
            <w:tcW w:w="0" w:type="dxa"/>
            <w:vAlign w:val="bottom"/>
          </w:tcPr>
          <w:p>
            <w:pPr>
              <w:spacing w:after="0"/>
              <w:rPr>
                <w:sz w:val="1"/>
                <w:szCs w:val="1"/>
                <w:color w:val="auto"/>
              </w:rPr>
            </w:pPr>
          </w:p>
        </w:tc>
      </w:tr>
      <w:tr>
        <w:trPr>
          <w:trHeight w:val="226"/>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Depletion of proved oil and natural gas properties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Depreciation of other property and equipment</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amortization</w:t>
            </w:r>
          </w:p>
        </w:tc>
        <w:tc>
          <w:tcPr>
            <w:tcW w:w="1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 retirement obligation accretion</w:t>
            </w: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depletion, amortization and accretion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Oil and natural gas properties depletion rate per BOE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600" w:type="dxa"/>
            <w:vAlign w:val="bottom"/>
            <w:vMerge w:val="continue"/>
          </w:tcPr>
          <w:p>
            <w:pPr>
              <w:spacing w:after="0"/>
              <w:rPr>
                <w:sz w:val="17"/>
                <w:szCs w:val="17"/>
                <w:color w:val="auto"/>
              </w:rPr>
            </w:pPr>
          </w:p>
        </w:tc>
        <w:tc>
          <w:tcPr>
            <w:tcW w:w="180" w:type="dxa"/>
            <w:vAlign w:val="bottom"/>
          </w:tcPr>
          <w:p>
            <w:pPr>
              <w:jc w:val="right"/>
              <w:spacing w:after="0" w:line="204" w:lineRule="exact"/>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line="204" w:lineRule="exact"/>
              <w:rPr>
                <w:sz w:val="20"/>
                <w:szCs w:val="20"/>
                <w:color w:val="auto"/>
              </w:rPr>
            </w:pPr>
            <w:r>
              <w:rPr>
                <w:rFonts w:ascii="Arial" w:cs="Arial" w:eastAsia="Arial" w:hAnsi="Arial"/>
                <w:sz w:val="18"/>
                <w:szCs w:val="18"/>
                <w:color w:val="auto"/>
              </w:rPr>
              <w:t>8.79</w:t>
            </w:r>
          </w:p>
        </w:tc>
        <w:tc>
          <w:tcPr>
            <w:tcW w:w="80" w:type="dxa"/>
            <w:vAlign w:val="bottom"/>
          </w:tcPr>
          <w:p>
            <w:pPr>
              <w:spacing w:after="0"/>
              <w:rPr>
                <w:sz w:val="17"/>
                <w:szCs w:val="17"/>
                <w:color w:val="auto"/>
              </w:rPr>
            </w:pPr>
          </w:p>
        </w:tc>
        <w:tc>
          <w:tcPr>
            <w:tcW w:w="260" w:type="dxa"/>
            <w:vAlign w:val="bottom"/>
          </w:tcPr>
          <w:p>
            <w:pPr>
              <w:jc w:val="right"/>
              <w:ind w:right="50"/>
              <w:spacing w:after="0" w:line="204" w:lineRule="exact"/>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line="204" w:lineRule="exact"/>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Depletion of proved oil and natural gas properties increased for the third quarter of 2022 as compared to the second quarter of 2022 due primarily to the increase in production volumes in third quarter of 2022.</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The following table shows general and administrative expenses for the three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and June 30, 2022:</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5"/>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07"/>
        </w:trPr>
        <w:tc>
          <w:tcPr>
            <w:tcW w:w="7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gridSpan w:val="5"/>
          </w:tcPr>
          <w:p>
            <w:pPr>
              <w:ind w:left="180"/>
              <w:spacing w:after="0"/>
              <w:rPr>
                <w:sz w:val="20"/>
                <w:szCs w:val="20"/>
                <w:color w:val="auto"/>
              </w:rPr>
            </w:pPr>
            <w:r>
              <w:rPr>
                <w:rFonts w:ascii="Arial" w:cs="Arial" w:eastAsia="Arial" w:hAnsi="Arial"/>
                <w:sz w:val="16"/>
                <w:szCs w:val="16"/>
                <w:b w:val="1"/>
                <w:bCs w:val="1"/>
                <w:color w:val="auto"/>
              </w:rPr>
              <w:t>September 30, 2022</w:t>
            </w:r>
          </w:p>
        </w:tc>
        <w:tc>
          <w:tcPr>
            <w:tcW w:w="140" w:type="dxa"/>
            <w:vAlign w:val="bottom"/>
          </w:tcPr>
          <w:p>
            <w:pPr>
              <w:spacing w:after="0"/>
              <w:rPr>
                <w:sz w:val="17"/>
                <w:szCs w:val="17"/>
                <w:color w:val="auto"/>
              </w:rPr>
            </w:pPr>
          </w:p>
        </w:tc>
        <w:tc>
          <w:tcPr>
            <w:tcW w:w="1860" w:type="dxa"/>
            <w:vAlign w:val="bottom"/>
            <w:gridSpan w:val="4"/>
          </w:tcPr>
          <w:p>
            <w:pPr>
              <w:jc w:val="center"/>
              <w:ind w:right="32"/>
              <w:spacing w:after="0"/>
              <w:rPr>
                <w:sz w:val="20"/>
                <w:szCs w:val="20"/>
                <w:color w:val="auto"/>
              </w:rPr>
            </w:pPr>
            <w:r>
              <w:rPr>
                <w:rFonts w:ascii="Arial" w:cs="Arial" w:eastAsia="Arial" w:hAnsi="Arial"/>
                <w:sz w:val="16"/>
                <w:szCs w:val="16"/>
                <w:b w:val="1"/>
                <w:bCs w:val="1"/>
                <w:color w:val="auto"/>
                <w:w w:val="90"/>
              </w:rPr>
              <w:t>June 30, 2022</w:t>
            </w:r>
          </w:p>
        </w:tc>
      </w:tr>
      <w:tr>
        <w:trPr>
          <w:trHeight w:val="212"/>
        </w:trPr>
        <w:tc>
          <w:tcPr>
            <w:tcW w:w="7180" w:type="dxa"/>
            <w:vAlign w:val="bottom"/>
          </w:tcPr>
          <w:p>
            <w:pPr>
              <w:ind w:left="20"/>
              <w:spacing w:after="0"/>
              <w:rPr>
                <w:sz w:val="20"/>
                <w:szCs w:val="20"/>
                <w:color w:val="auto"/>
              </w:rPr>
            </w:pPr>
            <w:r>
              <w:rPr>
                <w:rFonts w:ascii="Arial" w:cs="Arial" w:eastAsia="Arial" w:hAnsi="Arial"/>
                <w:sz w:val="16"/>
                <w:szCs w:val="16"/>
                <w:b w:val="1"/>
                <w:bCs w:val="1"/>
                <w:color w:val="auto"/>
              </w:rPr>
              <w:t>(In millions, except per BOE amounts)</w:t>
            </w: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94"/>
              <w:spacing w:after="0"/>
              <w:rPr>
                <w:sz w:val="20"/>
                <w:szCs w:val="20"/>
                <w:color w:val="auto"/>
              </w:rPr>
            </w:pPr>
            <w:r>
              <w:rPr>
                <w:rFonts w:ascii="Arial" w:cs="Arial" w:eastAsia="Arial" w:hAnsi="Arial"/>
                <w:sz w:val="16"/>
                <w:szCs w:val="16"/>
                <w:b w:val="1"/>
                <w:bCs w:val="1"/>
                <w:color w:val="auto"/>
              </w:rPr>
              <w:t>Per BOE</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12"/>
              <w:spacing w:after="0"/>
              <w:rPr>
                <w:sz w:val="20"/>
                <w:szCs w:val="20"/>
                <w:color w:val="auto"/>
              </w:rPr>
            </w:pPr>
            <w:r>
              <w:rPr>
                <w:rFonts w:ascii="Arial" w:cs="Arial" w:eastAsia="Arial" w:hAnsi="Arial"/>
                <w:sz w:val="16"/>
                <w:szCs w:val="16"/>
                <w:b w:val="1"/>
                <w:bCs w:val="1"/>
                <w:color w:val="auto"/>
              </w:rPr>
              <w:t>Per BOE</w:t>
            </w:r>
          </w:p>
        </w:tc>
      </w:tr>
      <w:tr>
        <w:trPr>
          <w:trHeight w:val="226"/>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0.75</w:t>
            </w:r>
          </w:p>
        </w:tc>
      </w:tr>
      <w:tr>
        <w:trPr>
          <w:trHeight w:val="229"/>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Non-cash stock-based compensation</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r>
      <w:tr>
        <w:trPr>
          <w:trHeight w:val="248"/>
        </w:trPr>
        <w:tc>
          <w:tcPr>
            <w:tcW w:w="7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general and administrative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decrease in general and administrative expenses for the third quarter of 2022 compared to the second quarter of 2022 was primarily due to a reduction in net compensation and benefits costs and legal fees.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Other Operating Costs and Expenses. </w:t>
      </w:r>
      <w:r>
        <w:rPr>
          <w:rFonts w:ascii="Arial" w:cs="Arial" w:eastAsia="Arial" w:hAnsi="Arial"/>
          <w:sz w:val="16"/>
          <w:szCs w:val="16"/>
          <w:color w:val="auto"/>
        </w:rPr>
        <w:t>The following table shows other insignificant operating costs and expenses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and June 30, 2022:</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4"/>
          </w:tcPr>
          <w:p>
            <w:pPr>
              <w:ind w:left="900"/>
              <w:spacing w:after="0"/>
              <w:rPr>
                <w:sz w:val="20"/>
                <w:szCs w:val="20"/>
                <w:color w:val="auto"/>
              </w:rPr>
            </w:pPr>
            <w:r>
              <w:rPr>
                <w:rFonts w:ascii="Arial" w:cs="Arial" w:eastAsia="Arial" w:hAnsi="Arial"/>
                <w:sz w:val="16"/>
                <w:szCs w:val="16"/>
                <w:b w:val="1"/>
                <w:bCs w:val="1"/>
                <w:color w:val="auto"/>
              </w:rPr>
              <w:t>Three Months Ended</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2022</w:t>
            </w:r>
          </w:p>
        </w:tc>
        <w:tc>
          <w:tcPr>
            <w:tcW w:w="260" w:type="dxa"/>
            <w:vAlign w:val="bottom"/>
          </w:tcPr>
          <w:p>
            <w:pPr>
              <w:spacing w:after="0"/>
              <w:rPr>
                <w:sz w:val="18"/>
                <w:szCs w:val="18"/>
                <w:color w:val="auto"/>
              </w:rPr>
            </w:pPr>
          </w:p>
        </w:tc>
        <w:tc>
          <w:tcPr>
            <w:tcW w:w="1460" w:type="dxa"/>
            <w:vAlign w:val="bottom"/>
          </w:tcPr>
          <w:p>
            <w:pPr>
              <w:ind w:left="140"/>
              <w:spacing w:after="0"/>
              <w:rPr>
                <w:sz w:val="20"/>
                <w:szCs w:val="20"/>
                <w:color w:val="auto"/>
              </w:rPr>
            </w:pPr>
            <w:r>
              <w:rPr>
                <w:rFonts w:ascii="Arial" w:cs="Arial" w:eastAsia="Arial" w:hAnsi="Arial"/>
                <w:sz w:val="16"/>
                <w:szCs w:val="16"/>
                <w:b w:val="1"/>
                <w:bCs w:val="1"/>
                <w:color w:val="auto"/>
              </w:rPr>
              <w:t>June 30, 2022</w:t>
            </w:r>
          </w:p>
        </w:tc>
      </w:tr>
      <w:tr>
        <w:trPr>
          <w:trHeight w:val="226"/>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Merger and integration expenses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Other operating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ind w:left="1200"/>
              <w:spacing w:after="0"/>
              <w:rPr>
                <w:sz w:val="20"/>
                <w:szCs w:val="20"/>
                <w:color w:val="auto"/>
              </w:rPr>
            </w:pPr>
            <w:r>
              <w:rPr>
                <w:rFonts w:ascii="Arial" w:cs="Arial" w:eastAsia="Arial" w:hAnsi="Arial"/>
                <w:sz w:val="18"/>
                <w:szCs w:val="18"/>
                <w:color w:val="auto"/>
              </w:rPr>
              <w:t>23</w:t>
            </w:r>
          </w:p>
        </w:tc>
      </w:tr>
    </w:tbl>
    <w:p>
      <w:pPr>
        <w:spacing w:after="0" w:line="30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Derivative Instruments. </w:t>
      </w:r>
      <w:r>
        <w:rPr>
          <w:rFonts w:ascii="Arial" w:cs="Arial" w:eastAsia="Arial" w:hAnsi="Arial"/>
          <w:sz w:val="18"/>
          <w:szCs w:val="18"/>
          <w:color w:val="auto"/>
        </w:rPr>
        <w:t>The following table shows the net gain (loss) on derivative instruments and the net cash receipts (payments)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settlements of derivative instruments for the three months ended September 30, 2022 and June 30, 2022:</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4"/>
          </w:tcPr>
          <w:p>
            <w:pPr>
              <w:jc w:val="right"/>
              <w:ind w:right="993"/>
              <w:spacing w:after="0"/>
              <w:rPr>
                <w:sz w:val="20"/>
                <w:szCs w:val="20"/>
                <w:color w:val="auto"/>
              </w:rPr>
            </w:pPr>
            <w:r>
              <w:rPr>
                <w:rFonts w:ascii="Arial" w:cs="Arial" w:eastAsia="Arial" w:hAnsi="Arial"/>
                <w:sz w:val="16"/>
                <w:szCs w:val="16"/>
                <w:b w:val="1"/>
                <w:bCs w:val="1"/>
                <w:color w:val="auto"/>
              </w:rPr>
              <w:t>Three Months Ended</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2022</w:t>
            </w:r>
          </w:p>
        </w:tc>
        <w:tc>
          <w:tcPr>
            <w:tcW w:w="260" w:type="dxa"/>
            <w:vAlign w:val="bottom"/>
          </w:tcPr>
          <w:p>
            <w:pPr>
              <w:spacing w:after="0"/>
              <w:rPr>
                <w:sz w:val="18"/>
                <w:szCs w:val="18"/>
                <w:color w:val="auto"/>
              </w:rPr>
            </w:pPr>
          </w:p>
        </w:tc>
        <w:tc>
          <w:tcPr>
            <w:tcW w:w="1460" w:type="dxa"/>
            <w:vAlign w:val="bottom"/>
          </w:tcPr>
          <w:p>
            <w:pPr>
              <w:jc w:val="right"/>
              <w:ind w:right="293"/>
              <w:spacing w:after="0"/>
              <w:rPr>
                <w:sz w:val="20"/>
                <w:szCs w:val="20"/>
                <w:color w:val="auto"/>
              </w:rPr>
            </w:pPr>
            <w:r>
              <w:rPr>
                <w:rFonts w:ascii="Arial" w:cs="Arial" w:eastAsia="Arial" w:hAnsi="Arial"/>
                <w:sz w:val="16"/>
                <w:szCs w:val="16"/>
                <w:b w:val="1"/>
                <w:bCs w:val="1"/>
                <w:color w:val="auto"/>
              </w:rPr>
              <w:t>June 30, 2022</w:t>
            </w:r>
          </w:p>
        </w:tc>
      </w:tr>
      <w:tr>
        <w:trPr>
          <w:trHeight w:val="226"/>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(loss) on derivative instruments, net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Net cash received (paid) on settlements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(300)</w:t>
            </w:r>
          </w:p>
        </w:tc>
      </w:tr>
    </w:tbl>
    <w:p>
      <w:pPr>
        <w:spacing w:after="0" w:line="32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have not designated our commodity derivative instruments as hedges for accounting purposes. As a result, we mark our commodity derivative instruments to fair value and recognize the cash and non-cash changes in fair value on derivative instruments in earnings.</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Certain of our interest rate swaps were designated as fair value hedges for accounting purposes, but were fully dedesignated at management’s election in the second quarter of 2022. After dedesignation, gains and losses due to settlements and changes in the fair value of the interest rate swaps are recognized in earnings in the caption “Gain (loss) on derivative instruments, net” on the condensed consolidated statements of operations. See Note 11— </w:t>
      </w:r>
      <w:r>
        <w:rPr>
          <w:rFonts w:ascii="Arial" w:cs="Arial" w:eastAsia="Arial" w:hAnsi="Arial"/>
          <w:sz w:val="18"/>
          <w:szCs w:val="18"/>
          <w:u w:val="single" w:color="auto"/>
          <w:color w:val="0000FF"/>
        </w:rPr>
        <w:t>Derivatives</w:t>
      </w:r>
      <w:r>
        <w:rPr>
          <w:rFonts w:ascii="Arial" w:cs="Arial" w:eastAsia="Arial" w:hAnsi="Arial"/>
          <w:sz w:val="18"/>
          <w:szCs w:val="18"/>
          <w:color w:val="0000FF"/>
        </w:rPr>
        <w:t xml:space="preserve"> </w:t>
      </w:r>
      <w:r>
        <w:rPr>
          <w:rFonts w:ascii="Arial" w:cs="Arial" w:eastAsia="Arial" w:hAnsi="Arial"/>
          <w:sz w:val="18"/>
          <w:szCs w:val="18"/>
          <w:color w:val="000000"/>
        </w:rPr>
        <w:t>of the condensed notes to the consolidated financial statements included elsewhere in this report for further details regarding our derivative</w:t>
      </w:r>
      <w:r>
        <w:rPr>
          <w:rFonts w:ascii="Arial" w:cs="Arial" w:eastAsia="Arial" w:hAnsi="Arial"/>
          <w:sz w:val="18"/>
          <w:szCs w:val="18"/>
          <w:color w:val="0000FF"/>
        </w:rPr>
        <w:t xml:space="preserve"> </w:t>
      </w:r>
      <w:r>
        <w:rPr>
          <w:rFonts w:ascii="Arial" w:cs="Arial" w:eastAsia="Arial" w:hAnsi="Arial"/>
          <w:sz w:val="18"/>
          <w:szCs w:val="18"/>
          <w:color w:val="000000"/>
        </w:rPr>
        <w:t>instruments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Other Income (Expense). </w:t>
      </w:r>
      <w:r>
        <w:rPr>
          <w:rFonts w:ascii="Arial" w:cs="Arial" w:eastAsia="Arial" w:hAnsi="Arial"/>
          <w:sz w:val="16"/>
          <w:szCs w:val="16"/>
          <w:color w:val="auto"/>
        </w:rPr>
        <w:t>The following table shows other insignificant income and expenses for the three months ended September 30, 2022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2022:</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4"/>
          </w:tcPr>
          <w:p>
            <w:pPr>
              <w:jc w:val="right"/>
              <w:ind w:right="992"/>
              <w:spacing w:after="0"/>
              <w:rPr>
                <w:sz w:val="20"/>
                <w:szCs w:val="20"/>
                <w:color w:val="auto"/>
              </w:rPr>
            </w:pPr>
            <w:r>
              <w:rPr>
                <w:rFonts w:ascii="Arial" w:cs="Arial" w:eastAsia="Arial" w:hAnsi="Arial"/>
                <w:sz w:val="16"/>
                <w:szCs w:val="16"/>
                <w:b w:val="1"/>
                <w:bCs w:val="1"/>
                <w:color w:val="auto"/>
              </w:rPr>
              <w:t>Three Months Ended</w:t>
            </w: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2022</w:t>
            </w:r>
          </w:p>
        </w:tc>
        <w:tc>
          <w:tcPr>
            <w:tcW w:w="260" w:type="dxa"/>
            <w:vAlign w:val="bottom"/>
          </w:tcPr>
          <w:p>
            <w:pPr>
              <w:spacing w:after="0"/>
              <w:rPr>
                <w:sz w:val="18"/>
                <w:szCs w:val="18"/>
                <w:color w:val="auto"/>
              </w:rPr>
            </w:pPr>
          </w:p>
        </w:tc>
        <w:tc>
          <w:tcPr>
            <w:tcW w:w="1460" w:type="dxa"/>
            <w:vAlign w:val="bottom"/>
          </w:tcPr>
          <w:p>
            <w:pPr>
              <w:jc w:val="right"/>
              <w:ind w:right="292"/>
              <w:spacing w:after="0"/>
              <w:rPr>
                <w:sz w:val="20"/>
                <w:szCs w:val="20"/>
                <w:color w:val="auto"/>
              </w:rPr>
            </w:pPr>
            <w:r>
              <w:rPr>
                <w:rFonts w:ascii="Arial" w:cs="Arial" w:eastAsia="Arial" w:hAnsi="Arial"/>
                <w:sz w:val="16"/>
                <w:szCs w:val="16"/>
                <w:b w:val="1"/>
                <w:bCs w:val="1"/>
                <w:color w:val="auto"/>
              </w:rPr>
              <w:t>June 30, 2022</w:t>
            </w:r>
          </w:p>
        </w:tc>
      </w:tr>
      <w:tr>
        <w:trPr>
          <w:trHeight w:val="226"/>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4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extinguishment of debt</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Income (loss) from equity investments</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728"/>
        </w:trPr>
        <w:tc>
          <w:tcPr>
            <w:tcW w:w="4160" w:type="dxa"/>
            <w:vAlign w:val="bottom"/>
          </w:tcPr>
          <w:p>
            <w:pPr>
              <w:spacing w:after="0"/>
              <w:rPr>
                <w:sz w:val="24"/>
                <w:szCs w:val="24"/>
                <w:color w:val="auto"/>
              </w:rPr>
            </w:pPr>
          </w:p>
        </w:tc>
        <w:tc>
          <w:tcPr>
            <w:tcW w:w="3440" w:type="dxa"/>
            <w:vAlign w:val="bottom"/>
          </w:tcPr>
          <w:p>
            <w:pPr>
              <w:jc w:val="right"/>
              <w:ind w:right="179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58"/>
        </w:trPr>
        <w:tc>
          <w:tcPr>
            <w:tcW w:w="416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Provision for (Benefit from) Income Taxes. </w:t>
      </w:r>
      <w:r>
        <w:rPr>
          <w:rFonts w:ascii="Arial" w:cs="Arial" w:eastAsia="Arial" w:hAnsi="Arial"/>
          <w:sz w:val="16"/>
          <w:szCs w:val="16"/>
          <w:color w:val="auto"/>
        </w:rPr>
        <w:t>The following table shows the provision for (benefit from) income taxes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and June 30, 2022:</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4"/>
          </w:tcPr>
          <w:p>
            <w:pPr>
              <w:jc w:val="right"/>
              <w:ind w:right="995"/>
              <w:spacing w:after="0"/>
              <w:rPr>
                <w:sz w:val="20"/>
                <w:szCs w:val="20"/>
                <w:color w:val="auto"/>
              </w:rPr>
            </w:pPr>
            <w:r>
              <w:rPr>
                <w:rFonts w:ascii="Arial" w:cs="Arial" w:eastAsia="Arial" w:hAnsi="Arial"/>
                <w:sz w:val="16"/>
                <w:szCs w:val="16"/>
                <w:b w:val="1"/>
                <w:bCs w:val="1"/>
                <w:color w:val="auto"/>
              </w:rPr>
              <w:t>Three Months Ended</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2022</w:t>
            </w:r>
          </w:p>
        </w:tc>
        <w:tc>
          <w:tcPr>
            <w:tcW w:w="260" w:type="dxa"/>
            <w:vAlign w:val="bottom"/>
          </w:tcPr>
          <w:p>
            <w:pPr>
              <w:spacing w:after="0"/>
              <w:rPr>
                <w:sz w:val="18"/>
                <w:szCs w:val="18"/>
                <w:color w:val="auto"/>
              </w:rPr>
            </w:pPr>
          </w:p>
        </w:tc>
        <w:tc>
          <w:tcPr>
            <w:tcW w:w="1460" w:type="dxa"/>
            <w:vAlign w:val="bottom"/>
          </w:tcPr>
          <w:p>
            <w:pPr>
              <w:jc w:val="right"/>
              <w:ind w:right="295"/>
              <w:spacing w:after="0"/>
              <w:rPr>
                <w:sz w:val="20"/>
                <w:szCs w:val="20"/>
                <w:color w:val="auto"/>
              </w:rPr>
            </w:pPr>
            <w:r>
              <w:rPr>
                <w:rFonts w:ascii="Arial" w:cs="Arial" w:eastAsia="Arial" w:hAnsi="Arial"/>
                <w:sz w:val="16"/>
                <w:szCs w:val="16"/>
                <w:b w:val="1"/>
                <w:bCs w:val="1"/>
                <w:color w:val="auto"/>
              </w:rPr>
              <w:t>June 30, 2022</w:t>
            </w:r>
          </w:p>
        </w:tc>
      </w:tr>
      <w:tr>
        <w:trPr>
          <w:trHeight w:val="226"/>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r>
    </w:tbl>
    <w:p>
      <w:pPr>
        <w:spacing w:after="0" w:line="31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The change in our income tax provision for the third quarter of 2022 compared to the second quarter of 2022 was primarily due to the decrease in pre-tax income between the periods which resulted largely from the changes in gain (loss) on derivatives and revenues from oil, natural gas and natural gas liquids discussed above. In addition, a discrete tax benefit of $50 million was recorded in the third quarter of 2022 related to a partial reduction in Viper’s valuation allowance against its deferred tax assets. See Note 10—Income Taxes for further discussion of our income tax expense.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2022 and 2021</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selected operating data for the nine months ended September 30, 2022 and 2021:</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210"/>
        </w:trPr>
        <w:tc>
          <w:tcPr>
            <w:tcW w:w="8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6"/>
                <w:szCs w:val="16"/>
                <w:b w:val="1"/>
                <w:bCs w:val="1"/>
                <w:color w:val="auto"/>
              </w:rPr>
              <w:t>2021</w:t>
            </w:r>
          </w:p>
        </w:tc>
      </w:tr>
      <w:tr>
        <w:trPr>
          <w:trHeight w:val="199"/>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 (In millions):</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8120" w:type="dxa"/>
            <w:vAlign w:val="bottom"/>
          </w:tcPr>
          <w:p>
            <w:pPr>
              <w:ind w:left="240"/>
              <w:spacing w:after="0"/>
              <w:rPr>
                <w:sz w:val="20"/>
                <w:szCs w:val="20"/>
                <w:color w:val="auto"/>
              </w:rPr>
            </w:pPr>
            <w:r>
              <w:rPr>
                <w:rFonts w:ascii="Arial" w:cs="Arial" w:eastAsia="Arial" w:hAnsi="Arial"/>
                <w:sz w:val="18"/>
                <w:szCs w:val="18"/>
                <w:color w:val="auto"/>
              </w:rPr>
              <w:t>Oil sales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5,988</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3,845</w:t>
            </w:r>
          </w:p>
        </w:tc>
      </w:tr>
      <w:tr>
        <w:trPr>
          <w:trHeight w:val="229"/>
        </w:trPr>
        <w:tc>
          <w:tcPr>
            <w:tcW w:w="8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Natural gas sales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r>
      <w:tr>
        <w:trPr>
          <w:trHeight w:val="229"/>
        </w:trPr>
        <w:tc>
          <w:tcPr>
            <w:tcW w:w="81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Natural gas liquid sales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r>
      <w:tr>
        <w:trPr>
          <w:trHeight w:val="248"/>
        </w:trPr>
        <w:tc>
          <w:tcPr>
            <w:tcW w:w="8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oil, natural gas and natural gas liquid revenues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4,736</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Production Data:</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8120" w:type="dxa"/>
            <w:vAlign w:val="bottom"/>
          </w:tcPr>
          <w:p>
            <w:pPr>
              <w:ind w:left="480"/>
              <w:spacing w:after="0"/>
              <w:rPr>
                <w:sz w:val="20"/>
                <w:szCs w:val="20"/>
                <w:color w:val="auto"/>
              </w:rPr>
            </w:pPr>
            <w:r>
              <w:rPr>
                <w:rFonts w:ascii="Arial" w:cs="Arial" w:eastAsia="Arial" w:hAnsi="Arial"/>
                <w:sz w:val="18"/>
                <w:szCs w:val="18"/>
                <w:color w:val="auto"/>
              </w:rPr>
              <w:t>Oil (MBbls)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60,813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60,703</w:t>
            </w:r>
          </w:p>
        </w:tc>
      </w:tr>
      <w:tr>
        <w:trPr>
          <w:trHeight w:val="230"/>
        </w:trPr>
        <w:tc>
          <w:tcPr>
            <w:tcW w:w="8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Natural gas (MMcf)</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131,356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124,186</w:t>
            </w:r>
          </w:p>
        </w:tc>
      </w:tr>
      <w:tr>
        <w:trPr>
          <w:trHeight w:val="229"/>
        </w:trPr>
        <w:tc>
          <w:tcPr>
            <w:tcW w:w="8120" w:type="dxa"/>
            <w:vAlign w:val="bottom"/>
          </w:tcPr>
          <w:p>
            <w:pPr>
              <w:ind w:left="480"/>
              <w:spacing w:after="0"/>
              <w:rPr>
                <w:sz w:val="20"/>
                <w:szCs w:val="20"/>
                <w:color w:val="auto"/>
              </w:rPr>
            </w:pPr>
            <w:r>
              <w:rPr>
                <w:rFonts w:ascii="Arial" w:cs="Arial" w:eastAsia="Arial" w:hAnsi="Arial"/>
                <w:sz w:val="18"/>
                <w:szCs w:val="18"/>
                <w:color w:val="auto"/>
              </w:rPr>
              <w:t>Natural gas liquids (MBbls)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22,177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19,992</w:t>
            </w:r>
          </w:p>
        </w:tc>
      </w:tr>
      <w:tr>
        <w:trPr>
          <w:trHeight w:val="230"/>
        </w:trPr>
        <w:tc>
          <w:tcPr>
            <w:tcW w:w="812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Combined volumes (MBOE)</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104,883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101,393</w:t>
            </w:r>
          </w:p>
        </w:tc>
      </w:tr>
      <w:tr>
        <w:trPr>
          <w:trHeight w:val="270"/>
        </w:trPr>
        <w:tc>
          <w:tcPr>
            <w:tcW w:w="8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Daily oil volumes (BO/d)</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222,758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222,355</w:t>
            </w:r>
          </w:p>
        </w:tc>
      </w:tr>
      <w:tr>
        <w:trPr>
          <w:trHeight w:val="230"/>
        </w:trPr>
        <w:tc>
          <w:tcPr>
            <w:tcW w:w="8120" w:type="dxa"/>
            <w:vAlign w:val="bottom"/>
          </w:tcPr>
          <w:p>
            <w:pPr>
              <w:ind w:left="20"/>
              <w:spacing w:after="0"/>
              <w:rPr>
                <w:sz w:val="20"/>
                <w:szCs w:val="20"/>
                <w:color w:val="auto"/>
              </w:rPr>
            </w:pPr>
            <w:r>
              <w:rPr>
                <w:rFonts w:ascii="Arial" w:cs="Arial" w:eastAsia="Arial" w:hAnsi="Arial"/>
                <w:sz w:val="18"/>
                <w:szCs w:val="18"/>
                <w:color w:val="auto"/>
              </w:rPr>
              <w:t>Daily combined volumes (BOE/d)</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384,187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371,402</w:t>
            </w:r>
          </w:p>
        </w:tc>
      </w:tr>
      <w:tr>
        <w:trPr>
          <w:trHeight w:val="270"/>
        </w:trPr>
        <w:tc>
          <w:tcPr>
            <w:tcW w:w="8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13"/>
        </w:trPr>
        <w:tc>
          <w:tcPr>
            <w:tcW w:w="8120" w:type="dxa"/>
            <w:vAlign w:val="bottom"/>
          </w:tcPr>
          <w:p>
            <w:pPr>
              <w:ind w:left="20"/>
              <w:spacing w:after="0"/>
              <w:rPr>
                <w:sz w:val="20"/>
                <w:szCs w:val="20"/>
                <w:color w:val="auto"/>
              </w:rPr>
            </w:pPr>
            <w:r>
              <w:rPr>
                <w:rFonts w:ascii="Arial" w:cs="Arial" w:eastAsia="Arial" w:hAnsi="Arial"/>
                <w:sz w:val="16"/>
                <w:szCs w:val="16"/>
                <w:b w:val="1"/>
                <w:bCs w:val="1"/>
                <w:color w:val="auto"/>
              </w:rPr>
              <w:t>Average Prices:</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2"/>
        </w:trPr>
        <w:tc>
          <w:tcPr>
            <w:tcW w:w="8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Oil ($ per Bbl)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98.47</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63.34</w:t>
            </w:r>
          </w:p>
        </w:tc>
      </w:tr>
      <w:tr>
        <w:trPr>
          <w:trHeight w:val="230"/>
        </w:trPr>
        <w:tc>
          <w:tcPr>
            <w:tcW w:w="8120" w:type="dxa"/>
            <w:vAlign w:val="bottom"/>
          </w:tcPr>
          <w:p>
            <w:pPr>
              <w:ind w:left="480"/>
              <w:spacing w:after="0"/>
              <w:rPr>
                <w:sz w:val="20"/>
                <w:szCs w:val="20"/>
                <w:color w:val="auto"/>
              </w:rPr>
            </w:pPr>
            <w:r>
              <w:rPr>
                <w:rFonts w:ascii="Arial" w:cs="Arial" w:eastAsia="Arial" w:hAnsi="Arial"/>
                <w:sz w:val="18"/>
                <w:szCs w:val="18"/>
                <w:color w:val="auto"/>
              </w:rPr>
              <w:t>Natural gas ($ per Mcf)</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5.44</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2.92</w:t>
            </w:r>
          </w:p>
        </w:tc>
      </w:tr>
      <w:tr>
        <w:trPr>
          <w:trHeight w:val="229"/>
        </w:trPr>
        <w:tc>
          <w:tcPr>
            <w:tcW w:w="8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Natural gas liquids ($ per Bbl)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w:t>
            </w:r>
          </w:p>
        </w:tc>
      </w:tr>
      <w:tr>
        <w:trPr>
          <w:trHeight w:val="230"/>
        </w:trPr>
        <w:tc>
          <w:tcPr>
            <w:tcW w:w="8120" w:type="dxa"/>
            <w:vAlign w:val="bottom"/>
          </w:tcPr>
          <w:p>
            <w:pPr>
              <w:ind w:left="480"/>
              <w:spacing w:after="0"/>
              <w:rPr>
                <w:sz w:val="20"/>
                <w:szCs w:val="20"/>
                <w:color w:val="auto"/>
              </w:rPr>
            </w:pPr>
            <w:r>
              <w:rPr>
                <w:rFonts w:ascii="Arial" w:cs="Arial" w:eastAsia="Arial" w:hAnsi="Arial"/>
                <w:sz w:val="18"/>
                <w:szCs w:val="18"/>
                <w:color w:val="auto"/>
              </w:rPr>
              <w:t>Combined ($ per BOE)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72.06</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46.71</w:t>
            </w:r>
          </w:p>
        </w:tc>
      </w:tr>
      <w:tr>
        <w:trPr>
          <w:trHeight w:val="270"/>
        </w:trPr>
        <w:tc>
          <w:tcPr>
            <w:tcW w:w="8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30"/>
        </w:trPr>
        <w:tc>
          <w:tcPr>
            <w:tcW w:w="8120" w:type="dxa"/>
            <w:vAlign w:val="bottom"/>
          </w:tcPr>
          <w:p>
            <w:pPr>
              <w:ind w:left="480"/>
              <w:spacing w:after="0" w:line="230" w:lineRule="exact"/>
              <w:rPr>
                <w:sz w:val="20"/>
                <w:szCs w:val="20"/>
                <w:color w:val="auto"/>
              </w:rPr>
            </w:pPr>
            <w:r>
              <w:rPr>
                <w:rFonts w:ascii="Arial" w:cs="Arial" w:eastAsia="Arial" w:hAnsi="Arial"/>
                <w:sz w:val="18"/>
                <w:szCs w:val="18"/>
                <w:color w:val="auto"/>
              </w:rPr>
              <w:t>Oil, hedged ($ per Bbl)</w:t>
            </w:r>
            <w:r>
              <w:rPr>
                <w:rFonts w:ascii="Arial" w:cs="Arial" w:eastAsia="Arial" w:hAnsi="Arial"/>
                <w:sz w:val="23"/>
                <w:szCs w:val="23"/>
                <w:color w:val="auto"/>
                <w:vertAlign w:val="superscript"/>
              </w:rPr>
              <w:t>(2)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89.39</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50.46</w:t>
            </w:r>
          </w:p>
        </w:tc>
      </w:tr>
      <w:tr>
        <w:trPr>
          <w:trHeight w:val="230"/>
        </w:trPr>
        <w:tc>
          <w:tcPr>
            <w:tcW w:w="812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Natural gas, hedged ($ per Mcf)</w:t>
            </w:r>
            <w:r>
              <w:rPr>
                <w:rFonts w:ascii="Arial" w:cs="Arial" w:eastAsia="Arial" w:hAnsi="Arial"/>
                <w:sz w:val="23"/>
                <w:szCs w:val="23"/>
                <w:color w:val="auto"/>
                <w:vertAlign w:val="superscript"/>
              </w:rPr>
              <w:t>(2)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29"/>
        </w:trPr>
        <w:tc>
          <w:tcPr>
            <w:tcW w:w="8120" w:type="dxa"/>
            <w:vAlign w:val="bottom"/>
          </w:tcPr>
          <w:p>
            <w:pPr>
              <w:ind w:left="480"/>
              <w:spacing w:after="0" w:line="230" w:lineRule="exact"/>
              <w:rPr>
                <w:sz w:val="20"/>
                <w:szCs w:val="20"/>
                <w:color w:val="auto"/>
              </w:rPr>
            </w:pPr>
            <w:r>
              <w:rPr>
                <w:rFonts w:ascii="Arial" w:cs="Arial" w:eastAsia="Arial" w:hAnsi="Arial"/>
                <w:sz w:val="18"/>
                <w:szCs w:val="18"/>
                <w:color w:val="auto"/>
              </w:rPr>
              <w:t>Natural gas liquids, hedged ($ per Bbl)</w:t>
            </w:r>
            <w:r>
              <w:rPr>
                <w:rFonts w:ascii="Arial" w:cs="Arial" w:eastAsia="Arial" w:hAnsi="Arial"/>
                <w:sz w:val="23"/>
                <w:szCs w:val="23"/>
                <w:color w:val="auto"/>
                <w:vertAlign w:val="superscript"/>
              </w:rPr>
              <w:t>(2)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38.60</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26.16</w:t>
            </w:r>
          </w:p>
        </w:tc>
      </w:tr>
      <w:tr>
        <w:trPr>
          <w:trHeight w:val="230"/>
        </w:trPr>
        <w:tc>
          <w:tcPr>
            <w:tcW w:w="812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Average price, hedged ($ per BOE)</w:t>
            </w:r>
            <w:r>
              <w:rPr>
                <w:rFonts w:ascii="Arial" w:cs="Arial" w:eastAsia="Arial" w:hAnsi="Arial"/>
                <w:sz w:val="23"/>
                <w:szCs w:val="23"/>
                <w:color w:val="auto"/>
                <w:vertAlign w:val="superscript"/>
              </w:rPr>
              <w:t>(2)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w:t>
            </w:r>
          </w:p>
        </w:tc>
      </w:tr>
    </w:tbl>
    <w:p>
      <w:pPr>
        <w:spacing w:after="0" w:line="80"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Bbl equivalents are calculated using a conversion rate of six Mcf per Bbl.</w:t>
      </w:r>
    </w:p>
    <w:p>
      <w:pPr>
        <w:spacing w:after="0" w:line="23" w:lineRule="exact"/>
        <w:rPr>
          <w:rFonts w:ascii="Arial" w:cs="Arial" w:eastAsia="Arial" w:hAnsi="Arial"/>
          <w:sz w:val="18"/>
          <w:szCs w:val="18"/>
          <w:color w:val="auto"/>
        </w:rPr>
      </w:pPr>
    </w:p>
    <w:p>
      <w:pPr>
        <w:jc w:val="both"/>
        <w:ind w:left="340" w:hanging="332"/>
        <w:spacing w:after="0" w:line="255" w:lineRule="auto"/>
        <w:tabs>
          <w:tab w:leader="none" w:pos="334" w:val="left"/>
        </w:tabs>
        <w:numPr>
          <w:ilvl w:val="0"/>
          <w:numId w:val="21"/>
        </w:numPr>
        <w:rPr>
          <w:rFonts w:ascii="Arial" w:cs="Arial" w:eastAsia="Arial" w:hAnsi="Arial"/>
          <w:sz w:val="18"/>
          <w:szCs w:val="18"/>
          <w:color w:val="auto"/>
        </w:rPr>
      </w:pPr>
      <w:r>
        <w:rPr>
          <w:rFonts w:ascii="Arial" w:cs="Arial" w:eastAsia="Arial" w:hAnsi="Arial"/>
          <w:sz w:val="18"/>
          <w:szCs w:val="18"/>
          <w:color w:val="auto"/>
        </w:rPr>
        <w:t>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b w:val="1"/>
          <w:bCs w:val="1"/>
          <w:i w:val="1"/>
          <w:iCs w:val="1"/>
          <w:color w:val="auto"/>
        </w:rPr>
        <w:t xml:space="preserve">Production Data. </w:t>
      </w:r>
      <w:r>
        <w:rPr>
          <w:rFonts w:ascii="Arial" w:cs="Arial" w:eastAsia="Arial" w:hAnsi="Arial"/>
          <w:sz w:val="17"/>
          <w:szCs w:val="17"/>
          <w:color w:val="auto"/>
        </w:rPr>
        <w:t>Substantially all of our revenues are generated through the sale of oil, natural gas and natural gas liquids production.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following tables set forth the mix of our production data by product and basin for the nine months ended September 30, 2022 and 2021: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80" w:type="dxa"/>
            <w:vAlign w:val="bottom"/>
          </w:tcPr>
          <w:p>
            <w:pPr>
              <w:spacing w:after="0"/>
              <w:rPr>
                <w:sz w:val="18"/>
                <w:szCs w:val="18"/>
                <w:color w:val="auto"/>
              </w:rPr>
            </w:pPr>
          </w:p>
        </w:tc>
        <w:tc>
          <w:tcPr>
            <w:tcW w:w="276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10"/>
        </w:trPr>
        <w:tc>
          <w:tcPr>
            <w:tcW w:w="84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2021</w:t>
            </w:r>
          </w:p>
        </w:tc>
      </w:tr>
      <w:tr>
        <w:trPr>
          <w:trHeight w:val="226"/>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(MBbls)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Natural gas (MMcf)</w:t>
            </w:r>
          </w:p>
        </w:tc>
        <w:tc>
          <w:tcPr>
            <w:tcW w:w="132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liquids (MBbls)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23"/>
        </w:trPr>
        <w:tc>
          <w:tcPr>
            <w:tcW w:w="848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84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80" w:type="dxa"/>
            <w:vAlign w:val="bottom"/>
          </w:tcPr>
          <w:p>
            <w:pPr>
              <w:spacing w:after="0"/>
              <w:rPr>
                <w:sz w:val="18"/>
                <w:szCs w:val="18"/>
                <w:color w:val="auto"/>
              </w:rPr>
            </w:pPr>
          </w:p>
        </w:tc>
        <w:tc>
          <w:tcPr>
            <w:tcW w:w="3460" w:type="dxa"/>
            <w:vAlign w:val="bottom"/>
            <w:tcBorders>
              <w:bottom w:val="single" w:sz="8" w:color="auto"/>
            </w:tcBorders>
            <w:gridSpan w:val="7"/>
          </w:tcPr>
          <w:p>
            <w:pPr>
              <w:ind w:left="680"/>
              <w:spacing w:after="0"/>
              <w:rPr>
                <w:sz w:val="20"/>
                <w:szCs w:val="20"/>
                <w:color w:val="auto"/>
              </w:rPr>
            </w:pPr>
            <w:r>
              <w:rPr>
                <w:rFonts w:ascii="Arial" w:cs="Arial" w:eastAsia="Arial" w:hAnsi="Arial"/>
                <w:sz w:val="16"/>
                <w:szCs w:val="16"/>
                <w:b w:val="1"/>
                <w:bCs w:val="1"/>
                <w:color w:val="auto"/>
                <w:w w:val="91"/>
              </w:rPr>
              <w:t>Nine Months Ended September 30, 2022</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tcBorders>
              <w:bottom w:val="single" w:sz="8" w:color="auto"/>
            </w:tcBorders>
            <w:gridSpan w:val="7"/>
          </w:tcPr>
          <w:p>
            <w:pPr>
              <w:ind w:left="680"/>
              <w:spacing w:after="0"/>
              <w:rPr>
                <w:sz w:val="20"/>
                <w:szCs w:val="20"/>
                <w:color w:val="auto"/>
              </w:rPr>
            </w:pPr>
            <w:r>
              <w:rPr>
                <w:rFonts w:ascii="Arial" w:cs="Arial" w:eastAsia="Arial" w:hAnsi="Arial"/>
                <w:sz w:val="16"/>
                <w:szCs w:val="16"/>
                <w:b w:val="1"/>
                <w:bCs w:val="1"/>
                <w:color w:val="auto"/>
                <w:w w:val="91"/>
              </w:rPr>
              <w:t>Nine Months Ended September 30, 2021</w:t>
            </w: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880" w:type="dxa"/>
            <w:vAlign w:val="bottom"/>
          </w:tcPr>
          <w:p>
            <w:pPr>
              <w:spacing w:after="0"/>
              <w:rPr>
                <w:sz w:val="13"/>
                <w:szCs w:val="13"/>
                <w:color w:val="auto"/>
              </w:rPr>
            </w:pPr>
          </w:p>
        </w:tc>
        <w:tc>
          <w:tcPr>
            <w:tcW w:w="11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99"/>
              </w:rPr>
              <w:t>Midland</w:t>
            </w:r>
          </w:p>
        </w:tc>
        <w:tc>
          <w:tcPr>
            <w:tcW w:w="11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91"/>
              </w:rPr>
              <w:t>Delaware</w:t>
            </w:r>
          </w:p>
        </w:tc>
        <w:tc>
          <w:tcPr>
            <w:tcW w:w="1180" w:type="dxa"/>
            <w:vAlign w:val="bottom"/>
            <w:gridSpan w:val="3"/>
            <w:vMerge w:val="restart"/>
          </w:tcPr>
          <w:p>
            <w:pPr>
              <w:ind w:left="160"/>
              <w:spacing w:after="0"/>
              <w:rPr>
                <w:sz w:val="20"/>
                <w:szCs w:val="20"/>
                <w:color w:val="auto"/>
              </w:rPr>
            </w:pPr>
            <w:r>
              <w:rPr>
                <w:rFonts w:ascii="Arial" w:cs="Arial" w:eastAsia="Arial" w:hAnsi="Arial"/>
                <w:sz w:val="16"/>
                <w:szCs w:val="16"/>
                <w:b w:val="1"/>
                <w:bCs w:val="1"/>
                <w:color w:val="auto"/>
              </w:rPr>
              <w:t>Other</w:t>
            </w:r>
            <w:r>
              <w:rPr>
                <w:rFonts w:ascii="Arial" w:cs="Arial" w:eastAsia="Arial" w:hAnsi="Arial"/>
                <w:sz w:val="21"/>
                <w:szCs w:val="21"/>
                <w:b w:val="1"/>
                <w:bCs w:val="1"/>
                <w:color w:val="auto"/>
                <w:vertAlign w:val="superscript"/>
              </w:rPr>
              <w:t>(1)</w:t>
            </w:r>
          </w:p>
        </w:tc>
        <w:tc>
          <w:tcPr>
            <w:tcW w:w="7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Total</w:t>
            </w:r>
          </w:p>
        </w:tc>
        <w:tc>
          <w:tcPr>
            <w:tcW w:w="1120" w:type="dxa"/>
            <w:vAlign w:val="bottom"/>
            <w:gridSpan w:val="2"/>
          </w:tcPr>
          <w:p>
            <w:pPr>
              <w:jc w:val="center"/>
              <w:ind w:right="80"/>
              <w:spacing w:after="0" w:line="158" w:lineRule="exact"/>
              <w:rPr>
                <w:sz w:val="20"/>
                <w:szCs w:val="20"/>
                <w:color w:val="auto"/>
              </w:rPr>
            </w:pPr>
            <w:r>
              <w:rPr>
                <w:rFonts w:ascii="Arial" w:cs="Arial" w:eastAsia="Arial" w:hAnsi="Arial"/>
                <w:sz w:val="16"/>
                <w:szCs w:val="16"/>
                <w:b w:val="1"/>
                <w:bCs w:val="1"/>
                <w:color w:val="auto"/>
                <w:w w:val="99"/>
              </w:rPr>
              <w:t>Midland</w:t>
            </w:r>
          </w:p>
        </w:tc>
        <w:tc>
          <w:tcPr>
            <w:tcW w:w="1140" w:type="dxa"/>
            <w:vAlign w:val="bottom"/>
            <w:gridSpan w:val="2"/>
          </w:tcPr>
          <w:p>
            <w:pPr>
              <w:jc w:val="center"/>
              <w:ind w:right="80"/>
              <w:spacing w:after="0" w:line="158" w:lineRule="exact"/>
              <w:rPr>
                <w:sz w:val="20"/>
                <w:szCs w:val="20"/>
                <w:color w:val="auto"/>
              </w:rPr>
            </w:pPr>
            <w:r>
              <w:rPr>
                <w:rFonts w:ascii="Arial" w:cs="Arial" w:eastAsia="Arial" w:hAnsi="Arial"/>
                <w:sz w:val="16"/>
                <w:szCs w:val="16"/>
                <w:b w:val="1"/>
                <w:bCs w:val="1"/>
                <w:color w:val="auto"/>
                <w:w w:val="93"/>
              </w:rPr>
              <w:t>Delaware</w:t>
            </w:r>
          </w:p>
        </w:tc>
        <w:tc>
          <w:tcPr>
            <w:tcW w:w="1220" w:type="dxa"/>
            <w:vAlign w:val="bottom"/>
            <w:gridSpan w:val="3"/>
            <w:vMerge w:val="restart"/>
          </w:tcPr>
          <w:p>
            <w:pPr>
              <w:ind w:left="180"/>
              <w:spacing w:after="0"/>
              <w:rPr>
                <w:sz w:val="20"/>
                <w:szCs w:val="20"/>
                <w:color w:val="auto"/>
              </w:rPr>
            </w:pPr>
            <w:r>
              <w:rPr>
                <w:rFonts w:ascii="Arial" w:cs="Arial" w:eastAsia="Arial" w:hAnsi="Arial"/>
                <w:sz w:val="16"/>
                <w:szCs w:val="16"/>
                <w:b w:val="1"/>
                <w:bCs w:val="1"/>
                <w:color w:val="auto"/>
              </w:rPr>
              <w:t>Other</w:t>
            </w:r>
            <w:r>
              <w:rPr>
                <w:rFonts w:ascii="Arial" w:cs="Arial" w:eastAsia="Arial" w:hAnsi="Arial"/>
                <w:sz w:val="21"/>
                <w:szCs w:val="21"/>
                <w:b w:val="1"/>
                <w:bCs w:val="1"/>
                <w:color w:val="auto"/>
                <w:vertAlign w:val="superscript"/>
              </w:rPr>
              <w:t>(2)</w:t>
            </w:r>
          </w:p>
        </w:tc>
        <w:tc>
          <w:tcPr>
            <w:tcW w:w="660" w:type="dxa"/>
            <w:vAlign w:val="bottom"/>
            <w:vMerge w:val="restart"/>
          </w:tcPr>
          <w:p>
            <w:pPr>
              <w:jc w:val="right"/>
              <w:ind w:right="192"/>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Basin</w:t>
            </w: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Basin</w:t>
            </w:r>
          </w:p>
        </w:tc>
        <w:tc>
          <w:tcPr>
            <w:tcW w:w="1180" w:type="dxa"/>
            <w:vAlign w:val="bottom"/>
            <w:gridSpan w:val="3"/>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Basin</w:t>
            </w:r>
          </w:p>
        </w:tc>
        <w:tc>
          <w:tcPr>
            <w:tcW w:w="11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7"/>
              </w:rPr>
              <w:t>Basin</w:t>
            </w:r>
          </w:p>
        </w:tc>
        <w:tc>
          <w:tcPr>
            <w:tcW w:w="1220" w:type="dxa"/>
            <w:vAlign w:val="bottom"/>
            <w:gridSpan w:val="3"/>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Production Data:</w:t>
            </w: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880" w:type="dxa"/>
            <w:vAlign w:val="bottom"/>
          </w:tcPr>
          <w:p>
            <w:pPr>
              <w:ind w:left="20"/>
              <w:spacing w:after="0"/>
              <w:rPr>
                <w:sz w:val="20"/>
                <w:szCs w:val="20"/>
                <w:color w:val="auto"/>
              </w:rPr>
            </w:pPr>
            <w:r>
              <w:rPr>
                <w:rFonts w:ascii="Arial" w:cs="Arial" w:eastAsia="Arial" w:hAnsi="Arial"/>
                <w:sz w:val="18"/>
                <w:szCs w:val="18"/>
                <w:color w:val="auto"/>
              </w:rPr>
              <w:t>Oil (MBbls)</w:t>
            </w:r>
          </w:p>
        </w:tc>
        <w:tc>
          <w:tcPr>
            <w:tcW w:w="1040" w:type="dxa"/>
            <w:vAlign w:val="bottom"/>
          </w:tcPr>
          <w:p>
            <w:pPr>
              <w:jc w:val="right"/>
              <w:spacing w:after="0"/>
              <w:rPr>
                <w:sz w:val="20"/>
                <w:szCs w:val="20"/>
                <w:color w:val="auto"/>
              </w:rPr>
            </w:pPr>
            <w:r>
              <w:rPr>
                <w:rFonts w:ascii="Arial" w:cs="Arial" w:eastAsia="Arial" w:hAnsi="Arial"/>
                <w:sz w:val="18"/>
                <w:szCs w:val="18"/>
                <w:color w:val="auto"/>
              </w:rPr>
              <w:t>43,344</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17,370</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60,813</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38,065</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19,074</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60,703</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(MMcf)</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86,198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44,817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131,356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69,822</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124,186</w:t>
            </w:r>
          </w:p>
        </w:tc>
        <w:tc>
          <w:tcPr>
            <w:tcW w:w="0" w:type="dxa"/>
            <w:vAlign w:val="bottom"/>
          </w:tcPr>
          <w:p>
            <w:pPr>
              <w:spacing w:after="0"/>
              <w:rPr>
                <w:sz w:val="1"/>
                <w:szCs w:val="1"/>
                <w:color w:val="auto"/>
              </w:rPr>
            </w:pPr>
          </w:p>
        </w:tc>
      </w:tr>
      <w:tr>
        <w:trPr>
          <w:trHeight w:val="229"/>
        </w:trPr>
        <w:tc>
          <w:tcPr>
            <w:tcW w:w="2880" w:type="dxa"/>
            <w:vAlign w:val="bottom"/>
          </w:tcPr>
          <w:p>
            <w:pPr>
              <w:ind w:left="20"/>
              <w:spacing w:after="0"/>
              <w:rPr>
                <w:sz w:val="20"/>
                <w:szCs w:val="20"/>
                <w:color w:val="auto"/>
              </w:rPr>
            </w:pPr>
            <w:r>
              <w:rPr>
                <w:rFonts w:ascii="Arial" w:cs="Arial" w:eastAsia="Arial" w:hAnsi="Arial"/>
                <w:sz w:val="18"/>
                <w:szCs w:val="18"/>
                <w:color w:val="auto"/>
              </w:rPr>
              <w:t>Natural gas liquids (MBbls)</w:t>
            </w:r>
          </w:p>
        </w:tc>
        <w:tc>
          <w:tcPr>
            <w:tcW w:w="1040" w:type="dxa"/>
            <w:vAlign w:val="bottom"/>
          </w:tcPr>
          <w:p>
            <w:pPr>
              <w:jc w:val="right"/>
              <w:spacing w:after="0"/>
              <w:rPr>
                <w:sz w:val="20"/>
                <w:szCs w:val="20"/>
                <w:color w:val="auto"/>
              </w:rPr>
            </w:pPr>
            <w:r>
              <w:rPr>
                <w:rFonts w:ascii="Arial" w:cs="Arial" w:eastAsia="Arial" w:hAnsi="Arial"/>
                <w:sz w:val="18"/>
                <w:szCs w:val="18"/>
                <w:color w:val="auto"/>
              </w:rPr>
              <w:t>15,323</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6,805</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22,177</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12,146</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6,438</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19,992</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(MBOE)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73,033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104,883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61,848</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101,393</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the Eagle Ford Shale and Rockies.</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the Eagle Ford Shale, Rockies and High Plains.</w:t>
      </w:r>
    </w:p>
    <w:p>
      <w:pPr>
        <w:spacing w:after="0" w:line="2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Oil, Natural Gas and Natural Gas Liquids Revenues. </w:t>
      </w:r>
      <w:r>
        <w:rPr>
          <w:rFonts w:ascii="Arial" w:cs="Arial" w:eastAsia="Arial" w:hAnsi="Arial"/>
          <w:sz w:val="18"/>
          <w:szCs w:val="18"/>
          <w:color w:val="auto"/>
        </w:rPr>
        <w:t>Our revenues are a function of oil, natural gas and natural gas liquids production volumes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sold and average sales prices received for those volumes.</w:t>
      </w:r>
    </w:p>
    <w:p>
      <w:pPr>
        <w:spacing w:after="0" w:line="19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oil, natural gas and natural gas liquids revenues for the nine months ended September 30, 2022 increased by $2.8 billion, or 60%, to $7.6 billion from $4.7 billion during the nine months ended September 30, 2021. Higher average oil prices, and to a lesser extent natural gas and natural gas liquids prices, contributed $2.7 billion of the total increase. The remainder of the overall change is due to a 3% increase in combined volumes sold.</w:t>
      </w:r>
    </w:p>
    <w:p>
      <w:pPr>
        <w:spacing w:after="0" w:line="1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Higher commodity prices during the nine months ended September 30, 2022 compared to the same period in 2021 primarily reflect the increase in demand for oil due to economic recovery from the COVID-19 pandemic and other macroeconomic factors such as the war in Ukraine as discussed in “</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0000FF"/>
        </w:rPr>
        <w:t>Recent Developments</w:t>
      </w:r>
      <w:r>
        <w:rPr>
          <w:rFonts w:ascii="Arial" w:cs="Arial" w:eastAsia="Arial" w:hAnsi="Arial"/>
          <w:sz w:val="17"/>
          <w:szCs w:val="17"/>
          <w:color w:val="000000"/>
        </w:rPr>
        <w:t>” above. The increase in production for the nine months ended September 30, 2022 compared to the same period in 2021 resulted</w:t>
      </w:r>
      <w:r>
        <w:rPr>
          <w:rFonts w:ascii="Arial" w:cs="Arial" w:eastAsia="Arial" w:hAnsi="Arial"/>
          <w:sz w:val="17"/>
          <w:szCs w:val="17"/>
          <w:i w:val="1"/>
          <w:iCs w:val="1"/>
          <w:color w:val="0000FF"/>
        </w:rPr>
        <w:t xml:space="preserve"> </w:t>
      </w:r>
      <w:r>
        <w:rPr>
          <w:rFonts w:ascii="Arial" w:cs="Arial" w:eastAsia="Arial" w:hAnsi="Arial"/>
          <w:sz w:val="17"/>
          <w:szCs w:val="17"/>
          <w:color w:val="000000"/>
        </w:rPr>
        <w:t>primarily from recognizing nine months of production in the current period associated with production from the Guidon Acquisition and QEP Merger, which occurred late in the first quarter 2021, and new well additions between periods.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 xml:space="preserve">Other Revenues. </w:t>
      </w:r>
      <w:r>
        <w:rPr>
          <w:rFonts w:ascii="Arial" w:cs="Arial" w:eastAsia="Arial" w:hAnsi="Arial"/>
          <w:sz w:val="17"/>
          <w:szCs w:val="17"/>
          <w:color w:val="auto"/>
        </w:rPr>
        <w:t>The following table shows the other insignificant revenues for the nine months ended September 30, 2022 and 2021:</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00" w:type="dxa"/>
            <w:vAlign w:val="bottom"/>
          </w:tcPr>
          <w:p>
            <w:pPr>
              <w:spacing w:after="0"/>
              <w:rPr>
                <w:sz w:val="18"/>
                <w:szCs w:val="18"/>
                <w:color w:val="auto"/>
              </w:rPr>
            </w:pPr>
          </w:p>
        </w:tc>
        <w:tc>
          <w:tcPr>
            <w:tcW w:w="3140" w:type="dxa"/>
            <w:vAlign w:val="bottom"/>
            <w:tcBorders>
              <w:bottom w:val="single" w:sz="8" w:color="auto"/>
            </w:tcBorders>
            <w:gridSpan w:val="4"/>
          </w:tcPr>
          <w:p>
            <w:pPr>
              <w:jc w:val="right"/>
              <w:ind w:right="75"/>
              <w:spacing w:after="0"/>
              <w:rPr>
                <w:sz w:val="20"/>
                <w:szCs w:val="20"/>
                <w:color w:val="auto"/>
              </w:rPr>
            </w:pPr>
            <w:r>
              <w:rPr>
                <w:rFonts w:ascii="Arial" w:cs="Arial" w:eastAsia="Arial" w:hAnsi="Arial"/>
                <w:sz w:val="16"/>
                <w:szCs w:val="16"/>
                <w:b w:val="1"/>
                <w:bCs w:val="1"/>
                <w:color w:val="auto"/>
              </w:rPr>
              <w:t>Nine Months Ended September 30,</w:t>
            </w:r>
          </w:p>
        </w:tc>
        <w:tc>
          <w:tcPr>
            <w:tcW w:w="400" w:type="dxa"/>
            <w:vAlign w:val="bottom"/>
            <w:tcBorders>
              <w:bottom w:val="single" w:sz="8" w:color="auto"/>
            </w:tcBorders>
          </w:tcPr>
          <w:p>
            <w:pPr>
              <w:spacing w:after="0"/>
              <w:rPr>
                <w:sz w:val="18"/>
                <w:szCs w:val="18"/>
                <w:color w:val="auto"/>
              </w:rPr>
            </w:pPr>
          </w:p>
        </w:tc>
      </w:tr>
      <w:tr>
        <w:trPr>
          <w:trHeight w:val="213"/>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1260" w:type="dxa"/>
            <w:vAlign w:val="bottom"/>
            <w:tcBorders>
              <w:bottom w:val="single" w:sz="8" w:color="auto"/>
            </w:tcBorders>
          </w:tcPr>
          <w:p>
            <w:pPr>
              <w:jc w:val="right"/>
              <w:ind w:right="156"/>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215"/>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8"/>
                <w:szCs w:val="18"/>
                <w:color w:val="auto"/>
              </w:rPr>
            </w:pPr>
          </w:p>
        </w:tc>
      </w:tr>
      <w:tr>
        <w:trPr>
          <w:trHeight w:val="226"/>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income</w:t>
            </w:r>
          </w:p>
        </w:tc>
        <w:tc>
          <w:tcPr>
            <w:tcW w:w="1260" w:type="dxa"/>
            <w:vAlign w:val="bottom"/>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15"/>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bl>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 xml:space="preserve">Lease Operating Expenses. </w:t>
      </w:r>
      <w:r>
        <w:rPr>
          <w:rFonts w:ascii="Arial" w:cs="Arial" w:eastAsia="Arial" w:hAnsi="Arial"/>
          <w:sz w:val="17"/>
          <w:szCs w:val="17"/>
          <w:color w:val="auto"/>
        </w:rPr>
        <w:t>The following table shows lease operating expenses for the nine months ended September 30, 2022 and 2021:</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10"/>
          </w:tcPr>
          <w:p>
            <w:pPr>
              <w:jc w:val="right"/>
              <w:ind w:right="675"/>
              <w:spacing w:after="0"/>
              <w:rPr>
                <w:sz w:val="20"/>
                <w:szCs w:val="20"/>
                <w:color w:val="auto"/>
              </w:rPr>
            </w:pPr>
            <w:r>
              <w:rPr>
                <w:rFonts w:ascii="Arial" w:cs="Arial" w:eastAsia="Arial" w:hAnsi="Arial"/>
                <w:sz w:val="16"/>
                <w:szCs w:val="16"/>
                <w:b w:val="1"/>
                <w:bCs w:val="1"/>
                <w:color w:val="auto"/>
              </w:rPr>
              <w:t>Nine Months Ended September 30,</w:t>
            </w:r>
          </w:p>
        </w:tc>
      </w:tr>
      <w:tr>
        <w:trPr>
          <w:trHeight w:val="207"/>
        </w:trPr>
        <w:tc>
          <w:tcPr>
            <w:tcW w:w="41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2022</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2021</w:t>
            </w:r>
          </w:p>
        </w:tc>
        <w:tc>
          <w:tcPr>
            <w:tcW w:w="780" w:type="dxa"/>
            <w:vAlign w:val="bottom"/>
            <w:tcBorders>
              <w:bottom w:val="single" w:sz="8" w:color="auto"/>
            </w:tcBorders>
          </w:tcPr>
          <w:p>
            <w:pPr>
              <w:spacing w:after="0"/>
              <w:rPr>
                <w:sz w:val="17"/>
                <w:szCs w:val="17"/>
                <w:color w:val="auto"/>
              </w:rPr>
            </w:pPr>
          </w:p>
        </w:tc>
      </w:tr>
      <w:tr>
        <w:trPr>
          <w:trHeight w:val="212"/>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(In millions, except per BOE amounts)</w:t>
            </w:r>
          </w:p>
        </w:tc>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780" w:type="dxa"/>
            <w:vAlign w:val="bottom"/>
          </w:tcPr>
          <w:p>
            <w:pPr>
              <w:jc w:val="right"/>
              <w:ind w:right="55"/>
              <w:spacing w:after="0"/>
              <w:rPr>
                <w:sz w:val="20"/>
                <w:szCs w:val="20"/>
                <w:color w:val="auto"/>
              </w:rPr>
            </w:pPr>
            <w:r>
              <w:rPr>
                <w:rFonts w:ascii="Arial" w:cs="Arial" w:eastAsia="Arial" w:hAnsi="Arial"/>
                <w:sz w:val="16"/>
                <w:szCs w:val="16"/>
                <w:b w:val="1"/>
                <w:bCs w:val="1"/>
                <w:color w:val="auto"/>
                <w:w w:val="95"/>
              </w:rPr>
              <w:t>Per BOE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780" w:type="dxa"/>
            <w:vAlign w:val="bottom"/>
          </w:tcPr>
          <w:p>
            <w:pPr>
              <w:jc w:val="right"/>
              <w:ind w:right="55"/>
              <w:spacing w:after="0"/>
              <w:rPr>
                <w:sz w:val="20"/>
                <w:szCs w:val="20"/>
                <w:color w:val="auto"/>
              </w:rPr>
            </w:pPr>
            <w:r>
              <w:rPr>
                <w:rFonts w:ascii="Arial" w:cs="Arial" w:eastAsia="Arial" w:hAnsi="Arial"/>
                <w:sz w:val="16"/>
                <w:szCs w:val="16"/>
                <w:b w:val="1"/>
                <w:bCs w:val="1"/>
                <w:color w:val="auto"/>
                <w:w w:val="95"/>
              </w:rPr>
              <w:t>Per BOE</w:t>
            </w:r>
          </w:p>
        </w:tc>
      </w:tr>
      <w:tr>
        <w:trPr>
          <w:trHeight w:val="226"/>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operating expenses</w:t>
            </w:r>
          </w:p>
        </w:tc>
        <w:tc>
          <w:tcPr>
            <w:tcW w:w="3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r>
      <w:tr>
        <w:trPr>
          <w:trHeight w:val="729"/>
        </w:trPr>
        <w:tc>
          <w:tcPr>
            <w:tcW w:w="4120" w:type="dxa"/>
            <w:vAlign w:val="bottom"/>
          </w:tcPr>
          <w:p>
            <w:pPr>
              <w:spacing w:after="0"/>
              <w:rPr>
                <w:sz w:val="24"/>
                <w:szCs w:val="24"/>
                <w:color w:val="auto"/>
              </w:rPr>
            </w:pPr>
          </w:p>
        </w:tc>
        <w:tc>
          <w:tcPr>
            <w:tcW w:w="3200" w:type="dxa"/>
            <w:vAlign w:val="bottom"/>
          </w:tcPr>
          <w:p>
            <w:pPr>
              <w:jc w:val="right"/>
              <w:ind w:right="151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58"/>
        </w:trPr>
        <w:tc>
          <w:tcPr>
            <w:tcW w:w="412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77" w:lineRule="exact"/>
        <w:rPr>
          <w:sz w:val="20"/>
          <w:szCs w:val="20"/>
          <w:color w:val="auto"/>
        </w:rPr>
      </w:pPr>
    </w:p>
    <w:p>
      <w:pPr>
        <w:jc w:val="both"/>
        <w:ind w:right="20" w:firstLine="648"/>
        <w:spacing w:after="0" w:line="270" w:lineRule="auto"/>
        <w:rPr>
          <w:sz w:val="20"/>
          <w:szCs w:val="20"/>
          <w:color w:val="auto"/>
        </w:rPr>
      </w:pPr>
      <w:r>
        <w:rPr>
          <w:rFonts w:ascii="Arial" w:cs="Arial" w:eastAsia="Arial" w:hAnsi="Arial"/>
          <w:sz w:val="17"/>
          <w:szCs w:val="17"/>
          <w:color w:val="auto"/>
        </w:rPr>
        <w:t>Lease operating expenses increased by $76 million, or $0.59 per BOE for the nine months ended September 30, 2022 compared to the same period in 2021, primarily driven by an overall increase in utility and service costs driven by continued inflation. As a result of inflationary pressures, we have increased the expected range for our total lease operating expenses in 2022 to between $632 million and $704 million.</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 xml:space="preserve">Production and Ad Valorem Tax Expense. </w:t>
      </w:r>
      <w:r>
        <w:rPr>
          <w:rFonts w:ascii="Arial" w:cs="Arial" w:eastAsia="Arial" w:hAnsi="Arial"/>
          <w:sz w:val="17"/>
          <w:szCs w:val="17"/>
          <w:color w:val="auto"/>
        </w:rPr>
        <w:t>The following table shows production and ad valorem tax expense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and 2021:</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10"/>
          </w:tcPr>
          <w:p>
            <w:pPr>
              <w:jc w:val="right"/>
              <w:ind w:right="10"/>
              <w:spacing w:after="0"/>
              <w:rPr>
                <w:sz w:val="20"/>
                <w:szCs w:val="20"/>
                <w:color w:val="auto"/>
              </w:rPr>
            </w:pPr>
            <w:r>
              <w:rPr>
                <w:rFonts w:ascii="Arial" w:cs="Arial" w:eastAsia="Arial" w:hAnsi="Arial"/>
                <w:sz w:val="16"/>
                <w:szCs w:val="16"/>
                <w:b w:val="1"/>
                <w:bCs w:val="1"/>
                <w:color w:val="auto"/>
                <w:w w:val="91"/>
              </w:rPr>
              <w:t>Nine Months Ended September 30,</w:t>
            </w:r>
          </w:p>
        </w:tc>
        <w:tc>
          <w:tcPr>
            <w:tcW w:w="780" w:type="dxa"/>
            <w:vAlign w:val="bottom"/>
            <w:tcBorders>
              <w:bottom w:val="single" w:sz="8" w:color="auto"/>
            </w:tcBorders>
          </w:tcPr>
          <w:p>
            <w:pPr>
              <w:spacing w:after="0"/>
              <w:rPr>
                <w:sz w:val="18"/>
                <w:szCs w:val="18"/>
                <w:color w:val="auto"/>
              </w:rPr>
            </w:pPr>
          </w:p>
        </w:tc>
      </w:tr>
      <w:tr>
        <w:trPr>
          <w:trHeight w:val="207"/>
        </w:trPr>
        <w:tc>
          <w:tcPr>
            <w:tcW w:w="70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9"/>
              </w:rPr>
              <w:t>2022</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9"/>
              </w:rPr>
              <w:t>2021</w:t>
            </w:r>
          </w:p>
        </w:tc>
        <w:tc>
          <w:tcPr>
            <w:tcW w:w="780" w:type="dxa"/>
            <w:vAlign w:val="bottom"/>
            <w:tcBorders>
              <w:bottom w:val="single" w:sz="8" w:color="auto"/>
            </w:tcBorders>
          </w:tcPr>
          <w:p>
            <w:pPr>
              <w:spacing w:after="0"/>
              <w:rPr>
                <w:sz w:val="17"/>
                <w:szCs w:val="17"/>
                <w:color w:val="auto"/>
              </w:rPr>
            </w:pPr>
          </w:p>
        </w:tc>
      </w:tr>
      <w:tr>
        <w:trPr>
          <w:trHeight w:val="212"/>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 except per BOE amounts)</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Amount</w:t>
            </w: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6"/>
                <w:szCs w:val="16"/>
                <w:b w:val="1"/>
                <w:bCs w:val="1"/>
                <w:color w:val="auto"/>
                <w:w w:val="95"/>
              </w:rPr>
              <w:t>Per BOE</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Amount</w:t>
            </w: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6"/>
                <w:szCs w:val="16"/>
                <w:b w:val="1"/>
                <w:bCs w:val="1"/>
                <w:color w:val="auto"/>
                <w:w w:val="95"/>
              </w:rPr>
              <w:t>Per BOE</w:t>
            </w:r>
          </w:p>
        </w:tc>
      </w:tr>
      <w:tr>
        <w:trPr>
          <w:trHeight w:val="226"/>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Production taxes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30"/>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 valorem taxes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0.58</w:t>
            </w:r>
          </w:p>
        </w:tc>
      </w:tr>
      <w:tr>
        <w:trPr>
          <w:trHeight w:val="248"/>
        </w:trPr>
        <w:tc>
          <w:tcPr>
            <w:tcW w:w="7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production and ad valorem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2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Production taxes as a % of oil, natural gas, and natural gas liquids revenue</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bl>
    <w:p>
      <w:pPr>
        <w:spacing w:after="0" w:line="31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general, production taxes are directly related to production revenues and are based upon current year commodity prices. Production taxes as a percentage of production revenues remained consistent for the nine months ended September 30, 2022 compared to the same period in 2021.</w:t>
      </w:r>
    </w:p>
    <w:p>
      <w:pPr>
        <w:spacing w:after="0" w:line="17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Ad valorem taxes are based, among other factors, on property values driven by prior year commodity prices. Ad valorem taxes for the nine months ended September 30, 2022 as compared to the same period in 2021 increased by $52 million primarily due to higher overall valuations resulting from an increase in commodity prices between valuation periods.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 xml:space="preserve">Gathering and Transportation Expense. </w:t>
      </w:r>
      <w:r>
        <w:rPr>
          <w:rFonts w:ascii="Arial" w:cs="Arial" w:eastAsia="Arial" w:hAnsi="Arial"/>
          <w:sz w:val="17"/>
          <w:szCs w:val="17"/>
          <w:color w:val="auto"/>
        </w:rPr>
        <w:t>The following table shows gathering and transportation expense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and 2021:</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gridSpan w:val="10"/>
          </w:tcPr>
          <w:p>
            <w:pPr>
              <w:jc w:val="right"/>
              <w:ind w:right="655"/>
              <w:spacing w:after="0"/>
              <w:rPr>
                <w:sz w:val="20"/>
                <w:szCs w:val="20"/>
                <w:color w:val="auto"/>
              </w:rPr>
            </w:pPr>
            <w:r>
              <w:rPr>
                <w:rFonts w:ascii="Arial" w:cs="Arial" w:eastAsia="Arial" w:hAnsi="Arial"/>
                <w:sz w:val="16"/>
                <w:szCs w:val="16"/>
                <w:b w:val="1"/>
                <w:bCs w:val="1"/>
                <w:color w:val="auto"/>
              </w:rPr>
              <w:t>Nine Months Ended September 30,</w:t>
            </w:r>
          </w:p>
        </w:tc>
      </w:tr>
      <w:tr>
        <w:trPr>
          <w:trHeight w:val="207"/>
        </w:trPr>
        <w:tc>
          <w:tcPr>
            <w:tcW w:w="73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2022</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2021</w:t>
            </w:r>
          </w:p>
        </w:tc>
        <w:tc>
          <w:tcPr>
            <w:tcW w:w="780" w:type="dxa"/>
            <w:vAlign w:val="bottom"/>
            <w:tcBorders>
              <w:bottom w:val="single" w:sz="8" w:color="auto"/>
            </w:tcBorders>
          </w:tcPr>
          <w:p>
            <w:pPr>
              <w:spacing w:after="0"/>
              <w:rPr>
                <w:sz w:val="17"/>
                <w:szCs w:val="17"/>
                <w:color w:val="auto"/>
              </w:rPr>
            </w:pPr>
          </w:p>
        </w:tc>
      </w:tr>
      <w:tr>
        <w:trPr>
          <w:trHeight w:val="212"/>
        </w:trPr>
        <w:tc>
          <w:tcPr>
            <w:tcW w:w="7340" w:type="dxa"/>
            <w:vAlign w:val="bottom"/>
          </w:tcPr>
          <w:p>
            <w:pPr>
              <w:ind w:left="20"/>
              <w:spacing w:after="0"/>
              <w:rPr>
                <w:sz w:val="20"/>
                <w:szCs w:val="20"/>
                <w:color w:val="auto"/>
              </w:rPr>
            </w:pPr>
            <w:r>
              <w:rPr>
                <w:rFonts w:ascii="Arial" w:cs="Arial" w:eastAsia="Arial" w:hAnsi="Arial"/>
                <w:sz w:val="16"/>
                <w:szCs w:val="16"/>
                <w:b w:val="1"/>
                <w:bCs w:val="1"/>
                <w:color w:val="auto"/>
              </w:rPr>
              <w:t>(In millions, except per BOE amounts)</w:t>
            </w:r>
          </w:p>
        </w:tc>
        <w:tc>
          <w:tcPr>
            <w:tcW w:w="14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780" w:type="dxa"/>
            <w:vAlign w:val="bottom"/>
          </w:tcPr>
          <w:p>
            <w:pPr>
              <w:jc w:val="right"/>
              <w:ind w:right="55"/>
              <w:spacing w:after="0"/>
              <w:rPr>
                <w:sz w:val="20"/>
                <w:szCs w:val="20"/>
                <w:color w:val="auto"/>
              </w:rPr>
            </w:pPr>
            <w:r>
              <w:rPr>
                <w:rFonts w:ascii="Arial" w:cs="Arial" w:eastAsia="Arial" w:hAnsi="Arial"/>
                <w:sz w:val="16"/>
                <w:szCs w:val="16"/>
                <w:b w:val="1"/>
                <w:bCs w:val="1"/>
                <w:color w:val="auto"/>
                <w:w w:val="95"/>
              </w:rPr>
              <w:t>Per BOE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780" w:type="dxa"/>
            <w:vAlign w:val="bottom"/>
          </w:tcPr>
          <w:p>
            <w:pPr>
              <w:jc w:val="right"/>
              <w:ind w:right="55"/>
              <w:spacing w:after="0"/>
              <w:rPr>
                <w:sz w:val="20"/>
                <w:szCs w:val="20"/>
                <w:color w:val="auto"/>
              </w:rPr>
            </w:pPr>
            <w:r>
              <w:rPr>
                <w:rFonts w:ascii="Arial" w:cs="Arial" w:eastAsia="Arial" w:hAnsi="Arial"/>
                <w:sz w:val="16"/>
                <w:szCs w:val="16"/>
                <w:b w:val="1"/>
                <w:bCs w:val="1"/>
                <w:color w:val="auto"/>
                <w:w w:val="95"/>
              </w:rPr>
              <w:t>Per BOE</w:t>
            </w:r>
          </w:p>
        </w:tc>
      </w:tr>
      <w:tr>
        <w:trPr>
          <w:trHeight w:val="226"/>
        </w:trPr>
        <w:tc>
          <w:tcPr>
            <w:tcW w:w="7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Gathering and transportation</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increase in gathering and transportation expenses for the nine months ended September 30, 2022 compared to the same period in 2021 is primarily attributable to the increase in production between periods, as well as an overall increase in the cost per BOE. On a per BOE basis, several individually insignificant factors contributed to the overall increase including higher third-party gas gathering expenses incurred after the sale of certain gas gathering assets during the fourth quarter of 2021, production added from the QEP Merger which has higher average gathering and transportation costs per BOE than our historical properties and annual contractual rate escalations.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gathering and transportation expenses to range from approximately $253 million to $268 million in 2022.</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Depreciation, Depletion, Amortization and Accretion. </w:t>
      </w:r>
      <w:r>
        <w:rPr>
          <w:rFonts w:ascii="Arial" w:cs="Arial" w:eastAsia="Arial" w:hAnsi="Arial"/>
          <w:sz w:val="18"/>
          <w:szCs w:val="18"/>
          <w:color w:val="auto"/>
        </w:rPr>
        <w:t>The following table provides the components of our depreciation, depletion, amortization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accretion expense for the nine months ended September 30, 2022 and 2021: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51"/>
              <w:spacing w:after="0"/>
              <w:rPr>
                <w:sz w:val="20"/>
                <w:szCs w:val="20"/>
                <w:color w:val="auto"/>
              </w:rPr>
            </w:pPr>
            <w:r>
              <w:rPr>
                <w:rFonts w:ascii="Arial" w:cs="Arial" w:eastAsia="Arial" w:hAnsi="Arial"/>
                <w:sz w:val="16"/>
                <w:szCs w:val="16"/>
                <w:b w:val="1"/>
                <w:bCs w:val="1"/>
                <w:color w:val="auto"/>
                <w:w w:val="91"/>
              </w:rPr>
              <w:t>Nine Months Ended September 30,</w:t>
            </w:r>
          </w:p>
        </w:tc>
        <w:tc>
          <w:tcPr>
            <w:tcW w:w="0" w:type="dxa"/>
            <w:vAlign w:val="bottom"/>
          </w:tcPr>
          <w:p>
            <w:pPr>
              <w:spacing w:after="0"/>
              <w:rPr>
                <w:sz w:val="1"/>
                <w:szCs w:val="1"/>
                <w:color w:val="auto"/>
              </w:rPr>
            </w:pPr>
          </w:p>
        </w:tc>
      </w:tr>
      <w:tr>
        <w:trPr>
          <w:trHeight w:val="213"/>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 except BOE amounts)</w:t>
            </w:r>
          </w:p>
        </w:tc>
        <w:tc>
          <w:tcPr>
            <w:tcW w:w="35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6"/>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Depletion of proved oil and natural gas properties</w:t>
            </w:r>
          </w:p>
        </w:tc>
        <w:tc>
          <w:tcPr>
            <w:tcW w:w="35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Depreciation of other property and equipment</w:t>
            </w:r>
          </w:p>
        </w:tc>
        <w:tc>
          <w:tcPr>
            <w:tcW w:w="3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amortization</w:t>
            </w:r>
          </w:p>
        </w:tc>
        <w:tc>
          <w:tcPr>
            <w:tcW w:w="3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 retirement obligation accretion</w:t>
            </w:r>
          </w:p>
        </w:tc>
        <w:tc>
          <w:tcPr>
            <w:tcW w:w="35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8"/>
        </w:trPr>
        <w:tc>
          <w:tcPr>
            <w:tcW w:w="5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depletion, amortization and accretion expense</w:t>
            </w:r>
          </w:p>
        </w:tc>
        <w:tc>
          <w:tcPr>
            <w:tcW w:w="3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Oil and natural gas properties depletion rate per BOE</w:t>
            </w:r>
          </w:p>
        </w:tc>
        <w:tc>
          <w:tcPr>
            <w:tcW w:w="3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00" w:type="dxa"/>
            <w:vAlign w:val="bottom"/>
            <w:vMerge w:val="continue"/>
          </w:tcPr>
          <w:p>
            <w:pPr>
              <w:spacing w:after="0"/>
              <w:rPr>
                <w:sz w:val="17"/>
                <w:szCs w:val="17"/>
                <w:color w:val="auto"/>
              </w:rPr>
            </w:pPr>
          </w:p>
        </w:tc>
        <w:tc>
          <w:tcPr>
            <w:tcW w:w="3560" w:type="dxa"/>
            <w:vAlign w:val="bottom"/>
          </w:tcPr>
          <w:p>
            <w:pPr>
              <w:spacing w:after="0"/>
              <w:rPr>
                <w:sz w:val="17"/>
                <w:szCs w:val="17"/>
                <w:color w:val="auto"/>
              </w:rPr>
            </w:pPr>
          </w:p>
        </w:tc>
        <w:tc>
          <w:tcPr>
            <w:tcW w:w="120" w:type="dxa"/>
            <w:vAlign w:val="bottom"/>
          </w:tcPr>
          <w:p>
            <w:pPr>
              <w:jc w:val="right"/>
              <w:spacing w:after="0" w:line="204"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4" w:lineRule="exact"/>
              <w:rPr>
                <w:sz w:val="20"/>
                <w:szCs w:val="20"/>
                <w:color w:val="auto"/>
              </w:rPr>
            </w:pPr>
            <w:r>
              <w:rPr>
                <w:rFonts w:ascii="Arial" w:cs="Arial" w:eastAsia="Arial" w:hAnsi="Arial"/>
                <w:sz w:val="18"/>
                <w:szCs w:val="18"/>
                <w:color w:val="auto"/>
              </w:rPr>
              <w:t>8.66</w:t>
            </w:r>
          </w:p>
        </w:tc>
        <w:tc>
          <w:tcPr>
            <w:tcW w:w="100" w:type="dxa"/>
            <w:vAlign w:val="bottom"/>
          </w:tcPr>
          <w:p>
            <w:pPr>
              <w:spacing w:after="0"/>
              <w:rPr>
                <w:sz w:val="17"/>
                <w:szCs w:val="17"/>
                <w:color w:val="auto"/>
              </w:rPr>
            </w:pPr>
          </w:p>
        </w:tc>
        <w:tc>
          <w:tcPr>
            <w:tcW w:w="300" w:type="dxa"/>
            <w:vAlign w:val="bottom"/>
          </w:tcPr>
          <w:p>
            <w:pPr>
              <w:jc w:val="right"/>
              <w:ind w:right="90"/>
              <w:spacing w:after="0" w:line="204"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204" w:lineRule="exact"/>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728"/>
        </w:trPr>
        <w:tc>
          <w:tcPr>
            <w:tcW w:w="5000" w:type="dxa"/>
            <w:vAlign w:val="bottom"/>
          </w:tcPr>
          <w:p>
            <w:pPr>
              <w:spacing w:after="0"/>
              <w:rPr>
                <w:sz w:val="24"/>
                <w:szCs w:val="24"/>
                <w:color w:val="auto"/>
              </w:rPr>
            </w:pPr>
          </w:p>
        </w:tc>
        <w:tc>
          <w:tcPr>
            <w:tcW w:w="3560" w:type="dxa"/>
            <w:vAlign w:val="bottom"/>
          </w:tcPr>
          <w:p>
            <w:pPr>
              <w:jc w:val="right"/>
              <w:ind w:right="275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00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increase in depletion of proved oil and natural gas properties of $9 million for the nine months ended September 30, 2022 as compared to the same period in 2021 resulted largely from higher production volumes partially offset by a lower average depletion rate. The decline in rate resulted primarily from higher SEC prices utilized in the reserve calculations in the 2022 period, lengthening the economic life of the reserve base and resulting in higher projected remaining reserve volumes on our wells.</w:t>
      </w:r>
    </w:p>
    <w:p>
      <w:pPr>
        <w:spacing w:after="0" w:line="21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Impairment of Oil and Natural Gas Properties. </w:t>
      </w:r>
      <w:r>
        <w:rPr>
          <w:rFonts w:ascii="Arial" w:cs="Arial" w:eastAsia="Arial" w:hAnsi="Arial"/>
          <w:sz w:val="17"/>
          <w:szCs w:val="17"/>
          <w:color w:val="auto"/>
        </w:rPr>
        <w:t>No impairment expense was recorded for the nine months ended September 30, 2022.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connection with the QEP Merger and the Guidon Acquisition in the first quarter of 2021, we recorded the oil and natural gas properties acquired at fair value. Pursuant to SEC guidance, we determined the fair value of the properties acquired in the QEP Merger and the Guidon Acquisition clearly exceeded the related full cost ceiling limitation beyond a reasonable doubt. As such, we requested and received a waiver from the SEC to exclude the acquired properties from the first quarter 2021 ceiling test calculation. As a result, no impairment expense related to the QEP Merger and the Guidon Acquisition was recorded for the three months ended March 31, 2021. Had we not received the waiver from the SEC, an impairment charge of approximately $1.1 billion would have been recorded during the nine months ended September 30, 2021.</w:t>
      </w:r>
    </w:p>
    <w:p>
      <w:pPr>
        <w:spacing w:after="0" w:line="20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Impairment charges affect our results of operations but do not reduce our cash flow. In addition to commodity prices, our production rates, levels of proved reserves, future development costs, transfers of unevaluated properties and other factors will determine our actual ceiling test calculation and impairment analysis in future periods. If the trailing 12-month commodity prices fall significantly as compared to the commodity prices used in prior quarters, we may have material write-downs in subsequent quarters. See Note 5—</w:t>
      </w:r>
      <w:r>
        <w:rPr>
          <w:rFonts w:ascii="Arial" w:cs="Arial" w:eastAsia="Arial" w:hAnsi="Arial"/>
          <w:sz w:val="16"/>
          <w:szCs w:val="16"/>
          <w:u w:val="single" w:color="auto"/>
          <w:color w:val="0000FF"/>
        </w:rPr>
        <w:t>Property and Equipment</w:t>
      </w:r>
      <w:r>
        <w:rPr>
          <w:rFonts w:ascii="Arial" w:cs="Arial" w:eastAsia="Arial" w:hAnsi="Arial"/>
          <w:sz w:val="16"/>
          <w:szCs w:val="16"/>
          <w:color w:val="auto"/>
        </w:rPr>
        <w:t xml:space="preserve"> of the condensed notes to the consolidated financial statements included elsewhere in this report for further details regarding factors that impact the impairment of oil and natural gas properties.</w:t>
      </w:r>
    </w:p>
    <w:p>
      <w:pPr>
        <w:spacing w:after="0" w:line="18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The following table shows general and administrative expenses for the nine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and 2021: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11"/>
          </w:tcPr>
          <w:p>
            <w:pPr>
              <w:ind w:left="20"/>
              <w:spacing w:after="0"/>
              <w:rPr>
                <w:sz w:val="20"/>
                <w:szCs w:val="20"/>
                <w:color w:val="auto"/>
              </w:rPr>
            </w:pPr>
            <w:r>
              <w:rPr>
                <w:rFonts w:ascii="Arial" w:cs="Arial" w:eastAsia="Arial" w:hAnsi="Arial"/>
                <w:sz w:val="16"/>
                <w:szCs w:val="16"/>
                <w:b w:val="1"/>
                <w:bCs w:val="1"/>
                <w:color w:val="auto"/>
              </w:rPr>
              <w:t>Nine Months Ended September 30,</w:t>
            </w:r>
          </w:p>
        </w:tc>
      </w:tr>
      <w:tr>
        <w:trPr>
          <w:trHeight w:val="207"/>
        </w:trPr>
        <w:tc>
          <w:tcPr>
            <w:tcW w:w="7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84"/>
              </w:rPr>
              <w:t>2022</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9"/>
              </w:rPr>
              <w:t>2021</w:t>
            </w:r>
          </w:p>
        </w:tc>
        <w:tc>
          <w:tcPr>
            <w:tcW w:w="840" w:type="dxa"/>
            <w:vAlign w:val="bottom"/>
            <w:tcBorders>
              <w:bottom w:val="single" w:sz="8" w:color="auto"/>
            </w:tcBorders>
          </w:tcPr>
          <w:p>
            <w:pPr>
              <w:spacing w:after="0"/>
              <w:rPr>
                <w:sz w:val="17"/>
                <w:szCs w:val="17"/>
                <w:color w:val="auto"/>
              </w:rPr>
            </w:pPr>
          </w:p>
        </w:tc>
      </w:tr>
      <w:tr>
        <w:trPr>
          <w:trHeight w:val="212"/>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 except per BOE amounts)</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Amount</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5"/>
              </w:rPr>
              <w:t>Per BOE</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6"/>
                <w:szCs w:val="16"/>
                <w:b w:val="1"/>
                <w:bCs w:val="1"/>
                <w:color w:val="auto"/>
                <w:w w:val="92"/>
              </w:rPr>
              <w:t>Amount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w w:val="95"/>
              </w:rPr>
              <w:t>Per BOE</w:t>
            </w:r>
          </w:p>
        </w:tc>
      </w:tr>
      <w:tr>
        <w:trPr>
          <w:trHeight w:val="22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r>
      <w:tr>
        <w:trPr>
          <w:trHeight w:val="229"/>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Non-cash stock-based compensation</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r>
      <w:tr>
        <w:trPr>
          <w:trHeight w:val="248"/>
        </w:trPr>
        <w:tc>
          <w:tcPr>
            <w:tcW w:w="7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general and administrative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0.98</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increase in general and administrative expenses for the nine months ended September 30, 2022 compared to the same period in 2021 was due primarily to higher compensation and benefits costs of $8 million primarily resulting largely from growth in our headcount, an increase in charitable donations of $4 million, and an increase in office costs of $1 million related to an office lease acquired in the QEP Merger. These increases were partially offset by $8 million in additional overhead charges billed to our wells, which reduced general and administrative expenses as a result of an increase in average rig count and the number of wells drilled in during the nine months ended September 30, 2022 compared to the same period in 2021.</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Non-cash stock-based compensation increased by $5 million for the nine months ended September 30, 2022 compared to the same period in 2021, primarily due to a higher grant-date fair value for performance stock units issued in the first quarter of 2022 and the accelerated vesting of restricted stock held by transitional employees related to the QEP Merger.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Merger and Integration Expense. </w:t>
      </w:r>
      <w:r>
        <w:rPr>
          <w:rFonts w:ascii="Arial" w:cs="Arial" w:eastAsia="Arial" w:hAnsi="Arial"/>
          <w:sz w:val="16"/>
          <w:szCs w:val="16"/>
          <w:color w:val="auto"/>
        </w:rPr>
        <w:t>The following tables shows merger and integration expense for the nine months ended September 30, 2022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40" w:type="dxa"/>
            <w:vAlign w:val="bottom"/>
          </w:tcPr>
          <w:p>
            <w:pPr>
              <w:spacing w:after="0"/>
              <w:rPr>
                <w:sz w:val="18"/>
                <w:szCs w:val="18"/>
                <w:color w:val="auto"/>
              </w:rPr>
            </w:pPr>
          </w:p>
        </w:tc>
        <w:tc>
          <w:tcPr>
            <w:tcW w:w="250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92"/>
              </w:rPr>
              <w:t>Nine Months Ended September 30,</w:t>
            </w:r>
          </w:p>
        </w:tc>
      </w:tr>
      <w:tr>
        <w:trPr>
          <w:trHeight w:val="213"/>
        </w:trPr>
        <w:tc>
          <w:tcPr>
            <w:tcW w:w="87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2022</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2021</w:t>
            </w:r>
          </w:p>
        </w:tc>
      </w:tr>
      <w:tr>
        <w:trPr>
          <w:trHeight w:val="226"/>
        </w:trPr>
        <w:tc>
          <w:tcPr>
            <w:tcW w:w="8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Merger and integration expenses</w:t>
            </w: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bl>
    <w:p>
      <w:pPr>
        <w:spacing w:after="0" w:line="31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Merger and integration expenses for the nine months ended September 30, 2022 relate to banking, legal and advisory fees incurred for the Rattler Merger. Merger and integration expense for the nine months ended September 30, 2021 includes $68 million in costs incurred for the QEP Merger and $9 million in costs incurred for the Guidon Acquisition. The QEP Merger related expenses primarily consisted of $38 million in severance costs and $30 million in banking, legal and advisory fees, and the Guidon Acquisition related expenses consisted primarily of advisory and legal fees. See Note 4— </w:t>
      </w:r>
      <w:r>
        <w:rPr>
          <w:rFonts w:ascii="Arial" w:cs="Arial" w:eastAsia="Arial" w:hAnsi="Arial"/>
          <w:sz w:val="18"/>
          <w:szCs w:val="18"/>
          <w:u w:val="single" w:color="auto"/>
          <w:color w:val="0000FF"/>
        </w:rPr>
        <w:t>Acquisitions and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0000FF"/>
        </w:rPr>
        <w:t>Divestitures</w:t>
      </w:r>
      <w:r>
        <w:rPr>
          <w:rFonts w:ascii="Arial" w:cs="Arial" w:eastAsia="Arial" w:hAnsi="Arial"/>
          <w:sz w:val="18"/>
          <w:szCs w:val="18"/>
          <w:color w:val="0000FF"/>
        </w:rPr>
        <w:t xml:space="preserve"> </w:t>
      </w:r>
      <w:r>
        <w:rPr>
          <w:rFonts w:ascii="Arial" w:cs="Arial" w:eastAsia="Arial" w:hAnsi="Arial"/>
          <w:sz w:val="18"/>
          <w:szCs w:val="18"/>
          <w:color w:val="000000"/>
        </w:rPr>
        <w:t>of the condensed notes to the consolidated financial statements included elsewhere in this report for further details regarding the QEP Merger</w:t>
      </w:r>
      <w:r>
        <w:rPr>
          <w:rFonts w:ascii="Arial" w:cs="Arial" w:eastAsia="Arial" w:hAnsi="Arial"/>
          <w:sz w:val="18"/>
          <w:szCs w:val="18"/>
          <w:color w:val="0000FF"/>
        </w:rPr>
        <w:t xml:space="preserve"> </w:t>
      </w:r>
      <w:r>
        <w:rPr>
          <w:rFonts w:ascii="Arial" w:cs="Arial" w:eastAsia="Arial" w:hAnsi="Arial"/>
          <w:sz w:val="18"/>
          <w:szCs w:val="18"/>
          <w:color w:val="000000"/>
        </w:rPr>
        <w:t>and the Guidon Acquisition.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Other Operating Costs and Expenses. </w:t>
      </w:r>
      <w:r>
        <w:rPr>
          <w:rFonts w:ascii="Arial" w:cs="Arial" w:eastAsia="Arial" w:hAnsi="Arial"/>
          <w:sz w:val="16"/>
          <w:szCs w:val="16"/>
          <w:color w:val="auto"/>
        </w:rPr>
        <w:t>The following table shows the other insignificant operating costs and expenses for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and 2021:</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40" w:type="dxa"/>
            <w:vAlign w:val="bottom"/>
          </w:tcPr>
          <w:p>
            <w:pPr>
              <w:spacing w:after="0"/>
              <w:rPr>
                <w:sz w:val="18"/>
                <w:szCs w:val="18"/>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300" w:type="dxa"/>
            <w:vAlign w:val="bottom"/>
            <w:tcBorders>
              <w:bottom w:val="single" w:sz="8" w:color="auto"/>
            </w:tcBorders>
          </w:tcPr>
          <w:p>
            <w:pPr>
              <w:spacing w:after="0"/>
              <w:rPr>
                <w:sz w:val="18"/>
                <w:szCs w:val="18"/>
                <w:color w:val="auto"/>
              </w:rPr>
            </w:pPr>
          </w:p>
        </w:tc>
      </w:tr>
      <w:tr>
        <w:trPr>
          <w:trHeight w:val="21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6"/>
                <w:szCs w:val="16"/>
                <w:b w:val="1"/>
                <w:bCs w:val="1"/>
                <w:color w:val="auto"/>
              </w:rPr>
              <w:t>2022</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95"/>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bottom w:val="single" w:sz="8" w:color="auto"/>
            </w:tcBorders>
          </w:tcPr>
          <w:p>
            <w:pPr>
              <w:spacing w:after="0"/>
              <w:rPr>
                <w:sz w:val="18"/>
                <w:szCs w:val="18"/>
                <w:color w:val="auto"/>
              </w:rPr>
            </w:pPr>
          </w:p>
        </w:tc>
      </w:tr>
      <w:tr>
        <w:trPr>
          <w:trHeight w:val="226"/>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expenses</w:t>
            </w: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5"/>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81</w:t>
            </w:r>
          </w:p>
        </w:tc>
      </w:tr>
    </w:tbl>
    <w:p>
      <w:pPr>
        <w:spacing w:after="0" w:line="32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Derivative Instruments. </w:t>
      </w:r>
      <w:r>
        <w:rPr>
          <w:rFonts w:ascii="Arial" w:cs="Arial" w:eastAsia="Arial" w:hAnsi="Arial"/>
          <w:sz w:val="18"/>
          <w:szCs w:val="18"/>
          <w:color w:val="auto"/>
        </w:rPr>
        <w:t>The following table shows the net gain (loss) on derivative instruments and the net cash receipts (payments)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settlements of derivative instruments for the nine months ended September 30, 2022 and 2021: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40" w:type="dxa"/>
            <w:vAlign w:val="bottom"/>
          </w:tcPr>
          <w:p>
            <w:pPr>
              <w:spacing w:after="0"/>
              <w:rPr>
                <w:sz w:val="18"/>
                <w:szCs w:val="18"/>
                <w:color w:val="auto"/>
              </w:rPr>
            </w:pPr>
          </w:p>
        </w:tc>
        <w:tc>
          <w:tcPr>
            <w:tcW w:w="250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92"/>
              </w:rPr>
              <w:t>Nine Months Ended September 30,</w:t>
            </w:r>
          </w:p>
        </w:tc>
      </w:tr>
      <w:tr>
        <w:trPr>
          <w:trHeight w:val="213"/>
        </w:trPr>
        <w:tc>
          <w:tcPr>
            <w:tcW w:w="87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r>
      <w:tr>
        <w:trPr>
          <w:trHeight w:val="226"/>
        </w:trPr>
        <w:tc>
          <w:tcPr>
            <w:tcW w:w="874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Gain (loss) on derivative instruments, net</w:t>
            </w:r>
            <w:r>
              <w:rPr>
                <w:rFonts w:ascii="Arial" w:cs="Arial" w:eastAsia="Arial" w:hAnsi="Arial"/>
                <w:sz w:val="23"/>
                <w:szCs w:val="23"/>
                <w:color w:val="auto"/>
                <w:vertAlign w:val="superscript"/>
              </w:rPr>
              <w:t>(1)</w:t>
            </w:r>
          </w:p>
        </w:tc>
        <w:tc>
          <w:tcPr>
            <w:tcW w:w="780" w:type="dxa"/>
            <w:vAlign w:val="bottom"/>
            <w:shd w:val="clear" w:color="auto" w:fill="CCEEFF"/>
          </w:tcPr>
          <w:p>
            <w:pPr>
              <w:jc w:val="right"/>
              <w:ind w:right="575"/>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r>
      <w:tr>
        <w:trPr>
          <w:trHeight w:val="304"/>
        </w:trPr>
        <w:tc>
          <w:tcPr>
            <w:tcW w:w="8740" w:type="dxa"/>
            <w:vAlign w:val="bottom"/>
          </w:tcPr>
          <w:p>
            <w:pPr>
              <w:ind w:left="20"/>
              <w:spacing w:after="0"/>
              <w:rPr>
                <w:sz w:val="20"/>
                <w:szCs w:val="20"/>
                <w:color w:val="auto"/>
              </w:rPr>
            </w:pPr>
            <w:r>
              <w:rPr>
                <w:rFonts w:ascii="Arial" w:cs="Arial" w:eastAsia="Arial" w:hAnsi="Arial"/>
                <w:sz w:val="18"/>
                <w:szCs w:val="18"/>
                <w:color w:val="auto"/>
              </w:rPr>
              <w:t>Net cash received (paid) on settlements</w:t>
            </w:r>
            <w:r>
              <w:rPr>
                <w:rFonts w:ascii="Arial" w:cs="Arial" w:eastAsia="Arial" w:hAnsi="Arial"/>
                <w:sz w:val="23"/>
                <w:szCs w:val="23"/>
                <w:color w:val="auto"/>
                <w:vertAlign w:val="superscript"/>
              </w:rPr>
              <w:t>(2)</w:t>
            </w:r>
          </w:p>
        </w:tc>
        <w:tc>
          <w:tcPr>
            <w:tcW w:w="780" w:type="dxa"/>
            <w:vAlign w:val="bottom"/>
          </w:tcPr>
          <w:p>
            <w:pPr>
              <w:jc w:val="right"/>
              <w:ind w:right="575"/>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0"/>
              </w:rPr>
              <w:t>(816)</w:t>
            </w:r>
          </w:p>
        </w:tc>
        <w:tc>
          <w:tcPr>
            <w:tcW w:w="10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(822)</w:t>
            </w:r>
          </w:p>
        </w:tc>
      </w:tr>
    </w:tbl>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nine months ended September 30, 2022 includes $6 million in losses related to interest rate swaps.</w:t>
      </w:r>
    </w:p>
    <w:p>
      <w:pPr>
        <w:spacing w:after="0" w:line="15" w:lineRule="exact"/>
        <w:rPr>
          <w:rFonts w:ascii="Arial" w:cs="Arial" w:eastAsia="Arial" w:hAnsi="Arial"/>
          <w:sz w:val="18"/>
          <w:szCs w:val="18"/>
          <w:color w:val="auto"/>
        </w:rPr>
      </w:pPr>
    </w:p>
    <w:p>
      <w:pPr>
        <w:jc w:val="both"/>
        <w:ind w:left="340" w:hanging="332"/>
        <w:spacing w:after="0" w:line="255" w:lineRule="auto"/>
        <w:tabs>
          <w:tab w:leader="none" w:pos="33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nine months ended September 30, 2022 includes cash paid on commodity contracts terminated prior to their contractual maturity of $138 million. The nine months ended September 30, 2021 includes cash received on interest rate swap contracts terminated prior to their contractual maturity of $80 million.</w:t>
      </w:r>
    </w:p>
    <w:p>
      <w:pPr>
        <w:spacing w:after="0" w:line="21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not designated our commodity derivative instruments as hedges for accounting purposes. As a result, we mark our derivative instruments to fair value and recognize the cash and non-cash changes in fair value on derivative instruments in our condensed consolidated statements of operations under the line item captioned “Gain (loss) on derivative instruments, net.” See Note 11—</w:t>
      </w:r>
      <w:r>
        <w:rPr>
          <w:rFonts w:ascii="Arial" w:cs="Arial" w:eastAsia="Arial" w:hAnsi="Arial"/>
          <w:sz w:val="17"/>
          <w:szCs w:val="17"/>
          <w:u w:val="single" w:color="auto"/>
          <w:color w:val="0000FF"/>
        </w:rPr>
        <w:t>Derivatives</w:t>
      </w:r>
      <w:r>
        <w:rPr>
          <w:rFonts w:ascii="Arial" w:cs="Arial" w:eastAsia="Arial" w:hAnsi="Arial"/>
          <w:sz w:val="17"/>
          <w:szCs w:val="17"/>
          <w:color w:val="auto"/>
        </w:rPr>
        <w:t xml:space="preserve"> of the condensed notes to the consolidated financial statements included elsewhere in this report for further details regarding our derivative instruments.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 xml:space="preserve">Other Income (Expense). </w:t>
      </w:r>
      <w:r>
        <w:rPr>
          <w:rFonts w:ascii="Arial" w:cs="Arial" w:eastAsia="Arial" w:hAnsi="Arial"/>
          <w:sz w:val="18"/>
          <w:szCs w:val="18"/>
          <w:color w:val="auto"/>
        </w:rPr>
        <w:t>The following table shows other income and expenses for the nine months ended September 30, 2022 and 2021:</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40" w:type="dxa"/>
            <w:vAlign w:val="bottom"/>
          </w:tcPr>
          <w:p>
            <w:pPr>
              <w:spacing w:after="0"/>
              <w:rPr>
                <w:sz w:val="18"/>
                <w:szCs w:val="18"/>
                <w:color w:val="auto"/>
              </w:rPr>
            </w:pPr>
          </w:p>
        </w:tc>
        <w:tc>
          <w:tcPr>
            <w:tcW w:w="2600" w:type="dxa"/>
            <w:vAlign w:val="bottom"/>
            <w:tcBorders>
              <w:bottom w:val="single" w:sz="8" w:color="auto"/>
            </w:tcBorders>
            <w:gridSpan w:val="5"/>
          </w:tcPr>
          <w:p>
            <w:pPr>
              <w:jc w:val="right"/>
              <w:ind w:right="12"/>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213"/>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2021</w:t>
            </w:r>
          </w:p>
        </w:tc>
      </w:tr>
      <w:tr>
        <w:trPr>
          <w:trHeight w:val="226"/>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sale of equity method investments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color w:val="auto"/>
              </w:rPr>
              <w:t>Gain (loss) on extinguishment of debt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equity investments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bl>
    <w:p>
      <w:pPr>
        <w:spacing w:after="0" w:line="32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decrease in net interest expense for the nine months ended September 30, 2022 compared to the same period in 2021, primarily reflects (i) a $31 million decrease in interest expense on our senior notes due largely to redemptions and repurchases of principal between the periods, and (ii) a $37 million increase in capitalized interest costs, which reduce interest expense. These reductions were partially offset by a $14 million increase in interest expense on our revolving credit facility. See Note 7—</w:t>
      </w:r>
      <w:r>
        <w:rPr>
          <w:rFonts w:ascii="Arial" w:cs="Arial" w:eastAsia="Arial" w:hAnsi="Arial"/>
          <w:sz w:val="18"/>
          <w:szCs w:val="18"/>
          <w:u w:val="single" w:color="auto"/>
          <w:color w:val="0000FF"/>
        </w:rPr>
        <w:t>Debt</w:t>
      </w:r>
      <w:r>
        <w:rPr>
          <w:rFonts w:ascii="Arial" w:cs="Arial" w:eastAsia="Arial" w:hAnsi="Arial"/>
          <w:sz w:val="18"/>
          <w:szCs w:val="18"/>
          <w:color w:val="auto"/>
        </w:rPr>
        <w:t xml:space="preserve"> of the condensed notes to the consolidated financial statements included elsewhere in this report for further details regarding outstanding borrowings.</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Gain (loss) on extinguishment of debt reflects the difference between the carrying value and reacquisition price for the repurchases and redemptions of various senior notes during the 2022 and 2021 periods. See Note 7—</w:t>
      </w:r>
      <w:r>
        <w:rPr>
          <w:rFonts w:ascii="Arial" w:cs="Arial" w:eastAsia="Arial" w:hAnsi="Arial"/>
          <w:sz w:val="18"/>
          <w:szCs w:val="18"/>
          <w:u w:val="single" w:color="auto"/>
          <w:color w:val="0000FF"/>
        </w:rPr>
        <w:t>Debt</w:t>
      </w:r>
      <w:r>
        <w:rPr>
          <w:rFonts w:ascii="Arial" w:cs="Arial" w:eastAsia="Arial" w:hAnsi="Arial"/>
          <w:sz w:val="18"/>
          <w:szCs w:val="18"/>
          <w:color w:val="auto"/>
        </w:rPr>
        <w:t xml:space="preserve"> of the condensed notes to the consolidated financial statements included elsewhere in this report for further details regarding gain (loss) on extinguishment of debt.</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increase in income from our equity investments primarily reflects higher capacity utilization and price realizations for our midstream investees in 2022 compared to 2021, as well as $33 million in income from Rattler’s investment in an interconnected gas gathering system in the Midland Basin, which was acquired in the fourth quarter of 2021.</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Provision for (Benefit from) Income Taxes. </w:t>
      </w:r>
      <w:r>
        <w:rPr>
          <w:rFonts w:ascii="Arial" w:cs="Arial" w:eastAsia="Arial" w:hAnsi="Arial"/>
          <w:sz w:val="16"/>
          <w:szCs w:val="16"/>
          <w:color w:val="auto"/>
        </w:rPr>
        <w:t>The following table shows the provision for (benefit from) income taxes for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and 2021:</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40" w:type="dxa"/>
            <w:vAlign w:val="bottom"/>
          </w:tcPr>
          <w:p>
            <w:pPr>
              <w:spacing w:after="0"/>
              <w:rPr>
                <w:sz w:val="18"/>
                <w:szCs w:val="18"/>
                <w:color w:val="auto"/>
              </w:rPr>
            </w:pPr>
          </w:p>
        </w:tc>
        <w:tc>
          <w:tcPr>
            <w:tcW w:w="250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92"/>
              </w:rPr>
              <w:t>Nine Months Ended September 30,</w:t>
            </w:r>
          </w:p>
        </w:tc>
      </w:tr>
      <w:tr>
        <w:trPr>
          <w:trHeight w:val="213"/>
        </w:trPr>
        <w:tc>
          <w:tcPr>
            <w:tcW w:w="87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2021</w:t>
            </w:r>
          </w:p>
        </w:tc>
      </w:tr>
      <w:tr>
        <w:trPr>
          <w:trHeight w:val="226"/>
        </w:trPr>
        <w:tc>
          <w:tcPr>
            <w:tcW w:w="8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82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r>
    </w:tbl>
    <w:p>
      <w:pPr>
        <w:spacing w:after="0" w:line="32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change in our income tax provision for the nine months ended September 30, 2022 compared to the same period in 2021 was primarily due to the increase in pre-tax income which resulted largely from the changes in revenues from oil, natural gas and natural gas liquids, gain (loss) on derivatives and other expenses discussed above. See Note 10—</w:t>
      </w:r>
      <w:r>
        <w:rPr>
          <w:rFonts w:ascii="Arial" w:cs="Arial" w:eastAsia="Arial" w:hAnsi="Arial"/>
          <w:sz w:val="18"/>
          <w:szCs w:val="18"/>
          <w:u w:val="single" w:color="auto"/>
          <w:color w:val="0000FF"/>
        </w:rPr>
        <w:t>Income Taxes</w:t>
      </w:r>
      <w:r>
        <w:rPr>
          <w:rFonts w:ascii="Arial" w:cs="Arial" w:eastAsia="Arial" w:hAnsi="Arial"/>
          <w:sz w:val="18"/>
          <w:szCs w:val="18"/>
          <w:color w:val="auto"/>
        </w:rPr>
        <w:t xml:space="preserve"> of the condensed notes to the consolidated financial statements included elsewhere in this report for further discussion of our income tax expense.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Sources and Uses of Cash</w:t>
      </w:r>
    </w:p>
    <w:p>
      <w:pPr>
        <w:spacing w:after="0" w:line="23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Historically, our primary sources of liquidity include cash flows from operations, proceeds from our public equity offerings, borrowings under our revolving credit facility, proceeds from the issuance of senior notes and sales of non-core assets. Our primary uses of capital have been for the acquisition, development and exploration of oil and natural gas properties. At September 30, 2022, we had approximately $1.4 billion of liquidity consisting of $15 million in standalone cash and cash equivalents and $1.4 billion available under our credit facility. As discussed below, our capital budget for 2022 is $1.94 billion to $1.95 billion. We have approximately $10 million of senior notes maturing in the next 12 months.</w:t>
      </w:r>
    </w:p>
    <w:p>
      <w:pPr>
        <w:spacing w:after="0" w:line="20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working capital requirements are supported by our cash and cash equivalents and our credit facility. We may draw on our revolving credit facility to meet short-term cash requirements, or issue debt or equity securities as part of our longer-term liquidity and capital management program. Because of the alternatives available to us as discussed above, we believe that our short-term and long-term liquidity are adequate to fund not only our current operations, but also our near-term and long-term funding requirements including our capital spending programs, dividend payments, debt service obligations, debt maturities, repurchases of equity or debt securities and other amounts that may ultimately be paid in connection with contingencies.</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Future cash flows are subject to a number of variables, including the level of oil and natural gas production and prices, and significant additional capital expenditures will be required to more fully develop our properties. In order to mitigate this volatility, we entered into derivative contracts with a number of financial institutions, all of which are participants in our credit facility, hedging a portion of our estimated future crude oil and natural gas production through the end of 2023 as discussed further in Note 11—</w:t>
      </w:r>
      <w:r>
        <w:rPr>
          <w:rFonts w:ascii="Arial" w:cs="Arial" w:eastAsia="Arial" w:hAnsi="Arial"/>
          <w:sz w:val="17"/>
          <w:szCs w:val="17"/>
          <w:u w:val="single" w:color="auto"/>
          <w:color w:val="0000FF"/>
        </w:rPr>
        <w:t>Derivatives</w:t>
      </w:r>
      <w:r>
        <w:rPr>
          <w:rFonts w:ascii="Arial" w:cs="Arial" w:eastAsia="Arial" w:hAnsi="Arial"/>
          <w:sz w:val="17"/>
          <w:szCs w:val="17"/>
          <w:color w:val="auto"/>
        </w:rPr>
        <w:t xml:space="preserve"> and </w:t>
      </w:r>
      <w:r>
        <w:rPr>
          <w:rFonts w:ascii="Arial" w:cs="Arial" w:eastAsia="Arial" w:hAnsi="Arial"/>
          <w:sz w:val="17"/>
          <w:szCs w:val="17"/>
          <w:u w:val="single" w:color="auto"/>
          <w:color w:val="0000FF"/>
        </w:rPr>
        <w:t>Item 3. Quantitative and Qualitative Disclosures About Market Risk</w:t>
      </w:r>
      <w:r>
        <w:rPr>
          <w:rFonts w:ascii="Arial" w:cs="Arial" w:eastAsia="Arial" w:hAnsi="Arial"/>
          <w:sz w:val="17"/>
          <w:szCs w:val="17"/>
          <w:color w:val="auto"/>
        </w:rPr>
        <w:t xml:space="preserve"> </w:t>
      </w:r>
      <w:r>
        <w:rPr>
          <w:rFonts w:ascii="Arial" w:cs="Arial" w:eastAsia="Arial" w:hAnsi="Arial"/>
          <w:sz w:val="17"/>
          <w:szCs w:val="17"/>
          <w:u w:val="single" w:color="auto"/>
          <w:color w:val="0000FF"/>
        </w:rPr>
        <w:t>—Commodity Price Risk</w:t>
      </w:r>
      <w:r>
        <w:rPr>
          <w:rFonts w:ascii="Arial" w:cs="Arial" w:eastAsia="Arial" w:hAnsi="Arial"/>
          <w:sz w:val="17"/>
          <w:szCs w:val="17"/>
          <w:color w:val="000000"/>
        </w:rPr>
        <w:t>. The level of our hedging activity and duration of the financial instruments employed depend on our desired cash flow protection,</w:t>
      </w:r>
      <w:r>
        <w:rPr>
          <w:rFonts w:ascii="Arial" w:cs="Arial" w:eastAsia="Arial" w:hAnsi="Arial"/>
          <w:sz w:val="17"/>
          <w:szCs w:val="17"/>
          <w:color w:val="0000FF"/>
        </w:rPr>
        <w:t xml:space="preserve"> </w:t>
      </w:r>
      <w:r>
        <w:rPr>
          <w:rFonts w:ascii="Arial" w:cs="Arial" w:eastAsia="Arial" w:hAnsi="Arial"/>
          <w:sz w:val="17"/>
          <w:szCs w:val="17"/>
          <w:color w:val="000000"/>
        </w:rPr>
        <w:t>available hedge prices, the magnitude of our capital program and our operating strategy.</w:t>
      </w:r>
    </w:p>
    <w:p>
      <w:pPr>
        <w:spacing w:after="0" w:line="20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we pursue our business and financial strategy, we regularly consider which capital resources, including cash flow and equity and debt financings, are available to meet our future financial obligations, planned capital expenditure activities and liquidity requirements. Our future ability to grow proved reserves and production will be highly dependent on the capital resources available to us. Continued prolonged volatility in the capital, financial and/or credit markets due to the war in Ukraine, the COVID-19 pandemic, and/or other adverse macroeconomic conditions may limit our access to, or increase our cost of, capital or make capital unavailable on terms acceptable to us or at all. Although the Company expects that its sources of funding will be adequate to fund its short-term and long-term liquidity requirements, we cannot assure you the needed capital will be available on acceptable terms or at all.</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cash flows for the nine months ended September 30, 2022 and 2021 are presented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20" w:type="dxa"/>
            <w:vAlign w:val="bottom"/>
          </w:tcPr>
          <w:p>
            <w:pPr>
              <w:spacing w:after="0"/>
              <w:rPr>
                <w:sz w:val="18"/>
                <w:szCs w:val="18"/>
                <w:color w:val="auto"/>
              </w:rPr>
            </w:pPr>
          </w:p>
        </w:tc>
        <w:tc>
          <w:tcPr>
            <w:tcW w:w="3120" w:type="dxa"/>
            <w:vAlign w:val="bottom"/>
            <w:tcBorders>
              <w:bottom w:val="single" w:sz="8" w:color="auto"/>
            </w:tcBorders>
            <w:gridSpan w:val="5"/>
          </w:tcPr>
          <w:p>
            <w:pPr>
              <w:jc w:val="right"/>
              <w:ind w:right="272"/>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81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2021</w:t>
            </w:r>
          </w:p>
        </w:tc>
      </w:tr>
      <w:tr>
        <w:trPr>
          <w:trHeight w:val="210"/>
        </w:trPr>
        <w:tc>
          <w:tcPr>
            <w:tcW w:w="8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(In millions)</w:t>
            </w:r>
          </w:p>
        </w:tc>
        <w:tc>
          <w:tcPr>
            <w:tcW w:w="1020" w:type="dxa"/>
            <w:vAlign w:val="bottom"/>
          </w:tcPr>
          <w:p>
            <w:pPr>
              <w:spacing w:after="0"/>
              <w:rPr>
                <w:sz w:val="18"/>
                <w:szCs w:val="18"/>
                <w:color w:val="auto"/>
              </w:rPr>
            </w:pPr>
          </w:p>
        </w:tc>
      </w:tr>
      <w:tr>
        <w:trPr>
          <w:trHeight w:val="232"/>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940" w:type="dxa"/>
            <w:vAlign w:val="bottom"/>
            <w:shd w:val="clear" w:color="auto" w:fill="CCEEFF"/>
          </w:tcPr>
          <w:p>
            <w:pPr>
              <w:jc w:val="right"/>
              <w:ind w:right="755"/>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4,884</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r>
      <w:tr>
        <w:trPr>
          <w:trHeight w:val="230"/>
        </w:trPr>
        <w:tc>
          <w:tcPr>
            <w:tcW w:w="812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(1,952)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(1,323)</w:t>
            </w:r>
          </w:p>
        </w:tc>
      </w:tr>
      <w:tr>
        <w:trPr>
          <w:trHeight w:val="229"/>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(3,570)</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r>
      <w:tr>
        <w:trPr>
          <w:trHeight w:val="223"/>
        </w:trPr>
        <w:tc>
          <w:tcPr>
            <w:tcW w:w="8120" w:type="dxa"/>
            <w:vAlign w:val="bottom"/>
          </w:tcPr>
          <w:p>
            <w:pPr>
              <w:ind w:left="20"/>
              <w:spacing w:after="0"/>
              <w:rPr>
                <w:sz w:val="20"/>
                <w:szCs w:val="20"/>
                <w:color w:val="auto"/>
              </w:rPr>
            </w:pPr>
            <w:r>
              <w:rPr>
                <w:rFonts w:ascii="Arial" w:cs="Arial" w:eastAsia="Arial" w:hAnsi="Arial"/>
                <w:sz w:val="18"/>
                <w:szCs w:val="18"/>
                <w:color w:val="auto"/>
              </w:rPr>
              <w:t>Net increase (decrease) in cash</w:t>
            </w:r>
          </w:p>
        </w:tc>
        <w:tc>
          <w:tcPr>
            <w:tcW w:w="940" w:type="dxa"/>
            <w:vAlign w:val="bottom"/>
            <w:tcBorders>
              <w:bottom w:val="single" w:sz="8" w:color="auto"/>
            </w:tcBorders>
          </w:tcPr>
          <w:p>
            <w:pPr>
              <w:jc w:val="right"/>
              <w:ind w:right="755"/>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r>
      <w:tr>
        <w:trPr>
          <w:trHeight w:val="20"/>
        </w:trPr>
        <w:tc>
          <w:tcPr>
            <w:tcW w:w="8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operating cash flow is sensitive to many variables, the most significant of which is the volatility of prices for the oil and natural gas we produce. Prices for these commodities are determined primarily by prevailing market conditions. Regional and worldwide economic activity, weather and other substantially variable factors influence market conditions for these products. These factors are beyond our control and are difficult to predict.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increase in operating cash flows for the nine months ended September 30, 2022 compared to the same period in 2021 primarily resulted from</w:t>
      </w:r>
    </w:p>
    <w:p>
      <w:pPr>
        <w:spacing w:after="0" w:line="46" w:lineRule="exact"/>
        <w:rPr>
          <w:sz w:val="20"/>
          <w:szCs w:val="20"/>
          <w:color w:val="auto"/>
        </w:rPr>
      </w:pPr>
    </w:p>
    <w:p>
      <w:pPr>
        <w:jc w:val="both"/>
        <w:ind w:firstLine="8"/>
        <w:spacing w:after="0" w:line="292" w:lineRule="auto"/>
        <w:tabs>
          <w:tab w:leader="none" w:pos="223"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 additional $2.8 billion in total revenue, (ii) a decrease of $31 million in net cash paid on settlements of derivative contracts, and (iii) fluctuations in other working capital balances due primarily to the timing of when collections are made on accounts receivable and payments are made on accounts payable and accrued liabilities. These cash inflows were partially offset by (i) a change of $711 million in cash paid for taxes due to making payments of $560 million in 2022 compared to receiving net refunds of $151 million in federal taxes under the 2020 CARES act in 2021, and (ii) an increase in our cash operating expenses of approximately $247 million, See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0000FF"/>
        </w:rPr>
        <w:t>Results of Operations</w:t>
      </w:r>
      <w:r>
        <w:rPr>
          <w:rFonts w:ascii="Arial" w:cs="Arial" w:eastAsia="Arial" w:hAnsi="Arial"/>
          <w:sz w:val="16"/>
          <w:szCs w:val="16"/>
          <w:color w:val="auto"/>
        </w:rPr>
        <w:t>” for discussion of significant changes in our revenues and expenses.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The majority of our net cash used for investing activities during the nine months ended September 30, 2022 and 2021 was for drilling and completion costs in conjunction with our development program as well as the purchase of oil and gas properties which are discussed further in Note 4— </w:t>
      </w:r>
      <w:r>
        <w:rPr>
          <w:rFonts w:ascii="Arial" w:cs="Arial" w:eastAsia="Arial" w:hAnsi="Arial"/>
          <w:sz w:val="17"/>
          <w:szCs w:val="17"/>
          <w:u w:val="single" w:color="auto"/>
          <w:color w:val="0000FF"/>
        </w:rPr>
        <w:t>Acquisitions and Divestitures</w:t>
      </w:r>
      <w:r>
        <w:rPr>
          <w:rFonts w:ascii="Arial" w:cs="Arial" w:eastAsia="Arial" w:hAnsi="Arial"/>
          <w:sz w:val="17"/>
          <w:szCs w:val="17"/>
          <w:color w:val="0000FF"/>
        </w:rPr>
        <w:t xml:space="preserve"> </w:t>
      </w:r>
      <w:r>
        <w:rPr>
          <w:rFonts w:ascii="Arial" w:cs="Arial" w:eastAsia="Arial" w:hAnsi="Arial"/>
          <w:sz w:val="17"/>
          <w:szCs w:val="17"/>
          <w:color w:val="000000"/>
        </w:rPr>
        <w:t>of the condensed notes to the consolidated financial statements included elsewhere in this report.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Capital Expenditure Activities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Our capital expenditures excluding acquisitions and equity method investments (on a cash basis) were as follows for the specified period: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80" w:type="dxa"/>
            <w:vAlign w:val="bottom"/>
          </w:tcPr>
          <w:p>
            <w:pPr>
              <w:spacing w:after="0"/>
              <w:rPr>
                <w:sz w:val="18"/>
                <w:szCs w:val="18"/>
                <w:color w:val="auto"/>
              </w:rPr>
            </w:pPr>
          </w:p>
        </w:tc>
        <w:tc>
          <w:tcPr>
            <w:tcW w:w="3260" w:type="dxa"/>
            <w:vAlign w:val="bottom"/>
            <w:tcBorders>
              <w:bottom w:val="single" w:sz="8" w:color="auto"/>
            </w:tcBorders>
            <w:gridSpan w:val="5"/>
          </w:tcPr>
          <w:p>
            <w:pPr>
              <w:jc w:val="right"/>
              <w:ind w:right="332"/>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798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2021</w:t>
            </w:r>
          </w:p>
        </w:tc>
      </w:tr>
      <w:tr>
        <w:trPr>
          <w:trHeight w:val="209"/>
        </w:trPr>
        <w:tc>
          <w:tcPr>
            <w:tcW w:w="7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(In millions)</w:t>
            </w:r>
          </w:p>
        </w:tc>
        <w:tc>
          <w:tcPr>
            <w:tcW w:w="1080" w:type="dxa"/>
            <w:vAlign w:val="bottom"/>
          </w:tcPr>
          <w:p>
            <w:pPr>
              <w:spacing w:after="0"/>
              <w:rPr>
                <w:sz w:val="18"/>
                <w:szCs w:val="18"/>
                <w:color w:val="auto"/>
              </w:rPr>
            </w:pPr>
          </w:p>
        </w:tc>
      </w:tr>
      <w:tr>
        <w:trPr>
          <w:trHeight w:val="232"/>
        </w:trPr>
        <w:tc>
          <w:tcPr>
            <w:tcW w:w="7980" w:type="dxa"/>
            <w:vAlign w:val="bottom"/>
            <w:shd w:val="clear" w:color="auto" w:fill="CCEEFF"/>
          </w:tcPr>
          <w:p>
            <w:pPr>
              <w:ind w:left="20"/>
              <w:spacing w:after="0" w:line="232" w:lineRule="exact"/>
              <w:rPr>
                <w:sz w:val="20"/>
                <w:szCs w:val="20"/>
                <w:color w:val="auto"/>
              </w:rPr>
            </w:pPr>
            <w:r>
              <w:rPr>
                <w:rFonts w:ascii="Arial" w:cs="Arial" w:eastAsia="Arial" w:hAnsi="Arial"/>
                <w:sz w:val="18"/>
                <w:szCs w:val="18"/>
                <w:color w:val="auto"/>
              </w:rPr>
              <w:t>Drilling, completions and non-operated additions to oil and natural gas properties</w:t>
            </w:r>
            <w:r>
              <w:rPr>
                <w:rFonts w:ascii="Arial" w:cs="Arial" w:eastAsia="Arial" w:hAnsi="Arial"/>
                <w:sz w:val="23"/>
                <w:szCs w:val="23"/>
                <w:color w:val="auto"/>
                <w:vertAlign w:val="superscript"/>
              </w:rPr>
              <w:t>(1)</w:t>
            </w:r>
          </w:p>
        </w:tc>
        <w:tc>
          <w:tcPr>
            <w:tcW w:w="104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Infrastructure additions to oil and natural gas properties</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to midstream assets</w:t>
            </w:r>
          </w:p>
        </w:tc>
        <w:tc>
          <w:tcPr>
            <w:tcW w:w="10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tcPr>
          <w:p>
            <w:pPr>
              <w:jc w:val="right"/>
              <w:ind w:right="83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w:t>
            </w:r>
          </w:p>
        </w:tc>
      </w:tr>
      <w:tr>
        <w:trPr>
          <w:trHeight w:val="20"/>
        </w:trPr>
        <w:tc>
          <w:tcPr>
            <w:tcW w:w="79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firstLine="8"/>
        <w:spacing w:after="0" w:line="277" w:lineRule="auto"/>
        <w:tabs>
          <w:tab w:leader="none" w:pos="2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 “—</w:t>
      </w:r>
      <w:r>
        <w:rPr>
          <w:rFonts w:ascii="Arial" w:cs="Arial" w:eastAsia="Arial" w:hAnsi="Arial"/>
          <w:sz w:val="18"/>
          <w:szCs w:val="18"/>
          <w:i w:val="1"/>
          <w:iCs w:val="1"/>
          <w:u w:val="single" w:color="auto"/>
          <w:color w:val="0000FF"/>
        </w:rPr>
        <w:t>Recent Developments - Upstream Segment</w:t>
      </w:r>
      <w:r>
        <w:rPr>
          <w:rFonts w:ascii="Arial" w:cs="Arial" w:eastAsia="Arial" w:hAnsi="Arial"/>
          <w:sz w:val="18"/>
          <w:szCs w:val="18"/>
          <w:color w:val="auto"/>
        </w:rPr>
        <w:t>” above for additional detail on wells drilled and turned to production during the three and nine months ended September 30, 2022 and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During the nine months ended September 30, 2022, net cash used in financing activities was primarily attributable to (i) $1.9 billion paid for the repurchase, repayment and redemption of principal outstanding on certain senior notes as discussed in </w:t>
      </w:r>
      <w:r>
        <w:rPr>
          <w:rFonts w:ascii="Arial" w:cs="Arial" w:eastAsia="Arial" w:hAnsi="Arial"/>
          <w:sz w:val="18"/>
          <w:szCs w:val="18"/>
          <w:i w:val="1"/>
          <w:iCs w:val="1"/>
          <w:color w:val="auto"/>
        </w:rPr>
        <w:t>“—2022 Debt Transactions”</w:t>
      </w:r>
      <w:r>
        <w:rPr>
          <w:rFonts w:ascii="Arial" w:cs="Arial" w:eastAsia="Arial" w:hAnsi="Arial"/>
          <w:sz w:val="18"/>
          <w:szCs w:val="18"/>
          <w:color w:val="auto"/>
        </w:rPr>
        <w:t xml:space="preserve"> below, as well as $49 million of additional premiums paid in connection with the redemptions, (ii) $1.2 billion of dividends paid to stockholders, (iii) $904 million of repurchases as part of the share and unit repurchase programs, and (iv) $181 million in distributions to non-controlling interest. These cash outflows were partially offset by $750 million in proceeds from the March 2022 Notes.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used in financing activities for the nine months ended September 30, 2021 was primarily attributable to (i) $2.5 billion paid for the repurchase of principal outstanding on certain senior notes, as well as $178 million of additional premiums paid in connection with the repurchases, (ii) $221 million of dividends paid to stockholders, (iii) $94 million of repayments under our credit facilities, net of borrowings, (iv) $72 million in distributions to non-controlling interest, and (v) $85 million of repurchases as part of the share and unit repurchase programs. These cash outflows were partially offset by $2.2 billion in proceeds from the March 2021 Notes.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Revolving Credit Facilities and Other Debt Instruments</w:t>
      </w:r>
    </w:p>
    <w:p>
      <w:pPr>
        <w:spacing w:after="0" w:line="2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As of September 30, 2022, our debt, including the debt of Viper and the then-outstanding Rattler 5.625% Senior Notes due 2025, consisted of approximately $5.0 billion in aggregate outstanding principal amount of senior notes, $480 million in aggregate outstanding borrowings under revolving credit facilities and $18 million in outstanding amounts due under our DrillCo Agreement.</w:t>
      </w:r>
    </w:p>
    <w:p>
      <w:pPr>
        <w:spacing w:after="0" w:line="2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September 30, 2022, the maximum credit amount available under our credit agreement was $1.6 billion, with $235 million in outstanding borrowings and approximately $1.4 billion available for future borrowings. As of September 30, 2022, there was an aggregate of $3 million in outstanding letters of credit, which reduce available borrowings under our credit agreement on a dollar for dollar basis. During the second quarter of 2022, we extended the maturity date on our credit agreement by one year to June 2, 2027, and may further extend it by two one-year extensions pursuant to the terms set forth in the credit agreement.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Viper’s Credit Agreement</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Viper credit agreement, as amended to date, matures on June 2, 2025 and provides for a revolving credit facility in the maximum credit amount of $2.0 billion, with a borrowing base of $580 million as of September 30, 2022, although Viper LLC had elected a commitment amount of $500 million, based on Viper LLC’s oil and natural gas reserves and other factors. As of September 30, 2022, there were $245 million of outstanding borrowings and $255 million available for future borrowings under the Viper credit agreement.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2022 Debt Transactions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17, 2022, we issued $750 million in aggregate principal amount of March 2022 Notes for net proceeds of $739 million, which were used to fund, together with cash on hand, the redemption of all of our outstanding 4.750% Senior Notes due 2025 and 2.875% Senior Notes due 2024 in the aggregate principal amount of $1.5 billion. Interest on the March 2022 Notes is payable semi-annually on March 15 and September 15 of each year, beginning on September 15, 2022.</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second quarter of 2022, we repurchased an aggregate of $337 million in various tranches of senior notes with cash on hand, and Viper repurchased $50 million of its 5.375% senior notes due 2027 with cash on hand and borrowings under the Viper credit agreement.</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In connection with the Rattler Merger in August 2022, all outstanding obligations under Rattler LLC’s credit agreement in the amount of $269 million were fully repaid, all liens granted to secure such obligations were released and Rattler LLC’s credit agreement was terminated. See Note 7— </w:t>
      </w:r>
      <w:r>
        <w:rPr>
          <w:rFonts w:ascii="Arial" w:cs="Arial" w:eastAsia="Arial" w:hAnsi="Arial"/>
          <w:sz w:val="18"/>
          <w:szCs w:val="18"/>
          <w:u w:val="single" w:color="auto"/>
          <w:color w:val="0000FF"/>
        </w:rPr>
        <w:t>Debt</w:t>
      </w:r>
      <w:r>
        <w:rPr>
          <w:rFonts w:ascii="Arial" w:cs="Arial" w:eastAsia="Arial" w:hAnsi="Arial"/>
          <w:sz w:val="18"/>
          <w:szCs w:val="18"/>
          <w:color w:val="0000FF"/>
        </w:rPr>
        <w:t xml:space="preserve"> </w:t>
      </w:r>
      <w:r>
        <w:rPr>
          <w:rFonts w:ascii="Arial" w:cs="Arial" w:eastAsia="Arial" w:hAnsi="Arial"/>
          <w:sz w:val="18"/>
          <w:szCs w:val="18"/>
          <w:color w:val="000000"/>
        </w:rPr>
        <w:t>and “—</w:t>
      </w:r>
      <w:r>
        <w:rPr>
          <w:rFonts w:ascii="Arial" w:cs="Arial" w:eastAsia="Arial" w:hAnsi="Arial"/>
          <w:sz w:val="18"/>
          <w:szCs w:val="18"/>
          <w:i w:val="1"/>
          <w:iCs w:val="1"/>
          <w:u w:val="single" w:color="auto"/>
          <w:color w:val="0000FF"/>
        </w:rPr>
        <w:t>Recent Developments</w:t>
      </w:r>
      <w:r>
        <w:rPr>
          <w:rFonts w:ascii="Arial" w:cs="Arial" w:eastAsia="Arial" w:hAnsi="Arial"/>
          <w:sz w:val="18"/>
          <w:szCs w:val="18"/>
          <w:color w:val="000000"/>
        </w:rPr>
        <w:t>.”</w:t>
      </w:r>
    </w:p>
    <w:p>
      <w:pPr>
        <w:spacing w:after="0" w:line="19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As discussed in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0000FF"/>
        </w:rPr>
        <w:t>Recent Developments</w:t>
      </w:r>
      <w:r>
        <w:rPr>
          <w:rFonts w:ascii="Arial" w:cs="Arial" w:eastAsia="Arial" w:hAnsi="Arial"/>
          <w:sz w:val="18"/>
          <w:szCs w:val="18"/>
          <w:i w:val="1"/>
          <w:iCs w:val="1"/>
          <w:color w:val="auto"/>
        </w:rPr>
        <w:t>,</w:t>
      </w:r>
      <w:r>
        <w:rPr>
          <w:rFonts w:ascii="Arial" w:cs="Arial" w:eastAsia="Arial" w:hAnsi="Arial"/>
          <w:sz w:val="18"/>
          <w:szCs w:val="18"/>
          <w:color w:val="auto"/>
        </w:rPr>
        <w:t>” in October 2022, we issued $1.1 billion in principal amount of 6.25% Senior Notes due in 2033 for net proceeds of approximately $1.1 billion and in November 2022, we fully redeemed the $500 million principal amount of Rattler’s outstanding 5.625% Senior Notes due 2025, including a premium and accrued and unpaid interest thereon, with a portion of the net proceeds from the October 2022 Notes offering.</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Subject to market conditions and other factors, we expect to continue to issue debt securities from time to time in the future to refinance our maturing debt. The availability, interest rate and other terms of any new borrowings will depend on the ratings assigned by credit rating agencies, among other factors. We may also from time to time opportunistically repurchase some of our outstanding Senior Notes of one or more tranches or series, in open market purchases or in privately negotiated transactions.</w:t>
      </w:r>
    </w:p>
    <w:p>
      <w:pPr>
        <w:spacing w:after="0" w:line="214"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We are currently in compliance, and expect to continue to be in compliance, with all financial maintenance covenants in our debt instruments.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additional discussion of our outstanding debt as of September 30, 2022, see Note 7—</w:t>
      </w:r>
      <w:r>
        <w:rPr>
          <w:rFonts w:ascii="Arial" w:cs="Arial" w:eastAsia="Arial" w:hAnsi="Arial"/>
          <w:sz w:val="18"/>
          <w:szCs w:val="18"/>
          <w:u w:val="single" w:color="auto"/>
          <w:color w:val="0000FF"/>
        </w:rPr>
        <w:t>Debt</w:t>
      </w:r>
      <w:r>
        <w:rPr>
          <w:rFonts w:ascii="Arial" w:cs="Arial" w:eastAsia="Arial" w:hAnsi="Arial"/>
          <w:sz w:val="18"/>
          <w:szCs w:val="18"/>
          <w:color w:val="auto"/>
        </w:rPr>
        <w:t xml:space="preserve"> of the condensed notes to the consolidated financial statements included elsewhere in this report.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Ratings</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receive debt ratings from the major ratings agencies in the U.S. In determining our debt ratings, the agencies consider a number of qualitative and quantitative items including, but not limited to, commodity pricing levels, our liquidity, asset quality, reserve mix, debt levels, cost structure, planned asset sales and production growth opportunities. Our credit rating from Standard and Poor’s Global Ratings Services is BBB-. Our credit rating from Fitch Investor Services is BBB. As of September 30, 2022, our credit rating from Moody’s Investor Services was Baa3, which was further upgraded to Baa2 in October 2022. Any rating downgrades may result in additional letters of credit or cash collateral being posted under certain contractual arrangements.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Requirements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In addition to future operating expenses and working capital commitments discussed in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0000FF"/>
        </w:rPr>
        <w:t>Results of Operations</w:t>
      </w:r>
      <w:r>
        <w:rPr>
          <w:rFonts w:ascii="Arial" w:cs="Arial" w:eastAsia="Arial" w:hAnsi="Arial"/>
          <w:sz w:val="18"/>
          <w:szCs w:val="18"/>
          <w:i w:val="1"/>
          <w:iCs w:val="1"/>
          <w:color w:val="auto"/>
        </w:rPr>
        <w:t>,</w:t>
      </w:r>
      <w:r>
        <w:rPr>
          <w:rFonts w:ascii="Arial" w:cs="Arial" w:eastAsia="Arial" w:hAnsi="Arial"/>
          <w:sz w:val="18"/>
          <w:szCs w:val="18"/>
          <w:color w:val="auto"/>
        </w:rPr>
        <w:t xml:space="preserve"> our primary short and long-term liquidity requirements consist primarily of (i) capital expenditures, (ii) payments of other contractual obligations and (iii) cash used to pay for dividends and repurchases of securities as discussed below.</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Based upon current oil and natural gas prices and production expectations for 2022, we believe that our cash flow from operations, cash on hand and borrowings under our revolving credit facility will be sufficient to fund our operations through the 12-month period following the filing of this report and thereafter. However, future cash flows are subject to a number of variables, including the level of oil and natural gas production and prices, and significant additional capital expenditures will be required to more fully develop our properties. We cannot assure you that the needed capital will be available on acceptable terms or at all. Further, our 2022 capital expenditure budget does not allocate any funds for leasehold interest and property acquisitions.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2022 Capital Spending Plan</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board of directors has approved a revised 2022 capital budget for drilling, midstream and infrastructure of approximately $1.94 billion to $1.95 billion. We estimate that, of these expenditures, approximately:</w:t>
      </w:r>
    </w:p>
    <w:p>
      <w:pPr>
        <w:spacing w:after="0" w:line="197" w:lineRule="exact"/>
        <w:rPr>
          <w:sz w:val="20"/>
          <w:szCs w:val="20"/>
          <w:color w:val="auto"/>
        </w:rPr>
      </w:pPr>
    </w:p>
    <w:p>
      <w:pPr>
        <w:jc w:val="both"/>
        <w:ind w:left="660" w:hanging="328"/>
        <w:spacing w:after="0" w:line="263"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$1.70 billion to $1.72 billion will be spent primarily on drilling approximately 260 gross (approximately 240 net) horizontal wells and completing approximately 275 gross (approximately 253 net) horizontal wells across our operated and non-operated leasehold acreage in the Northern Midland and Southern Delaware Basins, with an average lateral length of approximately 10,200 feet;</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Approximately $85 million will be spent on midstream infrastructure, excluding joint venture investments; and</w:t>
      </w:r>
    </w:p>
    <w:p>
      <w:pPr>
        <w:spacing w:after="0" w:line="25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Approximately $150 million will be spent on infrastructure and environmental expenditures, excluding the cost of any leasehold and mineral interest acquisitions.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do not have a specific acquisition budget since the timing and size of acquisitions cannot be accurately forecasted.</w:t>
      </w:r>
    </w:p>
    <w:p>
      <w:pPr>
        <w:spacing w:after="0" w:line="2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The amount and timing of our capital expenditures are largely discretionary and within our control. We could choose to defer a portion of these planned capital expenditures depending on a variety of factors, including but not limited to the success of our drilling activities, prevailing and anticipated prices for oil and natural gas, the availability of necessary equipment, infrastructure and capital, the receipt and timing of required regulatory permits and approvals, seasonal conditions, drilling and acquisition costs and the level of participation by other interest owners. We are currently operating 15 drilling rigs and 3 completion crews. We will continue monitoring commodity prices and overall market conditions and can adjust our rig cadence and our capital expenditure budget in response to changes in commodity prices and overall market conditions.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Dividends and Repurchases of Securities</w:t>
      </w:r>
    </w:p>
    <w:p>
      <w:pPr>
        <w:spacing w:after="0" w:line="23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addition to our base dividend program, in the first quarter of 2022 we initiated a variable dividend strategy whereby we may pay a quarterly variable dividend based on the prior quarter’s free cash flow remaining after the payment of the base dividend. Beginning in the third quarter of 2022, our board of directors approved an increase to this return of capital commitment to at least 75% of free cash flow, up from the previous commitment of at least 50% of free cash flow. We have declared a base plus variable cash dividend for the third quarter of 2022 of $2.26 per share of common stock.</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Free cash flow is a non-GAAP financial measure. As used by the Company, free cash flow is defined as cash flow from operating activities before changes in working capital in excess of cash capital expenditures. The Company believes that free cash flow is useful to investors as it provides a measure to compare both cash flow from operating activities and additions to oil and natural gas properties across periods on a consistent basis.</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Future base and variable dividends are at the discretion of our board of directors, and the board of directors may change the dividend amount from time to time based on the Company's outlook for commodity prices, liquidity, debt levels, capital resources, free cash flow and other factors. The Company can provide no assurance that dividends will be authorized or declared in the future or as to the amount of any future dividends. Any future variable dividends, if declared and paid, will by their nature fluctuate based on the Company's free cash flow, which will depend on a number of factors beyond the Company's control, including commodity prices.</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November 4, 2022, we have repurchased 10.5 million shares of our common stock for a total cost of $1.2 billion since the inception of the repurchase program. We intend to continue to purchase shares under this repurchase program opportunistically with available funds primarily from cash flow from operations and liquidity events such as the sale of assets while maintaining sufficient liquidity to fund our capital expenditure programs. See Note 8—</w:t>
      </w:r>
      <w:r>
        <w:rPr>
          <w:rFonts w:ascii="Arial" w:cs="Arial" w:eastAsia="Arial" w:hAnsi="Arial"/>
          <w:sz w:val="18"/>
          <w:szCs w:val="18"/>
          <w:u w:val="single" w:color="auto"/>
          <w:color w:val="0000FF"/>
        </w:rPr>
        <w:t>Stockholders' Equity and Earnings Per Share</w:t>
      </w:r>
      <w:r>
        <w:rPr>
          <w:rFonts w:ascii="Arial" w:cs="Arial" w:eastAsia="Arial" w:hAnsi="Arial"/>
          <w:sz w:val="18"/>
          <w:szCs w:val="18"/>
          <w:color w:val="auto"/>
        </w:rPr>
        <w:t xml:space="preserve"> of the condensed notes to the consolidated financial statements included elsewhere in this report for further discussion of the repurchase program.</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Taxes</w:t>
      </w:r>
    </w:p>
    <w:p>
      <w:pPr>
        <w:spacing w:after="0" w:line="23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expect our cash tax rate to be 10% to 15% of pre-tax income for the year ended December 31, 2022. See Note 10—</w:t>
      </w:r>
      <w:r>
        <w:rPr>
          <w:rFonts w:ascii="Arial" w:cs="Arial" w:eastAsia="Arial" w:hAnsi="Arial"/>
          <w:sz w:val="17"/>
          <w:szCs w:val="17"/>
          <w:u w:val="single" w:color="auto"/>
          <w:color w:val="0000FF"/>
        </w:rPr>
        <w:t>Income Taxes</w:t>
      </w:r>
      <w:r>
        <w:rPr>
          <w:rFonts w:ascii="Arial" w:cs="Arial" w:eastAsia="Arial" w:hAnsi="Arial"/>
          <w:sz w:val="17"/>
          <w:szCs w:val="17"/>
          <w:color w:val="auto"/>
        </w:rPr>
        <w:t xml:space="preserve"> of the condensed notes to the consolidated financial statements included elsewhere in this report for further discussion of our income taxes.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Guarantor Financial Information</w:t>
      </w:r>
    </w:p>
    <w:p>
      <w:pPr>
        <w:spacing w:after="0" w:line="24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As of September 30, 2022, Diamondback E&amp;P is the sole guarantor under the indentures governing the outstanding December 2019 Notes, the March 2021 Notes and the March 2022 Notes.</w:t>
      </w:r>
    </w:p>
    <w:p>
      <w:pPr>
        <w:spacing w:after="0" w:line="21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Guarantees are “full and unconditional,” as that term is used in Regulation S-X, Rule 3-10(b)(3), except that such guarantees will be released or terminated in certain circumstances set forth in the IG Indenture, such as, with certain exceptions, (1) in the event Diamondback E&amp;P (or all or substantially all of its assets) is sold or disposed of, (2) in the event Diamondback E&amp;P ceases to be a guarantor of or otherwise be an obligor under certain other indebtedness, and (3) in connection with any covenant defeasance, legal defeasance or satisfaction and discharge of the relevant indenture.</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Diamondback E&amp;P’s guarantees of the outstanding December 2019 Notes, the March 2021 Notes and the March 2022 Notes are senior unsecured obligations and rank senior in right of payment to any of its future subordinated indebtedness, equal in right of payment with all of its existing and future senior indebtedness, including its obligations under its revolving credit facility, and effectively subordinated to any of its existing and future secured indebtedness, to the extent of the value of the collateral securing such indebtedness.</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rights of holders of the Senior Notes against Diamondback E&amp;P may be limited under the U.S. Bankruptcy Code or state fraudulent transfer or conveyance law. Each guarantee contains a provision intended to limit Diamondback E&amp;P’s liability to the maximum amount that it could incur without causing the incurrence of obligations under its guarantee to be a fraudulent conveyance. However, there can be no assurance as to what standard a court will apply in making a determination of the maximum liability of Diamondback E&amp;P. Moreover, this provision may not be effective to protect the guarantee from being voided under fraudulent conveyance laws. There is a possibility that the entire guarantee may be set aside, in which case the entire liability may be extinguished.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tables present summarized financial information for Diamondback Energy, Inc., as the parent, and Diamondback E&amp;P, as the guarantor subsidiary, on a combined basis after elimination of (i) intercompany transactions and balances between the parent and the guarantor subsidiary and (ii) equity in earnings from and investments in any subsidiary that is a non-guarantor. The information is presented in accordance with the requirements of Rule 13-01 under the SEC’s Regulation S-X. The financial information may not necessarily be indicative of results of operations or financial position had the guarantor subsidiary operated as an independent entity.</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w w:val="96"/>
              </w:rPr>
              <w:t>September 30, 2022</w:t>
            </w:r>
          </w:p>
        </w:tc>
        <w:tc>
          <w:tcPr>
            <w:tcW w:w="2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December 31, 2021</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160" w:type="dxa"/>
            <w:vAlign w:val="bottom"/>
          </w:tcPr>
          <w:p>
            <w:pPr>
              <w:ind w:left="20"/>
              <w:spacing w:after="0"/>
              <w:rPr>
                <w:sz w:val="20"/>
                <w:szCs w:val="20"/>
                <w:color w:val="auto"/>
              </w:rPr>
            </w:pPr>
            <w:r>
              <w:rPr>
                <w:rFonts w:ascii="Arial" w:cs="Arial" w:eastAsia="Arial" w:hAnsi="Arial"/>
                <w:sz w:val="16"/>
                <w:szCs w:val="16"/>
                <w:b w:val="1"/>
                <w:bCs w:val="1"/>
                <w:color w:val="auto"/>
              </w:rPr>
              <w:t>Summarized Balance Sheets:</w:t>
            </w:r>
          </w:p>
        </w:tc>
        <w:tc>
          <w:tcPr>
            <w:tcW w:w="220" w:type="dxa"/>
            <w:vAlign w:val="bottom"/>
          </w:tcPr>
          <w:p>
            <w:pPr>
              <w:spacing w:after="0"/>
              <w:rPr>
                <w:sz w:val="18"/>
                <w:szCs w:val="18"/>
                <w:color w:val="auto"/>
              </w:rPr>
            </w:pPr>
          </w:p>
        </w:tc>
        <w:tc>
          <w:tcPr>
            <w:tcW w:w="3820" w:type="dxa"/>
            <w:vAlign w:val="bottom"/>
            <w:gridSpan w:val="3"/>
          </w:tcPr>
          <w:p>
            <w:pPr>
              <w:jc w:val="right"/>
              <w:ind w:right="1493"/>
              <w:spacing w:after="0"/>
              <w:rPr>
                <w:sz w:val="20"/>
                <w:szCs w:val="20"/>
                <w:color w:val="auto"/>
              </w:rPr>
            </w:pPr>
            <w:r>
              <w:rPr>
                <w:rFonts w:ascii="Arial" w:cs="Arial" w:eastAsia="Arial" w:hAnsi="Arial"/>
                <w:sz w:val="16"/>
                <w:szCs w:val="16"/>
                <w:b w:val="1"/>
                <w:bCs w:val="1"/>
                <w:color w:val="auto"/>
              </w:rPr>
              <w:t>(In millions)</w:t>
            </w:r>
          </w:p>
        </w:tc>
        <w:tc>
          <w:tcPr>
            <w:tcW w:w="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7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rPr>
              <w:t>Current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777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1,148</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14,778</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rPr>
              <w:t>Other noncurrent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1,513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1,221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Intercompany accounts payable, non-guarantor subsidiary</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rPr>
              <w:t>Long-term debt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4,151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5,093</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 liabilities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20" w:type="dxa"/>
            <w:vAlign w:val="bottom"/>
          </w:tcPr>
          <w:p>
            <w:pPr>
              <w:spacing w:after="0"/>
              <w:rPr>
                <w:sz w:val="19"/>
                <w:szCs w:val="19"/>
                <w:color w:val="auto"/>
              </w:rPr>
            </w:pPr>
          </w:p>
        </w:tc>
      </w:tr>
      <w:tr>
        <w:trPr>
          <w:trHeight w:val="526"/>
        </w:trPr>
        <w:tc>
          <w:tcPr>
            <w:tcW w:w="2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jc w:val="center"/>
              <w:ind w:right="173"/>
              <w:spacing w:after="0"/>
              <w:rPr>
                <w:sz w:val="20"/>
                <w:szCs w:val="20"/>
                <w:color w:val="auto"/>
              </w:rPr>
            </w:pPr>
            <w:r>
              <w:rPr>
                <w:rFonts w:ascii="Arial" w:cs="Arial" w:eastAsia="Arial" w:hAnsi="Arial"/>
                <w:sz w:val="16"/>
                <w:szCs w:val="16"/>
                <w:b w:val="1"/>
                <w:bCs w:val="1"/>
                <w:color w:val="auto"/>
                <w:w w:val="92"/>
              </w:rPr>
              <w:t>Nine Months Ended</w:t>
            </w:r>
          </w:p>
        </w:tc>
        <w:tc>
          <w:tcPr>
            <w:tcW w:w="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center"/>
              <w:ind w:right="193"/>
              <w:spacing w:after="0"/>
              <w:rPr>
                <w:sz w:val="20"/>
                <w:szCs w:val="20"/>
                <w:color w:val="auto"/>
              </w:rPr>
            </w:pPr>
            <w:r>
              <w:rPr>
                <w:rFonts w:ascii="Arial" w:cs="Arial" w:eastAsia="Arial" w:hAnsi="Arial"/>
                <w:sz w:val="16"/>
                <w:szCs w:val="16"/>
                <w:b w:val="1"/>
                <w:bCs w:val="1"/>
                <w:color w:val="auto"/>
                <w:w w:val="90"/>
              </w:rPr>
              <w:t>September 30, 2022</w:t>
            </w:r>
          </w:p>
        </w:tc>
        <w:tc>
          <w:tcPr>
            <w:tcW w:w="20" w:type="dxa"/>
            <w:vAlign w:val="bottom"/>
            <w:tcBorders>
              <w:bottom w:val="single" w:sz="8" w:color="auto"/>
            </w:tcBorders>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6"/>
                <w:szCs w:val="16"/>
                <w:b w:val="1"/>
                <w:bCs w:val="1"/>
                <w:color w:val="auto"/>
              </w:rPr>
              <w:t>Summarized Statement of Operations:</w:t>
            </w: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jc w:val="center"/>
              <w:ind w:right="173"/>
              <w:spacing w:after="0"/>
              <w:rPr>
                <w:sz w:val="20"/>
                <w:szCs w:val="20"/>
                <w:color w:val="auto"/>
              </w:rPr>
            </w:pPr>
            <w:r>
              <w:rPr>
                <w:rFonts w:ascii="Arial" w:cs="Arial" w:eastAsia="Arial" w:hAnsi="Arial"/>
                <w:sz w:val="16"/>
                <w:szCs w:val="16"/>
                <w:b w:val="1"/>
                <w:bCs w:val="1"/>
                <w:color w:val="auto"/>
                <w:w w:val="95"/>
              </w:rPr>
              <w:t>(In millions)</w:t>
            </w:r>
          </w:p>
        </w:tc>
        <w:tc>
          <w:tcPr>
            <w:tcW w:w="20" w:type="dxa"/>
            <w:vAlign w:val="bottom"/>
          </w:tcPr>
          <w:p>
            <w:pPr>
              <w:spacing w:after="0"/>
              <w:rPr>
                <w:sz w:val="18"/>
                <w:szCs w:val="18"/>
                <w:color w:val="auto"/>
              </w:rPr>
            </w:pPr>
          </w:p>
        </w:tc>
      </w:tr>
      <w:tr>
        <w:trPr>
          <w:trHeight w:val="232"/>
        </w:trPr>
        <w:tc>
          <w:tcPr>
            <w:tcW w:w="20" w:type="dxa"/>
            <w:vAlign w:val="bottom"/>
            <w:shd w:val="clear" w:color="auto" w:fill="CCEEFF"/>
          </w:tcPr>
          <w:p>
            <w:pPr>
              <w:spacing w:after="0"/>
              <w:rPr>
                <w:sz w:val="20"/>
                <w:szCs w:val="20"/>
                <w:color w:val="auto"/>
              </w:rPr>
            </w:pPr>
          </w:p>
        </w:tc>
        <w:tc>
          <w:tcPr>
            <w:tcW w:w="7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5,969</w:t>
            </w:r>
          </w:p>
        </w:tc>
        <w:tc>
          <w:tcPr>
            <w:tcW w:w="2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7160" w:type="dxa"/>
            <w:vAlign w:val="bottom"/>
          </w:tcPr>
          <w:p>
            <w:pPr>
              <w:ind w:left="120"/>
              <w:spacing w:after="0"/>
              <w:rPr>
                <w:sz w:val="20"/>
                <w:szCs w:val="20"/>
                <w:color w:val="auto"/>
              </w:rPr>
            </w:pPr>
            <w:r>
              <w:rPr>
                <w:rFonts w:ascii="Arial" w:cs="Arial" w:eastAsia="Arial" w:hAnsi="Arial"/>
                <w:sz w:val="18"/>
                <w:szCs w:val="18"/>
                <w:color w:val="auto"/>
              </w:rPr>
              <w:t>Income (loss) from operations</w:t>
            </w: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4,032</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20" w:type="dxa"/>
            <w:vAlign w:val="bottom"/>
            <w:shd w:val="clear" w:color="auto" w:fill="CCEEFF"/>
          </w:tcPr>
          <w:p>
            <w:pPr>
              <w:spacing w:after="0"/>
              <w:rPr>
                <w:sz w:val="19"/>
                <w:szCs w:val="19"/>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jc w:val="both"/>
        <w:ind w:firstLine="648"/>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There have been no changes in our critical accounting estimates from those disclosed in our </w:t>
      </w:r>
      <w:hyperlink r:id="rId29">
        <w:r>
          <w:rPr>
            <w:rFonts w:ascii="Arial" w:cs="Arial" w:eastAsia="Arial" w:hAnsi="Arial"/>
            <w:sz w:val="18"/>
            <w:szCs w:val="18"/>
            <w:u w:val="single" w:color="auto"/>
            <w:color w:val="0000FF"/>
          </w:rPr>
          <w:t>Annual Report on 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Note 2—</w:t>
      </w:r>
      <w:r>
        <w:rPr>
          <w:rFonts w:ascii="Arial" w:cs="Arial" w:eastAsia="Arial" w:hAnsi="Arial"/>
          <w:sz w:val="18"/>
          <w:szCs w:val="18"/>
          <w:u w:val="single" w:color="auto"/>
          <w:color w:val="0000FF"/>
        </w:rPr>
        <w:t>Summary of Significant Accounting Policies</w:t>
      </w:r>
      <w:r>
        <w:rPr>
          <w:rFonts w:ascii="Arial" w:cs="Arial" w:eastAsia="Arial" w:hAnsi="Arial"/>
          <w:sz w:val="18"/>
          <w:szCs w:val="18"/>
          <w:color w:val="auto"/>
        </w:rPr>
        <w:t xml:space="preserve"> included in the condensed notes to the consolidated financial statements included elsewhere in this Quarterly Report for recent accounting pronouncements not yet adopted, if any.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major market risk exposure in our exploration and production business is in the pricing applicable to our oil and natural gas production. Realized pricing is primarily driven by the prevailing worldwide price for crude oil and spot market prices applicable to our natural gas production. Pricing for oil and natural gas production has been volatile and unpredictable for several years. Although demand and market prices for oil and natural gas have recently increased, we cannot predict events, including the outcome of the war in Ukraine, rising interest rates, global supply chain disruptions, a potential economic downturn or recession, the COVID-19 pandemic, that may lead to future price volatility and the near term energy outlook remains subject to heightened levels of uncertainty. Further, the prices we receive for production depend on many other factors outside of our control.</w:t>
      </w:r>
    </w:p>
    <w:p>
      <w:pPr>
        <w:spacing w:after="0" w:line="19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use derivatives, including swaps, basis swaps, roll swaps, costless collars, puts and basis puts, to reduce price volatility associated with certain of our oil and natural gas sales.</w:t>
      </w:r>
    </w:p>
    <w:p>
      <w:pPr>
        <w:spacing w:after="0" w:line="19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At September 30, 2022, we had a net asset derivative position of $38 million, related to our commodity price risk derivatives. Utilizing actual derivative contractual volumes under our commodity price derivatives as of September 30, 2022, a 10% increase in forward curves associated with the underlying commodity would have decreased the net asset position by $26 million to $12 million, while a 10% decrease in forward curves associated with the underlying commodity would have increased the net asset position by $26 million to $64 million. However, any cash derivative gain or loss would be substantially offset by a decrease or increase, respectively, in the actual sales value of production covered by the derivative instrument. For additional information on our open commodity derivative instruments at September 30, 2022, see Note 11—</w:t>
      </w:r>
      <w:r>
        <w:rPr>
          <w:rFonts w:ascii="Arial" w:cs="Arial" w:eastAsia="Arial" w:hAnsi="Arial"/>
          <w:sz w:val="17"/>
          <w:szCs w:val="17"/>
          <w:u w:val="single" w:color="auto"/>
          <w:color w:val="0000FF"/>
        </w:rPr>
        <w:t>Derivatives</w:t>
      </w:r>
      <w:r>
        <w:rPr>
          <w:rFonts w:ascii="Arial" w:cs="Arial" w:eastAsia="Arial" w:hAnsi="Arial"/>
          <w:sz w:val="17"/>
          <w:szCs w:val="17"/>
          <w:color w:val="auto"/>
        </w:rPr>
        <w:t xml:space="preserve"> included in the condensed notes to the consolidated financial statements included elsewhere in this Quarterly Report.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and Customer Credit Risk</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principal exposures to credit risk are due to the concentration of receivables from the sale of our oil and natural gas production (approximately $669 million at September 30, 2022), and to a lesser extent, receivables resulting from joint interest and other receivables (approximately $115 million at September 30, 2022).</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do not require our customers to post collateral, and the failure or inability of our significant customers to meet their obligations to us due to their liquidity issues, bankruptcy, insolvency or liquidation may adversely affect our financial results.</w:t>
      </w:r>
    </w:p>
    <w:p>
      <w:pPr>
        <w:spacing w:after="0" w:line="19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Joint operations receivables arise from billings to entities that own partial interests in the wells we operate. These entities participate in our wells primarily based on their ownership in leases on which we intend to drill. We have little ability to control whether these entities will participate in our wells.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We are subject to market risk exposure related to changes in interest rates on our indebtedness under our revolving credit facilities and changes in the fair value of our fixed rate debt. Outstanding borrowings under the credit agreement bear interest at a per annum rate elected by Diamondback E&amp;P. At September 30, 2022, the applicable margin ranges from 0.125% to 1.000% per annum in the case of the alternate base rate, and from 1.125% to 2.000% per annum in the case of Adjusted Term SOFR, in each case based on the pricing level. The pricing level depends on certain rating agencies’ ratings of our long-term senior unsecure debt. We believe significant interest rate changes would not have a material near-term impact on our future earnings or cash flows. For additional information on our variable interest rate debt at September 30, 2022, see Note 7—</w:t>
      </w:r>
      <w:r>
        <w:rPr>
          <w:rFonts w:ascii="Arial" w:cs="Arial" w:eastAsia="Arial" w:hAnsi="Arial"/>
          <w:sz w:val="17"/>
          <w:szCs w:val="17"/>
          <w:u w:val="single" w:color="auto"/>
          <w:color w:val="0000FF"/>
        </w:rPr>
        <w:t>Debt</w:t>
      </w:r>
      <w:r>
        <w:rPr>
          <w:rFonts w:ascii="Arial" w:cs="Arial" w:eastAsia="Arial" w:hAnsi="Arial"/>
          <w:sz w:val="17"/>
          <w:szCs w:val="17"/>
          <w:color w:val="auto"/>
        </w:rPr>
        <w:t xml:space="preserve"> included in the condensed notes to the consolidated financial statements included elsewhere in this Quarterly Report.</w:t>
      </w:r>
    </w:p>
    <w:p>
      <w:pPr>
        <w:spacing w:after="0" w:line="20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Historically, we have at times used interest rates swaps to manage our exposure to (i) interest rate changes on our floating-rate date and (ii) fair value changes on our fixed rate debt. At September 30, 2022, we have interest rate swap agreements for a notional amount of $1.2 billion to manage the impact of changes to the fair value of our fixed rate senior notes due to changes in market interest rates through December 2029. We pay an average variable rate of interest for these swaps based on three month LIBOR plus 2.1865% and receive a fixed interest rate of 3.5% from our counterparties. At September 30, 2022, our receive-fixed, pay-variable interest rate swaps were in a net liability position of $203 million, and the weighted average variable rate was 3.84%. For additional information on our interest rate swaps, see Note 11—</w:t>
      </w:r>
      <w:r>
        <w:rPr>
          <w:rFonts w:ascii="Arial" w:cs="Arial" w:eastAsia="Arial" w:hAnsi="Arial"/>
          <w:sz w:val="18"/>
          <w:szCs w:val="18"/>
          <w:u w:val="single" w:color="auto"/>
          <w:color w:val="0000FF"/>
        </w:rPr>
        <w:t>Derivatives</w:t>
      </w:r>
      <w:r>
        <w:rPr>
          <w:rFonts w:ascii="Arial" w:cs="Arial" w:eastAsia="Arial" w:hAnsi="Arial"/>
          <w:sz w:val="18"/>
          <w:szCs w:val="18"/>
          <w:color w:val="auto"/>
        </w:rPr>
        <w:t xml:space="preserve"> included in the condensed notes to the consolidated financial statements included elsewhere in this Quarterly Report.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Evaluation of Disclosure Control and Procedures</w:t>
      </w:r>
      <w:r>
        <w:rPr>
          <w:rFonts w:ascii="Arial" w:cs="Arial" w:eastAsia="Arial" w:hAnsi="Arial"/>
          <w:sz w:val="16"/>
          <w:szCs w:val="16"/>
          <w:color w:val="auto"/>
        </w:rPr>
        <w:t>. Under the direction of our Chief Executive Officer and Chief Financial Officer,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established disclosure controls and procedures, as defined in Rule 13a-15(e) and 15d-15(e) under the Exchange Act, as amended, or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our Chief Executive Officer and Chief Financial Officer,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September 30, 2022, an evaluation was performed under the supervision and with the participation of management, including our Chief Executive Officer and Chief Financial Officer, of the effectiveness of the design and operation of our disclosure controls and procedures pursuant to Rule 13a-15(b) under the Exchange Act. Based upon our evaluation, our Chief Executive Officer and Chief Financial Officer have concluded that as of September 30, 2022, our disclosure controls and procedures are effective.</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Changes in Internal Control over Financial Reporting</w:t>
      </w:r>
      <w:r>
        <w:rPr>
          <w:rFonts w:ascii="Arial" w:cs="Arial" w:eastAsia="Arial" w:hAnsi="Arial"/>
          <w:sz w:val="18"/>
          <w:szCs w:val="18"/>
          <w:color w:val="auto"/>
        </w:rPr>
        <w:t>. There have not been any changes in our internal control over financial reporting that</w:t>
      </w:r>
      <w:r>
        <w:rPr>
          <w:rFonts w:ascii="Arial" w:cs="Arial" w:eastAsia="Arial" w:hAnsi="Arial"/>
          <w:sz w:val="18"/>
          <w:szCs w:val="18"/>
          <w:i w:val="1"/>
          <w:iCs w:val="1"/>
          <w:color w:val="auto"/>
        </w:rPr>
        <w:t xml:space="preserve"> </w:t>
      </w:r>
      <w:r>
        <w:rPr>
          <w:rFonts w:ascii="Arial" w:cs="Arial" w:eastAsia="Arial" w:hAnsi="Arial"/>
          <w:sz w:val="18"/>
          <w:szCs w:val="18"/>
          <w:color w:val="auto"/>
        </w:rPr>
        <w:t>occurred during the quarter ended September 30, 2022, that have materially affected, or are reasonably likely to materially affect, internal controls over financial reporting.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are a party to various routine legal proceedings, disputes and claims arising in the ordinary course of our business, including those that arise from interpretation of federal and state laws and regulations affecting the natural gas and crude oil industry, personal injury claims, title disputes, royalty disputes, contract claims, contamination claims relating to oil and natural gas exploration and development and environmental claims, including claims involving assets previously sold to third parties and no longer part of our current operations. While the ultimate outcome of the pending proceedings, disputes or claims, and any resulting impact on us, cannot be predicted with certainty, we believe that none of these matters, if ultimately decided adversely, will have a material adverse effect on our financial condition, results of operations or cash flows. See Note 14—</w:t>
      </w:r>
      <w:r>
        <w:rPr>
          <w:rFonts w:ascii="Arial" w:cs="Arial" w:eastAsia="Arial" w:hAnsi="Arial"/>
          <w:sz w:val="16"/>
          <w:szCs w:val="16"/>
          <w:u w:val="single" w:color="auto"/>
          <w:color w:val="0000FF"/>
        </w:rPr>
        <w:t>Commitments and Contingencies</w:t>
      </w:r>
      <w:r>
        <w:rPr>
          <w:rFonts w:ascii="Arial" w:cs="Arial" w:eastAsia="Arial" w:hAnsi="Arial"/>
          <w:sz w:val="16"/>
          <w:szCs w:val="16"/>
          <w:color w:val="auto"/>
        </w:rPr>
        <w:t xml:space="preserve"> included in the condensed notes to the consolidated financial statements included elsewhere in this Quarterly Report and </w:t>
      </w:r>
      <w:r>
        <w:rPr>
          <w:rFonts w:ascii="Arial" w:cs="Arial" w:eastAsia="Arial" w:hAnsi="Arial"/>
          <w:sz w:val="16"/>
          <w:szCs w:val="16"/>
          <w:u w:val="single" w:color="auto"/>
          <w:color w:val="0000FF"/>
        </w:rPr>
        <w:t>Part II, Item 1A. Risk Factors</w:t>
      </w:r>
      <w:r>
        <w:rPr>
          <w:rFonts w:ascii="Arial" w:cs="Arial" w:eastAsia="Arial" w:hAnsi="Arial"/>
          <w:sz w:val="16"/>
          <w:szCs w:val="16"/>
          <w:color w:val="auto"/>
        </w:rPr>
        <w:t xml:space="preserve"> for additional discussion of the potential risk of climate change-related litigation on our financial condition,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business faces many risks. Any of the risks discussed in this report and our other SEC filings could have a material impact on our business, financial position or results of operations. Additional risks and uncertainties not presently known to us or that we currently believe to be immaterial may also materially impair our business operations, financial condition or future results.</w:t>
      </w:r>
    </w:p>
    <w:p>
      <w:pPr>
        <w:spacing w:after="0" w:line="211" w:lineRule="exact"/>
        <w:rPr>
          <w:sz w:val="20"/>
          <w:szCs w:val="20"/>
          <w:color w:val="auto"/>
        </w:rPr>
      </w:pPr>
    </w:p>
    <w:p>
      <w:pPr>
        <w:jc w:val="both"/>
        <w:ind w:firstLine="648"/>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As of the date of this filing, in addition to the factors discussed elsewhere in this report, we continue to be subject to the risk factors previously disclosed in </w:t>
      </w:r>
      <w:hyperlink r:id="rId93">
        <w:r>
          <w:rPr>
            <w:rFonts w:ascii="Arial" w:cs="Arial" w:eastAsia="Arial" w:hAnsi="Arial"/>
            <w:sz w:val="18"/>
            <w:szCs w:val="18"/>
            <w:u w:val="single" w:color="auto"/>
            <w:color w:val="0000FF"/>
          </w:rPr>
          <w:t>Part I, Item 1A. Risk Factors in our Annual Report on 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December 31, 2021, filed with the SEC on February 24, 2022, </w:t>
      </w:r>
      <w:hyperlink r:id="rId28">
        <w:r>
          <w:rPr>
            <w:rFonts w:ascii="Arial" w:cs="Arial" w:eastAsia="Arial" w:hAnsi="Arial"/>
            <w:sz w:val="18"/>
            <w:szCs w:val="18"/>
            <w:u w:val="single" w:color="auto"/>
            <w:color w:val="0000FF"/>
          </w:rPr>
          <w:t>Part II, Item 1A Risk Factors in our Quarterly Report on 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quarterly period ended March 31, 2022, filed with the SEC on May 5, 2022, </w:t>
      </w:r>
      <w:hyperlink r:id="rId27">
        <w:r>
          <w:rPr>
            <w:rFonts w:ascii="Arial" w:cs="Arial" w:eastAsia="Arial" w:hAnsi="Arial"/>
            <w:sz w:val="18"/>
            <w:szCs w:val="18"/>
            <w:u w:val="single" w:color="auto"/>
            <w:color w:val="0000FF"/>
          </w:rPr>
          <w:t>Part II, Item 1A Risk Factors in our Quarterly Report on 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quarterly period ended June 30, 2022, filed with the SEC on August 3, 2022 and in subsequent filings we make with the SEC.</w:t>
      </w:r>
    </w:p>
    <w:p>
      <w:pPr>
        <w:spacing w:after="0" w:line="21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i w:val="1"/>
          <w:iCs w:val="1"/>
          <w:color w:val="auto"/>
        </w:rPr>
        <w:t>Unregistered Sales of Equity Securities</w:t>
      </w:r>
    </w:p>
    <w:p>
      <w:pPr>
        <w:spacing w:after="0" w:line="252" w:lineRule="exact"/>
        <w:rPr>
          <w:rFonts w:ascii="Arial" w:cs="Arial" w:eastAsia="Arial" w:hAnsi="Arial"/>
          <w:sz w:val="18"/>
          <w:szCs w:val="18"/>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i w:val="1"/>
          <w:iCs w:val="1"/>
          <w:color w:val="auto"/>
        </w:rPr>
        <w:t>Issuer Repurchases of Equity Securities</w:t>
      </w:r>
    </w:p>
    <w:p>
      <w:pPr>
        <w:spacing w:after="0" w:line="252" w:lineRule="exact"/>
        <w:rPr>
          <w:rFonts w:ascii="Arial" w:cs="Arial" w:eastAsia="Arial" w:hAnsi="Arial"/>
          <w:sz w:val="18"/>
          <w:szCs w:val="18"/>
          <w:color w:val="auto"/>
        </w:rPr>
      </w:pPr>
    </w:p>
    <w:p>
      <w:pPr>
        <w:ind w:left="660"/>
        <w:spacing w:after="0"/>
        <w:rPr>
          <w:sz w:val="20"/>
          <w:szCs w:val="20"/>
          <w:color w:val="auto"/>
        </w:rPr>
      </w:pPr>
      <w:r>
        <w:rPr>
          <w:rFonts w:ascii="Arial" w:cs="Arial" w:eastAsia="Arial" w:hAnsi="Arial"/>
          <w:sz w:val="18"/>
          <w:szCs w:val="18"/>
          <w:color w:val="auto"/>
        </w:rPr>
        <w:t>Our common stock repurchase activity for the three months ended September 30, 2022 was as follows:</w:t>
      </w:r>
    </w:p>
    <w:p>
      <w:pPr>
        <w:spacing w:after="0" w:line="271"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184"/>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vMerge w:val="restart"/>
          </w:tcPr>
          <w:p>
            <w:pPr>
              <w:jc w:val="right"/>
              <w:ind w:right="35"/>
              <w:spacing w:after="0"/>
              <w:rPr>
                <w:sz w:val="20"/>
                <w:szCs w:val="20"/>
                <w:color w:val="auto"/>
              </w:rPr>
            </w:pPr>
            <w:r>
              <w:rPr>
                <w:rFonts w:ascii="Arial" w:cs="Arial" w:eastAsia="Arial" w:hAnsi="Arial"/>
                <w:sz w:val="16"/>
                <w:szCs w:val="16"/>
                <w:b w:val="1"/>
                <w:bCs w:val="1"/>
                <w:color w:val="auto"/>
              </w:rPr>
              <w:t>Total Number of</w:t>
            </w: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Average Price</w:t>
            </w: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2240" w:type="dxa"/>
            <w:vAlign w:val="bottom"/>
            <w:gridSpan w:val="2"/>
          </w:tcPr>
          <w:p>
            <w:pPr>
              <w:jc w:val="right"/>
              <w:spacing w:after="0"/>
              <w:rPr>
                <w:sz w:val="20"/>
                <w:szCs w:val="20"/>
                <w:color w:val="auto"/>
              </w:rPr>
            </w:pPr>
            <w:r>
              <w:rPr>
                <w:rFonts w:ascii="Arial" w:cs="Arial" w:eastAsia="Arial" w:hAnsi="Arial"/>
                <w:sz w:val="16"/>
                <w:szCs w:val="16"/>
                <w:b w:val="1"/>
                <w:bCs w:val="1"/>
                <w:color w:val="auto"/>
                <w:w w:val="99"/>
              </w:rPr>
              <w:t>Approximate Dollar Value of</w:t>
            </w:r>
          </w:p>
        </w:tc>
        <w:tc>
          <w:tcPr>
            <w:tcW w:w="0" w:type="dxa"/>
            <w:vAlign w:val="bottom"/>
          </w:tcPr>
          <w:p>
            <w:pPr>
              <w:spacing w:after="0"/>
              <w:rPr>
                <w:sz w:val="1"/>
                <w:szCs w:val="1"/>
                <w:color w:val="auto"/>
              </w:rPr>
            </w:pPr>
          </w:p>
        </w:tc>
      </w:tr>
      <w:tr>
        <w:trPr>
          <w:trHeight w:val="162"/>
        </w:trPr>
        <w:tc>
          <w:tcPr>
            <w:tcW w:w="3960" w:type="dxa"/>
            <w:vAlign w:val="bottom"/>
            <w:gridSpan w:val="2"/>
            <w:vMerge w:val="restart"/>
          </w:tcPr>
          <w:p>
            <w:pPr>
              <w:ind w:left="1700"/>
              <w:spacing w:after="0"/>
              <w:rPr>
                <w:sz w:val="20"/>
                <w:szCs w:val="20"/>
                <w:color w:val="auto"/>
              </w:rPr>
            </w:pPr>
            <w:r>
              <w:rPr>
                <w:rFonts w:ascii="Arial" w:cs="Arial" w:eastAsia="Arial" w:hAnsi="Arial"/>
                <w:sz w:val="16"/>
                <w:szCs w:val="16"/>
                <w:b w:val="1"/>
                <w:bCs w:val="1"/>
                <w:color w:val="auto"/>
              </w:rPr>
              <w:t>Period</w:t>
            </w:r>
          </w:p>
        </w:tc>
        <w:tc>
          <w:tcPr>
            <w:tcW w:w="14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center"/>
              <w:ind w:right="175"/>
              <w:spacing w:after="0" w:line="162" w:lineRule="exact"/>
              <w:rPr>
                <w:sz w:val="20"/>
                <w:szCs w:val="20"/>
                <w:color w:val="auto"/>
              </w:rPr>
            </w:pPr>
            <w:r>
              <w:rPr>
                <w:rFonts w:ascii="Arial" w:cs="Arial" w:eastAsia="Arial" w:hAnsi="Arial"/>
                <w:sz w:val="16"/>
                <w:szCs w:val="16"/>
                <w:b w:val="1"/>
                <w:bCs w:val="1"/>
                <w:color w:val="auto"/>
                <w:w w:val="93"/>
              </w:rPr>
              <w:t>Paid Per</w:t>
            </w:r>
          </w:p>
        </w:tc>
        <w:tc>
          <w:tcPr>
            <w:tcW w:w="24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Purchased as Part of Publicly</w:t>
            </w:r>
          </w:p>
        </w:tc>
        <w:tc>
          <w:tcPr>
            <w:tcW w:w="280" w:type="dxa"/>
            <w:vAlign w:val="bottom"/>
          </w:tcPr>
          <w:p>
            <w:pPr>
              <w:spacing w:after="0"/>
              <w:rPr>
                <w:sz w:val="14"/>
                <w:szCs w:val="14"/>
                <w:color w:val="auto"/>
              </w:rPr>
            </w:pPr>
          </w:p>
        </w:tc>
        <w:tc>
          <w:tcPr>
            <w:tcW w:w="1960" w:type="dxa"/>
            <w:vAlign w:val="bottom"/>
          </w:tcPr>
          <w:p>
            <w:pPr>
              <w:jc w:val="right"/>
              <w:ind w:right="174"/>
              <w:spacing w:after="0" w:line="162" w:lineRule="exact"/>
              <w:rPr>
                <w:sz w:val="20"/>
                <w:szCs w:val="20"/>
                <w:color w:val="auto"/>
              </w:rPr>
            </w:pPr>
            <w:r>
              <w:rPr>
                <w:rFonts w:ascii="Arial" w:cs="Arial" w:eastAsia="Arial" w:hAnsi="Arial"/>
                <w:sz w:val="16"/>
                <w:szCs w:val="16"/>
                <w:b w:val="1"/>
                <w:bCs w:val="1"/>
                <w:color w:val="auto"/>
                <w:w w:val="94"/>
              </w:rPr>
              <w:t>Shares that May Yet Be</w:t>
            </w:r>
          </w:p>
        </w:tc>
        <w:tc>
          <w:tcPr>
            <w:tcW w:w="0" w:type="dxa"/>
            <w:vAlign w:val="bottom"/>
          </w:tcPr>
          <w:p>
            <w:pPr>
              <w:spacing w:after="0"/>
              <w:rPr>
                <w:sz w:val="1"/>
                <w:szCs w:val="1"/>
                <w:color w:val="auto"/>
              </w:rPr>
            </w:pPr>
          </w:p>
        </w:tc>
      </w:tr>
      <w:tr>
        <w:trPr>
          <w:trHeight w:val="216"/>
        </w:trPr>
        <w:tc>
          <w:tcPr>
            <w:tcW w:w="3960" w:type="dxa"/>
            <w:vAlign w:val="bottom"/>
            <w:gridSpan w:val="2"/>
            <w:vMerge w:val="continue"/>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w w:val="93"/>
              </w:rPr>
              <w:t>Shares Purchased</w:t>
            </w:r>
          </w:p>
        </w:tc>
        <w:tc>
          <w:tcPr>
            <w:tcW w:w="260" w:type="dxa"/>
            <w:vAlign w:val="bottom"/>
          </w:tcPr>
          <w:p>
            <w:pPr>
              <w:spacing w:after="0"/>
              <w:rPr>
                <w:sz w:val="18"/>
                <w:szCs w:val="18"/>
                <w:color w:val="auto"/>
              </w:rPr>
            </w:pPr>
          </w:p>
        </w:tc>
        <w:tc>
          <w:tcPr>
            <w:tcW w:w="980" w:type="dxa"/>
            <w:vAlign w:val="bottom"/>
          </w:tcPr>
          <w:p>
            <w:pPr>
              <w:jc w:val="center"/>
              <w:ind w:right="175"/>
              <w:spacing w:after="0" w:line="216" w:lineRule="exact"/>
              <w:rPr>
                <w:sz w:val="20"/>
                <w:szCs w:val="20"/>
                <w:color w:val="auto"/>
              </w:rPr>
            </w:pPr>
            <w:r>
              <w:rPr>
                <w:rFonts w:ascii="Arial" w:cs="Arial" w:eastAsia="Arial" w:hAnsi="Arial"/>
                <w:sz w:val="16"/>
                <w:szCs w:val="16"/>
                <w:b w:val="1"/>
                <w:bCs w:val="1"/>
                <w:color w:val="auto"/>
                <w:w w:val="84"/>
              </w:rPr>
              <w:t>Share</w:t>
            </w:r>
            <w:r>
              <w:rPr>
                <w:rFonts w:ascii="Arial" w:cs="Arial" w:eastAsia="Arial" w:hAnsi="Arial"/>
                <w:sz w:val="21"/>
                <w:szCs w:val="21"/>
                <w:b w:val="1"/>
                <w:bCs w:val="1"/>
                <w:color w:val="auto"/>
                <w:w w:val="84"/>
                <w:vertAlign w:val="superscript"/>
              </w:rPr>
              <w:t>(1)</w:t>
            </w: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91"/>
              </w:rPr>
              <w:t>Announced Plan</w:t>
            </w:r>
          </w:p>
        </w:tc>
        <w:tc>
          <w:tcPr>
            <w:tcW w:w="2240" w:type="dxa"/>
            <w:vAlign w:val="bottom"/>
            <w:gridSpan w:val="2"/>
          </w:tcPr>
          <w:p>
            <w:pPr>
              <w:jc w:val="right"/>
              <w:ind w:right="14"/>
              <w:spacing w:after="0" w:line="216" w:lineRule="exact"/>
              <w:rPr>
                <w:sz w:val="20"/>
                <w:szCs w:val="20"/>
                <w:color w:val="auto"/>
              </w:rPr>
            </w:pPr>
            <w:r>
              <w:rPr>
                <w:rFonts w:ascii="Arial" w:cs="Arial" w:eastAsia="Arial" w:hAnsi="Arial"/>
                <w:sz w:val="16"/>
                <w:szCs w:val="16"/>
                <w:b w:val="1"/>
                <w:bCs w:val="1"/>
                <w:color w:val="auto"/>
                <w:w w:val="97"/>
              </w:rPr>
              <w:t>Purchased Under the Plan</w:t>
            </w:r>
            <w:r>
              <w:rPr>
                <w:rFonts w:ascii="Arial" w:cs="Arial" w:eastAsia="Arial" w:hAnsi="Arial"/>
                <w:sz w:val="21"/>
                <w:szCs w:val="21"/>
                <w:b w:val="1"/>
                <w:bCs w:val="1"/>
                <w:color w:val="auto"/>
                <w:w w:val="97"/>
                <w:vertAlign w:val="superscript"/>
              </w:rPr>
              <w:t>(2)</w:t>
            </w:r>
          </w:p>
        </w:tc>
        <w:tc>
          <w:tcPr>
            <w:tcW w:w="0" w:type="dxa"/>
            <w:vAlign w:val="bottom"/>
          </w:tcPr>
          <w:p>
            <w:pPr>
              <w:spacing w:after="0"/>
              <w:rPr>
                <w:sz w:val="1"/>
                <w:szCs w:val="1"/>
                <w:color w:val="auto"/>
              </w:rPr>
            </w:pPr>
          </w:p>
        </w:tc>
      </w:tr>
      <w:tr>
        <w:trPr>
          <w:trHeight w:val="207"/>
        </w:trPr>
        <w:tc>
          <w:tcPr>
            <w:tcW w:w="3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5880" w:type="dxa"/>
            <w:vAlign w:val="bottom"/>
            <w:tcBorders>
              <w:top w:val="single" w:sz="8" w:color="auto"/>
            </w:tcBorders>
            <w:gridSpan w:val="5"/>
          </w:tcPr>
          <w:p>
            <w:pPr>
              <w:ind w:left="120"/>
              <w:spacing w:after="0"/>
              <w:rPr>
                <w:sz w:val="20"/>
                <w:szCs w:val="20"/>
                <w:color w:val="auto"/>
              </w:rPr>
            </w:pPr>
            <w:r>
              <w:rPr>
                <w:rFonts w:ascii="Arial" w:cs="Arial" w:eastAsia="Arial" w:hAnsi="Arial"/>
                <w:sz w:val="16"/>
                <w:szCs w:val="16"/>
                <w:b w:val="1"/>
                <w:bCs w:val="1"/>
                <w:color w:val="auto"/>
              </w:rPr>
              <w:t>($ In millions, except per share amounts, shares in thousands)</w:t>
            </w:r>
          </w:p>
        </w:tc>
        <w:tc>
          <w:tcPr>
            <w:tcW w:w="0" w:type="dxa"/>
            <w:vAlign w:val="bottom"/>
          </w:tcPr>
          <w:p>
            <w:pPr>
              <w:spacing w:after="0"/>
              <w:rPr>
                <w:sz w:val="1"/>
                <w:szCs w:val="1"/>
                <w:color w:val="auto"/>
              </w:rPr>
            </w:pPr>
          </w:p>
        </w:tc>
      </w:tr>
      <w:tr>
        <w:trPr>
          <w:trHeight w:val="232"/>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July 1, 2022 - July 31, 2022</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113.70</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w:t>
            </w:r>
          </w:p>
        </w:tc>
        <w:tc>
          <w:tcPr>
            <w:tcW w:w="0" w:type="dxa"/>
            <w:vAlign w:val="bottom"/>
          </w:tcPr>
          <w:p>
            <w:pPr>
              <w:spacing w:after="0"/>
              <w:rPr>
                <w:sz w:val="1"/>
                <w:szCs w:val="1"/>
                <w:color w:val="auto"/>
              </w:rPr>
            </w:pPr>
          </w:p>
        </w:tc>
      </w:tr>
      <w:tr>
        <w:trPr>
          <w:trHeight w:val="229"/>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August 1, 2022 - August 31, 2022</w:t>
            </w:r>
          </w:p>
        </w:tc>
        <w:tc>
          <w:tcPr>
            <w:tcW w:w="1400" w:type="dxa"/>
            <w:vAlign w:val="bottom"/>
          </w:tcPr>
          <w:p>
            <w:pPr>
              <w:jc w:val="right"/>
              <w:spacing w:after="0"/>
              <w:rPr>
                <w:sz w:val="20"/>
                <w:szCs w:val="20"/>
                <w:color w:val="auto"/>
              </w:rPr>
            </w:pPr>
            <w:r>
              <w:rPr>
                <w:rFonts w:ascii="Arial" w:cs="Arial" w:eastAsia="Arial" w:hAnsi="Arial"/>
                <w:sz w:val="18"/>
                <w:szCs w:val="18"/>
                <w:color w:val="auto"/>
              </w:rPr>
              <w:t>1,713</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126.57</w:t>
            </w:r>
          </w:p>
        </w:tc>
        <w:tc>
          <w:tcPr>
            <w:tcW w:w="2400" w:type="dxa"/>
            <w:vAlign w:val="bottom"/>
          </w:tcPr>
          <w:p>
            <w:pPr>
              <w:jc w:val="right"/>
              <w:spacing w:after="0"/>
              <w:rPr>
                <w:sz w:val="20"/>
                <w:szCs w:val="20"/>
                <w:color w:val="auto"/>
              </w:rPr>
            </w:pPr>
            <w:r>
              <w:rPr>
                <w:rFonts w:ascii="Arial" w:cs="Arial" w:eastAsia="Arial" w:hAnsi="Arial"/>
                <w:sz w:val="18"/>
                <w:szCs w:val="18"/>
                <w:color w:val="auto"/>
              </w:rPr>
              <w:t>1,713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2,843</w:t>
            </w:r>
          </w:p>
        </w:tc>
        <w:tc>
          <w:tcPr>
            <w:tcW w:w="0" w:type="dxa"/>
            <w:vAlign w:val="bottom"/>
          </w:tcPr>
          <w:p>
            <w:pPr>
              <w:spacing w:after="0"/>
              <w:rPr>
                <w:sz w:val="1"/>
                <w:szCs w:val="1"/>
                <w:color w:val="auto"/>
              </w:rPr>
            </w:pPr>
          </w:p>
        </w:tc>
      </w:tr>
      <w:tr>
        <w:trPr>
          <w:trHeight w:val="230"/>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1, 2022 - September 30, 2022</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124.04</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0" w:type="dxa"/>
            <w:vAlign w:val="bottom"/>
          </w:tcPr>
          <w:p>
            <w:pPr>
              <w:spacing w:after="0"/>
              <w:rPr>
                <w:sz w:val="1"/>
                <w:szCs w:val="1"/>
                <w:color w:val="auto"/>
              </w:rPr>
            </w:pPr>
          </w:p>
        </w:tc>
      </w:tr>
      <w:tr>
        <w:trPr>
          <w:trHeight w:val="224"/>
        </w:trPr>
        <w:tc>
          <w:tcPr>
            <w:tcW w:w="39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3,922</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120.50</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3,922</w:t>
            </w:r>
          </w:p>
        </w:tc>
        <w:tc>
          <w:tcPr>
            <w:tcW w:w="2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average price paid per share includes any commissions paid to repurchase stock.</w:t>
      </w:r>
    </w:p>
    <w:p>
      <w:pPr>
        <w:spacing w:after="0" w:line="23" w:lineRule="exact"/>
        <w:rPr>
          <w:rFonts w:ascii="Arial" w:cs="Arial" w:eastAsia="Arial" w:hAnsi="Arial"/>
          <w:sz w:val="18"/>
          <w:szCs w:val="18"/>
          <w:color w:val="auto"/>
        </w:rPr>
      </w:pPr>
    </w:p>
    <w:p>
      <w:pPr>
        <w:jc w:val="both"/>
        <w:ind w:left="340" w:hanging="332"/>
        <w:spacing w:after="0" w:line="255" w:lineRule="auto"/>
        <w:tabs>
          <w:tab w:leader="none" w:pos="334"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September 2021, the Company’s board of directors authorized a $2.0 billion common stock repurchase program. On July 28, 2022, our board of directors approved an increase in our common stock repurchase program from $2.0 billion to $4.0 billion. The stock repurchase program has no time limit and may be suspended, modified, or discontinued by the board of directors at any time.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83"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6.</w:t>
        <w:tab/>
        <w:t>EXHIBITS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7620" w:type="dxa"/>
            <w:vAlign w:val="bottom"/>
            <w:gridSpan w:val="3"/>
          </w:tcPr>
          <w:p>
            <w:pPr>
              <w:ind w:left="1320"/>
              <w:spacing w:after="0"/>
              <w:rPr>
                <w:sz w:val="20"/>
                <w:szCs w:val="20"/>
                <w:color w:val="auto"/>
              </w:rPr>
            </w:pPr>
            <w:r>
              <w:rPr>
                <w:rFonts w:ascii="Arial" w:cs="Arial" w:eastAsia="Arial" w:hAnsi="Arial"/>
                <w:sz w:val="17"/>
                <w:szCs w:val="17"/>
                <w:b w:val="1"/>
                <w:bCs w:val="1"/>
                <w:color w:val="auto"/>
              </w:rPr>
              <w:t>EXHIBIT INDEX</w:t>
            </w:r>
          </w:p>
        </w:tc>
        <w:tc>
          <w:tcPr>
            <w:tcW w:w="0" w:type="dxa"/>
            <w:vAlign w:val="bottom"/>
          </w:tcPr>
          <w:p>
            <w:pPr>
              <w:spacing w:after="0"/>
              <w:rPr>
                <w:sz w:val="1"/>
                <w:szCs w:val="1"/>
                <w:color w:val="auto"/>
              </w:rPr>
            </w:pPr>
          </w:p>
        </w:tc>
      </w:tr>
      <w:tr>
        <w:trPr>
          <w:trHeight w:val="180"/>
        </w:trPr>
        <w:tc>
          <w:tcPr>
            <w:tcW w:w="1220" w:type="dxa"/>
            <w:vAlign w:val="bottom"/>
            <w:gridSpan w:val="2"/>
          </w:tcPr>
          <w:p>
            <w:pPr>
              <w:ind w:left="60"/>
              <w:spacing w:after="0" w:line="180" w:lineRule="exact"/>
              <w:rPr>
                <w:sz w:val="20"/>
                <w:szCs w:val="20"/>
                <w:color w:val="auto"/>
              </w:rPr>
            </w:pPr>
            <w:r>
              <w:rPr>
                <w:rFonts w:ascii="Arial" w:cs="Arial" w:eastAsia="Arial" w:hAnsi="Arial"/>
                <w:sz w:val="17"/>
                <w:szCs w:val="17"/>
                <w:b w:val="1"/>
                <w:bCs w:val="1"/>
                <w:color w:val="auto"/>
              </w:rPr>
              <w:t>Exhibit</w:t>
            </w:r>
          </w:p>
        </w:tc>
        <w:tc>
          <w:tcPr>
            <w:tcW w:w="60" w:type="dxa"/>
            <w:vAlign w:val="bottom"/>
          </w:tcPr>
          <w:p>
            <w:pPr>
              <w:spacing w:after="0"/>
              <w:rPr>
                <w:sz w:val="15"/>
                <w:szCs w:val="15"/>
                <w:color w:val="auto"/>
              </w:rPr>
            </w:pPr>
          </w:p>
        </w:tc>
        <w:tc>
          <w:tcPr>
            <w:tcW w:w="9980" w:type="dxa"/>
            <w:vAlign w:val="bottom"/>
            <w:gridSpan w:val="4"/>
            <w:vMerge w:val="restart"/>
          </w:tcPr>
          <w:p>
            <w:pPr>
              <w:spacing w:after="0"/>
              <w:rPr>
                <w:sz w:val="20"/>
                <w:szCs w:val="20"/>
                <w:color w:val="auto"/>
              </w:rPr>
            </w:pPr>
            <w:r>
              <w:rPr>
                <w:rFonts w:ascii="Arial" w:cs="Arial" w:eastAsia="Arial" w:hAnsi="Arial"/>
                <w:sz w:val="17"/>
                <w:szCs w:val="17"/>
                <w:b w:val="1"/>
                <w:bCs w:val="1"/>
                <w:color w:val="auto"/>
              </w:rPr>
              <w:t>Description</w:t>
            </w:r>
          </w:p>
        </w:tc>
        <w:tc>
          <w:tcPr>
            <w:tcW w:w="0" w:type="dxa"/>
            <w:vAlign w:val="bottom"/>
          </w:tcPr>
          <w:p>
            <w:pPr>
              <w:spacing w:after="0"/>
              <w:rPr>
                <w:sz w:val="1"/>
                <w:szCs w:val="1"/>
                <w:color w:val="auto"/>
              </w:rPr>
            </w:pPr>
          </w:p>
        </w:tc>
      </w:tr>
      <w:tr>
        <w:trPr>
          <w:trHeight w:val="220"/>
        </w:trPr>
        <w:tc>
          <w:tcPr>
            <w:tcW w:w="1220" w:type="dxa"/>
            <w:vAlign w:val="bottom"/>
            <w:gridSpan w:val="2"/>
          </w:tcPr>
          <w:p>
            <w:pPr>
              <w:ind w:left="60"/>
              <w:spacing w:after="0"/>
              <w:rPr>
                <w:sz w:val="20"/>
                <w:szCs w:val="20"/>
                <w:color w:val="auto"/>
              </w:rPr>
            </w:pPr>
            <w:r>
              <w:rPr>
                <w:rFonts w:ascii="Arial" w:cs="Arial" w:eastAsia="Arial" w:hAnsi="Arial"/>
                <w:sz w:val="17"/>
                <w:szCs w:val="17"/>
                <w:b w:val="1"/>
                <w:bCs w:val="1"/>
                <w:color w:val="auto"/>
              </w:rPr>
              <w:t>Number</w:t>
            </w:r>
          </w:p>
        </w:tc>
        <w:tc>
          <w:tcPr>
            <w:tcW w:w="60" w:type="dxa"/>
            <w:vAlign w:val="bottom"/>
          </w:tcPr>
          <w:p>
            <w:pPr>
              <w:spacing w:after="0"/>
              <w:rPr>
                <w:sz w:val="19"/>
                <w:szCs w:val="19"/>
                <w:color w:val="auto"/>
              </w:rPr>
            </w:pPr>
          </w:p>
        </w:tc>
        <w:tc>
          <w:tcPr>
            <w:tcW w:w="998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112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360" w:type="dxa"/>
            <w:vAlign w:val="bottom"/>
            <w:tcBorders>
              <w:bottom w:val="single" w:sz="8" w:color="auto"/>
            </w:tcBorders>
          </w:tcPr>
          <w:p>
            <w:pPr>
              <w:spacing w:after="0"/>
              <w:rPr>
                <w:sz w:val="9"/>
                <w:szCs w:val="9"/>
                <w:color w:val="auto"/>
              </w:rPr>
            </w:pPr>
          </w:p>
        </w:tc>
        <w:tc>
          <w:tcPr>
            <w:tcW w:w="75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120" w:type="dxa"/>
            <w:vAlign w:val="bottom"/>
            <w:shd w:val="clear" w:color="auto" w:fill="CCEEFF"/>
          </w:tcPr>
          <w:p>
            <w:pPr>
              <w:ind w:left="60"/>
              <w:spacing w:after="0" w:line="169" w:lineRule="exact"/>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980" w:type="dxa"/>
            <w:vAlign w:val="bottom"/>
            <w:gridSpan w:val="4"/>
            <w:shd w:val="clear" w:color="auto" w:fill="CCEEFF"/>
          </w:tcPr>
          <w:p>
            <w:pPr>
              <w:spacing w:after="0" w:line="169" w:lineRule="exact"/>
              <w:rPr>
                <w:rFonts w:ascii="Arial" w:cs="Arial" w:eastAsia="Arial" w:hAnsi="Arial"/>
                <w:sz w:val="17"/>
                <w:szCs w:val="17"/>
                <w:color w:val="0000FF"/>
                <w:w w:val="95"/>
              </w:rPr>
            </w:pPr>
            <w:hyperlink r:id="rId95">
              <w:r>
                <w:rPr>
                  <w:rFonts w:ascii="Arial" w:cs="Arial" w:eastAsia="Arial" w:hAnsi="Arial"/>
                  <w:sz w:val="17"/>
                  <w:szCs w:val="17"/>
                  <w:color w:val="0000FF"/>
                  <w:w w:val="95"/>
                </w:rPr>
                <w:t>Agreement and Plan of Merger, dated as of May 15, 2022, by and among Diamondback Energy, Inc., Rattler Midstream GP LLC, Bacchus</w:t>
              </w:r>
            </w:hyperlink>
          </w:p>
        </w:tc>
        <w:tc>
          <w:tcPr>
            <w:tcW w:w="0" w:type="dxa"/>
            <w:vAlign w:val="bottom"/>
          </w:tcPr>
          <w:p>
            <w:pPr>
              <w:spacing w:after="0"/>
              <w:rPr>
                <w:sz w:val="1"/>
                <w:szCs w:val="1"/>
                <w:color w:val="auto"/>
              </w:rPr>
            </w:pPr>
          </w:p>
        </w:tc>
      </w:tr>
      <w:tr>
        <w:trPr>
          <w:trHeight w:val="156"/>
        </w:trPr>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9940" w:type="dxa"/>
            <w:vAlign w:val="bottom"/>
            <w:tcBorders>
              <w:top w:val="single" w:sz="8" w:color="0000FF"/>
              <w:bottom w:val="single" w:sz="8" w:color="0000FF"/>
            </w:tcBorders>
            <w:gridSpan w:val="2"/>
            <w:shd w:val="clear" w:color="auto" w:fill="CCEEFF"/>
          </w:tcPr>
          <w:p>
            <w:pPr>
              <w:spacing w:after="0" w:line="155" w:lineRule="exact"/>
              <w:rPr>
                <w:rFonts w:ascii="Arial" w:cs="Arial" w:eastAsia="Arial" w:hAnsi="Arial"/>
                <w:sz w:val="17"/>
                <w:szCs w:val="17"/>
                <w:color w:val="0000FF"/>
                <w:w w:val="92"/>
              </w:rPr>
            </w:pPr>
            <w:hyperlink r:id="rId95">
              <w:r>
                <w:rPr>
                  <w:rFonts w:ascii="Arial" w:cs="Arial" w:eastAsia="Arial" w:hAnsi="Arial"/>
                  <w:sz w:val="17"/>
                  <w:szCs w:val="17"/>
                  <w:color w:val="0000FF"/>
                  <w:w w:val="92"/>
                </w:rPr>
                <w:t>Merger Sub Company and Rattler Midstream LP (incorporated by reference to Exhibit 2.1 of the Registrant’s Current Report on Form 8-K (File</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960" w:type="dxa"/>
            <w:vAlign w:val="bottom"/>
            <w:gridSpan w:val="3"/>
            <w:shd w:val="clear" w:color="auto" w:fill="CCEEFF"/>
          </w:tcPr>
          <w:p>
            <w:pPr>
              <w:spacing w:after="0" w:line="155" w:lineRule="exact"/>
              <w:rPr>
                <w:rFonts w:ascii="Arial" w:cs="Arial" w:eastAsia="Arial" w:hAnsi="Arial"/>
                <w:sz w:val="17"/>
                <w:szCs w:val="17"/>
                <w:color w:val="0000FF"/>
              </w:rPr>
            </w:pPr>
            <w:hyperlink r:id="rId95">
              <w:r>
                <w:rPr>
                  <w:rFonts w:ascii="Arial" w:cs="Arial" w:eastAsia="Arial" w:hAnsi="Arial"/>
                  <w:sz w:val="17"/>
                  <w:szCs w:val="17"/>
                  <w:color w:val="0000FF"/>
                </w:rPr>
                <w:t>001-38919) filed on May 16, 2022</w:t>
              </w:r>
            </w:hyperlink>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0000FF"/>
            </w:tcBorders>
            <w:shd w:val="clear" w:color="auto" w:fill="CCEEFF"/>
          </w:tcPr>
          <w:p>
            <w:pPr>
              <w:spacing w:after="0" w:line="20" w:lineRule="exact"/>
              <w:rPr>
                <w:sz w:val="1"/>
                <w:szCs w:val="1"/>
                <w:color w:val="auto"/>
              </w:rPr>
            </w:pPr>
          </w:p>
        </w:tc>
        <w:tc>
          <w:tcPr>
            <w:tcW w:w="7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2" w:right="339" w:bottom="1440" w:gutter="0" w:footer="0" w:header="0"/>
        </w:sectPr>
      </w:pPr>
    </w:p>
    <w:p>
      <w:pPr>
        <w:ind w:left="60"/>
        <w:spacing w:after="0"/>
        <w:rPr>
          <w:sz w:val="20"/>
          <w:szCs w:val="20"/>
          <w:color w:val="auto"/>
        </w:rPr>
      </w:pPr>
      <w:r>
        <w:rPr>
          <w:rFonts w:ascii="Arial" w:cs="Arial" w:eastAsia="Arial" w:hAnsi="Arial"/>
          <w:sz w:val="15"/>
          <w:szCs w:val="15"/>
          <w:color w:val="auto"/>
        </w:rPr>
        <w:t>3.1</w:t>
      </w:r>
    </w:p>
    <w:p>
      <w:pPr>
        <w:spacing w:after="0" w:line="282" w:lineRule="exact"/>
        <w:rPr>
          <w:sz w:val="20"/>
          <w:szCs w:val="20"/>
          <w:color w:val="auto"/>
        </w:rPr>
      </w:pPr>
    </w:p>
    <w:p>
      <w:pPr>
        <w:ind w:left="60"/>
        <w:spacing w:after="0"/>
        <w:rPr>
          <w:sz w:val="20"/>
          <w:szCs w:val="20"/>
          <w:color w:val="auto"/>
        </w:rPr>
      </w:pPr>
      <w:r>
        <w:rPr>
          <w:rFonts w:ascii="Arial" w:cs="Arial" w:eastAsia="Arial" w:hAnsi="Arial"/>
          <w:sz w:val="15"/>
          <w:szCs w:val="15"/>
          <w:color w:val="auto"/>
        </w:rPr>
        <w:t>3.2</w:t>
      </w:r>
    </w:p>
    <w:p>
      <w:pPr>
        <w:spacing w:after="0" w:line="287" w:lineRule="exact"/>
        <w:rPr>
          <w:sz w:val="20"/>
          <w:szCs w:val="20"/>
          <w:color w:val="auto"/>
        </w:rPr>
      </w:pPr>
    </w:p>
    <w:p>
      <w:pPr>
        <w:ind w:left="60"/>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br w:type="column"/>
      </w:r>
    </w:p>
    <w:p>
      <w:pPr>
        <w:ind w:right="60"/>
        <w:spacing w:after="0" w:line="281" w:lineRule="auto"/>
        <w:rPr>
          <w:rFonts w:ascii="Arial" w:cs="Arial" w:eastAsia="Arial" w:hAnsi="Arial"/>
          <w:sz w:val="17"/>
          <w:szCs w:val="17"/>
          <w:u w:val="single" w:color="auto"/>
          <w:color w:val="0000FF"/>
        </w:rPr>
      </w:pPr>
      <w:hyperlink r:id="rId96">
        <w:r>
          <w:rPr>
            <w:rFonts w:ascii="Arial" w:cs="Arial" w:eastAsia="Arial" w:hAnsi="Arial"/>
            <w:sz w:val="17"/>
            <w:szCs w:val="17"/>
            <w:u w:val="single" w:color="auto"/>
            <w:color w:val="0000FF"/>
          </w:rPr>
          <w:t>Amended and Restated Certificate of Incorporation of the Company (incorporated by reference to Exhibit 3.1 to the Form 10-Q, File No. 001-</w:t>
        </w:r>
      </w:hyperlink>
      <w:hyperlink r:id="rId96">
        <w:r>
          <w:rPr>
            <w:rFonts w:ascii="Arial" w:cs="Arial" w:eastAsia="Arial" w:hAnsi="Arial"/>
            <w:sz w:val="17"/>
            <w:szCs w:val="17"/>
            <w:u w:val="single" w:color="auto"/>
            <w:color w:val="0000FF"/>
          </w:rPr>
          <w:t>35700, filed by the Company with the SEC on November 16, 2012).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-807085</wp:posOffset>
            </wp:positionH>
            <wp:positionV relativeFrom="paragraph">
              <wp:posOffset>-4445</wp:posOffset>
            </wp:positionV>
            <wp:extent cx="7132320" cy="291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right="80"/>
        <w:spacing w:after="0" w:line="273" w:lineRule="auto"/>
        <w:rPr>
          <w:rFonts w:ascii="Arial" w:cs="Arial" w:eastAsia="Arial" w:hAnsi="Arial"/>
          <w:sz w:val="17"/>
          <w:szCs w:val="17"/>
          <w:u w:val="single" w:color="auto"/>
          <w:color w:val="0000FF"/>
        </w:rPr>
      </w:pPr>
      <w:hyperlink r:id="rId98">
        <w:r>
          <w:rPr>
            <w:rFonts w:ascii="Arial" w:cs="Arial" w:eastAsia="Arial" w:hAnsi="Arial"/>
            <w:sz w:val="17"/>
            <w:szCs w:val="17"/>
            <w:u w:val="single" w:color="auto"/>
            <w:color w:val="0000FF"/>
          </w:rPr>
          <w:t>Certificate of Amendment No. 1 of the Amended and Restated Certificate of Incorporation of the Company (incorporated by reference to</w:t>
        </w:r>
      </w:hyperlink>
      <w:r>
        <w:rPr>
          <w:rFonts w:ascii="Arial" w:cs="Arial" w:eastAsia="Arial" w:hAnsi="Arial"/>
          <w:sz w:val="17"/>
          <w:szCs w:val="17"/>
          <w:u w:val="single" w:color="auto"/>
          <w:color w:val="0000FF"/>
        </w:rPr>
        <w:t xml:space="preserve"> </w:t>
      </w:r>
      <w:hyperlink r:id="rId98">
        <w:r>
          <w:rPr>
            <w:rFonts w:ascii="Arial" w:cs="Arial" w:eastAsia="Arial" w:hAnsi="Arial"/>
            <w:sz w:val="17"/>
            <w:szCs w:val="17"/>
            <w:u w:val="single" w:color="auto"/>
            <w:color w:val="0000FF"/>
          </w:rPr>
          <w:t>Exhibit 3.1 to the Form 8-K, File No. 001-35700, filed by the Company with the SEC on December 12, 2016).</w:t>
        </w:r>
      </w:hyperlink>
    </w:p>
    <w:p>
      <w:pPr>
        <w:spacing w:after="0" w:line="1" w:lineRule="exact"/>
        <w:rPr>
          <w:sz w:val="20"/>
          <w:szCs w:val="20"/>
          <w:color w:val="auto"/>
        </w:rPr>
      </w:pPr>
    </w:p>
    <w:p>
      <w:pPr>
        <w:ind w:right="20"/>
        <w:spacing w:after="0"/>
        <w:rPr>
          <w:rFonts w:ascii="Arial" w:cs="Arial" w:eastAsia="Arial" w:hAnsi="Arial"/>
          <w:sz w:val="17"/>
          <w:szCs w:val="17"/>
          <w:u w:val="single" w:color="auto"/>
          <w:color w:val="0000FF"/>
        </w:rPr>
      </w:pPr>
      <w:hyperlink r:id="rId99">
        <w:r>
          <w:rPr>
            <w:rFonts w:ascii="Arial" w:cs="Arial" w:eastAsia="Arial" w:hAnsi="Arial"/>
            <w:sz w:val="17"/>
            <w:szCs w:val="17"/>
            <w:u w:val="single" w:color="auto"/>
            <w:color w:val="0000FF"/>
          </w:rPr>
          <w:t>Certificate of Amendment No. 2 to the Amended and Restated Certificate of Incorporation of the Company (incorporated by reference to Exhibit</w:t>
        </w:r>
      </w:hyperlink>
      <w:r>
        <w:rPr>
          <w:rFonts w:ascii="Arial" w:cs="Arial" w:eastAsia="Arial" w:hAnsi="Arial"/>
          <w:sz w:val="17"/>
          <w:szCs w:val="17"/>
          <w:u w:val="single" w:color="auto"/>
          <w:color w:val="0000FF"/>
        </w:rPr>
        <w:t xml:space="preserve"> </w:t>
      </w:r>
      <w:hyperlink r:id="rId99">
        <w:r>
          <w:rPr>
            <w:rFonts w:ascii="Arial" w:cs="Arial" w:eastAsia="Arial" w:hAnsi="Arial"/>
            <w:sz w:val="17"/>
            <w:szCs w:val="17"/>
            <w:u w:val="single" w:color="auto"/>
            <w:color w:val="0000FF"/>
          </w:rPr>
          <w:t>3.1 to the Form 8-K, File No. 001-35700, filed by the Company with the SEC on June 8, 2021).</w:t>
        </w:r>
      </w:hyperlink>
    </w:p>
    <w:p>
      <w:pPr>
        <w:spacing w:after="0" w:line="1" w:lineRule="exact"/>
        <w:rPr>
          <w:sz w:val="20"/>
          <w:szCs w:val="20"/>
          <w:color w:val="auto"/>
        </w:rPr>
      </w:pPr>
    </w:p>
    <w:p>
      <w:pPr>
        <w:sectPr>
          <w:pgSz w:w="11900" w:h="16838" w:orient="portrait"/>
          <w:cols w:equalWidth="0" w:num="2">
            <w:col w:w="560" w:space="720"/>
            <w:col w:w="9960"/>
          </w:cols>
          <w:pgMar w:left="320" w:top="122" w:right="339" w:bottom="1440" w:gutter="0" w:footer="0" w:header="0"/>
          <w:type w:val="continuous"/>
        </w:sectPr>
      </w:pPr>
    </w:p>
    <w:p>
      <w:pPr>
        <w:ind w:left="60"/>
        <w:spacing w:after="0"/>
        <w:rPr>
          <w:sz w:val="20"/>
          <w:szCs w:val="20"/>
          <w:color w:val="auto"/>
        </w:rPr>
      </w:pPr>
      <w:r>
        <w:rPr>
          <w:rFonts w:ascii="Arial" w:cs="Arial" w:eastAsia="Arial" w:hAnsi="Arial"/>
          <w:sz w:val="15"/>
          <w:szCs w:val="15"/>
          <w:color w:val="auto"/>
        </w:rPr>
        <w:t>3.4</w:t>
      </w:r>
    </w:p>
    <w:p>
      <w:pPr>
        <w:spacing w:after="0" w:line="286" w:lineRule="exact"/>
        <w:rPr>
          <w:sz w:val="20"/>
          <w:szCs w:val="20"/>
          <w:color w:val="auto"/>
        </w:rPr>
      </w:pPr>
    </w:p>
    <w:p>
      <w:pPr>
        <w:ind w:left="60"/>
        <w:spacing w:after="0"/>
        <w:rPr>
          <w:sz w:val="20"/>
          <w:szCs w:val="20"/>
          <w:color w:val="auto"/>
        </w:rPr>
      </w:pPr>
      <w:r>
        <w:rPr>
          <w:rFonts w:ascii="Arial" w:cs="Arial" w:eastAsia="Arial" w:hAnsi="Arial"/>
          <w:sz w:val="15"/>
          <w:szCs w:val="15"/>
          <w:color w:val="auto"/>
        </w:rPr>
        <w:t>4.1</w:t>
      </w:r>
    </w:p>
    <w:p>
      <w:pPr>
        <w:spacing w:after="0" w:line="287" w:lineRule="exact"/>
        <w:rPr>
          <w:sz w:val="20"/>
          <w:szCs w:val="20"/>
          <w:color w:val="auto"/>
        </w:rPr>
      </w:pPr>
    </w:p>
    <w:p>
      <w:pPr>
        <w:ind w:left="60"/>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br w:type="column"/>
      </w:r>
    </w:p>
    <w:p>
      <w:pPr>
        <w:ind w:right="60"/>
        <w:spacing w:after="0" w:line="281" w:lineRule="auto"/>
        <w:rPr>
          <w:rFonts w:ascii="Arial" w:cs="Arial" w:eastAsia="Arial" w:hAnsi="Arial"/>
          <w:sz w:val="17"/>
          <w:szCs w:val="17"/>
          <w:u w:val="single" w:color="auto"/>
          <w:color w:val="0000FF"/>
        </w:rPr>
      </w:pPr>
      <w:hyperlink r:id="rId100">
        <w:r>
          <w:rPr>
            <w:rFonts w:ascii="Arial" w:cs="Arial" w:eastAsia="Arial" w:hAnsi="Arial"/>
            <w:sz w:val="17"/>
            <w:szCs w:val="17"/>
            <w:u w:val="single" w:color="auto"/>
            <w:color w:val="0000FF"/>
          </w:rPr>
          <w:t>Third Amended and Restated Bylaws of the Company, adopted as of September 28, 2022 (incorporated by reference to Exhibit 3.1 to the Form</w:t>
        </w:r>
      </w:hyperlink>
      <w:r>
        <w:rPr>
          <w:rFonts w:ascii="Arial" w:cs="Arial" w:eastAsia="Arial" w:hAnsi="Arial"/>
          <w:sz w:val="17"/>
          <w:szCs w:val="17"/>
          <w:u w:val="single" w:color="auto"/>
          <w:color w:val="0000FF"/>
        </w:rPr>
        <w:t xml:space="preserve"> </w:t>
      </w:r>
      <w:hyperlink r:id="rId100">
        <w:r>
          <w:rPr>
            <w:rFonts w:ascii="Arial" w:cs="Arial" w:eastAsia="Arial" w:hAnsi="Arial"/>
            <w:sz w:val="17"/>
            <w:szCs w:val="17"/>
            <w:u w:val="single" w:color="auto"/>
            <w:color w:val="0000FF"/>
          </w:rPr>
          <w:t>8-K, File No. 001-35700, filed by the Company with the SEC on October 3,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-807085</wp:posOffset>
            </wp:positionH>
            <wp:positionV relativeFrom="paragraph">
              <wp:posOffset>-295910</wp:posOffset>
            </wp:positionV>
            <wp:extent cx="7132320" cy="291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right="60"/>
        <w:spacing w:after="0" w:line="309" w:lineRule="auto"/>
        <w:rPr>
          <w:rFonts w:ascii="Arial" w:cs="Arial" w:eastAsia="Arial" w:hAnsi="Arial"/>
          <w:sz w:val="15"/>
          <w:szCs w:val="15"/>
          <w:u w:val="single" w:color="auto"/>
          <w:color w:val="0000FF"/>
        </w:rPr>
      </w:pPr>
      <w:hyperlink r:id="rId102">
        <w:r>
          <w:rPr>
            <w:rFonts w:ascii="Arial" w:cs="Arial" w:eastAsia="Arial" w:hAnsi="Arial"/>
            <w:sz w:val="15"/>
            <w:szCs w:val="15"/>
            <w:u w:val="single" w:color="auto"/>
            <w:color w:val="0000FF"/>
          </w:rPr>
          <w:t>Specimen certificate for shares of common stock, par value $0.01 per share, of the Company (incorporated by reference to Exhibit 4.1 to</w:t>
        </w:r>
      </w:hyperlink>
      <w:r>
        <w:rPr>
          <w:rFonts w:ascii="Arial" w:cs="Arial" w:eastAsia="Arial" w:hAnsi="Arial"/>
          <w:sz w:val="15"/>
          <w:szCs w:val="15"/>
          <w:u w:val="single" w:color="auto"/>
          <w:color w:val="0000FF"/>
        </w:rPr>
        <w:t xml:space="preserve"> </w:t>
      </w:r>
      <w:hyperlink r:id="rId102">
        <w:r>
          <w:rPr>
            <w:rFonts w:ascii="Arial" w:cs="Arial" w:eastAsia="Arial" w:hAnsi="Arial"/>
            <w:sz w:val="15"/>
            <w:szCs w:val="15"/>
            <w:u w:val="single" w:color="auto"/>
            <w:color w:val="0000FF"/>
          </w:rPr>
          <w:t>Amendment No. 4 to the Registration Statement on Form S-1, File No. 333-179502, filed by the Company with the SEC on August 20, 2012).</w:t>
        </w:r>
      </w:hyperlink>
    </w:p>
    <w:p>
      <w:pPr>
        <w:spacing w:after="0" w:line="1" w:lineRule="exact"/>
        <w:rPr>
          <w:sz w:val="20"/>
          <w:szCs w:val="20"/>
          <w:color w:val="auto"/>
        </w:rPr>
      </w:pPr>
    </w:p>
    <w:p>
      <w:pPr>
        <w:jc w:val="both"/>
        <w:ind w:right="20"/>
        <w:spacing w:after="0" w:line="232" w:lineRule="auto"/>
        <w:rPr>
          <w:rFonts w:ascii="Arial" w:cs="Arial" w:eastAsia="Arial" w:hAnsi="Arial"/>
          <w:sz w:val="17"/>
          <w:szCs w:val="17"/>
          <w:u w:val="single" w:color="auto"/>
          <w:color w:val="0000FF"/>
        </w:rPr>
      </w:pPr>
      <w:hyperlink r:id="rId103">
        <w:r>
          <w:rPr>
            <w:rFonts w:ascii="Arial" w:cs="Arial" w:eastAsia="Arial" w:hAnsi="Arial"/>
            <w:sz w:val="17"/>
            <w:szCs w:val="17"/>
            <w:u w:val="single" w:color="auto"/>
            <w:color w:val="0000FF"/>
          </w:rPr>
          <w:t>Registration Rights Agreement, dated as of February 26, 2021, by and among the Company, Guidon Operating LLC and Guidon Energy</w:t>
        </w:r>
      </w:hyperlink>
      <w:r>
        <w:rPr>
          <w:rFonts w:ascii="Arial" w:cs="Arial" w:eastAsia="Arial" w:hAnsi="Arial"/>
          <w:sz w:val="17"/>
          <w:szCs w:val="17"/>
          <w:u w:val="single" w:color="auto"/>
          <w:color w:val="0000FF"/>
        </w:rPr>
        <w:t xml:space="preserve"> </w:t>
      </w:r>
      <w:hyperlink r:id="rId103">
        <w:r>
          <w:rPr>
            <w:rFonts w:ascii="Arial" w:cs="Arial" w:eastAsia="Arial" w:hAnsi="Arial"/>
            <w:sz w:val="17"/>
            <w:szCs w:val="17"/>
            <w:u w:val="single" w:color="auto"/>
            <w:color w:val="0000FF"/>
          </w:rPr>
          <w:t>Holdings LP (incorporated by reference to Exhibit 4.3 to the Company’s Registration Statement on Form S-3, File No. 333-255731, filed by the</w:t>
        </w:r>
      </w:hyperlink>
      <w:r>
        <w:rPr>
          <w:rFonts w:ascii="Arial" w:cs="Arial" w:eastAsia="Arial" w:hAnsi="Arial"/>
          <w:sz w:val="17"/>
          <w:szCs w:val="17"/>
          <w:u w:val="single" w:color="auto"/>
          <w:color w:val="0000FF"/>
        </w:rPr>
        <w:t xml:space="preserve"> </w:t>
      </w:r>
      <w:hyperlink r:id="rId103">
        <w:r>
          <w:rPr>
            <w:rFonts w:ascii="Arial" w:cs="Arial" w:eastAsia="Arial" w:hAnsi="Arial"/>
            <w:sz w:val="17"/>
            <w:szCs w:val="17"/>
            <w:u w:val="single" w:color="auto"/>
            <w:color w:val="0000FF"/>
          </w:rPr>
          <w:t>Company with the SEC on May 3, 2021.</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-807085</wp:posOffset>
            </wp:positionH>
            <wp:positionV relativeFrom="paragraph">
              <wp:posOffset>-356870</wp:posOffset>
            </wp:positionV>
            <wp:extent cx="7132320" cy="3600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1" w:lineRule="exact"/>
        <w:rPr>
          <w:rFonts w:ascii="Arial" w:cs="Arial" w:eastAsia="Arial" w:hAnsi="Arial"/>
          <w:sz w:val="17"/>
          <w:szCs w:val="17"/>
          <w:u w:val="single" w:color="auto"/>
          <w:color w:val="0000FF"/>
        </w:rPr>
      </w:pPr>
    </w:p>
    <w:p>
      <w:pPr>
        <w:sectPr>
          <w:pgSz w:w="11900" w:h="16838" w:orient="portrait"/>
          <w:cols w:equalWidth="0" w:num="2">
            <w:col w:w="560" w:space="720"/>
            <w:col w:w="9960"/>
          </w:cols>
          <w:pgMar w:left="320" w:top="122" w:right="339" w:bottom="1440" w:gutter="0" w:footer="0" w:header="0"/>
          <w:type w:val="continuous"/>
        </w:sectPr>
      </w:pPr>
    </w:p>
    <w:tbl>
      <w:tblPr>
        <w:tblLayout w:type="fixed"/>
        <w:tblInd w:w="60" w:type="dxa"/>
        <w:tblCellMar>
          <w:top w:w="0" w:type="dxa"/>
          <w:left w:w="0" w:type="dxa"/>
          <w:bottom w:w="0" w:type="dxa"/>
          <w:right w:w="0" w:type="dxa"/>
        </w:tblCellMar>
      </w:tblPr>
      <w:tr>
        <w:trPr>
          <w:trHeight w:val="180"/>
        </w:trPr>
        <w:tc>
          <w:tcPr>
            <w:tcW w:w="1220" w:type="dxa"/>
            <w:vAlign w:val="bottom"/>
          </w:tcPr>
          <w:p>
            <w:pPr>
              <w:jc w:val="right"/>
              <w:ind w:right="915"/>
              <w:spacing w:after="0" w:line="180" w:lineRule="exact"/>
              <w:rPr>
                <w:sz w:val="20"/>
                <w:szCs w:val="20"/>
                <w:color w:val="auto"/>
              </w:rPr>
            </w:pPr>
            <w:r>
              <w:rPr>
                <w:rFonts w:ascii="Arial" w:cs="Arial" w:eastAsia="Arial" w:hAnsi="Arial"/>
                <w:sz w:val="17"/>
                <w:szCs w:val="17"/>
                <w:color w:val="auto"/>
                <w:w w:val="84"/>
              </w:rPr>
              <w:t>4.3</w:t>
            </w:r>
          </w:p>
        </w:tc>
        <w:tc>
          <w:tcPr>
            <w:tcW w:w="9980" w:type="dxa"/>
            <w:vAlign w:val="bottom"/>
            <w:gridSpan w:val="4"/>
          </w:tcPr>
          <w:p>
            <w:pPr>
              <w:spacing w:after="0" w:line="180" w:lineRule="exact"/>
              <w:rPr>
                <w:rFonts w:ascii="Arial" w:cs="Arial" w:eastAsia="Arial" w:hAnsi="Arial"/>
                <w:sz w:val="17"/>
                <w:szCs w:val="17"/>
                <w:color w:val="0000FF"/>
                <w:w w:val="93"/>
              </w:rPr>
            </w:pPr>
            <w:hyperlink r:id="rId105">
              <w:r>
                <w:rPr>
                  <w:rFonts w:ascii="Arial" w:cs="Arial" w:eastAsia="Arial" w:hAnsi="Arial"/>
                  <w:sz w:val="17"/>
                  <w:szCs w:val="17"/>
                  <w:color w:val="0000FF"/>
                  <w:w w:val="93"/>
                </w:rPr>
                <w:t>Letter Agreement, dated as of April 27, 2021, by and among the Company, Guidon Operating LLC and Guidon Energy Holdings LP relating to</w:t>
              </w:r>
            </w:hyperlink>
          </w:p>
        </w:tc>
      </w:tr>
      <w:tr>
        <w:trPr>
          <w:trHeight w:val="156"/>
        </w:trPr>
        <w:tc>
          <w:tcPr>
            <w:tcW w:w="1220" w:type="dxa"/>
            <w:vAlign w:val="bottom"/>
          </w:tcPr>
          <w:p>
            <w:pPr>
              <w:spacing w:after="0"/>
              <w:rPr>
                <w:sz w:val="13"/>
                <w:szCs w:val="13"/>
                <w:color w:val="auto"/>
              </w:rPr>
            </w:pPr>
          </w:p>
        </w:tc>
        <w:tc>
          <w:tcPr>
            <w:tcW w:w="9960" w:type="dxa"/>
            <w:vAlign w:val="bottom"/>
            <w:tcBorders>
              <w:top w:val="single" w:sz="8" w:color="0000FF"/>
            </w:tcBorders>
            <w:gridSpan w:val="3"/>
          </w:tcPr>
          <w:p>
            <w:pPr>
              <w:spacing w:after="0" w:line="155" w:lineRule="exact"/>
              <w:rPr>
                <w:rFonts w:ascii="Arial" w:cs="Arial" w:eastAsia="Arial" w:hAnsi="Arial"/>
                <w:sz w:val="17"/>
                <w:szCs w:val="17"/>
                <w:color w:val="0000FF"/>
                <w:w w:val="95"/>
              </w:rPr>
            </w:pPr>
            <w:hyperlink r:id="rId105">
              <w:r>
                <w:rPr>
                  <w:rFonts w:ascii="Arial" w:cs="Arial" w:eastAsia="Arial" w:hAnsi="Arial"/>
                  <w:sz w:val="17"/>
                  <w:szCs w:val="17"/>
                  <w:color w:val="0000FF"/>
                  <w:w w:val="95"/>
                </w:rPr>
                <w:t>the Registration Rights Agreement referenced as Exhibit 4.2 hereto (incorporated by reference to Exhibit 4.4 to the Company’s Registration</w:t>
              </w:r>
            </w:hyperlink>
          </w:p>
        </w:tc>
        <w:tc>
          <w:tcPr>
            <w:tcW w:w="20" w:type="dxa"/>
            <w:vAlign w:val="bottom"/>
          </w:tcPr>
          <w:p>
            <w:pPr>
              <w:spacing w:after="0"/>
              <w:rPr>
                <w:sz w:val="13"/>
                <w:szCs w:val="13"/>
                <w:color w:val="auto"/>
              </w:rPr>
            </w:pPr>
          </w:p>
        </w:tc>
      </w:tr>
      <w:tr>
        <w:trPr>
          <w:trHeight w:val="156"/>
        </w:trPr>
        <w:tc>
          <w:tcPr>
            <w:tcW w:w="1220" w:type="dxa"/>
            <w:vAlign w:val="bottom"/>
          </w:tcPr>
          <w:p>
            <w:pPr>
              <w:spacing w:after="0"/>
              <w:rPr>
                <w:sz w:val="13"/>
                <w:szCs w:val="13"/>
                <w:color w:val="auto"/>
              </w:rPr>
            </w:pPr>
          </w:p>
        </w:tc>
        <w:tc>
          <w:tcPr>
            <w:tcW w:w="6860" w:type="dxa"/>
            <w:vAlign w:val="bottom"/>
            <w:tcBorders>
              <w:top w:val="single" w:sz="8" w:color="0000FF"/>
              <w:bottom w:val="single" w:sz="8" w:color="0000FF"/>
            </w:tcBorders>
          </w:tcPr>
          <w:p>
            <w:pPr>
              <w:spacing w:after="0" w:line="155" w:lineRule="exact"/>
              <w:rPr>
                <w:rFonts w:ascii="Arial" w:cs="Arial" w:eastAsia="Arial" w:hAnsi="Arial"/>
                <w:sz w:val="17"/>
                <w:szCs w:val="17"/>
                <w:color w:val="0000FF"/>
                <w:w w:val="91"/>
              </w:rPr>
            </w:pPr>
            <w:hyperlink r:id="rId105">
              <w:r>
                <w:rPr>
                  <w:rFonts w:ascii="Arial" w:cs="Arial" w:eastAsia="Arial" w:hAnsi="Arial"/>
                  <w:sz w:val="17"/>
                  <w:szCs w:val="17"/>
                  <w:color w:val="0000FF"/>
                  <w:w w:val="91"/>
                </w:rPr>
                <w:t>Statement on Form S-3, File No. 333-255731, filed by the Company with the SEC on May 3, 2021).</w:t>
              </w:r>
            </w:hyperlink>
          </w:p>
        </w:tc>
        <w:tc>
          <w:tcPr>
            <w:tcW w:w="3080" w:type="dxa"/>
            <w:vAlign w:val="bottom"/>
            <w:tcBorders>
              <w:top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r>
    </w:tbl>
    <w:p>
      <w:pPr>
        <w:spacing w:after="0" w:line="23" w:lineRule="exact"/>
        <w:rPr>
          <w:sz w:val="20"/>
          <w:szCs w:val="20"/>
          <w:color w:val="auto"/>
        </w:rPr>
      </w:pPr>
    </w:p>
    <w:p>
      <w:pPr>
        <w:sectPr>
          <w:pgSz w:w="11900" w:h="16838" w:orient="portrait"/>
          <w:cols w:equalWidth="0" w:num="1">
            <w:col w:w="11240"/>
          </w:cols>
          <w:pgMar w:left="320" w:top="122" w:right="339" w:bottom="1440" w:gutter="0" w:footer="0" w:header="0"/>
          <w:type w:val="continuous"/>
        </w:sectPr>
      </w:pPr>
    </w:p>
    <w:p>
      <w:pPr>
        <w:ind w:left="60"/>
        <w:spacing w:after="0"/>
        <w:rPr>
          <w:sz w:val="20"/>
          <w:szCs w:val="20"/>
          <w:color w:val="auto"/>
        </w:rPr>
      </w:pPr>
      <w:r>
        <w:rPr>
          <w:rFonts w:ascii="Arial" w:cs="Arial" w:eastAsia="Arial" w:hAnsi="Arial"/>
          <w:sz w:val="17"/>
          <w:szCs w:val="17"/>
          <w:color w:val="auto"/>
        </w:rPr>
        <w:t>4.4</w:t>
      </w:r>
    </w:p>
    <w:p>
      <w:pPr>
        <w:spacing w:after="0" w:line="372" w:lineRule="exact"/>
        <w:rPr>
          <w:sz w:val="20"/>
          <w:szCs w:val="20"/>
          <w:color w:val="auto"/>
        </w:rPr>
      </w:pPr>
    </w:p>
    <w:p>
      <w:pPr>
        <w:ind w:left="60"/>
        <w:spacing w:after="0"/>
        <w:rPr>
          <w:sz w:val="20"/>
          <w:szCs w:val="20"/>
          <w:color w:val="auto"/>
        </w:rPr>
      </w:pPr>
      <w:r>
        <w:rPr>
          <w:rFonts w:ascii="Arial" w:cs="Arial" w:eastAsia="Arial" w:hAnsi="Arial"/>
          <w:sz w:val="17"/>
          <w:szCs w:val="17"/>
          <w:color w:val="auto"/>
        </w:rPr>
        <w:t>10.1</w:t>
      </w:r>
    </w:p>
    <w:p>
      <w:pPr>
        <w:spacing w:after="0" w:line="372" w:lineRule="exact"/>
        <w:rPr>
          <w:sz w:val="20"/>
          <w:szCs w:val="20"/>
          <w:color w:val="auto"/>
        </w:rPr>
      </w:pPr>
    </w:p>
    <w:p>
      <w:pPr>
        <w:ind w:left="60"/>
        <w:spacing w:after="0"/>
        <w:rPr>
          <w:sz w:val="20"/>
          <w:szCs w:val="20"/>
          <w:color w:val="auto"/>
        </w:rPr>
      </w:pPr>
      <w:r>
        <w:rPr>
          <w:rFonts w:ascii="Arial" w:cs="Arial" w:eastAsia="Arial" w:hAnsi="Arial"/>
          <w:sz w:val="17"/>
          <w:szCs w:val="17"/>
          <w:color w:val="auto"/>
        </w:rPr>
        <w:t>22.1</w:t>
      </w:r>
    </w:p>
    <w:p>
      <w:pPr>
        <w:spacing w:after="0" w:line="264" w:lineRule="exact"/>
        <w:rPr>
          <w:sz w:val="20"/>
          <w:szCs w:val="20"/>
          <w:color w:val="auto"/>
        </w:rPr>
      </w:pPr>
    </w:p>
    <w:p>
      <w:pPr>
        <w:ind w:left="60"/>
        <w:spacing w:after="0"/>
        <w:rPr>
          <w:sz w:val="20"/>
          <w:szCs w:val="20"/>
          <w:color w:val="auto"/>
        </w:rPr>
      </w:pPr>
      <w:r>
        <w:rPr>
          <w:rFonts w:ascii="Arial" w:cs="Arial" w:eastAsia="Arial" w:hAnsi="Arial"/>
          <w:sz w:val="17"/>
          <w:szCs w:val="17"/>
          <w:color w:val="auto"/>
        </w:rPr>
        <w:t>31.1*</w:t>
      </w:r>
    </w:p>
    <w:p>
      <w:pPr>
        <w:spacing w:after="0" w:line="264" w:lineRule="exact"/>
        <w:rPr>
          <w:sz w:val="20"/>
          <w:szCs w:val="20"/>
          <w:color w:val="auto"/>
        </w:rPr>
      </w:pPr>
    </w:p>
    <w:p>
      <w:pPr>
        <w:ind w:left="60"/>
        <w:spacing w:after="0"/>
        <w:rPr>
          <w:sz w:val="20"/>
          <w:szCs w:val="20"/>
          <w:color w:val="auto"/>
        </w:rPr>
      </w:pPr>
      <w:r>
        <w:rPr>
          <w:rFonts w:ascii="Arial" w:cs="Arial" w:eastAsia="Arial" w:hAnsi="Arial"/>
          <w:sz w:val="17"/>
          <w:szCs w:val="17"/>
          <w:color w:val="auto"/>
        </w:rPr>
        <w:t>31.2*</w:t>
      </w:r>
    </w:p>
    <w:p>
      <w:pPr>
        <w:spacing w:after="0" w:line="264" w:lineRule="exact"/>
        <w:rPr>
          <w:sz w:val="20"/>
          <w:szCs w:val="20"/>
          <w:color w:val="auto"/>
        </w:rPr>
      </w:pPr>
    </w:p>
    <w:p>
      <w:pPr>
        <w:ind w:left="60"/>
        <w:spacing w:after="0"/>
        <w:rPr>
          <w:sz w:val="20"/>
          <w:szCs w:val="20"/>
          <w:color w:val="auto"/>
        </w:rPr>
      </w:pPr>
      <w:r>
        <w:rPr>
          <w:rFonts w:ascii="Arial" w:cs="Arial" w:eastAsia="Arial" w:hAnsi="Arial"/>
          <w:sz w:val="17"/>
          <w:szCs w:val="17"/>
          <w:color w:val="auto"/>
        </w:rPr>
        <w:t>32.1**</w:t>
      </w:r>
    </w:p>
    <w:p>
      <w:pPr>
        <w:spacing w:after="0" w:line="264" w:lineRule="exact"/>
        <w:rPr>
          <w:sz w:val="20"/>
          <w:szCs w:val="20"/>
          <w:color w:val="auto"/>
        </w:rPr>
      </w:pPr>
    </w:p>
    <w:p>
      <w:pPr>
        <w:ind w:left="60"/>
        <w:spacing w:after="0"/>
        <w:rPr>
          <w:sz w:val="20"/>
          <w:szCs w:val="20"/>
          <w:color w:val="auto"/>
        </w:rPr>
      </w:pPr>
      <w:r>
        <w:rPr>
          <w:rFonts w:ascii="Arial" w:cs="Arial" w:eastAsia="Arial" w:hAnsi="Arial"/>
          <w:sz w:val="17"/>
          <w:szCs w:val="17"/>
          <w:color w:val="auto"/>
        </w:rPr>
        <w:t>32.2**</w:t>
      </w:r>
    </w:p>
    <w:p>
      <w:pPr>
        <w:spacing w:after="0" w:line="264" w:lineRule="exact"/>
        <w:rPr>
          <w:sz w:val="20"/>
          <w:szCs w:val="20"/>
          <w:color w:val="auto"/>
        </w:rPr>
      </w:pPr>
    </w:p>
    <w:p>
      <w:pPr>
        <w:ind w:left="60"/>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br w:type="column"/>
      </w:r>
    </w:p>
    <w:p>
      <w:pPr>
        <w:jc w:val="both"/>
        <w:ind w:left="40" w:right="20"/>
        <w:spacing w:after="0" w:line="246" w:lineRule="auto"/>
        <w:rPr>
          <w:rFonts w:ascii="Arial" w:cs="Arial" w:eastAsia="Arial" w:hAnsi="Arial"/>
          <w:sz w:val="16"/>
          <w:szCs w:val="16"/>
          <w:u w:val="single" w:color="auto"/>
          <w:color w:val="0000FF"/>
        </w:rPr>
      </w:pPr>
      <w:hyperlink r:id="rId106">
        <w:r>
          <w:rPr>
            <w:rFonts w:ascii="Arial" w:cs="Arial" w:eastAsia="Arial" w:hAnsi="Arial"/>
            <w:sz w:val="16"/>
            <w:szCs w:val="16"/>
            <w:u w:val="single" w:color="auto"/>
            <w:color w:val="0000FF"/>
          </w:rPr>
          <w:t>Sixth Supplemental Indenture, dated as of October 28, 2022, by and among the Company, Diamondback E&amp;P LLC and Computershare Trust</w:t>
        </w:r>
      </w:hyperlink>
      <w:r>
        <w:rPr>
          <w:rFonts w:ascii="Arial" w:cs="Arial" w:eastAsia="Arial" w:hAnsi="Arial"/>
          <w:sz w:val="16"/>
          <w:szCs w:val="16"/>
          <w:u w:val="single" w:color="auto"/>
          <w:color w:val="0000FF"/>
        </w:rPr>
        <w:t xml:space="preserve"> </w:t>
      </w:r>
      <w:hyperlink r:id="rId106">
        <w:r>
          <w:rPr>
            <w:rFonts w:ascii="Arial" w:cs="Arial" w:eastAsia="Arial" w:hAnsi="Arial"/>
            <w:sz w:val="16"/>
            <w:szCs w:val="16"/>
            <w:u w:val="single" w:color="auto"/>
            <w:color w:val="0000FF"/>
          </w:rPr>
          <w:t>Company, National Association, as successor trustee to Wells Fargo Bank, National Association, as trustee (incorporated by reference to Exhibit</w:t>
        </w:r>
      </w:hyperlink>
      <w:r>
        <w:rPr>
          <w:rFonts w:ascii="Arial" w:cs="Arial" w:eastAsia="Arial" w:hAnsi="Arial"/>
          <w:sz w:val="16"/>
          <w:szCs w:val="16"/>
          <w:u w:val="single" w:color="auto"/>
          <w:color w:val="0000FF"/>
        </w:rPr>
        <w:t xml:space="preserve"> </w:t>
      </w:r>
      <w:hyperlink r:id="rId106">
        <w:r>
          <w:rPr>
            <w:rFonts w:ascii="Arial" w:cs="Arial" w:eastAsia="Arial" w:hAnsi="Arial"/>
            <w:sz w:val="16"/>
            <w:szCs w:val="16"/>
            <w:u w:val="single" w:color="auto"/>
            <w:color w:val="0000FF"/>
          </w:rPr>
          <w:t>4.2 to the Form 8-K, File No. 001-35700, filed by the Company with the SEC on October 28, 2022).</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-781685</wp:posOffset>
            </wp:positionH>
            <wp:positionV relativeFrom="paragraph">
              <wp:posOffset>-355600</wp:posOffset>
            </wp:positionV>
            <wp:extent cx="7132320" cy="3600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jc w:val="both"/>
        <w:ind w:left="40" w:right="20"/>
        <w:spacing w:after="0" w:line="269" w:lineRule="auto"/>
        <w:rPr>
          <w:rFonts w:ascii="Arial" w:cs="Arial" w:eastAsia="Arial" w:hAnsi="Arial"/>
          <w:sz w:val="15"/>
          <w:szCs w:val="15"/>
          <w:u w:val="single" w:color="auto"/>
          <w:color w:val="0000FF"/>
        </w:rPr>
      </w:pPr>
      <w:hyperlink r:id="rId108">
        <w:r>
          <w:rPr>
            <w:rFonts w:ascii="Arial" w:cs="Arial" w:eastAsia="Arial" w:hAnsi="Arial"/>
            <w:sz w:val="15"/>
            <w:szCs w:val="15"/>
            <w:u w:val="single" w:color="auto"/>
            <w:color w:val="0000FF"/>
          </w:rPr>
          <w:t>Thirteenth Amendment to Second Amended and Restated Credit Agreement, dated as of June 2, 2022, between Diamondback Energy, Inc., as</w:t>
        </w:r>
      </w:hyperlink>
      <w:r>
        <w:rPr>
          <w:rFonts w:ascii="Arial" w:cs="Arial" w:eastAsia="Arial" w:hAnsi="Arial"/>
          <w:sz w:val="15"/>
          <w:szCs w:val="15"/>
          <w:u w:val="single" w:color="auto"/>
          <w:color w:val="0000FF"/>
        </w:rPr>
        <w:t xml:space="preserve"> </w:t>
      </w:r>
      <w:hyperlink r:id="rId108">
        <w:r>
          <w:rPr>
            <w:rFonts w:ascii="Arial" w:cs="Arial" w:eastAsia="Arial" w:hAnsi="Arial"/>
            <w:sz w:val="15"/>
            <w:szCs w:val="15"/>
            <w:u w:val="single" w:color="auto"/>
            <w:color w:val="0000FF"/>
          </w:rPr>
          <w:t>parent guarantor, Diamondback E&amp;P LLC, as borrower, Wells Fargo Bank, National Association, as administrative agent, and the lenders party</w:t>
        </w:r>
      </w:hyperlink>
      <w:r>
        <w:rPr>
          <w:rFonts w:ascii="Arial" w:cs="Arial" w:eastAsia="Arial" w:hAnsi="Arial"/>
          <w:sz w:val="15"/>
          <w:szCs w:val="15"/>
          <w:u w:val="single" w:color="auto"/>
          <w:color w:val="0000FF"/>
        </w:rPr>
        <w:t xml:space="preserve"> </w:t>
      </w:r>
      <w:hyperlink r:id="rId108">
        <w:r>
          <w:rPr>
            <w:rFonts w:ascii="Arial" w:cs="Arial" w:eastAsia="Arial" w:hAnsi="Arial"/>
            <w:sz w:val="15"/>
            <w:szCs w:val="15"/>
            <w:u w:val="single" w:color="auto"/>
            <w:color w:val="0000FF"/>
          </w:rPr>
          <w:t>thereto (incorporated by reference to Exhibit 10.1 to the Form 8-K, File No. 001-35700, filed by the Company with the SEC on June 7, 2022).</w:t>
        </w:r>
      </w:hyperlink>
    </w:p>
    <w:p>
      <w:pPr>
        <w:spacing w:after="0" w:line="20" w:lineRule="exact"/>
        <w:rPr>
          <w:rFonts w:ascii="Arial" w:cs="Arial" w:eastAsia="Arial" w:hAnsi="Arial"/>
          <w:sz w:val="15"/>
          <w:szCs w:val="15"/>
          <w:u w:val="single" w:color="auto"/>
          <w:color w:val="0000FF"/>
        </w:rPr>
      </w:pPr>
      <w:r>
        <w:rPr>
          <w:rFonts w:ascii="Arial" w:cs="Arial" w:eastAsia="Arial" w:hAnsi="Arial"/>
          <w:sz w:val="15"/>
          <w:szCs w:val="15"/>
          <w:u w:val="single" w:color="auto"/>
          <w:color w:val="0000FF"/>
        </w:rPr>
        <w:drawing>
          <wp:anchor simplePos="0" relativeHeight="251657728" behindDoc="1" locked="0" layoutInCell="0" allowOverlap="1">
            <wp:simplePos x="0" y="0"/>
            <wp:positionH relativeFrom="column">
              <wp:posOffset>-781685</wp:posOffset>
            </wp:positionH>
            <wp:positionV relativeFrom="paragraph">
              <wp:posOffset>-5080</wp:posOffset>
            </wp:positionV>
            <wp:extent cx="7132320" cy="291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40" w:right="60"/>
        <w:spacing w:after="0" w:line="281" w:lineRule="auto"/>
        <w:rPr>
          <w:rFonts w:ascii="Arial" w:cs="Arial" w:eastAsia="Arial" w:hAnsi="Arial"/>
          <w:sz w:val="17"/>
          <w:szCs w:val="17"/>
          <w:u w:val="single" w:color="auto"/>
          <w:color w:val="0000FF"/>
        </w:rPr>
      </w:pPr>
      <w:hyperlink r:id="rId110">
        <w:r>
          <w:rPr>
            <w:rFonts w:ascii="Arial" w:cs="Arial" w:eastAsia="Arial" w:hAnsi="Arial"/>
            <w:sz w:val="17"/>
            <w:szCs w:val="17"/>
            <w:u w:val="single" w:color="auto"/>
            <w:color w:val="0000FF"/>
          </w:rPr>
          <w:t>List of Issuers and Guarantor Subsidiaries (incorporated by reference to Exhibit 22.1 to the Form 10-Q, File No. 001-35700, filed by the</w:t>
        </w:r>
      </w:hyperlink>
      <w:r>
        <w:rPr>
          <w:rFonts w:ascii="Arial" w:cs="Arial" w:eastAsia="Arial" w:hAnsi="Arial"/>
          <w:sz w:val="17"/>
          <w:szCs w:val="17"/>
          <w:u w:val="single" w:color="auto"/>
          <w:color w:val="0000FF"/>
        </w:rPr>
        <w:t xml:space="preserve"> </w:t>
      </w:r>
      <w:hyperlink r:id="rId110">
        <w:r>
          <w:rPr>
            <w:rFonts w:ascii="Arial" w:cs="Arial" w:eastAsia="Arial" w:hAnsi="Arial"/>
            <w:sz w:val="17"/>
            <w:szCs w:val="17"/>
            <w:u w:val="single" w:color="auto"/>
            <w:color w:val="0000FF"/>
          </w:rPr>
          <w:t>Company with the SEC on August 5, 2021).</w:t>
        </w:r>
      </w:hyperlink>
    </w:p>
    <w:p>
      <w:pPr>
        <w:spacing w:after="0" w:line="1" w:lineRule="exact"/>
        <w:rPr>
          <w:sz w:val="20"/>
          <w:szCs w:val="20"/>
          <w:color w:val="auto"/>
        </w:rPr>
      </w:pPr>
    </w:p>
    <w:p>
      <w:pPr>
        <w:ind w:left="40" w:right="60"/>
        <w:spacing w:after="0" w:line="281" w:lineRule="auto"/>
        <w:rPr>
          <w:sz w:val="20"/>
          <w:szCs w:val="20"/>
          <w:color w:val="auto"/>
        </w:rPr>
      </w:pPr>
      <w:r>
        <w:rPr>
          <w:rFonts w:ascii="Arial" w:cs="Arial" w:eastAsia="Arial" w:hAnsi="Arial"/>
          <w:sz w:val="17"/>
          <w:szCs w:val="17"/>
          <w:u w:val="single" w:color="auto"/>
          <w:color w:val="0000FF"/>
        </w:rPr>
        <w:t>Certification of Chief Executive Officer of the Registrant pursuant to Rule 13a-14(a) promulgated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-4445</wp:posOffset>
            </wp:positionV>
            <wp:extent cx="7132320" cy="291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40" w:right="60"/>
        <w:spacing w:after="0" w:line="281" w:lineRule="auto"/>
        <w:rPr>
          <w:sz w:val="20"/>
          <w:szCs w:val="20"/>
          <w:color w:val="auto"/>
        </w:rPr>
      </w:pPr>
      <w:r>
        <w:rPr>
          <w:rFonts w:ascii="Arial" w:cs="Arial" w:eastAsia="Arial" w:hAnsi="Arial"/>
          <w:sz w:val="17"/>
          <w:szCs w:val="17"/>
          <w:u w:val="single" w:color="auto"/>
          <w:color w:val="0000FF"/>
        </w:rPr>
        <w:t>Certification of Chief Financial Officer of the Registrant pursuant to Rule 13a-14(a) promulgated under the Securities Exchange Act of 1934, as amended.</w:t>
      </w:r>
    </w:p>
    <w:p>
      <w:pPr>
        <w:spacing w:after="0" w:line="1" w:lineRule="exact"/>
        <w:rPr>
          <w:sz w:val="20"/>
          <w:szCs w:val="20"/>
          <w:color w:val="auto"/>
        </w:rPr>
      </w:pPr>
    </w:p>
    <w:p>
      <w:pPr>
        <w:ind w:left="40" w:right="60"/>
        <w:spacing w:after="0" w:line="281" w:lineRule="auto"/>
        <w:rPr>
          <w:sz w:val="20"/>
          <w:szCs w:val="20"/>
          <w:color w:val="auto"/>
        </w:rPr>
      </w:pPr>
      <w:r>
        <w:rPr>
          <w:rFonts w:ascii="Arial" w:cs="Arial" w:eastAsia="Arial" w:hAnsi="Arial"/>
          <w:sz w:val="17"/>
          <w:szCs w:val="17"/>
          <w:u w:val="single" w:color="auto"/>
          <w:color w:val="0000FF"/>
        </w:rPr>
        <w:t>Certification of Chief Executive Officer of the Registrant pursuant to Rule 13a-14(b) promulgated under the Securities Exchange Act of 1934, as amended, and Section 1350 of Chapter 63 of Title 18 of the United States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-4445</wp:posOffset>
            </wp:positionV>
            <wp:extent cx="7132320" cy="291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40" w:right="80"/>
        <w:spacing w:after="0" w:line="273" w:lineRule="auto"/>
        <w:rPr>
          <w:sz w:val="20"/>
          <w:szCs w:val="20"/>
          <w:color w:val="auto"/>
        </w:rPr>
      </w:pPr>
      <w:r>
        <w:rPr>
          <w:rFonts w:ascii="Arial" w:cs="Arial" w:eastAsia="Arial" w:hAnsi="Arial"/>
          <w:sz w:val="17"/>
          <w:szCs w:val="17"/>
          <w:u w:val="single" w:color="auto"/>
          <w:color w:val="0000FF"/>
        </w:rPr>
        <w:t>Certification of Chief Financial Officer of the Registrant pursuant to Rule 13a-14(b) promulgated under the Securities Exchange Act of 1934, as amended, and Section 1350 of Chapter 63 of Title 18 of the United States Code.</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5"/>
          <w:szCs w:val="15"/>
          <w:color w:val="auto"/>
        </w:rPr>
        <w:t>The following financial information from the Company’s Quarterly Report on Form 10-Q for the quarter ended September 30, 2022, formatted in Inline XBRL: (i) Condensed Consolidated Balance Sheets, (ii) Condensed Consolidated Statements of Operations, (iii) Condensed Consolidated</w:t>
      </w:r>
    </w:p>
    <w:p>
      <w:pPr>
        <w:spacing w:after="0" w:line="1" w:lineRule="exact"/>
        <w:rPr>
          <w:sz w:val="20"/>
          <w:szCs w:val="20"/>
          <w:color w:val="auto"/>
        </w:rPr>
      </w:pPr>
    </w:p>
    <w:p>
      <w:pPr>
        <w:ind w:right="20"/>
        <w:spacing w:after="0" w:line="223" w:lineRule="auto"/>
        <w:rPr>
          <w:sz w:val="20"/>
          <w:szCs w:val="20"/>
          <w:color w:val="auto"/>
        </w:rPr>
      </w:pPr>
      <w:r>
        <w:rPr>
          <w:rFonts w:ascii="Arial" w:cs="Arial" w:eastAsia="Arial" w:hAnsi="Arial"/>
          <w:sz w:val="17"/>
          <w:szCs w:val="17"/>
          <w:color w:val="auto"/>
        </w:rPr>
        <w:t>Statement of Changes in Stockholders’ Equity, (iv) Condensed Consolidated Statements of Cash Flows and (v) Condensed Notes to Consolidated Financial Statements.</w:t>
      </w:r>
    </w:p>
    <w:p>
      <w:pPr>
        <w:spacing w:after="0" w:line="21" w:lineRule="exact"/>
        <w:rPr>
          <w:sz w:val="20"/>
          <w:szCs w:val="20"/>
          <w:color w:val="auto"/>
        </w:rPr>
      </w:pPr>
    </w:p>
    <w:p>
      <w:pPr>
        <w:sectPr>
          <w:pgSz w:w="11900" w:h="16838" w:orient="portrait"/>
          <w:cols w:equalWidth="0" w:num="2">
            <w:col w:w="540" w:space="700"/>
            <w:col w:w="1000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254"/>
        </w:trPr>
        <w:tc>
          <w:tcPr>
            <w:tcW w:w="1280" w:type="dxa"/>
            <w:vAlign w:val="bottom"/>
            <w:shd w:val="clear" w:color="auto" w:fill="CCEEFF"/>
          </w:tcPr>
          <w:p>
            <w:pPr>
              <w:jc w:val="right"/>
              <w:ind w:right="872"/>
              <w:spacing w:after="0"/>
              <w:rPr>
                <w:sz w:val="20"/>
                <w:szCs w:val="20"/>
                <w:color w:val="auto"/>
              </w:rPr>
            </w:pPr>
            <w:r>
              <w:rPr>
                <w:rFonts w:ascii="Arial" w:cs="Arial" w:eastAsia="Arial" w:hAnsi="Arial"/>
                <w:sz w:val="17"/>
                <w:szCs w:val="17"/>
                <w:color w:val="auto"/>
              </w:rPr>
              <w:t>104</w:t>
            </w:r>
          </w:p>
        </w:tc>
        <w:tc>
          <w:tcPr>
            <w:tcW w:w="9960" w:type="dxa"/>
            <w:vAlign w:val="bottom"/>
            <w:shd w:val="clear" w:color="auto" w:fill="CCEEFF"/>
          </w:tcPr>
          <w:p>
            <w:pPr>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r>
      <w:tr>
        <w:trPr>
          <w:trHeight w:val="311"/>
        </w:trPr>
        <w:tc>
          <w:tcPr>
            <w:tcW w:w="1280" w:type="dxa"/>
            <w:vAlign w:val="bottom"/>
          </w:tcPr>
          <w:p>
            <w:pPr>
              <w:jc w:val="right"/>
              <w:spacing w:after="0"/>
              <w:rPr>
                <w:sz w:val="20"/>
                <w:szCs w:val="20"/>
                <w:color w:val="auto"/>
              </w:rPr>
            </w:pPr>
            <w:r>
              <w:rPr>
                <w:rFonts w:ascii="Arial" w:cs="Arial" w:eastAsia="Arial" w:hAnsi="Arial"/>
                <w:sz w:val="18"/>
                <w:szCs w:val="18"/>
                <w:color w:val="auto"/>
                <w:w w:val="88"/>
              </w:rPr>
              <w:t>______________</w:t>
            </w:r>
          </w:p>
        </w:tc>
        <w:tc>
          <w:tcPr>
            <w:tcW w:w="9960" w:type="dxa"/>
            <w:vAlign w:val="bottom"/>
          </w:tcPr>
          <w:p>
            <w:pPr>
              <w:spacing w:after="0"/>
              <w:rPr>
                <w:sz w:val="24"/>
                <w:szCs w:val="24"/>
                <w:color w:val="auto"/>
              </w:rPr>
            </w:pPr>
          </w:p>
        </w:tc>
      </w:tr>
    </w:tbl>
    <w:p>
      <w:pPr>
        <w:spacing w:after="0" w:line="117" w:lineRule="exact"/>
        <w:rPr>
          <w:sz w:val="20"/>
          <w:szCs w:val="20"/>
          <w:color w:val="auto"/>
        </w:rPr>
      </w:pPr>
    </w:p>
    <w:p>
      <w:pPr>
        <w:ind w:left="540" w:hanging="474"/>
        <w:spacing w:after="0"/>
        <w:tabs>
          <w:tab w:leader="none" w:pos="5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142" w:lineRule="exact"/>
        <w:rPr>
          <w:sz w:val="20"/>
          <w:szCs w:val="20"/>
          <w:color w:val="auto"/>
        </w:rPr>
      </w:pPr>
    </w:p>
    <w:p>
      <w:pPr>
        <w:jc w:val="both"/>
        <w:ind w:left="540" w:right="60" w:hanging="474"/>
        <w:spacing w:after="0" w:line="226" w:lineRule="auto"/>
        <w:tabs>
          <w:tab w:leader="none" w:pos="5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certifications attached as Exhibit 32.1 and Exhibit 32.2 accompany this Quarterly Report on Form 10-Q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DIAMONDBACK ENERGY, INC.</w:t>
            </w:r>
          </w:p>
        </w:tc>
      </w:tr>
      <w:tr>
        <w:trPr>
          <w:trHeight w:val="499"/>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460" w:type="dxa"/>
            <w:vAlign w:val="bottom"/>
          </w:tcPr>
          <w:p>
            <w:pPr>
              <w:ind w:left="180"/>
              <w:spacing w:after="0"/>
              <w:rPr>
                <w:sz w:val="20"/>
                <w:szCs w:val="20"/>
                <w:color w:val="auto"/>
              </w:rPr>
            </w:pPr>
            <w:r>
              <w:rPr>
                <w:rFonts w:ascii="Arial" w:cs="Arial" w:eastAsia="Arial" w:hAnsi="Arial"/>
                <w:sz w:val="18"/>
                <w:szCs w:val="18"/>
                <w:color w:val="auto"/>
              </w:rPr>
              <w:t>November 8, 2022</w:t>
            </w:r>
          </w:p>
        </w:tc>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2"/>
        </w:trPr>
        <w:tc>
          <w:tcPr>
            <w:tcW w:w="56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29"/>
        </w:trPr>
        <w:tc>
          <w:tcPr>
            <w:tcW w:w="56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5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86"/>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460" w:type="dxa"/>
            <w:vAlign w:val="bottom"/>
          </w:tcPr>
          <w:p>
            <w:pPr>
              <w:ind w:left="180"/>
              <w:spacing w:after="0"/>
              <w:rPr>
                <w:sz w:val="20"/>
                <w:szCs w:val="20"/>
                <w:color w:val="auto"/>
              </w:rPr>
            </w:pPr>
            <w:r>
              <w:rPr>
                <w:rFonts w:ascii="Arial" w:cs="Arial" w:eastAsia="Arial" w:hAnsi="Arial"/>
                <w:sz w:val="18"/>
                <w:szCs w:val="18"/>
                <w:color w:val="auto"/>
              </w:rPr>
              <w:t>November 8, 2022</w:t>
            </w:r>
          </w:p>
        </w:tc>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Kaes Van’t Hof</w:t>
            </w:r>
          </w:p>
        </w:tc>
      </w:tr>
      <w:tr>
        <w:trPr>
          <w:trHeight w:val="222"/>
        </w:trPr>
        <w:tc>
          <w:tcPr>
            <w:tcW w:w="56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Kaes Van’t Hof</w:t>
            </w:r>
          </w:p>
        </w:tc>
      </w:tr>
      <w:tr>
        <w:trPr>
          <w:trHeight w:val="230"/>
        </w:trPr>
        <w:tc>
          <w:tcPr>
            <w:tcW w:w="56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5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22"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Travis D. Stice, certify that:</w:t>
      </w:r>
    </w:p>
    <w:p>
      <w:pPr>
        <w:spacing w:after="0" w:line="104" w:lineRule="exact"/>
        <w:rPr>
          <w:sz w:val="20"/>
          <w:szCs w:val="20"/>
          <w:color w:val="auto"/>
        </w:rPr>
      </w:pPr>
    </w:p>
    <w:p>
      <w:pPr>
        <w:ind w:left="360" w:hanging="312"/>
        <w:spacing w:after="0"/>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Diamondback Energy, Inc.</w:t>
      </w:r>
    </w:p>
    <w:p>
      <w:pPr>
        <w:spacing w:after="0" w:line="90" w:lineRule="exact"/>
        <w:rPr>
          <w:rFonts w:ascii="Arial" w:cs="Arial" w:eastAsia="Arial" w:hAnsi="Arial"/>
          <w:sz w:val="18"/>
          <w:szCs w:val="18"/>
          <w:color w:val="auto"/>
        </w:rPr>
      </w:pPr>
    </w:p>
    <w:p>
      <w:pPr>
        <w:ind w:left="460" w:right="340" w:hanging="412"/>
        <w:spacing w:after="0" w:line="263" w:lineRule="auto"/>
        <w:tabs>
          <w:tab w:leader="none" w:pos="37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60" w:right="380" w:hanging="412"/>
        <w:spacing w:after="0" w:line="308" w:lineRule="auto"/>
        <w:tabs>
          <w:tab w:leader="none" w:pos="37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460" w:right="380" w:hanging="412"/>
        <w:spacing w:after="0" w:line="263" w:lineRule="auto"/>
        <w:tabs>
          <w:tab w:leader="none" w:pos="36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48" w:lineRule="exact"/>
        <w:rPr>
          <w:rFonts w:ascii="Arial" w:cs="Arial" w:eastAsia="Arial" w:hAnsi="Arial"/>
          <w:sz w:val="18"/>
          <w:szCs w:val="18"/>
          <w:color w:val="auto"/>
        </w:rPr>
      </w:pPr>
    </w:p>
    <w:p>
      <w:pPr>
        <w:jc w:val="both"/>
        <w:ind w:left="900" w:right="160" w:hanging="406"/>
        <w:spacing w:after="0" w:line="263" w:lineRule="auto"/>
        <w:tabs>
          <w:tab w:leader="none" w:pos="875"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900" w:right="440" w:hanging="406"/>
        <w:spacing w:after="0" w:line="263" w:lineRule="auto"/>
        <w:tabs>
          <w:tab w:leader="none" w:pos="885"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900" w:right="620" w:hanging="406"/>
        <w:spacing w:after="0" w:line="334" w:lineRule="auto"/>
        <w:tabs>
          <w:tab w:leader="none" w:pos="875"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00" w:right="140" w:hanging="406"/>
        <w:spacing w:after="0" w:line="263" w:lineRule="auto"/>
        <w:tabs>
          <w:tab w:leader="none" w:pos="885"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60" w:right="300" w:hanging="412"/>
        <w:spacing w:after="0" w:line="308" w:lineRule="auto"/>
        <w:tabs>
          <w:tab w:leader="none" w:pos="367"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900" w:right="60" w:hanging="406"/>
        <w:spacing w:after="0" w:line="308" w:lineRule="auto"/>
        <w:tabs>
          <w:tab w:leader="none" w:pos="865"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900" w:right="20" w:hanging="406"/>
        <w:spacing w:after="0" w:line="277" w:lineRule="auto"/>
        <w:tabs>
          <w:tab w:leader="none" w:pos="875"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5760" w:type="dxa"/>
            <w:vAlign w:val="bottom"/>
          </w:tcPr>
          <w:p>
            <w:pPr>
              <w:ind w:left="200"/>
              <w:spacing w:after="0"/>
              <w:rPr>
                <w:sz w:val="20"/>
                <w:szCs w:val="20"/>
                <w:color w:val="auto"/>
              </w:rPr>
            </w:pPr>
            <w:r>
              <w:rPr>
                <w:rFonts w:ascii="Arial" w:cs="Arial" w:eastAsia="Arial" w:hAnsi="Arial"/>
                <w:sz w:val="18"/>
                <w:szCs w:val="18"/>
                <w:color w:val="auto"/>
              </w:rPr>
              <w:t>November 8, 2022</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2"/>
        </w:trPr>
        <w:tc>
          <w:tcPr>
            <w:tcW w:w="6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30"/>
        </w:trPr>
        <w:tc>
          <w:tcPr>
            <w:tcW w:w="6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891"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Kaes Van't Hof, certify that:</w:t>
      </w:r>
    </w:p>
    <w:p>
      <w:pPr>
        <w:spacing w:after="0" w:line="104" w:lineRule="exact"/>
        <w:rPr>
          <w:sz w:val="20"/>
          <w:szCs w:val="20"/>
          <w:color w:val="auto"/>
        </w:rPr>
      </w:pPr>
    </w:p>
    <w:p>
      <w:pPr>
        <w:ind w:left="360" w:hanging="312"/>
        <w:spacing w:after="0"/>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Diamondback Energy, Inc.</w:t>
      </w:r>
    </w:p>
    <w:p>
      <w:pPr>
        <w:spacing w:after="0" w:line="90" w:lineRule="exact"/>
        <w:rPr>
          <w:rFonts w:ascii="Arial" w:cs="Arial" w:eastAsia="Arial" w:hAnsi="Arial"/>
          <w:sz w:val="18"/>
          <w:szCs w:val="18"/>
          <w:color w:val="auto"/>
        </w:rPr>
      </w:pPr>
    </w:p>
    <w:p>
      <w:pPr>
        <w:ind w:left="460" w:right="340" w:hanging="412"/>
        <w:spacing w:after="0" w:line="263" w:lineRule="auto"/>
        <w:tabs>
          <w:tab w:leader="none" w:pos="37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60" w:right="380" w:hanging="412"/>
        <w:spacing w:after="0" w:line="308" w:lineRule="auto"/>
        <w:tabs>
          <w:tab w:leader="none" w:pos="37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460" w:right="380" w:hanging="412"/>
        <w:spacing w:after="0" w:line="263" w:lineRule="auto"/>
        <w:tabs>
          <w:tab w:leader="none" w:pos="36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48" w:lineRule="exact"/>
        <w:rPr>
          <w:rFonts w:ascii="Arial" w:cs="Arial" w:eastAsia="Arial" w:hAnsi="Arial"/>
          <w:sz w:val="18"/>
          <w:szCs w:val="18"/>
          <w:color w:val="auto"/>
        </w:rPr>
      </w:pPr>
    </w:p>
    <w:p>
      <w:pPr>
        <w:jc w:val="both"/>
        <w:ind w:left="900" w:right="160" w:hanging="406"/>
        <w:spacing w:after="0" w:line="263" w:lineRule="auto"/>
        <w:tabs>
          <w:tab w:leader="none" w:pos="875"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900" w:right="440" w:hanging="406"/>
        <w:spacing w:after="0" w:line="263" w:lineRule="auto"/>
        <w:tabs>
          <w:tab w:leader="none" w:pos="885"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900" w:right="620" w:hanging="406"/>
        <w:spacing w:after="0" w:line="334" w:lineRule="auto"/>
        <w:tabs>
          <w:tab w:leader="none" w:pos="875"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00" w:right="140" w:hanging="406"/>
        <w:spacing w:after="0" w:line="263" w:lineRule="auto"/>
        <w:tabs>
          <w:tab w:leader="none" w:pos="885"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60" w:right="300" w:hanging="412"/>
        <w:spacing w:after="0" w:line="308" w:lineRule="auto"/>
        <w:tabs>
          <w:tab w:leader="none" w:pos="367"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900" w:right="60" w:hanging="406"/>
        <w:spacing w:after="0" w:line="308" w:lineRule="auto"/>
        <w:tabs>
          <w:tab w:leader="none" w:pos="865"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900" w:right="20" w:hanging="406"/>
        <w:spacing w:after="0" w:line="277" w:lineRule="auto"/>
        <w:tabs>
          <w:tab w:leader="none" w:pos="875"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Date:  November 8, 2022</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Kaes Van't Hof</w:t>
            </w:r>
          </w:p>
        </w:tc>
      </w:tr>
      <w:tr>
        <w:trPr>
          <w:trHeight w:val="222"/>
        </w:trPr>
        <w:tc>
          <w:tcPr>
            <w:tcW w:w="636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Kaes Van't Hof</w:t>
            </w:r>
          </w:p>
        </w:tc>
      </w:tr>
      <w:tr>
        <w:trPr>
          <w:trHeight w:val="230"/>
        </w:trPr>
        <w:tc>
          <w:tcPr>
            <w:tcW w:w="636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1"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connection with the Quarterly Report on Form 10-Q of Diamondback Energy, Inc. (the "Company"), as filed with the Securities and Exchange Commission on the date hereof (the "Report"), I, the undersigned, Travis D. Stice, Chief Executive Officer of Diamondback Energy, Inc., certify, pursuant to Section 906 of the Sarbanes-Oxley Act of 2002, 18 U.S.C. Section 1350, that, to the best of my knowledge: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(15 U.S.C. 78m(a) or 78o(d));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Date:  November 8, 2022</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2"/>
        </w:trPr>
        <w:tc>
          <w:tcPr>
            <w:tcW w:w="636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30"/>
        </w:trPr>
        <w:tc>
          <w:tcPr>
            <w:tcW w:w="636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891"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connection with the Quarterly Report on Form 10-Q of Diamondback Energy, Inc. (the "Company"), as filed with the Securities and Exchange Commission on the date hereof (the "Report"), I, the undersigned, Kaes Van't Hof, Chief Financial Officer of Diamondback Energy, Inc., certify, pursuant to Section 906 of the Sarbanes-Oxley Act of 2002, 18 U.S.C. Section 1350, that, to the best of my knowledge: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(15 U.S.C. 78m(a) or 78o(d));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Date:  November 8, 2022</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Kaes Van't Hof</w:t>
            </w:r>
          </w:p>
        </w:tc>
      </w:tr>
      <w:tr>
        <w:trPr>
          <w:trHeight w:val="222"/>
        </w:trPr>
        <w:tc>
          <w:tcPr>
            <w:tcW w:w="636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Kaes Van't Hof</w:t>
            </w:r>
          </w:p>
        </w:tc>
      </w:tr>
      <w:tr>
        <w:trPr>
          <w:trHeight w:val="230"/>
        </w:trPr>
        <w:tc>
          <w:tcPr>
            <w:tcW w:w="636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lowerRoman"/>
      <w:start w:val="2"/>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1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lowerRoman"/>
      <w:start w:val="2"/>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1)"/>
      <w:numFmt w:val="lowerRoman"/>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4" Type="http://schemas.openxmlformats.org/officeDocument/2006/relationships/image" Target="media/image83.png"/><Relationship Id="rId97" Type="http://schemas.openxmlformats.org/officeDocument/2006/relationships/image" Target="media/image84.png"/><Relationship Id="rId101" Type="http://schemas.openxmlformats.org/officeDocument/2006/relationships/image" Target="media/image85.png"/><Relationship Id="rId104" Type="http://schemas.openxmlformats.org/officeDocument/2006/relationships/image" Target="media/image86.png"/><Relationship Id="rId107" Type="http://schemas.openxmlformats.org/officeDocument/2006/relationships/image" Target="media/image87.png"/><Relationship Id="rId109" Type="http://schemas.openxmlformats.org/officeDocument/2006/relationships/image" Target="media/image88.png"/><Relationship Id="rId111" Type="http://schemas.openxmlformats.org/officeDocument/2006/relationships/image" Target="media/image89.png"/><Relationship Id="rId112" Type="http://schemas.openxmlformats.org/officeDocument/2006/relationships/image" Target="media/image90.png"/><Relationship Id="rId113" Type="http://schemas.openxmlformats.org/officeDocument/2006/relationships/image" Target="media/image91.png"/><Relationship Id="rId27" Type="http://schemas.openxmlformats.org/officeDocument/2006/relationships/hyperlink" Target="http://www.sec.gov/ix?doc=/Archives/edgar/data/1539838/000153983822000133/fang-20220630.htm#i31241139a24240ee889881d54ce4b5f1_163" TargetMode="External"/><Relationship Id="rId28" Type="http://schemas.openxmlformats.org/officeDocument/2006/relationships/hyperlink" Target="http://www.sec.gov/ix?doc=/Archives/edgar/data/1539838/000153983822000058/fang-20220331.htm#i2375de53caa2446b9eca86abaabafb03_169" TargetMode="External"/><Relationship Id="rId29" Type="http://schemas.openxmlformats.org/officeDocument/2006/relationships/hyperlink" Target="https://www.sec.gov/ix?doc=/Archives/edgar/data/1539838/000153983822000008/fang-20211231.htm" TargetMode="External"/><Relationship Id="rId93" Type="http://schemas.openxmlformats.org/officeDocument/2006/relationships/hyperlink" Target="https://www.sec.gov/ix?doc=/Archives/edgar/data/1539838/000153983822000008/fang-20211231.htm#ia0a8569c6321429087004ad63a8c5224_25" TargetMode="External"/><Relationship Id="rId95" Type="http://schemas.openxmlformats.org/officeDocument/2006/relationships/hyperlink" Target="https://www.sec.gov/Archives/edgar/data/1748773/000119312522151937/d360984dex21.htm" TargetMode="External"/><Relationship Id="rId96" Type="http://schemas.openxmlformats.org/officeDocument/2006/relationships/hyperlink" Target="http://www.sec.gov/Archives/edgar/data/1539838/000153983812000004/exhibit31amendcertofincorp.htm" TargetMode="External"/><Relationship Id="rId98" Type="http://schemas.openxmlformats.org/officeDocument/2006/relationships/hyperlink" Target="http://www.sec.gov/Archives/edgar/data/1539838/000153983816000266/diamondbackex31-12x12x16.htm" TargetMode="External"/><Relationship Id="rId99" Type="http://schemas.openxmlformats.org/officeDocument/2006/relationships/hyperlink" Target="https://www.sec.gov/Archives/edgar/data/1539838/000153983821000095/diamondbackex31-6x2x21.htm" TargetMode="External"/><Relationship Id="rId100" Type="http://schemas.openxmlformats.org/officeDocument/2006/relationships/hyperlink" Target="https://www.sec.gov/Archives/edgar/data/1539838/000153983822000151/diamondbackex31-10x3x22.htm" TargetMode="External"/><Relationship Id="rId102" Type="http://schemas.openxmlformats.org/officeDocument/2006/relationships/hyperlink" Target="http://www.sec.gov/Archives/edgar/data/1539838/000119312512360997/d295327dex41.htm" TargetMode="External"/><Relationship Id="rId103" Type="http://schemas.openxmlformats.org/officeDocument/2006/relationships/hyperlink" Target="https://www.sec.gov/Archives/edgar/data/1539838/000119312521148164/d301323dex43.htm" TargetMode="External"/><Relationship Id="rId105" Type="http://schemas.openxmlformats.org/officeDocument/2006/relationships/hyperlink" Target="https://www.sec.gov/Archives/edgar/data/1539838/000119312521148164/d301323dex44.htm" TargetMode="External"/><Relationship Id="rId106" Type="http://schemas.openxmlformats.org/officeDocument/2006/relationships/hyperlink" Target="http://www.sec.gov/Archives/edgar/data/1539838/000110465922112432/tm2229096d1_ex4-2.htm" TargetMode="External"/><Relationship Id="rId108" Type="http://schemas.openxmlformats.org/officeDocument/2006/relationships/hyperlink" Target="http://www.sec.gov/Archives/edgar/data/1539838/000153983822000073/diamondback-ex101x6x2x22.htm" TargetMode="External"/><Relationship Id="rId110" Type="http://schemas.openxmlformats.org/officeDocument/2006/relationships/hyperlink" Target="https://www.sec.gov/Archives/edgar/data/1539838/000153983821000117/diamondback-ex211x8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2022-11-08T16:35:24Z</dcterms:created>
  <dcterms:modified xsi:type="dcterms:W3CDTF">2022-11-08T16:35:24Z</dcterms:modified>
</cp:coreProperties>
</file>