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285115</wp:posOffset>
            </wp:positionH>
            <wp:positionV relativeFrom="page">
              <wp:posOffset>706120</wp:posOffset>
            </wp:positionV>
            <wp:extent cx="69780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890"/>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662940</wp:posOffset>
            </wp:positionV>
            <wp:extent cx="69780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color w:val="808080"/>
        </w:rPr>
        <w:t>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DIAMONDBACK ENERGY,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2"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2820" w:type="dxa"/>
            <w:vAlign w:val="bottom"/>
          </w:tcPr>
          <w:p>
            <w:pPr>
              <w:jc w:val="center"/>
              <w:ind w:right="203"/>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2160" w:type="dxa"/>
            <w:vAlign w:val="bottom"/>
          </w:tcPr>
          <w:p>
            <w:pPr>
              <w:jc w:val="right"/>
              <w:ind w:right="664"/>
              <w:spacing w:after="0"/>
              <w:rPr>
                <w:sz w:val="20"/>
                <w:szCs w:val="20"/>
                <w:color w:val="auto"/>
              </w:rPr>
            </w:pPr>
            <w:r>
              <w:rPr>
                <w:rFonts w:ascii="Times New Roman" w:cs="Times New Roman" w:eastAsia="Times New Roman" w:hAnsi="Times New Roman"/>
                <w:sz w:val="16"/>
                <w:szCs w:val="16"/>
                <w:b w:val="1"/>
                <w:bCs w:val="1"/>
                <w:color w:val="auto"/>
              </w:rPr>
              <w:t>001-35700</w:t>
            </w:r>
          </w:p>
        </w:tc>
        <w:tc>
          <w:tcPr>
            <w:tcW w:w="22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45-4502447</w:t>
            </w:r>
          </w:p>
        </w:tc>
      </w:tr>
      <w:tr>
        <w:trPr>
          <w:trHeight w:val="414"/>
        </w:trPr>
        <w:tc>
          <w:tcPr>
            <w:tcW w:w="2820" w:type="dxa"/>
            <w:vAlign w:val="bottom"/>
          </w:tcPr>
          <w:p>
            <w:pPr>
              <w:jc w:val="center"/>
              <w:ind w:right="20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(Commission File Number)</w:t>
            </w:r>
          </w:p>
        </w:tc>
        <w:tc>
          <w:tcPr>
            <w:tcW w:w="2280" w:type="dxa"/>
            <w:vAlign w:val="bottom"/>
          </w:tcPr>
          <w:p>
            <w:pPr>
              <w:jc w:val="center"/>
              <w:ind w:left="22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63"/>
        </w:trPr>
        <w:tc>
          <w:tcPr>
            <w:tcW w:w="2820" w:type="dxa"/>
            <w:vAlign w:val="bottom"/>
          </w:tcPr>
          <w:p>
            <w:pPr>
              <w:jc w:val="center"/>
              <w:ind w:right="203"/>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9"/>
        </w:trPr>
        <w:tc>
          <w:tcPr>
            <w:tcW w:w="2820" w:type="dxa"/>
            <w:vAlign w:val="bottom"/>
          </w:tcPr>
          <w:p>
            <w:pPr>
              <w:jc w:val="center"/>
              <w:ind w:right="203"/>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2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820" w:type="dxa"/>
            <w:vAlign w:val="bottom"/>
          </w:tcPr>
          <w:p>
            <w:pPr>
              <w:jc w:val="center"/>
              <w:ind w:right="203"/>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2160" w:type="dxa"/>
            <w:vAlign w:val="bottom"/>
          </w:tcPr>
          <w:p>
            <w:pPr>
              <w:spacing w:after="0"/>
              <w:rPr>
                <w:sz w:val="19"/>
                <w:szCs w:val="19"/>
                <w:color w:val="auto"/>
              </w:rPr>
            </w:pPr>
          </w:p>
        </w:tc>
        <w:tc>
          <w:tcPr>
            <w:tcW w:w="2280" w:type="dxa"/>
            <w:vAlign w:val="bottom"/>
          </w:tcPr>
          <w:p>
            <w:pPr>
              <w:jc w:val="right"/>
              <w:ind w:right="704"/>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59"/>
        </w:trPr>
        <w:tc>
          <w:tcPr>
            <w:tcW w:w="2820" w:type="dxa"/>
            <w:vAlign w:val="bottom"/>
          </w:tcPr>
          <w:p>
            <w:pPr>
              <w:jc w:val="center"/>
              <w:ind w:right="243"/>
              <w:spacing w:after="0" w:line="159" w:lineRule="exact"/>
              <w:rPr>
                <w:sz w:val="20"/>
                <w:szCs w:val="20"/>
                <w:color w:val="auto"/>
              </w:rPr>
            </w:pPr>
            <w:r>
              <w:rPr>
                <w:rFonts w:ascii="Times New Roman" w:cs="Times New Roman" w:eastAsia="Times New Roman" w:hAnsi="Times New Roman"/>
                <w:sz w:val="14"/>
                <w:szCs w:val="14"/>
                <w:color w:val="auto"/>
              </w:rPr>
              <w:t>(Address of principal</w:t>
            </w:r>
          </w:p>
        </w:tc>
        <w:tc>
          <w:tcPr>
            <w:tcW w:w="2160" w:type="dxa"/>
            <w:vAlign w:val="bottom"/>
          </w:tcPr>
          <w:p>
            <w:pPr>
              <w:spacing w:after="0"/>
              <w:rPr>
                <w:sz w:val="13"/>
                <w:szCs w:val="13"/>
                <w:color w:val="auto"/>
              </w:rPr>
            </w:pPr>
          </w:p>
        </w:tc>
        <w:tc>
          <w:tcPr>
            <w:tcW w:w="2280" w:type="dxa"/>
            <w:vAlign w:val="bottom"/>
          </w:tcPr>
          <w:p>
            <w:pPr>
              <w:jc w:val="center"/>
              <w:ind w:left="244"/>
              <w:spacing w:after="0" w:line="159" w:lineRule="exact"/>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2820" w:type="dxa"/>
            <w:vAlign w:val="bottom"/>
          </w:tcPr>
          <w:p>
            <w:pPr>
              <w:jc w:val="center"/>
              <w:ind w:right="203"/>
              <w:spacing w:after="0"/>
              <w:rPr>
                <w:sz w:val="20"/>
                <w:szCs w:val="20"/>
                <w:color w:val="auto"/>
              </w:rPr>
            </w:pPr>
            <w:r>
              <w:rPr>
                <w:rFonts w:ascii="Times New Roman" w:cs="Times New Roman" w:eastAsia="Times New Roman" w:hAnsi="Times New Roman"/>
                <w:sz w:val="14"/>
                <w:szCs w:val="14"/>
                <w:color w:val="auto"/>
              </w:rPr>
              <w:t>executive offices)</w:t>
            </w:r>
          </w:p>
        </w:tc>
        <w:tc>
          <w:tcPr>
            <w:tcW w:w="216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(432) 221-7400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3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98"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57"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120"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1191" w:right="339" w:bottom="1440" w:gutter="0" w:footer="0" w:header="0"/>
        </w:sectPr>
      </w:pPr>
    </w:p>
    <w:p>
      <w:pPr>
        <w:spacing w:after="0" w:line="14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200" w:space="720"/>
            <w:col w:w="2100" w:space="720"/>
            <w:col w:w="3500"/>
          </w:cols>
          <w:pgMar w:left="320" w:top="1191" w:right="33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55" w:lineRule="exact"/>
        <w:rPr>
          <w:sz w:val="24"/>
          <w:szCs w:val="24"/>
          <w:color w:val="auto"/>
        </w:rPr>
      </w:pPr>
    </w:p>
    <w:p>
      <w:pPr>
        <w:sectPr>
          <w:pgSz w:w="11900" w:h="16838" w:orient="portrait"/>
          <w:cols w:equalWidth="0" w:num="3">
            <w:col w:w="4580" w:space="720"/>
            <w:col w:w="2140" w:space="720"/>
            <w:col w:w="3080"/>
          </w:cols>
          <w:pgMar w:left="320" w:top="1191" w:right="33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4"/>
          <w:szCs w:val="14"/>
          <w:color w:val="auto"/>
        </w:rPr>
        <w:t>(NASDAQ Global Select Market)</w:t>
      </w:r>
    </w:p>
    <w:p>
      <w:pPr>
        <w:sectPr>
          <w:pgSz w:w="11900" w:h="16838" w:orient="portrait"/>
          <w:cols w:equalWidth="0" w:num="1">
            <w:col w:w="11240"/>
          </w:cols>
          <w:pgMar w:left="320" w:top="1191" w:right="339" w:bottom="1440" w:gutter="0" w:footer="0" w:header="0"/>
          <w:type w:val="continuous"/>
        </w:sectPr>
      </w:pPr>
    </w:p>
    <w:p>
      <w:pPr>
        <w:spacing w:after="0" w:line="3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 2026, Diamondback Energy, Inc. (the “Company”) issued a press release announcing financial and operating results for the third quarter ended September 30, 2026, including the third quarter 2026 base cash dividend and an increase in the annual base dividend (the “earnings release”). A copy of the earnings release is furnished to the Securities and Exchange Commission (the “SEC”) as Exhibit 99.1 to this Current Report on Form 8-K. The Company also issued a letter to its stockholders as a supplement to the earnings release, which is furnished to the SEC as Exhibit 99.2 to this Current Report on Form 8-K.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3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4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November 2, 2026, entitled “Diamondback Energy, Inc. Announces Third Quarter 2026 Financial and Operating</w:t>
            </w:r>
          </w:p>
        </w:tc>
      </w:tr>
      <w:tr>
        <w:trPr>
          <w:trHeight w:val="155"/>
        </w:trPr>
        <w:tc>
          <w:tcPr>
            <w:tcW w:w="13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Results; Increases Base Dividend.”</w:t>
            </w: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3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0000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4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0000FF"/>
              </w:rPr>
              <w:t>Letter to Stockholders, dated November 2, 2026, issued by the Company.</w:t>
            </w:r>
          </w:p>
        </w:tc>
      </w:tr>
      <w:tr>
        <w:trPr>
          <w:trHeight w:val="21"/>
        </w:trPr>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114"/>
        </w:trPr>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2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45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4280" w:type="dxa"/>
            <w:vAlign w:val="bottom"/>
          </w:tcPr>
          <w:p>
            <w:pPr>
              <w:spacing w:after="0"/>
              <w:rPr>
                <w:sz w:val="24"/>
                <w:szCs w:val="24"/>
                <w:color w:val="auto"/>
              </w:rPr>
            </w:pPr>
          </w:p>
        </w:tc>
      </w:tr>
      <w:tr>
        <w:trPr>
          <w:trHeight w:val="243"/>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37"/>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189"/>
        </w:trPr>
        <w:tc>
          <w:tcPr>
            <w:tcW w:w="6940" w:type="dxa"/>
            <w:vAlign w:val="bottom"/>
          </w:tcPr>
          <w:p>
            <w:pPr>
              <w:ind w:left="62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Executive Vice President of Accounting and Assistant</w:t>
            </w:r>
          </w:p>
        </w:tc>
      </w:tr>
      <w:tr>
        <w:trPr>
          <w:trHeight w:val="234"/>
        </w:trPr>
        <w:tc>
          <w:tcPr>
            <w:tcW w:w="6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571750" cy="934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340" w:right="80"/>
        <w:spacing w:after="0" w:line="259" w:lineRule="auto"/>
        <w:rPr>
          <w:sz w:val="20"/>
          <w:szCs w:val="20"/>
          <w:color w:val="auto"/>
        </w:rPr>
      </w:pPr>
      <w:r>
        <w:rPr>
          <w:rFonts w:ascii="Times New Roman" w:cs="Times New Roman" w:eastAsia="Times New Roman" w:hAnsi="Times New Roman"/>
          <w:sz w:val="29"/>
          <w:szCs w:val="29"/>
          <w:b w:val="1"/>
          <w:bCs w:val="1"/>
          <w:color w:val="auto"/>
        </w:rPr>
        <w:t>DIAMONDBACK ENERGY, INC. ANNOUNCES THIRD QUARTER 2026 FINANCIAL AND OPERATING RESULTS; INCREASES BASE DIVIDEND</w:t>
      </w:r>
    </w:p>
    <w:p>
      <w:pPr>
        <w:ind w:right="800"/>
        <w:spacing w:after="0" w:line="239" w:lineRule="auto"/>
        <w:rPr>
          <w:sz w:val="20"/>
          <w:szCs w:val="20"/>
          <w:color w:val="auto"/>
        </w:rPr>
      </w:pPr>
      <w:r>
        <w:rPr>
          <w:rFonts w:ascii="Times New Roman" w:cs="Times New Roman" w:eastAsia="Times New Roman" w:hAnsi="Times New Roman"/>
          <w:sz w:val="22"/>
          <w:szCs w:val="22"/>
          <w:color w:val="auto"/>
        </w:rPr>
        <w:t>Midland, TX (November 2, 2026) - Diamondback Energy, Inc. (NASDAQ: FANG) (“Diamondback,” “we,” “our” or the “Company”) today announced financial and operating results for the third quarter ended September 30,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HIGHLIGHTS</w:t>
      </w:r>
    </w:p>
    <w:p>
      <w:pPr>
        <w:spacing w:after="0" w:line="62"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oil production of 525 MBO/d (1,034 MBOE/d)</w:t>
      </w:r>
    </w:p>
    <w:p>
      <w:pPr>
        <w:spacing w:after="0" w:line="29" w:lineRule="exact"/>
        <w:rPr>
          <w:rFonts w:ascii="Times New Roman" w:cs="Times New Roman" w:eastAsia="Times New Roman" w:hAnsi="Times New Roman"/>
          <w:sz w:val="22"/>
          <w:szCs w:val="22"/>
          <w:color w:val="auto"/>
        </w:rPr>
      </w:pPr>
    </w:p>
    <w:p>
      <w:pPr>
        <w:ind w:left="260" w:hanging="252"/>
        <w:spacing w:after="0" w:line="218"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cash provided by operating activities of $2.6 billion; Operating Cash Flow Before Working Capital Changes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$3.2 billion</w:t>
      </w:r>
    </w:p>
    <w:p>
      <w:pPr>
        <w:spacing w:after="0" w:line="2"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capital expenditures of $1.0 billion</w:t>
      </w:r>
    </w:p>
    <w:p>
      <w:pPr>
        <w:spacing w:after="0" w:line="3" w:lineRule="exact"/>
        <w:rPr>
          <w:rFonts w:ascii="Times New Roman" w:cs="Times New Roman" w:eastAsia="Times New Roman" w:hAnsi="Times New Roman"/>
          <w:sz w:val="22"/>
          <w:szCs w:val="22"/>
          <w:color w:val="auto"/>
        </w:rPr>
      </w:pPr>
    </w:p>
    <w:p>
      <w:pPr>
        <w:ind w:left="240" w:hanging="232"/>
        <w:spacing w:after="0" w:line="191" w:lineRule="auto"/>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and Adjusted Free Cash Flow</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$2.1 billion and $2.2 billion, respectively</w:t>
      </w:r>
    </w:p>
    <w:p>
      <w:pPr>
        <w:ind w:left="260" w:hanging="252"/>
        <w:spacing w:after="0" w:line="219"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Increased annual base dividend by 7.3% to $4.72 per share; marks an 18% year over year increase and a ~2.2% annualized yield</w:t>
      </w:r>
      <w:r>
        <w:rPr>
          <w:rFonts w:ascii="Times New Roman" w:cs="Times New Roman" w:eastAsia="Times New Roman" w:hAnsi="Times New Roman"/>
          <w:sz w:val="28"/>
          <w:szCs w:val="28"/>
          <w:color w:val="auto"/>
          <w:vertAlign w:val="superscript"/>
        </w:rPr>
        <w:t>2</w:t>
      </w:r>
    </w:p>
    <w:p>
      <w:pPr>
        <w:spacing w:after="0" w:line="1"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1.3 million shares of common stock for approximately $251 million</w:t>
      </w:r>
    </w:p>
    <w:p>
      <w:pPr>
        <w:spacing w:after="0" w:line="3" w:lineRule="exact"/>
        <w:rPr>
          <w:rFonts w:ascii="Times New Roman" w:cs="Times New Roman" w:eastAsia="Times New Roman" w:hAnsi="Times New Roman"/>
          <w:sz w:val="22"/>
          <w:szCs w:val="22"/>
          <w:color w:val="auto"/>
        </w:rPr>
      </w:pPr>
    </w:p>
    <w:p>
      <w:pPr>
        <w:ind w:left="260" w:right="20" w:hanging="252"/>
        <w:spacing w:after="0" w:line="243" w:lineRule="auto"/>
        <w:tabs>
          <w:tab w:leader="none" w:pos="2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$106 million in aggregate principal amount of 2054 and 2064 Senior Notes at a weighted average price of 94.9% of par ($103 million, including accrued interest)</w:t>
      </w:r>
    </w:p>
    <w:p>
      <w:pPr>
        <w:ind w:left="240" w:hanging="232"/>
        <w:spacing w:after="0"/>
        <w:tabs>
          <w:tab w:leader="none" w:pos="2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Acquired a 7.5% equity interest in the Solitude Pipeline System, a Permian-to-Katy natural gas pipeline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UPDATED 2026 GUIDANCE HIGHLIGHTS</w:t>
      </w:r>
    </w:p>
    <w:p>
      <w:pPr>
        <w:spacing w:after="0" w:line="62" w:lineRule="exact"/>
        <w:rPr>
          <w:sz w:val="20"/>
          <w:szCs w:val="20"/>
          <w:color w:val="auto"/>
        </w:rPr>
      </w:pPr>
    </w:p>
    <w:p>
      <w:pPr>
        <w:ind w:left="260" w:hanging="252"/>
        <w:spacing w:after="0" w:line="261" w:lineRule="auto"/>
        <w:tabs>
          <w:tab w:leader="none" w:pos="25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Increasing annual oil production guidance to ~524 (from 522+) MBO/d with total BOE production of ~1,015 (from 1,000+) MBOE/d and full year cash capital expenditures to $3.95 - $4.00 billion (from ~$3.9 billion)</w:t>
      </w: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Q4 2026 oil production guidance of 518 - 528 MBO/d (1,025 - 1,045 MBOE/d)</w:t>
      </w:r>
    </w:p>
    <w:p>
      <w:pPr>
        <w:spacing w:after="0" w:line="3"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Q4 2026 cash capital expenditures guidance of $1,000 - $1,050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both"/>
        <w:ind w:left="180" w:hanging="172"/>
        <w:spacing w:after="0" w:line="235" w:lineRule="auto"/>
        <w:tabs>
          <w:tab w:leader="none" w:pos="125"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u w:val="single" w:color="auto"/>
          <w:color w:val="auto"/>
        </w:rPr>
        <w:t>NON-GAAP DISCLOSURES -</w:t>
      </w:r>
      <w:r>
        <w:rPr>
          <w:rFonts w:ascii="Times New Roman" w:cs="Times New Roman" w:eastAsia="Times New Roman" w:hAnsi="Times New Roman"/>
          <w:sz w:val="16"/>
          <w:szCs w:val="16"/>
          <w:color w:val="auto"/>
        </w:rPr>
        <w:t xml:space="preserve"> For a definition of Operating Cash Flow Before Working Capital Changes, Free Cash Flow, Adjusted Free Cash Flow, Adjusted Net Income, Adjusted EBITDA, Adjusted Net Income per Diluted Share, Net Debt and reconciliations of such non-GAAP financial metrics to their respective most directly comparable GAAP metrics, please see “Non-GAAP Financial Measures” below.</w:t>
      </w:r>
    </w:p>
    <w:p>
      <w:pPr>
        <w:ind w:left="120" w:hanging="112"/>
        <w:spacing w:after="0" w:line="200" w:lineRule="auto"/>
        <w:tabs>
          <w:tab w:leader="none" w:pos="1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Cash dividend payable on November 19, 2026; annualized yield based on October 30, 2026 closing share price of $212.08</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RECENT HIGHLIGHTS</w:t>
      </w:r>
    </w:p>
    <w:p>
      <w:pPr>
        <w:spacing w:after="0" w:line="75"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repurchased 389,841 shares of common stock in Q4 2026 to date for approximately $73 million</w:t>
      </w:r>
    </w:p>
    <w:p>
      <w:pPr>
        <w:spacing w:after="0" w:line="27" w:lineRule="exact"/>
        <w:rPr>
          <w:rFonts w:ascii="Times New Roman" w:cs="Times New Roman" w:eastAsia="Times New Roman" w:hAnsi="Times New Roman"/>
          <w:sz w:val="22"/>
          <w:szCs w:val="22"/>
          <w:color w:val="auto"/>
        </w:rPr>
      </w:pPr>
    </w:p>
    <w:p>
      <w:pPr>
        <w:ind w:left="240" w:hanging="232"/>
        <w:spacing w:after="0"/>
        <w:tabs>
          <w:tab w:leader="none" w:pos="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October 1, redeemed all $698 million in aggregate principal amount of the Company’s 2026 Senior Notes at par</w:t>
      </w:r>
    </w:p>
    <w:p>
      <w:pPr>
        <w:spacing w:after="0" w:line="3" w:lineRule="exact"/>
        <w:rPr>
          <w:rFonts w:ascii="Times New Roman" w:cs="Times New Roman" w:eastAsia="Times New Roman" w:hAnsi="Times New Roman"/>
          <w:sz w:val="22"/>
          <w:szCs w:val="22"/>
          <w:color w:val="auto"/>
        </w:rPr>
      </w:pPr>
    </w:p>
    <w:p>
      <w:pPr>
        <w:ind w:left="260" w:right="20" w:hanging="252"/>
        <w:spacing w:after="0" w:line="248" w:lineRule="auto"/>
        <w:tabs>
          <w:tab w:leader="none" w:pos="2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$195 million in aggregate principal amount of 2054 and 2064 Senior Notes at a weighted average price of 91.0% of par ($183 million, including accrued interest)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OPERATIONS UPDATE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tables provide a summary of Diamondback’s key operational updates: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Wells Drilled and Completed: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720" w:type="dxa"/>
            <w:vAlign w:val="bottom"/>
            <w:tcBorders>
              <w:bottom w:val="single" w:sz="8" w:color="auto"/>
            </w:tcBorders>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Drilled</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Completed</w:t>
            </w:r>
          </w:p>
        </w:tc>
        <w:tc>
          <w:tcPr>
            <w:tcW w:w="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Drilled</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Completed</w:t>
            </w:r>
          </w:p>
        </w:tc>
        <w:tc>
          <w:tcPr>
            <w:tcW w:w="720" w:type="dxa"/>
            <w:vAlign w:val="bottom"/>
            <w:tcBorders>
              <w:bottom w:val="single" w:sz="8" w:color="auto"/>
            </w:tcBorders>
          </w:tcPr>
          <w:p>
            <w:pPr>
              <w:spacing w:after="0"/>
              <w:rPr>
                <w:sz w:val="19"/>
                <w:szCs w:val="19"/>
                <w:color w:val="auto"/>
              </w:rPr>
            </w:pPr>
          </w:p>
        </w:tc>
      </w:tr>
      <w:tr>
        <w:trPr>
          <w:trHeight w:val="223"/>
        </w:trPr>
        <w:tc>
          <w:tcPr>
            <w:tcW w:w="1780" w:type="dxa"/>
            <w:vAlign w:val="bottom"/>
          </w:tcPr>
          <w:p>
            <w:pPr>
              <w:spacing w:after="0"/>
              <w:rPr>
                <w:sz w:val="19"/>
                <w:szCs w:val="19"/>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Net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Net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39"/>
        </w:trPr>
        <w:tc>
          <w:tcPr>
            <w:tcW w:w="1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320</w:t>
            </w: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Gross Wells Drilled and Completed By Zone: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0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Wells Drilled</w:t>
            </w:r>
          </w:p>
        </w:tc>
        <w:tc>
          <w:tcPr>
            <w:tcW w:w="18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6"/>
                <w:szCs w:val="16"/>
                <w:b w:val="1"/>
                <w:bCs w:val="1"/>
                <w:color w:val="auto"/>
              </w:rPr>
              <w:t>Number of Wells</w:t>
            </w:r>
          </w:p>
        </w:tc>
        <w:tc>
          <w:tcPr>
            <w:tcW w:w="1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Wells Drilled</w:t>
            </w:r>
          </w:p>
        </w:tc>
        <w:tc>
          <w:tcPr>
            <w:tcW w:w="1780" w:type="dxa"/>
            <w:vAlign w:val="bottom"/>
          </w:tcPr>
          <w:p>
            <w:pPr>
              <w:jc w:val="right"/>
              <w:ind w:right="211"/>
              <w:spacing w:after="0" w:line="172" w:lineRule="exact"/>
              <w:rPr>
                <w:sz w:val="20"/>
                <w:szCs w:val="20"/>
                <w:color w:val="auto"/>
              </w:rPr>
            </w:pPr>
            <w:r>
              <w:rPr>
                <w:rFonts w:ascii="Times New Roman" w:cs="Times New Roman" w:eastAsia="Times New Roman" w:hAnsi="Times New Roman"/>
                <w:sz w:val="16"/>
                <w:szCs w:val="16"/>
                <w:b w:val="1"/>
                <w:bCs w:val="1"/>
                <w:color w:val="auto"/>
              </w:rPr>
              <w:t>Number of Wells</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Completed</w:t>
            </w:r>
          </w:p>
        </w:tc>
        <w:tc>
          <w:tcPr>
            <w:tcW w:w="1900" w:type="dxa"/>
            <w:vAlign w:val="bottom"/>
            <w:gridSpan w:val="2"/>
            <w:vMerge w:val="continue"/>
          </w:tcPr>
          <w:p>
            <w:pPr>
              <w:spacing w:after="0"/>
              <w:rPr>
                <w:sz w:val="18"/>
                <w:szCs w:val="18"/>
                <w:color w:val="auto"/>
              </w:rPr>
            </w:pPr>
          </w:p>
        </w:tc>
        <w:tc>
          <w:tcPr>
            <w:tcW w:w="17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Completed</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Midland Basin:</w:t>
            </w: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Upper Spraberry</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Spraberry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 Mill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Lower Spraberry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Wolfcamp 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Wolfcamp B</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Wolfcamp 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Barnett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Midland Basin 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Completed Lateral Length (in feet)</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0" w:type="dxa"/>
            <w:vAlign w:val="bottom"/>
          </w:tcPr>
          <w:p>
            <w:pPr>
              <w:spacing w:after="0"/>
              <w:rPr>
                <w:sz w:val="1"/>
                <w:szCs w:val="1"/>
                <w:color w:val="auto"/>
              </w:rPr>
            </w:pPr>
          </w:p>
        </w:tc>
      </w:tr>
    </w:tbl>
    <w:p>
      <w:pPr>
        <w:sectPr>
          <w:pgSz w:w="11900" w:h="16838" w:orient="portrait"/>
          <w:cols w:equalWidth="0" w:num="1">
            <w:col w:w="11240"/>
          </w:cols>
          <w:pgMar w:left="320" w:top="94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Realized Average Prices: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23"/>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80" w:type="dxa"/>
            <w:vAlign w:val="bottom"/>
          </w:tcPr>
          <w:p>
            <w:pPr>
              <w:spacing w:after="0"/>
              <w:rPr>
                <w:sz w:val="19"/>
                <w:szCs w:val="19"/>
                <w:color w:val="auto"/>
              </w:rPr>
            </w:pPr>
          </w:p>
        </w:tc>
        <w:tc>
          <w:tcPr>
            <w:tcW w:w="17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9"/>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 per Bbl)</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24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 per Mcf)</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43"/>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 per Bbl)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4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price ($ per BOE)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70"/>
        </w:trPr>
        <w:tc>
          <w:tcPr>
            <w:tcW w:w="5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43"/>
        </w:trPr>
        <w:tc>
          <w:tcPr>
            <w:tcW w:w="54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Oil, hedged ($ per Bbl)</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94.33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r>
      <w:tr>
        <w:trPr>
          <w:trHeight w:val="243"/>
        </w:trPr>
        <w:tc>
          <w:tcPr>
            <w:tcW w:w="54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Natural gas, hedged ($ per Mcf)</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540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Natural gas liquids, hedged ($ per Bbl)</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43"/>
        </w:trPr>
        <w:tc>
          <w:tcPr>
            <w:tcW w:w="540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Combined price, hedged ($ per BOE)</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r>
    </w:tbl>
    <w:p>
      <w:pPr>
        <w:spacing w:after="0" w:line="76" w:lineRule="exact"/>
        <w:rPr>
          <w:sz w:val="20"/>
          <w:szCs w:val="20"/>
          <w:color w:val="auto"/>
        </w:rPr>
      </w:pPr>
    </w:p>
    <w:p>
      <w:pPr>
        <w:jc w:val="both"/>
        <w:ind w:left="340" w:hanging="332"/>
        <w:spacing w:after="0" w:line="26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Average Cash Costs per BOE: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23"/>
        </w:trPr>
        <w:tc>
          <w:tcPr>
            <w:tcW w:w="5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200" w:type="dxa"/>
            <w:vAlign w:val="bottom"/>
          </w:tcPr>
          <w:p>
            <w:pPr>
              <w:spacing w:after="0"/>
              <w:rPr>
                <w:sz w:val="19"/>
                <w:szCs w:val="19"/>
                <w:color w:val="auto"/>
              </w:rPr>
            </w:pPr>
          </w:p>
        </w:tc>
        <w:tc>
          <w:tcPr>
            <w:tcW w:w="17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39"/>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Gathering, processing and transportation expense</w:t>
            </w:r>
          </w:p>
        </w:tc>
        <w:tc>
          <w:tcPr>
            <w:tcW w:w="1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1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62"/>
        </w:trPr>
        <w:tc>
          <w:tcPr>
            <w:tcW w:w="5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UPDATE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Attributable to Diamondback Energy, Inc.:</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r>
      <w:tr>
        <w:trPr>
          <w:trHeight w:val="214"/>
        </w:trPr>
        <w:tc>
          <w:tcPr>
            <w:tcW w:w="8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30, 2026</w:t>
            </w:r>
          </w:p>
        </w:tc>
      </w:tr>
      <w:tr>
        <w:trPr>
          <w:trHeight w:val="171"/>
        </w:trPr>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ind w:right="74"/>
              <w:spacing w:after="0" w:line="171" w:lineRule="exact"/>
              <w:rPr>
                <w:sz w:val="20"/>
                <w:szCs w:val="20"/>
                <w:color w:val="auto"/>
              </w:rPr>
            </w:pPr>
            <w:r>
              <w:rPr>
                <w:rFonts w:ascii="Times New Roman" w:cs="Times New Roman" w:eastAsia="Times New Roman" w:hAnsi="Times New Roman"/>
                <w:sz w:val="16"/>
                <w:szCs w:val="16"/>
                <w:b w:val="1"/>
                <w:bCs w:val="1"/>
                <w:color w:val="auto"/>
              </w:rPr>
              <w:t>(in millions, except per share</w:t>
            </w:r>
          </w:p>
        </w:tc>
      </w:tr>
      <w:tr>
        <w:trPr>
          <w:trHeight w:val="214"/>
        </w:trPr>
        <w:tc>
          <w:tcPr>
            <w:tcW w:w="8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45"/>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Diamondback Energy,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r>
      <w:tr>
        <w:trPr>
          <w:trHeight w:val="243"/>
        </w:trPr>
        <w:tc>
          <w:tcPr>
            <w:tcW w:w="8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Earnings (loss) per common share attributable to Diamondback Energy, Inc. - Diluted</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43"/>
        </w:trPr>
        <w:tc>
          <w:tcPr>
            <w:tcW w:w="88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312"/>
        </w:trPr>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per common share - Diluted</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bl>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$9 million in earnings attributable to participating securities, (iii) divided by diluted weighted average common shares outstanding for the respective periods.</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Cash Capital Expenditures: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440" w:type="dxa"/>
            <w:vAlign w:val="bottom"/>
          </w:tcPr>
          <w:p>
            <w:pPr>
              <w:spacing w:after="0"/>
              <w:rPr>
                <w:sz w:val="19"/>
                <w:szCs w:val="19"/>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3"/>
        </w:trPr>
        <w:tc>
          <w:tcPr>
            <w:tcW w:w="4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1"/>
        </w:trPr>
        <w:tc>
          <w:tcPr>
            <w:tcW w:w="44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Operated drilling and completion additions to oil and natural</w:t>
            </w: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gas properties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r>
      <w:tr>
        <w:trPr>
          <w:trHeight w:val="198"/>
        </w:trPr>
        <w:tc>
          <w:tcPr>
            <w:tcW w:w="44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Non-operated additions to oil and natural gas properties and</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62"/>
        </w:trPr>
        <w:tc>
          <w:tcPr>
            <w:tcW w:w="4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Adjusted EBITDA and Free Cash Flow - Non-GAAP:</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4"/>
        </w:trPr>
        <w:tc>
          <w:tcPr>
            <w:tcW w:w="65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30, 2026</w:t>
            </w:r>
          </w:p>
        </w:tc>
        <w:tc>
          <w:tcPr>
            <w:tcW w:w="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30, 2026</w:t>
            </w:r>
          </w:p>
        </w:tc>
      </w:tr>
      <w:tr>
        <w:trPr>
          <w:trHeight w:val="222"/>
        </w:trPr>
        <w:tc>
          <w:tcPr>
            <w:tcW w:w="6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40" w:type="dxa"/>
            <w:vAlign w:val="bottom"/>
            <w:gridSpan w:val="2"/>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00" w:type="dxa"/>
            <w:vAlign w:val="bottom"/>
          </w:tcPr>
          <w:p>
            <w:pPr>
              <w:spacing w:after="0"/>
              <w:rPr>
                <w:sz w:val="19"/>
                <w:szCs w:val="19"/>
                <w:color w:val="auto"/>
              </w:rPr>
            </w:pPr>
          </w:p>
        </w:tc>
      </w:tr>
      <w:tr>
        <w:trPr>
          <w:trHeight w:val="24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Diamondback Energy, Inc.</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1,603</w:t>
            </w:r>
          </w:p>
        </w:tc>
        <w:tc>
          <w:tcPr>
            <w:tcW w:w="6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Adjusted EBITDA</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3,752</w:t>
            </w:r>
          </w:p>
        </w:tc>
        <w:tc>
          <w:tcPr>
            <w:tcW w:w="6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w:t>
            </w: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attributable to Diamondback Energy, Inc.</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3,393</w:t>
            </w:r>
          </w:p>
        </w:tc>
        <w:tc>
          <w:tcPr>
            <w:tcW w:w="6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2,599</w:t>
            </w:r>
          </w:p>
        </w:tc>
        <w:tc>
          <w:tcPr>
            <w:tcW w:w="6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2,148</w:t>
            </w:r>
          </w:p>
        </w:tc>
        <w:tc>
          <w:tcPr>
            <w:tcW w:w="6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2,150</w:t>
            </w:r>
          </w:p>
        </w:tc>
        <w:tc>
          <w:tcPr>
            <w:tcW w:w="66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Debt &amp; Liquidity: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23"/>
        </w:trPr>
        <w:tc>
          <w:tcPr>
            <w:tcW w:w="8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46"/>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Standalone cash</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outstanding under the credit facility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availability under the credit facility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standalone liquidity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4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 debt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r>
      <w:tr>
        <w:trPr>
          <w:trHeight w:val="243"/>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 net debt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12,817</w:t>
            </w: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RETURN OF CAPITAL UPDATE</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Diamondback announced today that the Company’s Board of Directors (the “Board”) approved a 7.3% increase to the Company's base cash dividend, raising it to $1.18 per common share for the third quarter of 2026, payable on November 19, 2026, to stockholders of record at the close of business on November 12, 2026.</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During the third quarter, the Company repurchased 1,348,209 shares of common stock for approximately $251 million at a weighted average price of $185.94 per share (excluding excise tax). The Company expects to continue repurchases opportunistically using cash on hand, free cash flow and potential asset sale proceeds. The program has no time limit and may be suspended, modified or discontinued at the Board’s discretion. Repurchases may be executed in privately negotiated or open-market transactions, consistent with Rule 10b-18 under the Securities Exchange Act of 1934, as amended, and will be subject to market conditions, applicable regulatory and legal requirements and other factors. All shares repurchased will be retired.</w:t>
      </w:r>
    </w:p>
    <w:p>
      <w:pPr>
        <w:sectPr>
          <w:pgSz w:w="11900" w:h="16838" w:orient="portrait"/>
          <w:cols w:equalWidth="0" w:num="1">
            <w:col w:w="11240"/>
          </w:cols>
          <w:pgMar w:left="320" w:top="891" w:right="339" w:bottom="1440" w:gutter="0" w:footer="0" w:header="0"/>
        </w:sectPr>
      </w:pPr>
    </w:p>
    <w:bookmarkStart w:id="7" w:name="page8"/>
    <w:bookmarkEnd w:id="7"/>
    <w:p>
      <w:pPr>
        <w:ind w:right="300"/>
        <w:spacing w:after="0" w:line="271" w:lineRule="auto"/>
        <w:rPr>
          <w:sz w:val="20"/>
          <w:szCs w:val="20"/>
          <w:color w:val="auto"/>
        </w:rPr>
      </w:pPr>
      <w:r>
        <w:rPr>
          <w:rFonts w:ascii="Times New Roman" w:cs="Times New Roman" w:eastAsia="Times New Roman" w:hAnsi="Times New Roman"/>
          <w:sz w:val="22"/>
          <w:szCs w:val="22"/>
          <w:color w:val="auto"/>
        </w:rPr>
        <w:t>The table below summarizes Diamondback’s return of capital program, including dividends and share repurchases, with future actions subject to Board approval.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2026</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Q4 2026 to date</w:t>
            </w: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Cumulative</w:t>
            </w:r>
          </w:p>
        </w:tc>
      </w:tr>
      <w:tr>
        <w:trPr>
          <w:trHeight w:val="223"/>
        </w:trPr>
        <w:tc>
          <w:tcPr>
            <w:tcW w:w="5360" w:type="dxa"/>
            <w:vAlign w:val="bottom"/>
          </w:tcPr>
          <w:p>
            <w:pPr>
              <w:spacing w:after="0"/>
              <w:rPr>
                <w:sz w:val="19"/>
                <w:szCs w:val="19"/>
                <w:color w:val="auto"/>
              </w:rPr>
            </w:pPr>
          </w:p>
        </w:tc>
        <w:tc>
          <w:tcPr>
            <w:tcW w:w="5880" w:type="dxa"/>
            <w:vAlign w:val="bottom"/>
            <w:gridSpan w:val="6"/>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 shares in thousands)</w:t>
            </w:r>
          </w:p>
        </w:tc>
      </w:tr>
      <w:tr>
        <w:trPr>
          <w:trHeight w:val="24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dividend</w:t>
            </w:r>
          </w:p>
        </w:tc>
        <w:tc>
          <w:tcPr>
            <w:tcW w:w="128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44,183</w:t>
            </w:r>
          </w:p>
        </w:tc>
      </w:tr>
      <w:tr>
        <w:trPr>
          <w:trHeight w:val="24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repurchase price</w:t>
            </w:r>
          </w:p>
        </w:tc>
        <w:tc>
          <w:tcPr>
            <w:tcW w:w="128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185.94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repurchase cost</w:t>
            </w:r>
          </w:p>
        </w:tc>
        <w:tc>
          <w:tcPr>
            <w:tcW w:w="128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r>
      <w:tr>
        <w:trPr>
          <w:trHeight w:val="270"/>
        </w:trPr>
        <w:tc>
          <w:tcPr>
            <w:tcW w:w="5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return of capital</w:t>
            </w:r>
          </w:p>
        </w:tc>
        <w:tc>
          <w:tcPr>
            <w:tcW w:w="1280" w:type="dxa"/>
            <w:vAlign w:val="bottom"/>
          </w:tcPr>
          <w:p>
            <w:pPr>
              <w:jc w:val="right"/>
              <w:ind w:right="10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ectPr>
          <w:pgSz w:w="11900" w:h="16838" w:orient="portrait"/>
          <w:cols w:equalWidth="0" w:num="1">
            <w:col w:w="11240"/>
          </w:cols>
          <w:pgMar w:left="320" w:top="8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UPDATED 2026 GUIDANCE</w:t>
      </w:r>
    </w:p>
    <w:p>
      <w:pPr>
        <w:spacing w:after="0" w:line="237" w:lineRule="exact"/>
        <w:rPr>
          <w:sz w:val="20"/>
          <w:szCs w:val="20"/>
          <w:color w:val="auto"/>
        </w:rPr>
      </w:pPr>
    </w:p>
    <w:p>
      <w:pPr>
        <w:ind w:right="640"/>
        <w:spacing w:after="0" w:line="258" w:lineRule="auto"/>
        <w:rPr>
          <w:sz w:val="20"/>
          <w:szCs w:val="20"/>
          <w:color w:val="auto"/>
        </w:rPr>
      </w:pPr>
      <w:r>
        <w:rPr>
          <w:rFonts w:ascii="Times New Roman" w:cs="Times New Roman" w:eastAsia="Times New Roman" w:hAnsi="Times New Roman"/>
          <w:sz w:val="22"/>
          <w:szCs w:val="22"/>
          <w:color w:val="auto"/>
        </w:rPr>
        <w:t>Below is Diamondback's and Viper Energy, Inc.'s (“Viper”) updated guidance for the full year 2026, which includes fourth quarter production and capital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620" w:type="dxa"/>
            <w:vAlign w:val="bottom"/>
            <w:gridSpan w:val="2"/>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2026 Guidance</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2026 Guidance</w:t>
            </w:r>
          </w:p>
        </w:tc>
      </w:tr>
      <w:tr>
        <w:trPr>
          <w:trHeight w:val="230"/>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20" w:type="dxa"/>
            <w:vAlign w:val="bottom"/>
            <w:gridSpan w:val="2"/>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Diamondback Energy, Inc.</w:t>
            </w:r>
          </w:p>
        </w:tc>
        <w:tc>
          <w:tcPr>
            <w:tcW w:w="3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Viper Energy, Inc.</w:t>
            </w:r>
          </w:p>
        </w:tc>
      </w:tr>
      <w:tr>
        <w:trPr>
          <w:trHeight w:val="262"/>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620" w:type="dxa"/>
            <w:vAlign w:val="bottom"/>
            <w:gridSpan w:val="2"/>
          </w:tcPr>
          <w:p>
            <w:pPr>
              <w:spacing w:after="0"/>
              <w:rPr>
                <w:sz w:val="22"/>
                <w:szCs w:val="22"/>
                <w:color w:val="auto"/>
              </w:rPr>
            </w:pPr>
          </w:p>
        </w:tc>
        <w:tc>
          <w:tcPr>
            <w:tcW w:w="14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Net production - MBOE/d</w:t>
            </w:r>
          </w:p>
        </w:tc>
        <w:tc>
          <w:tcPr>
            <w:tcW w:w="362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4"/>
                <w:szCs w:val="14"/>
                <w:i w:val="1"/>
                <w:iCs w:val="1"/>
                <w:color w:val="auto"/>
              </w:rPr>
              <w:t>from 1,000+)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- 138.0</w:t>
            </w:r>
          </w:p>
        </w:tc>
      </w:tr>
      <w:tr>
        <w:trPr>
          <w:trHeight w:val="257"/>
        </w:trPr>
        <w:tc>
          <w:tcPr>
            <w:tcW w:w="20" w:type="dxa"/>
            <w:vAlign w:val="bottom"/>
          </w:tcPr>
          <w:p>
            <w:pPr>
              <w:spacing w:after="0"/>
              <w:rPr>
                <w:sz w:val="22"/>
                <w:szCs w:val="22"/>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2026 Oil production - MBO/d</w:t>
            </w:r>
          </w:p>
        </w:tc>
        <w:tc>
          <w:tcPr>
            <w:tcW w:w="3620" w:type="dxa"/>
            <w:vAlign w:val="bottom"/>
            <w:gridSpan w:val="2"/>
          </w:tcPr>
          <w:p>
            <w:pPr>
              <w:jc w:val="center"/>
              <w:ind w:left="51"/>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4"/>
                <w:szCs w:val="14"/>
                <w:i w:val="1"/>
                <w:iCs w:val="1"/>
                <w:color w:val="auto"/>
              </w:rPr>
              <w:t>(from 522+)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- 67.75</w:t>
            </w: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2026 Oil production - MBO/d (total - MBOE/d)</w:t>
            </w:r>
          </w:p>
        </w:tc>
        <w:tc>
          <w:tcPr>
            <w:tcW w:w="362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518 - 528 (1,025 - 1,045)</w:t>
            </w:r>
          </w:p>
        </w:tc>
        <w:tc>
          <w:tcPr>
            <w:tcW w:w="314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shd w:val="clear" w:color="auto" w:fill="CCEEFF"/>
              </w:rPr>
              <w:t>70.0 - 71.0 (141.5 - 143.5)</w:t>
            </w:r>
          </w:p>
        </w:tc>
      </w:tr>
      <w:tr>
        <w:trPr>
          <w:trHeight w:val="270"/>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Unit costs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/BOE)</w:t>
            </w:r>
          </w:p>
        </w:tc>
        <w:tc>
          <w:tcPr>
            <w:tcW w:w="18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operating expenses, including workovers</w:t>
            </w:r>
          </w:p>
        </w:tc>
        <w:tc>
          <w:tcPr>
            <w:tcW w:w="36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 xml:space="preserve">$5.95 - $6.20 </w:t>
            </w:r>
            <w:r>
              <w:rPr>
                <w:rFonts w:ascii="Times New Roman" w:cs="Times New Roman" w:eastAsia="Times New Roman" w:hAnsi="Times New Roman"/>
                <w:sz w:val="14"/>
                <w:szCs w:val="14"/>
                <w:i w:val="1"/>
                <w:iCs w:val="1"/>
                <w:color w:val="auto"/>
              </w:rPr>
              <w:t>(from $5.90 - $6.40)</w:t>
            </w:r>
          </w:p>
        </w:tc>
        <w:tc>
          <w:tcPr>
            <w:tcW w:w="14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w:t>
            </w:r>
          </w:p>
        </w:tc>
        <w:tc>
          <w:tcPr>
            <w:tcW w:w="18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Cash G&amp;A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$0.65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$0.90</w:t>
            </w: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equity-based compensation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$0.30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$0.10</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$0.20</w:t>
            </w: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DD&amp;A</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$14.50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$17.25</w:t>
            </w: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$0.70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$1.90</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 $2.40</w:t>
            </w:r>
          </w:p>
        </w:tc>
      </w:tr>
      <w:tr>
        <w:trPr>
          <w:trHeight w:val="257"/>
        </w:trPr>
        <w:tc>
          <w:tcPr>
            <w:tcW w:w="20" w:type="dxa"/>
            <w:vAlign w:val="bottom"/>
          </w:tcPr>
          <w:p>
            <w:pPr>
              <w:spacing w:after="0"/>
              <w:rPr>
                <w:sz w:val="22"/>
                <w:szCs w:val="22"/>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36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 xml:space="preserve">$1.30 - $1.50 </w:t>
            </w:r>
            <w:r>
              <w:rPr>
                <w:rFonts w:ascii="Times New Roman" w:cs="Times New Roman" w:eastAsia="Times New Roman" w:hAnsi="Times New Roman"/>
                <w:sz w:val="14"/>
                <w:szCs w:val="14"/>
                <w:i w:val="1"/>
                <w:iCs w:val="1"/>
                <w:color w:val="auto"/>
              </w:rPr>
              <w:t>(from $1.40 - $1.60)</w:t>
            </w:r>
          </w:p>
        </w:tc>
        <w:tc>
          <w:tcPr>
            <w:tcW w:w="14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0"/>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spacing w:after="0"/>
              <w:rPr>
                <w:sz w:val="23"/>
                <w:szCs w:val="23"/>
                <w:color w:val="auto"/>
              </w:rPr>
            </w:pPr>
          </w:p>
        </w:tc>
        <w:tc>
          <w:tcPr>
            <w:tcW w:w="3140" w:type="dxa"/>
            <w:vAlign w:val="bottom"/>
            <w:gridSpan w:val="2"/>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36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4"/>
                <w:szCs w:val="14"/>
                <w:i w:val="1"/>
                <w:iCs w:val="1"/>
                <w:color w:val="auto"/>
              </w:rPr>
              <w:t>(from ~7%)</w:t>
            </w:r>
          </w:p>
        </w:tc>
        <w:tc>
          <w:tcPr>
            <w:tcW w:w="314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tax rate (% of pre-tax income)</w:t>
            </w:r>
          </w:p>
        </w:tc>
        <w:tc>
          <w:tcPr>
            <w:tcW w:w="362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Cash tax rate (% of pre-tax income)</w:t>
            </w:r>
            <w:r>
              <w:rPr>
                <w:rFonts w:ascii="Times New Roman" w:cs="Times New Roman" w:eastAsia="Times New Roman" w:hAnsi="Times New Roman"/>
                <w:sz w:val="23"/>
                <w:szCs w:val="23"/>
                <w:color w:val="auto"/>
                <w:vertAlign w:val="superscript"/>
              </w:rPr>
              <w:t>(1)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w:t>
            </w:r>
          </w:p>
        </w:tc>
      </w:tr>
      <w:tr>
        <w:trPr>
          <w:trHeight w:val="243"/>
        </w:trPr>
        <w:tc>
          <w:tcPr>
            <w:tcW w:w="20" w:type="dxa"/>
            <w:vAlign w:val="bottom"/>
            <w:shd w:val="clear" w:color="auto" w:fill="CCEEFF"/>
          </w:tcPr>
          <w:p>
            <w:pPr>
              <w:spacing w:after="0"/>
              <w:rPr>
                <w:sz w:val="21"/>
                <w:szCs w:val="21"/>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2026 Cash taxes ($ - million)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$560</w:t>
            </w:r>
          </w:p>
        </w:tc>
        <w:tc>
          <w:tcPr>
            <w:tcW w:w="14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Cash Capital Budget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 million)</w:t>
            </w:r>
          </w:p>
        </w:tc>
        <w:tc>
          <w:tcPr>
            <w:tcW w:w="18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2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Operated drilling and completion</w:t>
            </w:r>
          </w:p>
        </w:tc>
        <w:tc>
          <w:tcPr>
            <w:tcW w:w="2040" w:type="dxa"/>
            <w:vAlign w:val="bottom"/>
            <w:tcBorders>
              <w:top w:val="single" w:sz="8" w:color="CCEEFF"/>
            </w:tcBorders>
          </w:tcPr>
          <w:p>
            <w:pPr>
              <w:spacing w:after="0"/>
              <w:rPr>
                <w:sz w:val="22"/>
                <w:szCs w:val="22"/>
                <w:color w:val="auto"/>
              </w:rPr>
            </w:pPr>
          </w:p>
        </w:tc>
        <w:tc>
          <w:tcPr>
            <w:tcW w:w="3620" w:type="dxa"/>
            <w:vAlign w:val="bottom"/>
            <w:tcBorders>
              <w:top w:val="single" w:sz="8" w:color="CCEEFF"/>
            </w:tcBorders>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 xml:space="preserve">$3,350 - $3,400 </w:t>
            </w:r>
            <w:r>
              <w:rPr>
                <w:rFonts w:ascii="Times New Roman" w:cs="Times New Roman" w:eastAsia="Times New Roman" w:hAnsi="Times New Roman"/>
                <w:sz w:val="14"/>
                <w:szCs w:val="14"/>
                <w:i w:val="1"/>
                <w:iCs w:val="1"/>
                <w:color w:val="auto"/>
              </w:rPr>
              <w:t>(from ~$3,310)</w:t>
            </w:r>
          </w:p>
        </w:tc>
        <w:tc>
          <w:tcPr>
            <w:tcW w:w="148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2026 Total capital expenditures</w:t>
            </w:r>
            <w:r>
              <w:rPr>
                <w:rFonts w:ascii="Times New Roman" w:cs="Times New Roman" w:eastAsia="Times New Roman" w:hAnsi="Times New Roman"/>
                <w:sz w:val="23"/>
                <w:szCs w:val="23"/>
                <w:color w:val="auto"/>
                <w:vertAlign w:val="superscript"/>
              </w:rPr>
              <w:t>(2)</w:t>
            </w:r>
          </w:p>
        </w:tc>
        <w:tc>
          <w:tcPr>
            <w:tcW w:w="362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 xml:space="preserve">$3,950 - $4,000 </w:t>
            </w:r>
            <w:r>
              <w:rPr>
                <w:rFonts w:ascii="Times New Roman" w:cs="Times New Roman" w:eastAsia="Times New Roman" w:hAnsi="Times New Roman"/>
                <w:sz w:val="14"/>
                <w:szCs w:val="14"/>
                <w:i w:val="1"/>
                <w:iCs w:val="1"/>
                <w:color w:val="auto"/>
              </w:rPr>
              <w:t>(from ~$3,900)</w:t>
            </w:r>
          </w:p>
        </w:tc>
        <w:tc>
          <w:tcPr>
            <w:tcW w:w="1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Q4 2026 Capital expenditures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$1,050</w:t>
            </w:r>
          </w:p>
        </w:tc>
        <w:tc>
          <w:tcPr>
            <w:tcW w:w="14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0"/>
        </w:trPr>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c>
          <w:tcPr>
            <w:tcW w:w="3620" w:type="dxa"/>
            <w:vAlign w:val="bottom"/>
            <w:gridSpan w:val="2"/>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lateral length (Ft.)</w:t>
            </w:r>
          </w:p>
        </w:tc>
        <w:tc>
          <w:tcPr>
            <w:tcW w:w="362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w w:val="99"/>
              </w:rPr>
              <w:t>~12,900'</w:t>
            </w:r>
          </w:p>
        </w:tc>
        <w:tc>
          <w:tcPr>
            <w:tcW w:w="14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lateral footage completed (1,000's of Ft.)</w:t>
            </w:r>
          </w:p>
        </w:tc>
        <w:tc>
          <w:tcPr>
            <w:tcW w:w="3620" w:type="dxa"/>
            <w:vAlign w:val="bottom"/>
            <w:gridSpan w:val="2"/>
            <w:shd w:val="clear" w:color="auto" w:fill="CCEEFF"/>
          </w:tcPr>
          <w:p>
            <w:pPr>
              <w:jc w:val="center"/>
              <w:ind w:left="71"/>
              <w:spacing w:after="0"/>
              <w:rPr>
                <w:sz w:val="20"/>
                <w:szCs w:val="20"/>
                <w:color w:val="auto"/>
              </w:rPr>
            </w:pPr>
            <w:r>
              <w:rPr>
                <w:rFonts w:ascii="Times New Roman" w:cs="Times New Roman" w:eastAsia="Times New Roman" w:hAnsi="Times New Roman"/>
                <w:sz w:val="18"/>
                <w:szCs w:val="18"/>
                <w:color w:val="auto"/>
              </w:rPr>
              <w:t>6,200' - 6,600' (</w:t>
            </w:r>
            <w:r>
              <w:rPr>
                <w:rFonts w:ascii="Times New Roman" w:cs="Times New Roman" w:eastAsia="Times New Roman" w:hAnsi="Times New Roman"/>
                <w:sz w:val="14"/>
                <w:szCs w:val="14"/>
                <w:i w:val="1"/>
                <w:iCs w:val="1"/>
                <w:color w:val="auto"/>
              </w:rPr>
              <w:t>from 6,100' - 6,500')</w:t>
            </w:r>
          </w:p>
        </w:tc>
        <w:tc>
          <w:tcPr>
            <w:tcW w:w="1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-4156710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jc w:val="both"/>
        <w:ind w:left="340" w:hanging="332"/>
        <w:spacing w:after="0" w:line="255"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attributable to the Company is a non-GAAP measure. We are not able to forecast the most directly comparable GAAP measure - Income (loss) before income taxes - due to high variability and difficulty in predicting certain items that affect Income (loss) before income taxes, such as future commodity prices, pace of and costs of developing, producing and operating our interests in oil and natural gas properties, future changes in interest rates and various other business factors impacting our financial results.</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non-operated drilling and completion, capital workovers, science, infrastructure, midstream and environmental.</w:t>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Diamondback will host a conference call and webcast for investors and analysts to discuss its results for the third quarter of 2026 on Tuesday, November 3, 2026 at 8:00 a.m. CT. Access to the webcast, and replay which will be available following the call, may be found here. The live webcast of the earnings conference call will also be available via Diamondback’s website at www.diamondbackenergy.com under the “Investor Relations” section of the site. Investors and others should note that Diamondback announces material financial and operational information to our investors using our investor relations website, press releases, SEC filings and public conference calls and webcasts. The information we post through our investor relations website may be deemed material. Accordingly, investors should monitor our investor relations website in addition to following our press releases, SEC filings and public conference calls and webcasts.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Diamondback Energy, Inc.</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news release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2026 Drop Down, the Viper Riverbend acquisition, the Viper McElroy Ranch acquisition and Viper's Sitio acquisition and other acquisitions, divestitures or reorganizations); and plans and objectives of management (including plans for future cash flow from operations and for executing environmental strategies)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w:t>
      </w:r>
    </w:p>
    <w:p>
      <w:pPr>
        <w:sectPr>
          <w:pgSz w:w="11900" w:h="16838" w:orient="portrait"/>
          <w:cols w:equalWidth="0" w:num="1">
            <w:col w:w="11240"/>
          </w:cols>
          <w:pgMar w:left="320" w:top="891" w:right="339" w:bottom="1440" w:gutter="0" w:footer="0" w:header="0"/>
        </w:sectPr>
      </w:pPr>
    </w:p>
    <w:bookmarkStart w:id="10" w:name="page11"/>
    <w:bookmarkEnd w:id="10"/>
    <w:p>
      <w:pPr>
        <w:jc w:val="both"/>
        <w:spacing w:after="0" w:line="241" w:lineRule="auto"/>
        <w:rPr>
          <w:sz w:val="20"/>
          <w:szCs w:val="20"/>
          <w:color w:val="auto"/>
        </w:rPr>
      </w:pPr>
      <w:r>
        <w:rPr>
          <w:rFonts w:ascii="Times New Roman" w:cs="Times New Roman" w:eastAsia="Times New Roman" w:hAnsi="Times New Roman"/>
          <w:sz w:val="21"/>
          <w:szCs w:val="21"/>
          <w:color w:val="auto"/>
        </w:rPr>
        <w:t>markets; regional supply and demand factors, including delays, curtailments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 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activity,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Viper’s Riverbend acquisition, Viper's McElroy Ranch acquisition and Viper’s Sitio acquisition; the Endeavor stockholders’ ability to significantly influence our business and potential conflicts of interest; and other risks described in Part I, Item 1A of Diamondback’s Annual Report on Form 10-K, filed with the SEC on February 25, 2026, and those risks disclosed in its subsequent filings on Forms 10-K, 10-Q and 8-K, which can be obtained free of charge on the SEC’s website at http://www.sec.gov and Diamondback’s website at www.diamondbackenergy.com/investors.</w:t>
      </w:r>
    </w:p>
    <w:p>
      <w:pPr>
        <w:spacing w:after="0" w:line="200" w:lineRule="exact"/>
        <w:rPr>
          <w:sz w:val="20"/>
          <w:szCs w:val="20"/>
          <w:color w:val="auto"/>
        </w:rPr>
      </w:pPr>
    </w:p>
    <w:p>
      <w:pPr>
        <w:spacing w:after="0" w:line="26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2"/>
          <w:szCs w:val="22"/>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release or, if earlier, as of the date they were made. Diamondback does not intend to, and disclaims any obligation to, update or revise any forward-looking statements unless required by applicable law.</w:t>
      </w:r>
    </w:p>
    <w:p>
      <w:pPr>
        <w:sectPr>
          <w:pgSz w:w="11900" w:h="16838" w:orient="portrait"/>
          <w:cols w:equalWidth="0" w:num="1">
            <w:col w:w="11240"/>
          </w:cols>
          <w:pgMar w:left="320" w:top="88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 except per share amounts, shares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7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Oil, natural gas and natural gas liquid sales</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of purchased oil</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43"/>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income</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4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w:t>
            </w:r>
          </w:p>
        </w:tc>
      </w:tr>
      <w:tr>
        <w:trPr>
          <w:trHeight w:val="20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operating expenses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Gathering, processing and transportation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oil expense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96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7"/>
        </w:trPr>
        <w:tc>
          <w:tcPr>
            <w:tcW w:w="4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 net</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4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r>
      <w:tr>
        <w:trPr>
          <w:trHeight w:val="243"/>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r>
      <w:tr>
        <w:trPr>
          <w:trHeight w:val="243"/>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6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common share: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4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6"/>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279,959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288,826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290,188</w:t>
            </w:r>
          </w:p>
        </w:tc>
      </w:tr>
      <w:tr>
        <w:trPr>
          <w:trHeight w:val="24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279,959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290,188</w:t>
            </w:r>
          </w:p>
        </w:tc>
      </w:tr>
    </w:tbl>
    <w:p>
      <w:pPr>
        <w:sectPr>
          <w:pgSz w:w="11900" w:h="16838" w:orient="portrait"/>
          <w:cols w:equalWidth="0" w:num="1">
            <w:col w:w="11240"/>
          </w:cols>
          <w:pgMar w:left="320" w:top="106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b w:val="1"/>
          <w:bCs w:val="1"/>
          <w:color w:val="auto"/>
        </w:rPr>
        <w:t>Diamondback Energy,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Condensed Consolidated Balance Sheets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in millions, except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0"/>
        </w:trPr>
        <w:tc>
          <w:tcPr>
            <w:tcW w:w="824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($10 million and $13 million related to Viper)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2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Joint interest and other,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Oil and natural gas sales, net ($496 million and $262 million related to Viper)</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2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Oil and natural gas properties: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Proved properties ($10,102 million and $9,746 million related to Viper)</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71,588</w:t>
            </w:r>
          </w:p>
        </w:tc>
        <w:tc>
          <w:tcPr>
            <w:tcW w:w="0" w:type="dxa"/>
            <w:vAlign w:val="bottom"/>
          </w:tcPr>
          <w:p>
            <w:pPr>
              <w:spacing w:after="0"/>
              <w:rPr>
                <w:sz w:val="1"/>
                <w:szCs w:val="1"/>
                <w:color w:val="auto"/>
              </w:rPr>
            </w:pPr>
          </w:p>
        </w:tc>
      </w:tr>
      <w:tr>
        <w:trPr>
          <w:trHeight w:val="227"/>
        </w:trPr>
        <w:tc>
          <w:tcPr>
            <w:tcW w:w="82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Unproved properties ($5,213 million and $4,910 million related to Viper)</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23,941</w:t>
            </w: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property, equipment and land</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depletion, depreciation, amortization and impairment ($3,062 million and $2,455 million related to Viper)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(27,782)</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68,621</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51"/>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94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 and accrued capital expenditures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maturities of debt</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26"/>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226"/>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Derivative instruments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($2,394 million and $2,186 million related to Viper)</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13,726</w:t>
            </w: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0" w:type="dxa"/>
            <w:vAlign w:val="bottom"/>
          </w:tcPr>
          <w:p>
            <w:pPr>
              <w:spacing w:after="0"/>
              <w:rPr>
                <w:sz w:val="1"/>
                <w:szCs w:val="1"/>
                <w:color w:val="auto"/>
              </w:rPr>
            </w:pP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Common stock, $0.01 par value; 800,000,000 shares authorized; 279,241,756 and 284,594,908 shares issued and</w:t>
            </w: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at September 30, 2026, and December 31, 2025, respectively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32,236</w:t>
            </w:r>
          </w:p>
        </w:tc>
        <w:tc>
          <w:tcPr>
            <w:tcW w:w="0" w:type="dxa"/>
            <w:vAlign w:val="bottom"/>
          </w:tcPr>
          <w:p>
            <w:pPr>
              <w:spacing w:after="0"/>
              <w:rPr>
                <w:sz w:val="1"/>
                <w:szCs w:val="1"/>
                <w:color w:val="auto"/>
              </w:rPr>
            </w:pPr>
          </w:p>
        </w:tc>
      </w:tr>
      <w:tr>
        <w:trPr>
          <w:trHeight w:val="226"/>
        </w:trPr>
        <w:tc>
          <w:tcPr>
            <w:tcW w:w="8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Diamondback Energy, Inc. stockholders’ equity</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42,967</w:t>
            </w:r>
          </w:p>
        </w:tc>
        <w:tc>
          <w:tcPr>
            <w:tcW w:w="0" w:type="dxa"/>
            <w:vAlign w:val="bottom"/>
          </w:tcPr>
          <w:p>
            <w:pPr>
              <w:spacing w:after="0"/>
              <w:rPr>
                <w:sz w:val="1"/>
                <w:szCs w:val="1"/>
                <w:color w:val="auto"/>
              </w:rPr>
            </w:pPr>
          </w:p>
        </w:tc>
      </w:tr>
      <w:tr>
        <w:trPr>
          <w:trHeight w:val="251"/>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2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Diamondback Energy, Inc.</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r>
      <w:tr>
        <w:trPr>
          <w:trHeight w:val="179"/>
        </w:trPr>
        <w:tc>
          <w:tcPr>
            <w:tcW w:w="5340" w:type="dxa"/>
            <w:vAlign w:val="bottom"/>
            <w:shd w:val="clear" w:color="auto" w:fill="CCEEFF"/>
          </w:tcPr>
          <w:p>
            <w:pPr>
              <w:ind w:left="360"/>
              <w:spacing w:after="0" w:line="178"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(used in)</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7"/>
        </w:trPr>
        <w:tc>
          <w:tcPr>
            <w:tcW w:w="5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Provision for (benefit from) deferred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3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r>
      <w:tr>
        <w:trPr>
          <w:trHeight w:val="226"/>
        </w:trPr>
        <w:tc>
          <w:tcPr>
            <w:tcW w:w="5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Impairment of oil and natural gas properties</w:t>
            </w: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loss on extinguishment of debt, net</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7"/>
        </w:trPr>
        <w:tc>
          <w:tcPr>
            <w:tcW w:w="5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loss on derivative instruments, net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32"/>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received (paid) on settlement of derivative instruments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27"/>
        </w:trPr>
        <w:tc>
          <w:tcPr>
            <w:tcW w:w="5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6"/>
        </w:trPr>
        <w:tc>
          <w:tcPr>
            <w:tcW w:w="5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33"/>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27"/>
        </w:trPr>
        <w:tc>
          <w:tcPr>
            <w:tcW w:w="53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32"/>
        </w:trPr>
        <w:tc>
          <w:tcPr>
            <w:tcW w:w="53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Revenues and royalties payable</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27"/>
        </w:trPr>
        <w:tc>
          <w:tcPr>
            <w:tcW w:w="53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6"/>
        </w:trPr>
        <w:tc>
          <w:tcPr>
            <w:tcW w:w="53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oil and natural gas properties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r>
      <w:tr>
        <w:trPr>
          <w:trHeight w:val="227"/>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acquisitions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(5,411)</w:t>
            </w: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26"/>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6"/>
        </w:trPr>
        <w:tc>
          <w:tcPr>
            <w:tcW w:w="53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w:t>
            </w:r>
          </w:p>
        </w:tc>
      </w:tr>
      <w:tr>
        <w:trPr>
          <w:trHeight w:val="206"/>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debt</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13,022</w:t>
            </w:r>
          </w:p>
        </w:tc>
      </w:tr>
      <w:tr>
        <w:trPr>
          <w:trHeight w:val="226"/>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debt</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w:t>
            </w: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Repurchased shares under repurchase program</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26"/>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Repurchased shares - related party</w:t>
            </w: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Repurchased shares/units under Viper’s repurchase program</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27"/>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proceeds from Viper’s issuance of common stock</w:t>
            </w: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Viper's common stock</w:t>
            </w:r>
          </w:p>
        </w:tc>
        <w:tc>
          <w:tcPr>
            <w:tcW w:w="8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dividends and dividend equivalents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r>
      <w:tr>
        <w:trPr>
          <w:trHeight w:val="233"/>
        </w:trPr>
        <w:tc>
          <w:tcPr>
            <w:tcW w:w="5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to non-controlling interest</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26"/>
        </w:trPr>
        <w:tc>
          <w:tcPr>
            <w:tcW w:w="5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3"/>
        </w:trPr>
        <w:tc>
          <w:tcPr>
            <w:tcW w:w="5340" w:type="dxa"/>
            <w:vAlign w:val="bottom"/>
            <w:tcBorders>
              <w:top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26"/>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0"/>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Operating Data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20"/>
        </w:trPr>
        <w:tc>
          <w:tcPr>
            <w:tcW w:w="5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80" w:type="dxa"/>
            <w:vAlign w:val="bottom"/>
          </w:tcPr>
          <w:p>
            <w:pPr>
              <w:spacing w:after="0"/>
              <w:rPr>
                <w:sz w:val="19"/>
                <w:szCs w:val="19"/>
                <w:color w:val="auto"/>
              </w:rPr>
            </w:pP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4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Oil (MBbls)</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46,345</w:t>
            </w: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(MMcf)</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w:t>
            </w:r>
          </w:p>
        </w:tc>
      </w:tr>
      <w:tr>
        <w:trPr>
          <w:trHeight w:val="24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r>
      <w:tr>
        <w:trPr>
          <w:trHeight w:val="243"/>
        </w:trPr>
        <w:tc>
          <w:tcPr>
            <w:tcW w:w="544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86,751</w:t>
            </w:r>
          </w:p>
        </w:tc>
      </w:tr>
      <w:tr>
        <w:trPr>
          <w:trHeight w:val="257"/>
        </w:trPr>
        <w:tc>
          <w:tcPr>
            <w:tcW w:w="5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Daily oil volumes (BO/d)</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503,750</w:t>
            </w:r>
          </w:p>
        </w:tc>
      </w:tr>
      <w:tr>
        <w:trPr>
          <w:trHeight w:val="24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Daily combined volumes (BOE/d)</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942,946</w:t>
            </w:r>
          </w:p>
        </w:tc>
      </w:tr>
      <w:tr>
        <w:trPr>
          <w:trHeight w:val="257"/>
        </w:trPr>
        <w:tc>
          <w:tcPr>
            <w:tcW w:w="5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Prices:</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Oil ($ per Bbl)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r>
      <w:tr>
        <w:trPr>
          <w:trHeight w:val="24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 per Mcf)</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43"/>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liquids ($ per Bbl)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43"/>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price ($ per BOE)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57"/>
        </w:trPr>
        <w:tc>
          <w:tcPr>
            <w:tcW w:w="5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43"/>
        </w:trPr>
        <w:tc>
          <w:tcPr>
            <w:tcW w:w="54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Oil, hedged ($ per Bbl)</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r>
      <w:tr>
        <w:trPr>
          <w:trHeight w:val="243"/>
        </w:trPr>
        <w:tc>
          <w:tcPr>
            <w:tcW w:w="544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Natural gas, hedged ($ per Mcf)</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54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Natural gas liquids, hedged ($ per Bbl)</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43"/>
        </w:trPr>
        <w:tc>
          <w:tcPr>
            <w:tcW w:w="544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Combined price, hedged ($ per BOE)</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r>
      <w:tr>
        <w:trPr>
          <w:trHeight w:val="256"/>
        </w:trPr>
        <w:tc>
          <w:tcPr>
            <w:tcW w:w="5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2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Cash Costs ($/BOE):</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4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operating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Gathering, processing and transportation expense</w:t>
            </w: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61"/>
        </w:trPr>
        <w:tc>
          <w:tcPr>
            <w:tcW w:w="54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 - non-cash component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4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r>
    </w:tbl>
    <w:p>
      <w:pPr>
        <w:spacing w:after="0" w:line="7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ectPr>
          <w:pgSz w:w="11900" w:h="16838" w:orient="portrait"/>
          <w:cols w:equalWidth="0" w:num="1">
            <w:col w:w="11240"/>
          </w:cols>
          <w:pgMar w:left="320" w:top="8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w:t>
      </w:r>
    </w:p>
    <w:p>
      <w:pPr>
        <w:spacing w:after="0" w:line="2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Adjusted EBITDA is a supplemental non-GAAP financial measure that is used by management and external users of our financial statements, such as industry analysts, investors, lenders and rating agencies. The Company defines Adjusted EBITDA as net income (loss) attributable to Diamondback Energy, Inc., plus net income (loss) attributable to non-controlling interest ("net income (loss)") before non-cash (gain) loss on derivative instruments, net, interest expense, net, depreciation, depletion, amortization and accretion, depreciation and interest expense related to equity method investments, (gain) loss on extinguishment of debt, impairment of oil and natural gas properties, non-cash equity-based compensation expense, capitalized equity-based compensation expense, other non-cash transactions and provision for (benefit from) income taxes. Adjusted EBITDA is not a measure of net income as determined by United States generally accepted accounting principles ("GAAP"). Management believes Adjusted EBITDA is useful because the measure allows it to evaluate the Company’s operating performance and compare the results of its operations from period to period without regard to its financing methods or capital structure. The Company excludes the items listed above from net income (loss) to determine Adjusted EBITDA because these amounts can vary substantially from company to company within its industry depending upon accounting methods and book values of assets, capital structures and the method by which the assets were acquired. Further, the Company excludes the effects of significant transactions that may affect earnings but are unpredictable in nature, timing and amount, although they may recur in different reporting periods. Adjusted EBITDA should not be considered as an alternative to, or more meaningful than, net income as determined in accordance with GAAP or as an indicator of the Company’s operating performance. Certain items excluded from Adjusted EBITDA are significant components in understanding and assessing a company’s financial performance, such as a company’s cost of capital and tax structure, as well as the historic costs of depreciable assets. The Company’s computation of Adjusted EBITDA may not be comparable to other similarly titled measures of other companies or to such measure in our credit facility or any of our other contracts.</w:t>
      </w:r>
    </w:p>
    <w:p>
      <w:pPr>
        <w:sectPr>
          <w:pgSz w:w="11900" w:h="16838" w:orient="portrait"/>
          <w:cols w:equalWidth="0" w:num="1">
            <w:col w:w="11240"/>
          </w:cols>
          <w:pgMar w:left="320" w:top="770" w:right="33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22"/>
          <w:szCs w:val="22"/>
          <w:color w:val="auto"/>
        </w:rPr>
        <w:t>The following tables present a reconciliation of the GAAP financial measure of net income (loss) attributable to Diamondback Energy, Inc. to the non-GAAP financial measure of Adjusted EBITDA:</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Net Income (Loss) to Adjusted EBITDA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8"/>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43"/>
        </w:trPr>
        <w:tc>
          <w:tcPr>
            <w:tcW w:w="7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4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r>
      <w:tr>
        <w:trPr>
          <w:trHeight w:val="243"/>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interest expense related to equity method investments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3"/>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of oil and natural gas properties</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4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equity-based compensation expense</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non-cash transactions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Adjusted EBITDA</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10,693</w:t>
            </w:r>
          </w:p>
        </w:tc>
      </w:tr>
      <w:tr>
        <w:trPr>
          <w:trHeight w:val="243"/>
        </w:trPr>
        <w:tc>
          <w:tcPr>
            <w:tcW w:w="7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Adjustment for non-controlling interest</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attributable to Diamondback Energy, Inc.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7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NET INCOME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Adjusted net income is a non-GAAP financial measure equal to net income (loss) attributable to Diamondback Energy, Inc. plus net income (loss) attributable to non-controlling interest ("net income (loss)") adjusted for non-cash (gain) loss on derivative instruments, net, (gain) loss on extinguishment of debt, other non-cash transactions and related income tax adjustments. The Company’s computation of adjusted net income may not be comparable to other similarly titled measures of other companies or to such measure in our credit facility or any of our other contracts. Management believes adjusted net income helps investors in the oil and natural gas industry to measure and compare the Company's performance to other oil and natural gas companies by excluding from the calculation items that can vary significantly from company to company depending upon accounting methods, the book value of assets and other non-operational factors. Further, in order to allow investors to compare the Company's performance across periods, the Company excludes the effects of significant transactions that may affect earnings but are unpredictable in nature, timing and amount, although they may recur in different reporting periods.</w:t>
      </w:r>
    </w:p>
    <w:p>
      <w:pPr>
        <w:spacing w:after="0" w:line="1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following table presents a reconciliation of the GAAP financial measure of net income (loss) attributable to Diamondback Energy, Inc. to the non-GAAP measure of adjusted net income: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Adjusted Net Income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 except per share amounts, shares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20" w:type="dxa"/>
            <w:vAlign w:val="bottom"/>
          </w:tcPr>
          <w:p>
            <w:pPr>
              <w:spacing w:after="0"/>
              <w:rPr>
                <w:sz w:val="18"/>
                <w:szCs w:val="18"/>
                <w:color w:val="auto"/>
              </w:rPr>
            </w:pPr>
          </w:p>
        </w:tc>
        <w:tc>
          <w:tcPr>
            <w:tcW w:w="306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r>
      <w:tr>
        <w:trPr>
          <w:trHeight w:val="233"/>
        </w:trPr>
        <w:tc>
          <w:tcPr>
            <w:tcW w:w="72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960" w:type="dxa"/>
            <w:vAlign w:val="bottom"/>
            <w:tcBorders>
              <w:bottom w:val="single" w:sz="8" w:color="auto"/>
            </w:tcBorders>
          </w:tcPr>
          <w:p>
            <w:pPr>
              <w:spacing w:after="0"/>
              <w:rPr>
                <w:sz w:val="20"/>
                <w:szCs w:val="20"/>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Amounts Per Diluted Share</w:t>
            </w:r>
          </w:p>
        </w:tc>
      </w:tr>
      <w:tr>
        <w:trPr>
          <w:trHeight w:val="239"/>
        </w:trPr>
        <w:tc>
          <w:tcPr>
            <w:tcW w:w="7220" w:type="dxa"/>
            <w:vAlign w:val="bottom"/>
            <w:shd w:val="clear" w:color="auto" w:fill="CCEEFF"/>
          </w:tcPr>
          <w:p>
            <w:pPr>
              <w:ind w:left="20"/>
              <w:spacing w:after="0" w:line="240" w:lineRule="exact"/>
              <w:rPr>
                <w:sz w:val="20"/>
                <w:szCs w:val="20"/>
                <w:color w:val="auto"/>
              </w:rPr>
            </w:pPr>
            <w:r>
              <w:rPr>
                <w:rFonts w:ascii="Times New Roman" w:cs="Times New Roman" w:eastAsia="Times New Roman" w:hAnsi="Times New Roman"/>
                <w:sz w:val="16"/>
                <w:szCs w:val="16"/>
                <w:b w:val="1"/>
                <w:bCs w:val="1"/>
                <w:color w:val="auto"/>
              </w:rPr>
              <w:t>Net income (loss) attributable to Diamondback Energy, Inc.</w:t>
            </w:r>
            <w:r>
              <w:rPr>
                <w:rFonts w:ascii="Times New Roman" w:cs="Times New Roman" w:eastAsia="Times New Roman" w:hAnsi="Times New Roman"/>
                <w:sz w:val="21"/>
                <w:szCs w:val="21"/>
                <w:b w:val="1"/>
                <w:bCs w:val="1"/>
                <w:color w:val="auto"/>
                <w:vertAlign w:val="superscript"/>
              </w:rPr>
              <w:t>(1)</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43"/>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36"/>
        </w:trPr>
        <w:tc>
          <w:tcPr>
            <w:tcW w:w="72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b w:val="1"/>
                <w:bCs w:val="1"/>
                <w:color w:val="auto"/>
              </w:rPr>
              <w:t>Net income (loss)</w:t>
            </w:r>
            <w:r>
              <w:rPr>
                <w:rFonts w:ascii="Times New Roman" w:cs="Times New Roman" w:eastAsia="Times New Roman" w:hAnsi="Times New Roman"/>
                <w:sz w:val="21"/>
                <w:szCs w:val="21"/>
                <w:b w:val="1"/>
                <w:bCs w:val="1"/>
                <w:color w:val="auto"/>
                <w:vertAlign w:val="superscript"/>
              </w:rPr>
              <w:t>(1)</w:t>
            </w: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4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13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43"/>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non-cash transactions</w:t>
            </w:r>
          </w:p>
        </w:tc>
        <w:tc>
          <w:tcPr>
            <w:tcW w:w="1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7"/>
        </w:trPr>
        <w:tc>
          <w:tcPr>
            <w:tcW w:w="7220" w:type="dxa"/>
            <w:vAlign w:val="bottom"/>
            <w:shd w:val="clear" w:color="auto" w:fill="CCEEFF"/>
          </w:tcPr>
          <w:p>
            <w:pPr>
              <w:ind w:left="360"/>
              <w:spacing w:after="0" w:line="236" w:lineRule="exact"/>
              <w:rPr>
                <w:sz w:val="20"/>
                <w:szCs w:val="20"/>
                <w:color w:val="auto"/>
              </w:rPr>
            </w:pPr>
            <w:r>
              <w:rPr>
                <w:rFonts w:ascii="Times New Roman" w:cs="Times New Roman" w:eastAsia="Times New Roman" w:hAnsi="Times New Roman"/>
                <w:sz w:val="18"/>
                <w:szCs w:val="18"/>
                <w:color w:val="auto"/>
              </w:rPr>
              <w:t>Adjusted net income excluding above items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43"/>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adjustment for above items</w:t>
            </w:r>
          </w:p>
        </w:tc>
        <w:tc>
          <w:tcPr>
            <w:tcW w:w="1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36"/>
        </w:trPr>
        <w:tc>
          <w:tcPr>
            <w:tcW w:w="722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b w:val="1"/>
                <w:bCs w:val="1"/>
                <w:color w:val="auto"/>
              </w:rPr>
              <w:t>Adjusted net income</w:t>
            </w:r>
            <w:r>
              <w:rPr>
                <w:rFonts w:ascii="Times New Roman" w:cs="Times New Roman" w:eastAsia="Times New Roman" w:hAnsi="Times New Roman"/>
                <w:sz w:val="21"/>
                <w:szCs w:val="21"/>
                <w:b w:val="1"/>
                <w:bCs w:val="1"/>
                <w:color w:val="auto"/>
                <w:vertAlign w:val="superscript"/>
              </w:rPr>
              <w:t>(1)</w:t>
            </w:r>
          </w:p>
        </w:tc>
        <w:tc>
          <w:tcPr>
            <w:tcW w:w="13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43"/>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Adjusted net income attributable to non-controlling interest</w:t>
            </w:r>
          </w:p>
        </w:tc>
        <w:tc>
          <w:tcPr>
            <w:tcW w:w="1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62"/>
        </w:trPr>
        <w:tc>
          <w:tcPr>
            <w:tcW w:w="722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b w:val="1"/>
                <w:bCs w:val="1"/>
                <w:color w:val="auto"/>
              </w:rPr>
              <w:t>Adjusted net income attributable to Diamondback Energy, Inc.</w:t>
            </w:r>
            <w:r>
              <w:rPr>
                <w:rFonts w:ascii="Times New Roman" w:cs="Times New Roman" w:eastAsia="Times New Roman" w:hAnsi="Times New Roman"/>
                <w:sz w:val="21"/>
                <w:szCs w:val="21"/>
                <w:b w:val="1"/>
                <w:bCs w:val="1"/>
                <w:color w:val="auto"/>
                <w:vertAlign w:val="superscript"/>
              </w:rPr>
              <w:t>(1)</w:t>
            </w: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279,959</w:t>
            </w:r>
          </w:p>
        </w:tc>
      </w:tr>
      <w:tr>
        <w:trPr>
          <w:trHeight w:val="24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279,959</w:t>
            </w:r>
          </w:p>
        </w:tc>
      </w:tr>
    </w:tbl>
    <w:p>
      <w:pPr>
        <w:spacing w:after="0" w:line="76" w:lineRule="exact"/>
        <w:rPr>
          <w:sz w:val="20"/>
          <w:szCs w:val="20"/>
          <w:color w:val="auto"/>
        </w:rPr>
      </w:pPr>
    </w:p>
    <w:p>
      <w:pPr>
        <w:jc w:val="both"/>
        <w:ind w:left="34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earnings (loss) per diluted share amount has been computed using the two-class method in accordance with GAAP. The two-class method is an earnings allocation which reflects the respective ownership among holders of common stock and participating securities. Diluted earnings per share using the two-class method is calculated as (i) net income attributable to Diamondback Energy, Inc., (ii) less the reallocation of $9 million in earnings attributable to participating securities, (iii) divided by diluted weighted average common shares outstanding for the respective periods.</w:t>
      </w:r>
    </w:p>
    <w:p>
      <w:pPr>
        <w:sectPr>
          <w:pgSz w:w="11900" w:h="16838" w:orient="portrait"/>
          <w:cols w:equalWidth="0" w:num="1">
            <w:col w:w="11240"/>
          </w:cols>
          <w:pgMar w:left="320" w:top="770" w:right="339" w:bottom="1440" w:gutter="0" w:footer="0" w:header="0"/>
        </w:sectPr>
      </w:pPr>
    </w:p>
    <w:bookmarkStart w:id="18" w:name="page19"/>
    <w:bookmarkEnd w:id="18"/>
    <w:p>
      <w:pPr>
        <w:jc w:val="both"/>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OPERATING CASH FLOW BEFORE WORKING CAPITAL CHANGES, FREE CASH FLOW AND ADJUSTED FREE CASH FLOW</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Operating cash flow before working capital changes, which is a non-GAAP financial measure, represents net cash provided by operating activities as determined under GAAP without regard to changes in working capital. The Company believes operating cash flow before working capital changes is a useful measure of an oil and natural gas company’s ability to generate cash used to fund exploration, development and acquisition activities and service debt or pay dividends. The Company also uses this measure because changes in working capital relate to the timing of cash receipts and disbursements that the Company may not control and may not relate to the period in which the operating activities occurred. This allows the Company to compare its operating performance with that of other companies without regard to financing methods and capital structure.</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defines Free Cash Flow, which is a non-GAAP financial measure, as cash flow from operating activities before changes in working capital in excess of cash capital expenditures. The Company defines Adjusted Free Cash Flow, which is a non-GAAP financial measure, as Free Cash Flow before the tax impact from divestitures (if any), merger and transaction expenses, costs of early termination of derivatives and settlements of any treasury locks (if any). The Company believes that Free Cash Flow and Adjusted Free Cash Flow are useful to investors as they provide a measure to compare both cash flow from operating activities and additions to oil and natural gas properties across periods on a consistent basis, adjusted, as applicable, for non-recurring impacts from divestitures, merger and transaction expenses, the early termination of derivative contracts and settlements of treasury locks. These measures should not be considered as an alternative to, or more meaningful than, net cash provided by operating activities as an indicator of liquidity. The Company's computation of Free Cash Flow may not be comparable to other similarly titled measures of other companies.</w:t>
      </w:r>
    </w:p>
    <w:p>
      <w:pPr>
        <w:sectPr>
          <w:pgSz w:w="11900" w:h="16838" w:orient="portrait"/>
          <w:cols w:equalWidth="0" w:num="1">
            <w:col w:w="11240"/>
          </w:cols>
          <w:pgMar w:left="320" w:top="770" w:right="339" w:bottom="1440" w:gutter="0" w:footer="0" w:header="0"/>
        </w:sectPr>
      </w:pPr>
    </w:p>
    <w:bookmarkStart w:id="19" w:name="page20"/>
    <w:bookmarkEnd w:id="19"/>
    <w:p>
      <w:pPr>
        <w:jc w:val="both"/>
        <w:ind w:right="260"/>
        <w:spacing w:after="0" w:line="257" w:lineRule="auto"/>
        <w:rPr>
          <w:sz w:val="20"/>
          <w:szCs w:val="20"/>
          <w:color w:val="auto"/>
        </w:rPr>
      </w:pPr>
      <w:r>
        <w:rPr>
          <w:rFonts w:ascii="Times New Roman" w:cs="Times New Roman" w:eastAsia="Times New Roman" w:hAnsi="Times New Roman"/>
          <w:sz w:val="22"/>
          <w:szCs w:val="22"/>
          <w:color w:val="auto"/>
        </w:rPr>
        <w:t>The following tables present a reconciliation of the GAAP financial measure of net cash provided by operating activities to the non-GAAP measure of operating cash flow before working capital changes and to the non-GAAP measures of Free Cash Flow and Adjusted Free Cash Flow:</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Operating Cash Flow Before Working Capital Changes, Free Cash Flow and Adjusted Free Cash Flow</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1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Pr>
          <w:p>
            <w:pPr>
              <w:spacing w:after="0"/>
              <w:rPr>
                <w:sz w:val="18"/>
                <w:szCs w:val="18"/>
                <w:color w:val="auto"/>
              </w:rPr>
            </w:pPr>
          </w:p>
        </w:tc>
        <w:tc>
          <w:tcPr>
            <w:tcW w:w="17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8"/>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Changes in cash due to changes in operating assets and liabilities: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7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working capital changes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cash flow before working capital changes</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r>
      <w:tr>
        <w:trPr>
          <w:trHeight w:val="236"/>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Additions to oil and natural gas properties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3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CAPEX</w:t>
            </w:r>
          </w:p>
        </w:tc>
        <w:tc>
          <w:tcPr>
            <w:tcW w:w="1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r>
      <w:tr>
        <w:trPr>
          <w:trHeight w:val="237"/>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1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r>
      <w:tr>
        <w:trPr>
          <w:trHeight w:val="243"/>
        </w:trPr>
        <w:tc>
          <w:tcPr>
            <w:tcW w:w="722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Merger and transaction expenses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of derivatives</w:t>
            </w:r>
          </w:p>
        </w:tc>
        <w:tc>
          <w:tcPr>
            <w:tcW w:w="180" w:type="dxa"/>
            <w:vAlign w:val="bottom"/>
          </w:tcPr>
          <w:p>
            <w:pPr>
              <w:spacing w:after="0"/>
              <w:rPr>
                <w:sz w:val="21"/>
                <w:szCs w:val="21"/>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2"/>
        </w:trPr>
        <w:tc>
          <w:tcPr>
            <w:tcW w:w="7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Free Cash Flow</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$4 million of Viper's transaction expenses primarily related to the Sitio Acquisition for the nine months ended September 30, 2026.</w:t>
      </w:r>
    </w:p>
    <w:p>
      <w:pPr>
        <w:sectPr>
          <w:pgSz w:w="11900" w:h="16838" w:orient="portrait"/>
          <w:cols w:equalWidth="0" w:num="1">
            <w:col w:w="11240"/>
          </w:cols>
          <w:pgMar w:left="320" w:top="77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 DEBT</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Company defines the non-GAAP measure of net debt as total debt (excluding debt issuance costs, discounts, premiums and unamortized basis adjustments) less cash and cash equivalents and restricted cash that has been irrevocably deposited for the redemption of principal amounts of outstanding senior notes.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Diamondback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Net Debt</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 Q3 Principal</w:t>
            </w:r>
          </w:p>
        </w:tc>
        <w:tc>
          <w:tcPr>
            <w:tcW w:w="11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6"/>
                <w:szCs w:val="16"/>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2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Borrowings/(Repayments)</w:t>
            </w: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8"/>
        </w:trPr>
        <w:tc>
          <w:tcPr>
            <w:tcW w:w="280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Diamondback total debt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w:t>
            </w:r>
          </w:p>
        </w:tc>
        <w:tc>
          <w:tcPr>
            <w:tcW w:w="0" w:type="dxa"/>
            <w:vAlign w:val="bottom"/>
          </w:tcPr>
          <w:p>
            <w:pPr>
              <w:spacing w:after="0"/>
              <w:rPr>
                <w:sz w:val="1"/>
                <w:szCs w:val="1"/>
                <w:color w:val="auto"/>
              </w:rPr>
            </w:pPr>
          </w:p>
        </w:tc>
      </w:tr>
      <w:tr>
        <w:trPr>
          <w:trHeight w:val="189"/>
        </w:trPr>
        <w:tc>
          <w:tcPr>
            <w:tcW w:w="28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Diamondback cash and cash</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Diamondback net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Viper total debt</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132"/>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Viper cash and cash equivalents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7"/>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Viper net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13,375</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center"/>
              <w:ind w:left="1132"/>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62"/>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debt issuance costs, discounts, premiums and unamortized basis adjustments.</w:t>
      </w:r>
    </w:p>
    <w:p>
      <w:pPr>
        <w:sectPr>
          <w:pgSz w:w="11900" w:h="16838" w:orient="portrait"/>
          <w:cols w:equalWidth="0" w:num="1">
            <w:col w:w="11240"/>
          </w:cols>
          <w:pgMar w:left="320" w:top="7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u w:val="single" w:color="auto"/>
          <w:color w:val="auto"/>
        </w:rPr>
        <w:t>DERIVATIVES</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As of October 30, 2026, the Company had the following outstanding consolidated derivative contracts, including derivative contracts at Viper. The Company’s derivative contracts are based upon reported settlement prices on commodity exchanges and published index prices. Crude oil derivative settlements are based on New York Mercantile Exchange (“NYMEX”) West Texas Intermediate (“WTI”) pricing, Crude Oil Brent pricing and the regional crude oil pricing points indicated below. Natural gas derivative settlements are based on NYMEX Henry Hub pricing and the regional natural gas pricing points indicated below. Basis swaps settle on the differential between the applicable benchmark price and the regional index price, and roll swaps settle on the differential between NYMEX WTI prompt-month and second-month contract prices. When aggregating multiple contracts, the weighted average contract price is disclosed.</w:t>
      </w:r>
    </w:p>
    <w:p>
      <w:pPr>
        <w:spacing w:after="0" w:line="26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6"/>
          <w:szCs w:val="16"/>
          <w:b w:val="1"/>
          <w:bCs w:val="1"/>
          <w:color w:val="auto"/>
        </w:rPr>
        <w:t>Crude Oil (Bbls/day, $/Bbl)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21590</wp:posOffset>
            </wp:positionV>
            <wp:extent cx="41662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Q4 2026</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Q1 2027</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Q2 2027</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Q3 2027</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Q4 2027</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Crude Brent Oil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WTI (Magellan East Houston)</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30"/>
        </w:trPr>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33"/>
        </w:trPr>
        <w:tc>
          <w:tcPr>
            <w:tcW w:w="46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Long Puts - WTI (Cushing)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Long Put Price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33"/>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33"/>
        </w:trPr>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Basis Swaps - WTI (Midland)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31,500</w:t>
            </w: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vMerge w:val="restart"/>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51"/>
        </w:trPr>
        <w:tc>
          <w:tcPr>
            <w:tcW w:w="46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WTI / Brent Basis Puts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Spread ($/Bbl)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Deferred Premium ($/Bbl)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Roll Swaps - WTI</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08"/>
        </w:trPr>
        <w:tc>
          <w:tcPr>
            <w:tcW w:w="4680" w:type="dxa"/>
            <w:vAlign w:val="bottom"/>
            <w:vMerge w:val="continue"/>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7"/>
        </w:trPr>
        <w:tc>
          <w:tcPr>
            <w:tcW w:w="468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Natural Gas (Mmbtu/day, $/Mmbtu)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19685</wp:posOffset>
            </wp:positionV>
            <wp:extent cx="2503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Q4 2026</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FY 2027</w:t>
            </w: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FY 2028</w:t>
            </w:r>
          </w:p>
        </w:tc>
        <w:tc>
          <w:tcPr>
            <w:tcW w:w="0" w:type="dxa"/>
            <w:vAlign w:val="bottom"/>
          </w:tcPr>
          <w:p>
            <w:pPr>
              <w:spacing w:after="0"/>
              <w:rPr>
                <w:sz w:val="1"/>
                <w:szCs w:val="1"/>
                <w:color w:val="auto"/>
              </w:rPr>
            </w:pPr>
          </w:p>
        </w:tc>
      </w:tr>
      <w:tr>
        <w:trPr>
          <w:trHeight w:val="220"/>
        </w:trPr>
        <w:tc>
          <w:tcPr>
            <w:tcW w:w="7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Costless Collars - Henry Hub</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840,000</w:t>
            </w:r>
          </w:p>
        </w:tc>
        <w:tc>
          <w:tcPr>
            <w:tcW w:w="1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720,000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Floor Price ($/Mmbtu)</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33"/>
        </w:trPr>
        <w:tc>
          <w:tcPr>
            <w:tcW w:w="7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Ceiling Price ($/Mmbtu)</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$6.37</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0" w:type="dxa"/>
            <w:vAlign w:val="bottom"/>
          </w:tcPr>
          <w:p>
            <w:pPr>
              <w:spacing w:after="0"/>
              <w:rPr>
                <w:sz w:val="1"/>
                <w:szCs w:val="1"/>
                <w:color w:val="auto"/>
              </w:rPr>
            </w:pPr>
          </w:p>
        </w:tc>
      </w:tr>
      <w:tr>
        <w:trPr>
          <w:trHeight w:val="220"/>
        </w:trPr>
        <w:tc>
          <w:tcPr>
            <w:tcW w:w="7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Natural Gas Basis Swaps - Waha Hub</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5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370,000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108"/>
        </w:trPr>
        <w:tc>
          <w:tcPr>
            <w:tcW w:w="7300" w:type="dxa"/>
            <w:vAlign w:val="bottom"/>
            <w:vMerge w:val="continue"/>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vMerge w:val="restart"/>
          </w:tcPr>
          <w:p>
            <w:pPr>
              <w:spacing w:after="0"/>
              <w:rPr>
                <w:sz w:val="9"/>
                <w:szCs w:val="9"/>
                <w:color w:val="auto"/>
              </w:rPr>
            </w:pPr>
          </w:p>
        </w:tc>
        <w:tc>
          <w:tcPr>
            <w:tcW w:w="14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$-1.27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25"/>
        </w:trPr>
        <w:tc>
          <w:tcPr>
            <w:tcW w:w="730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7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Natural Gas Basis Swaps - Houston Ship Channel</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300,000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108"/>
        </w:trPr>
        <w:tc>
          <w:tcPr>
            <w:tcW w:w="7300" w:type="dxa"/>
            <w:vAlign w:val="bottom"/>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560" w:type="dxa"/>
            <w:vAlign w:val="bottom"/>
            <w:gridSpan w:val="2"/>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$-0.31</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128"/>
        </w:trPr>
        <w:tc>
          <w:tcPr>
            <w:tcW w:w="7300" w:type="dxa"/>
            <w:vAlign w:val="bottom"/>
            <w:shd w:val="clear" w:color="auto" w:fill="CCEEFF"/>
          </w:tcPr>
          <w:p>
            <w:pPr>
              <w:spacing w:after="0"/>
              <w:rPr>
                <w:sz w:val="11"/>
                <w:szCs w:val="11"/>
                <w:color w:val="auto"/>
              </w:rPr>
            </w:pPr>
          </w:p>
        </w:tc>
        <w:tc>
          <w:tcPr>
            <w:tcW w:w="1240" w:type="dxa"/>
            <w:vAlign w:val="bottom"/>
            <w:vMerge w:val="continue"/>
            <w:shd w:val="clear" w:color="auto" w:fill="CCEEFF"/>
          </w:tcPr>
          <w:p>
            <w:pPr>
              <w:spacing w:after="0"/>
              <w:rPr>
                <w:sz w:val="11"/>
                <w:szCs w:val="11"/>
                <w:color w:val="auto"/>
              </w:rPr>
            </w:pPr>
          </w:p>
        </w:tc>
        <w:tc>
          <w:tcPr>
            <w:tcW w:w="156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Adam Lawlis</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+1 432.221.7467</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alawlis@diamondbackenergy.com</w:t>
      </w:r>
    </w:p>
    <w:p>
      <w:pPr>
        <w:sectPr>
          <w:pgSz w:w="11900" w:h="16838" w:orient="portrait"/>
          <w:cols w:equalWidth="0" w:num="1">
            <w:col w:w="11240"/>
          </w:cols>
          <w:pgMar w:left="320" w:top="77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571750" cy="934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9"/>
          <w:szCs w:val="29"/>
          <w:b w:val="1"/>
          <w:bCs w:val="1"/>
          <w:color w:val="auto"/>
        </w:rPr>
        <w:t>LETTER TO STOCKHOLDERS ISSUED BY DIAMONDBACK ENERGY, INC.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Midland, TX (November 2,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Diamondback Stockholders,</w:t>
      </w:r>
    </w:p>
    <w:p>
      <w:pPr>
        <w:spacing w:after="0" w:line="2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letter is meant to be a supplement to our earnings release and is being furnished to the Securities and Exchange Commission (SEC) and released to our stockholders simultaneously with our earnings release. Please see the information regarding forward-looking statements and non-GAAP financial information included at the end of this letter.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Mega Themes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Before we talk about the quarter, we would like to give you some insight into what we see as the mega-themes of the Permian Basin over the next decade, Diamondback’s potential role in those mega-themes and why our strategy will benefit Diamondback stockholders. In our mind, these three mega-themes are: increased recoveries of oil in place, gas production growth and monetization through LNG and power demand and the growing AI / power / infrastructure buildout in West Texas and the Permian Basin.</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past decade in the Permian Basin was dominated by capital efficiency improvements, resource expansion and consolidation. This resulted in more assets in the hands of larger, well-run operators turning the dream of the shale revolution into a reality, producing more consistent returns on and of capital to the stockholders that helped fund it.</w:t>
      </w:r>
    </w:p>
    <w:p>
      <w:pPr>
        <w:spacing w:after="0" w:line="20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While we expect to maintain consistent returns, we anticipate the next decade will look different. Upstream consolidation in the Permian will continue, albeit at a more measured pace given how much has already occurred to date. Capital efficiency will continue to improve, but the pace of above ground mechanical improvements will naturally slow relative to what has been accomplished over the last ten years. Resource expansion will continue and new zones like the Barnett and Woodford (more on that later) are exciting, but it will be tough to match the resource growth we saw from developing the Wolfcamp B as a standalone horizontal bench in 2012 in the Midland Basin to the 8+ zones we are developing today.</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Therefore, we will need to do more with what we have, directly and indirectly. We will continue to improve our position by increasing working interest (and mineral interest at Viper Energy, Inc. (“Viper”), our consolidated mineral and royalty subsidiary), extending laterals through trades, grinding down costs and being prepared for M&amp;A opportunities if or when they present themselves.</w:t>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As we mentioned earlier, we are also working on being at the forefront of three Permian mega-themes: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1. Improving Recoveries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currently estimate that we extract approximately 10% of the oil in place in the Permian Basin today. Every percentage point of incremental recovery carries significant value to our stockholders, and we are therefore very focused on improving recoveries. There are several factors that contribute to the ultimate recovery of hydrocarbons from a well, but the list below represents the main factors we are focused 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 Development design:</w: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Each project Diamondback executes is designed to maximize the return the Company receives on capital while ensuring resource recovery is maximized at an appropriate incremental rate of return hurdle. Our philosophy has resulted in Diamondback's projects generating the highest average returns relative to our peer group. These outcomes are clearly seen on slide #10 of this quarter’s investor presentation.</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Broadly, our relatively higher wells per section × better per well performance ÷ the lowest cost structure in the basin = the maximum return for every dollar of capital invested. Diamondback was an early adopter of co-development in the Midland Basin, moving to this methodology in 2019 for the core zones from the Middle Spraberry to the Wolfcamp B. Co-development of 8+ benches in the Midland Basin, optimized spacing and targeting, longer laterals and creative wellbore trajectories allow us to optimize our developments while preserving the value of our remaining inventory – an advantage we believe is unmatched in the basin.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 Completion design:</w:t>
      </w:r>
    </w:p>
    <w:p>
      <w:pPr>
        <w:spacing w:after="0" w:line="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Proper completion sizing is imperative to maximizing value from each development project. The advancement of completion technology into simulfrac and continuous pumping are positive cost stories from an operational standpoint, but they have also allowed us to pursue more aggressive stage designs with tighter cluster and stage spacing to increase reservoir contact and near-wellbore fracture complexity. We believe this, combined with our efforts around advanced chemical additives, is contributing to recent well outperformance relative to previous vintages seen on slide #10 of this quarter’s investor presentation.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 Enhanced Oil Recovery (“EOR”):</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Chemical EOR has the potential to meaningfully improve recovery factors and shallow base decline rates in unconventional reservoirs. Shallowing our corporate base decline by just 1% at current capital efficiency implies drilling 10 to 15 fewer wells to maintain flat oil production, extending inventory quality and duration.</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Chemical EOR makes it easier for oil to flow through the reservoir to the wellbore. We have several ongoing pilots testing various surfactant designs both in the remedial and completion phases of our operations. These pilots are in the early stages, and we have seen a wide range of outcomes from our initial tests. We will continue to learn from these tests and refine our methodologies to continuously improve, just as we did on the completion side of the business over the last fifteen years.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goal is and has always been to be the best at converting rock into cash flow. We have demonstrated this ability consistently over the past decade and will continue to do so moving forward. We are confident the technologies and workflows we are developing today will propel us to higher recoveries in the future and we look forward to keeping our stockholders updated on our progress.</w:t>
      </w:r>
    </w:p>
    <w:p>
      <w:pPr>
        <w:sectPr>
          <w:pgSz w:w="11900" w:h="16838" w:orient="portrait"/>
          <w:cols w:equalWidth="0" w:num="1">
            <w:col w:w="11240"/>
          </w:cols>
          <w:pgMar w:left="320" w:top="8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i w:val="1"/>
          <w:iCs w:val="1"/>
          <w:color w:val="auto"/>
        </w:rPr>
        <w:t>2. Gas Production and Monetization</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In the third quarter, future gas growth out of the Permian Basin received significant attention as a WhiteWater-led consortium (that includes Diamondback) reached Final Investment Decision (“FID”) on another large diameter pipeline out of the basin. This pipe is called Solitude and is set to enter service in the second half of 2029. This project consists of two twin 48" lines able to move 4.5 bcf/d out of the Permian to Katy and Gulf Coast markets, with potential to expand to 7.5 bcf/d. While the market was surprised that another pipe reached FID this quickly after multiple announcements over the last 18 months, we were not.</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As we have said many times, the Permian Basin has not tried to produce gas yet. We expect the Permian to be the largest natural gas play as well as the largest oil play in the United States in the 2030s. Gas to oil ratios will naturally continue to expand, secondary zones in both the Midland and the Delaware Basins are gassier than what operators have targeted to date and there are gas-weighted exploratory zones that have not even been tested yet given the perpetual egress issues out of this basin.</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for Diamondback’s strategy, our goal is to continue to control more of our gas further downstream to a mix of end markets, primarily feeding the Gulf Coast LNG complex. We are working to build relationships with LNG players who are long offtake and short physical molecules. There should be beneficial deals to get done with those companies in the coming years. We also believe in-basin and in-state power demand will continue to grow, driven by both behind-the-meter power development and the expansion of the Texas grid.</w:t>
      </w:r>
    </w:p>
    <w:p>
      <w:pPr>
        <w:spacing w:after="0" w:line="20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At the highest level, the gas theme in the Permian Basin has moved from supply-push to demand-pull, which should be beneficial to the owners of the molecule long-term and therefore Diamondback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3. West Texas AI / Power / Infrastructure Buildout</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believe that the incremental large-scale data center development in the United States should go through West Texas and that Diamondback can be an integral part of that value chain without overstepping our core competencies. In our mind, our Company owns or has access to all the key components of data center development:</w:t>
      </w:r>
    </w:p>
    <w:p>
      <w:pPr>
        <w:ind w:left="660" w:hanging="328"/>
        <w:spacing w:after="0" w:line="230"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Fuel: We have significant natural gas reserves that we control. These can grow if needed.</w:t>
      </w:r>
    </w:p>
    <w:p>
      <w:pPr>
        <w:ind w:left="660" w:hanging="328"/>
        <w:spacing w:after="0" w:line="230" w:lineRule="auto"/>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 We own surface in areas conducive to development and know how to strategically grow our position.</w:t>
      </w:r>
    </w:p>
    <w:p>
      <w:pPr>
        <w:ind w:left="660" w:hanging="328"/>
        <w:spacing w:after="0" w:line="230" w:lineRule="auto"/>
        <w:tabs>
          <w:tab w:leader="none" w:pos="6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Water: We are invested in and understand the water business, which is vital to our upstream business and becoming increasingly important as industrial use cases including data center and power cooling needs grow.</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5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Deal Execution: We have a long track record of sourcing, structuring, financing and integrating transactions across our value chain. Since our 2012 IPO, Diamondback, along with Viper, have successfully completed approximately $60 billion in trades across dozens of transactions, and in parallel, have formed, scaled and successfully exited joint ventures in midstream and water infrastructure, creating value beyond the drillbit. In short, we know how to get deals done, upstream and non-upstream alike, that benefit our stockholders.</w:t>
      </w:r>
    </w:p>
    <w:p>
      <w:pPr>
        <w:sectPr>
          <w:pgSz w:w="11900" w:h="16838" w:orient="portrait"/>
          <w:cols w:equalWidth="0" w:num="1">
            <w:col w:w="11240"/>
          </w:cols>
          <w:pgMar w:left="320" w:top="878" w:right="339" w:bottom="1440" w:gutter="0" w:footer="0" w:header="0"/>
        </w:sectPr>
      </w:pPr>
    </w:p>
    <w:bookmarkStart w:id="25" w:name="page26"/>
    <w:bookmarkEnd w:id="25"/>
    <w:p>
      <w:pPr>
        <w:jc w:val="both"/>
        <w:spacing w:after="0" w:line="244" w:lineRule="auto"/>
        <w:rPr>
          <w:sz w:val="20"/>
          <w:szCs w:val="20"/>
          <w:color w:val="auto"/>
        </w:rPr>
      </w:pPr>
      <w:r>
        <w:rPr>
          <w:rFonts w:ascii="Times New Roman" w:cs="Times New Roman" w:eastAsia="Times New Roman" w:hAnsi="Times New Roman"/>
          <w:sz w:val="22"/>
          <w:szCs w:val="22"/>
          <w:color w:val="auto"/>
        </w:rPr>
        <w:t>Therefore, we believe companies like Diamondback with credible projects will continue to rise to the top. Our hope is to build relationships and partnerships across this space that put us in the middle of the AI revolution, and we think a company like ours can add significant value to advancing this mega-theme.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have already developed significant relationships with strong, reliable partners in working our first project. We expect these partnerships to grow, but also see room for more. West Texas has a significant amount of private land, an abundance of fuel for power and our industry (Diamondback in particular) knows how to build things with unmatched efficiency. Diamondback’s own production has grown more than 330x since 2012 – a growth rate competitive with the tech industry that is naturally intersecting with ours.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Barnett / Woodford Update</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received significant market curiosity after revealing our Barnett position in the Midland Basin earlier this year. Since that announcement, we have grown our position to 224,000 net acres, up 12% since February. We are also entering a period of increased activity in the play as we move to full-field development so we can maximize capital efficiency while honoring lease obligations.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When we revealed our position, we told our investors we needed to work the well costs down to $800 per lateral foot for the play to be competitive with our core program. We are on our way to this number, with drilling costs down over 10% per lateral foot year-to-date including a recent well below $350 per lateral foot. Completion costs have also been reduced to below $400 per lateral foot as we have moved to large pad simulfrac operations on most current and future Barnett projects.</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Recent well results also continue to increase our excitement about the Barnett. Today we revealed data around our best wells in the play on slide #11 of this quarter’s investor presentation, which had previously remained private as we worked through our leasing program. This performance, combined with our improving cost structure, further strengthens our conviction in this emerging opportunity.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Governance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September, we disclosed an agreement with our largest stockholder, SGF FANG Holdings, LP (“SGF”), to revise the stepdown thresholds for SGF’s board designation rights. In connection with SGF’s most recent stock sale that reduced its ownership below 25% and reduced its corresponding right to designate board members from four board members to two board members, we essentially agreed that SGF could continue to designate two board members for so long as it owns at least 10% of our outstanding stock.</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Diamondback Board now has 11 members, in line with S&amp;P 500 and large-cap energy peer averages. We believe this size balances breadth of expertise with cohesion. While we have two Board members who are SGF designees and nine who are not, we feel we are one Diamondback Board with a unified strategy to drive stockholder value while ensuring our largest stockholder feels appropriately represented on the Board with two well-qualified members who collectively bring over 75 years of experience in the oil and gas industry. We believe this is best-in-class governance.</w:t>
      </w:r>
    </w:p>
    <w:p>
      <w:pPr>
        <w:sectPr>
          <w:pgSz w:w="11900" w:h="16838" w:orient="portrait"/>
          <w:cols w:equalWidth="0" w:num="1">
            <w:col w:w="11240"/>
          </w:cols>
          <w:pgMar w:left="320" w:top="88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u w:val="single" w:color="auto"/>
          <w:color w:val="auto"/>
        </w:rPr>
        <w:t>Macro Update</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macro backdrop is almost exactly as we described last quarter: highly volatile and impossible to predict. The timing of the eventual global oil supply normalization is anyone’s guess, and we therefore expect the current volatility to continue. Through this volatility, our priorities remain unchanged: execute with the best capital efficiency in the industry and allocate Free Cash Flow appropriately to maximize long-term stockholder value.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Operational Performance</w:t>
      </w:r>
    </w:p>
    <w:p>
      <w:pPr>
        <w:spacing w:after="0" w:line="2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Third quarter oil production averaged 525 MBO/d, flat with the second quarter and above the midpoint of our guidance range. Total production for the quarter averaged 1,034 MBOE/d, up 2% quarter over quarter. Third quarter cash capital expenditures were $1.03 billion, within our $950 million to $1.05 billion guidance range. With one quarter remaining, we have updated our full-year 2026 oil production guidance to ~524 MBO/d, total production guidance to ~1,015 MBOE/d; and our full-year capex guidance to approximately $3.95 billion to $4.00 billion.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Fourth quarter guidance is 518 to 528 MBO/d (1,025 to 1,045 MBOE/d) on $1.00 to $1.05 billion of capex. Our current expectation for activity in 2027 is to run five electric simulfrac fleets consistently for maximum efficiency while running enough rigs ahead of those crews to maintain the execution buffers one would expect from Diamondback.</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On the drilling side, our blended cost per lateral foot rose in the quarter as the program shifted toward deeper Barnett and Wolfcamp D targets, which now make up roughly a fifth of the wells we drill. On a like-for-like basis, drilling costs per foot in each formation remain flat to lower than a year ago. In total, we drilled 105 gross wells and completed 135, with average completed lateral length up roughly 13% quarter over quarter to 13,584 feet per well. Our completion crews finished 1.86 million lateral feet, 10% more than last quarter, at a cost per lateral foot essentially flat with both the prior quarter and a year ago. These results absorbed higher diesel, sand and water costs, consistent with the inflation pressure we flagged last quarter in casing, fuel and fuel-adjacent items. Service pricing outside those categories has remained largely stable, but it is logical that inflation could build if oil prices stay in the triple digits and the Permian rig count keeps rising. We expect any increase to be more modest than the 2022 upcycle, when rig activity surged while supply chains were still recovering from the pandemic. We continue to challenge our teams to offset cost pressure with efficiency gains in the field; we expect those gains to materialize, but the net effect will depend on the macro environment.</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Technology is increasingly part of how we deliver these results. Artificial intelligence continues to grow in importance to our daily operations. We now have ~500 plunger-lift wells, about a third of our current count, that run autonomously, and we expect to convert the remainder in short order. We are also in the early stages of integrating drones into our field operations where the drones can identify issues ahead of human interaction, improving human efficiency and reducing corporate downtime.</w:t>
      </w:r>
    </w:p>
    <w:p>
      <w:pPr>
        <w:spacing w:after="0" w:line="18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These gains are visible in our unit costs. Lease operating expense was $5.97 per BOE, flat with the second quarter and roughly 4% below the first quarter, and total cash operating expense was $10.91 per BOE, down slightly from $10.96 in the second quarter and about 3% below the first quarter. Behind those numbers is a production organization doing more work at lower unit cost: our well-maintenance teams completed 1,448 jobs, 19% more than in the second quarter, at an average cost per job roughly 10% lower. Additionally, electric submersible pump repair costs are 14% less on average. Keeping downtime and the workover backlog in check as our well count grows is what is holding lifting cost down.</w:t>
      </w:r>
    </w:p>
    <w:p>
      <w:pPr>
        <w:sectPr>
          <w:pgSz w:w="11900" w:h="16838" w:orient="portrait"/>
          <w:cols w:equalWidth="0" w:num="1">
            <w:col w:w="11240"/>
          </w:cols>
          <w:pgMar w:left="320" w:top="8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Financial Performance</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generated $2.6 billion in net cash provided by operating activities in the third quarter, which translated to $2.1 billion of Free Cash Flow. Cash capital expenditures of $1.0 billion represented 39% of net cash provided by operating activities for the quarter and 37% year to date. Our corporate reinvestment ratio (defined as cash CAPEX divided by Operating Cash Flow Before Working Capital Changes) was 32% for both the quarter and year to date, meaning two of every three dollars of cash flow we generated this year have been converted to Free Cash Flow.</w:t>
      </w:r>
    </w:p>
    <w:p>
      <w:pPr>
        <w:spacing w:after="0" w:line="2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Since the Endeavor merger closed eight quarters ago, oil production per share has increased every quarter and is up 15% over that span. Year over year, oil production per share has grown 7.5% on absolute oil growth of 4%. Year over year, net cash provided by operating activities per share has grown 12.5%, and Free Cash Flow per share has grown 26%, with our diluted share count down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Capital Allocation</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Earlier this year, we removed our commitment to return a minimum amount of Free Cash Flow on a quarterly basis to stockholders. Since then, we have focused on taking advantage of what the market gives us. We have repurchased $1.1 billion of notional bonds outstanding for ~$970 million (including accrued interest) this year. It is rare for an E&amp;P to be able to do this pro-cyclically. On top of that, in 2026 through September 30, we have reduced total debt at Diamondback (excluding Viper) by approximately $1.5 billion, to $11.0 billion, and net debt at Diamondback by approximately $2.0 billion. On a consolidated basis, total debt has decreased approximately $1.3 billion and net debt approximately $1.7 billion this year through September 30.</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"Ground game" has been a hot topic in the Permian Basin this year, and Diamondback has always prided itself on executing deals of all sizes. Year to date, we have executed 34 acquisitions for $406 million, adding over 28,000 net acres and 95 net locations, and closed 10 trades covering more than 20,000 net acres. While each deal is small relative to our enterprise, in aggregate they matter: this year's ground game activity has added 1.9 million lateral feet to inventory, replacing roughly a full quarter's worth of completed footage. Every one of these deals creates value for our stockholders through higher working interest, longer laterals and extended inventory duration – little wins that add up year in and year out.</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also saw periods of stock price weakness in the third and early fourth quarters, and we took advantage of this weakness and bought back 1.7 million shares at an average price of $186.11. As we continue to generate cash flow at what we believe are above mid-cycle commodity prices, the “top” that we use to ensure we buy back stock at an accretive value relative to mid-cycle commodity pricing and our cost of capital will continue to go up – accreting value to the stockholders long-term. On the other hand, we are also preparing our balance sheet to be able to be aggressive on stock repurchases at the appropriate time of the natural commodity cycle.</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Lastly, today we announced we increased our base dividend by over 7% to $4.72 per share annually from $4.40 previously. As a reminder, base dividend growth remains a core tenet of the value proposition at Diamondback and our base dividend is now up over 9x since initiating at $0.50 per share in 2018.</w:t>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39" w:lineRule="auto"/>
        <w:rPr>
          <w:sz w:val="20"/>
          <w:szCs w:val="20"/>
          <w:color w:val="auto"/>
        </w:rPr>
      </w:pPr>
      <w:r>
        <w:rPr>
          <w:rFonts w:ascii="Times New Roman" w:cs="Times New Roman" w:eastAsia="Times New Roman" w:hAnsi="Times New Roman"/>
          <w:sz w:val="22"/>
          <w:szCs w:val="22"/>
          <w:color w:val="auto"/>
        </w:rPr>
        <w:t>In closing, we continue to execute exceptionally well on the base business. This execution and the trust we have in our team frees us up to think more strategically about the future of the Permian Basin and Diamondback’s role in that future. We gave you a glimpse into that thinking today, see exciting things on the horizon and will update our stockholders as we progress on these initiatives with the transparency you should continue to expect from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continued interest in Diamondback Energy.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Kaes Van't Hof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Adam Lawlis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+1 432.221.7467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alawlis@diamondbackenergy.com</w:t>
      </w:r>
    </w:p>
    <w:p>
      <w:pPr>
        <w:sectPr>
          <w:pgSz w:w="11900" w:h="16838" w:orient="portrait"/>
          <w:cols w:equalWidth="0" w:num="1">
            <w:col w:w="11240"/>
          </w:cols>
          <w:pgMar w:left="320" w:top="88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letter contains “forward-looking statements” within the meaning of Section 27A of the Securities Act and Section 21E of the Exchange Act, which involve risks, uncertainties, and assumptions. All statements, other than statements of historical fact, including statements regarding Diamondback’s: future performance; business strategy; future operations (including drilling plans and capital plans); estimates and projections of revenues, losses, costs, expenses, returns, cash flow, and financial position; reserve estimates and its ability to replace or increase reserves; anticipated benefits or other effects of strategic transactions (including the 2026 drop down to Diamondback’s subsidiary, Viper Energy, Inc. (“Viper”), Viper’s Riverbend acquisition, Viper’s McElroy Ranch acquisition and Viper’s Sitio acquisition, and other acquisitions, divestitures or reorganizations); and plans and objectives of management (including plans for future cash flow from operations and for executing environmental strategies) are forward-looking statements. When used in this letter, the words “aim,” “anticipate,” “believe,” “continue,” “could,” “estimate,” “expect,” “forecast,” “future,” “guidance,” “intend,” “may,” “model,” “outlook,” “plan,” “positioned,” “potential,” “predict,” “project,” “seek,” “should,” “target,” “will,” “would,” and similar expressions (including the negative of such terms) as they relate to Diamondback are intended to identify forward-looking statements, although not all forward-looking statements contain such identifying words. Although Diamondback believes that the expectations and assumptions reflected in its forward-looking statements are reasonable as and when made, they involve risks and uncertainties that are difficult to predict and, in many cases, beyond Diamondback’s control. Accordingly, forward-looking statements are not guarantees of future performance and Diamondback’s actual outcomes could differ materially from what Diamondback has expressed in its forward-looking statements.</w:t>
      </w:r>
    </w:p>
    <w:p>
      <w:pPr>
        <w:spacing w:after="0" w:line="2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Factors that could cause the outcomes to differ materially include (but are not limited to) the following: geopolitics and market conditions, including changes in supply and demand levels for oil, natural gas and natural gas liquids and the resulting impact on the price for those commodities; changes in U.S. energy, environmental, monetary and trade policies, including with respect to tariffs or other trade barriers and any resulting trade tensions;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and instability in the financial sector; regional supply and demand factors, including delays, curtailments or interruptions of production, or governmental orders, rules or regulations that impose production limits; federal and state legislative and regulatory initiatives relating to hydraulic fracturing, including the effect of existing and future laws and governmental regulations; physical and transition risks relating to climate change, changing political and social perspectives on climate change and other environmental, social and governance factors, and risks from our publicly disclosed targets related to sustainability and emissions reduction initiatives; challenges in developing our existing leasehold acreage and finding, developing or acquiring additional reserves; restrictions on the use of water, including limits on the use of produced water and a moratorium on new produced water disposal well permits recently imposed by the Texas Railroad Commission in an effort to control induced seismicity in the Permian Basin; significant declines in prices for oil, natural gas, or natural gas liquids, which could require recognition of significant impairment charges; conditions in the capital, financial and credit markets, including the availability and pricing of capital for acquisitions, exploration and development operations; challenges with employee retention and an increasingly competitive labor market; changes in availability or cost of rigs, equipment, raw materials, supplies and oilfield services; changes in safety, health, environmental, tax and other regulations or requirements (including those addressing air emissions, water management, or the impact of global climate change); security threats, including cybersecurity threats and disruptions to our business and operations from breaches of our information technology systems, or from breaches of information technology systems of third parties with whom we transact business; lack of, or disruption in, access to adequate and reliable</w:t>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60" w:lineRule="auto"/>
        <w:rPr>
          <w:sz w:val="20"/>
          <w:szCs w:val="20"/>
          <w:color w:val="auto"/>
        </w:rPr>
      </w:pPr>
      <w:r>
        <w:rPr>
          <w:rFonts w:ascii="Times New Roman" w:cs="Times New Roman" w:eastAsia="Times New Roman" w:hAnsi="Times New Roman"/>
          <w:sz w:val="21"/>
          <w:szCs w:val="21"/>
          <w:color w:val="auto"/>
        </w:rPr>
        <w:t>electrical power, internet and telecommunication infrastructure, information and computer systems, transportation, processing, storage and other facilities for our oil, natural gas and natural gas liquids; failures or delays in achieving expected reserve or production levels from existing and future oil and natural gas developments, including due to operating hazards, drilling risks, or the inherent uncertainties in predicting reserve and reservoir performance; inability to keep pace with technological developments in our industry; failure to meet our obligations under our oil purchase contracts; loss of one or more customers or their inability to meet their obligations; geographical concentration of our primary operations; risks from our return of capital activity, and uncertainties over our future dividends and share repurchases; difficulty in obtaining necessary approvals and permits; severe weather conditions and natural disasters; changes in the financial strength of counterparties to our credit facilities and hedging contracts; our substantial indebtedness and restrictions to our operating and financial flexibility; changes in our credit rating; failure to identify, complete and successfully integrate acquisitions, including Viper’s Riverbend acquisition, McElroy Ranch acquisition and Sitio acquisition; the Endeavor stockholders’ ability to significantly influence our business and potential conflicts of interest; and other risks described in Part I, Item 1A of Diamondback’s Annual Report on Form 10-K, filed with the SEC on February 25, 2026, and those risks disclosed in its subsequent filings on Forms 10-Q and 8-K, which can be obtained free of charge on the SEC’s website at http://www.sec.gov and Diamondback’s website at www.diamondbackenergy.com/investors.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In light of these factors, the events anticipated by Diamondback’s forward-looking statements may not occur at the time anticipated or at all. Moreover, Diamondback operates in a very competitive and rapidly changing environment and new risks emerge from time to time. Diamondback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All forward-looking statements speak only as of the date of this letter or, if earlier, as of the date they were made. Diamondback does not intend to, and disclaims any obligation to, update or revise any forward-looking statements unless required by applicable law.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Non-GAAP Financial Measures</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letter includes financial information not prepared in conformity with generally accepted accounting principles (GAAP), such as Free Cash Flow, Free Cash Flow per share, Operating Cash Flow Before Working Capital Changes, and net debt. The non-GAAP information should be considered by the reader in addition to, but not instead of, financial information prepared in accordance with GAAP. A reconciliation of the differences between these non-GAAP financial measures and the most directly comparable GAAP financial measures can be found in Diamondback's quarterly results, which are posted on Diamondback's website at www.diamondbackenergy.com/investors and included as Exhibit 99.1 to the Current Report on Form 8-K filed by Diamondback with the SEC that also includes this letter as Exhibit 99.2. Furthermore, this letter includes or references certain forward-looking, non-GAAP financial measures. Because Diamondback provides these measures on a forward-looking basis, it cannot reliably or reasonably predict certain of the necessary components of the most directly comparable forward-looking GAAP financial measures, such as future impairments and future changes in working capital. Accordingly, Diamondback is unable to present a quantitative reconciliation of such forward-looking, non-GAAP financial measures to the respective most directly comparable forward-looking GAAP financial measures. Diamondback believes that these forward-looking, non-GAAP measures may be a useful tool for the investment community in comparing Diamondback's forecasted financial performance to the forecasted financial performance of other companies in the industry.</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2026-11-02T15:15:33Z</dcterms:created>
  <dcterms:modified xsi:type="dcterms:W3CDTF">2026-11-02T15:15:33Z</dcterms:modified>
</cp:coreProperties>
</file>