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107315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100965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01" w:lineRule="exact"/>
        <w:rPr>
          <w:sz w:val="24"/>
          <w:szCs w:val="24"/>
          <w:color w:val="auto"/>
        </w:rPr>
      </w:pPr>
    </w:p>
    <w:p>
      <w:pPr>
        <w:ind w:left="980" w:right="360" w:hanging="617"/>
        <w:spacing w:after="0" w:line="235" w:lineRule="auto"/>
        <w:tabs>
          <w:tab w:leader="none" w:pos="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980" w:right="360" w:hanging="617"/>
        <w:spacing w:after="0" w:line="235"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197485</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Diamondback Energy,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4"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jc w:val="right"/>
              <w:ind w:right="784"/>
              <w:spacing w:after="0"/>
              <w:rPr>
                <w:sz w:val="20"/>
                <w:szCs w:val="20"/>
                <w:color w:val="auto"/>
              </w:rPr>
            </w:pPr>
            <w:r>
              <w:rPr>
                <w:rFonts w:ascii="Arial" w:cs="Arial" w:eastAsia="Arial" w:hAnsi="Arial"/>
                <w:sz w:val="16"/>
                <w:szCs w:val="16"/>
                <w:b w:val="1"/>
                <w:bCs w:val="1"/>
                <w:color w:val="auto"/>
              </w:rPr>
              <w:t>45-4502447</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4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500 West Texas</w:t>
            </w:r>
          </w:p>
        </w:tc>
        <w:tc>
          <w:tcPr>
            <w:tcW w:w="3640" w:type="dxa"/>
            <w:vAlign w:val="bottom"/>
          </w:tcPr>
          <w:p>
            <w:pPr>
              <w:spacing w:after="0"/>
              <w:rPr>
                <w:sz w:val="24"/>
                <w:szCs w:val="24"/>
                <w:color w:val="auto"/>
              </w:rPr>
            </w:pPr>
          </w:p>
        </w:tc>
      </w:tr>
      <w:tr>
        <w:trPr>
          <w:trHeight w:val="21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Suite 1200</w:t>
            </w:r>
          </w:p>
        </w:tc>
        <w:tc>
          <w:tcPr>
            <w:tcW w:w="3640" w:type="dxa"/>
            <w:vAlign w:val="bottom"/>
          </w:tcPr>
          <w:p>
            <w:pPr>
              <w:spacing w:after="0"/>
              <w:rPr>
                <w:sz w:val="18"/>
                <w:szCs w:val="18"/>
                <w:color w:val="auto"/>
              </w:rPr>
            </w:pPr>
          </w:p>
        </w:tc>
      </w:tr>
      <w:tr>
        <w:trPr>
          <w:trHeight w:val="216"/>
        </w:trPr>
        <w:tc>
          <w:tcPr>
            <w:tcW w:w="4980" w:type="dxa"/>
            <w:vAlign w:val="bottom"/>
          </w:tcPr>
          <w:p>
            <w:pPr>
              <w:ind w:left="1400"/>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2"/>
              </w:rPr>
              <w:t>(Zip code)</w:t>
            </w:r>
          </w:p>
        </w:tc>
      </w:tr>
    </w:tbl>
    <w:p>
      <w:pPr>
        <w:spacing w:after="0" w:line="3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472" w:right="339" w:bottom="1440" w:gutter="0" w:footer="0" w:header="0"/>
        </w:sectPr>
      </w:pPr>
    </w:p>
    <w:p>
      <w:pPr>
        <w:spacing w:after="0" w:line="154" w:lineRule="exact"/>
        <w:rPr>
          <w:sz w:val="24"/>
          <w:szCs w:val="24"/>
          <w:color w:val="auto"/>
        </w:rPr>
      </w:pPr>
    </w:p>
    <w:p>
      <w:pPr>
        <w:ind w:left="15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260" w:space="720"/>
            <w:col w:w="1920" w:space="720"/>
            <w:col w:w="3620"/>
          </w:cols>
          <w:pgMar w:left="320" w:top="472" w:right="339" w:bottom="1440" w:gutter="0" w:footer="0" w:header="0"/>
          <w:type w:val="continuous"/>
        </w:sectPr>
      </w:pPr>
    </w:p>
    <w:p>
      <w:pPr>
        <w:ind w:left="160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55" w:lineRule="exact"/>
        <w:rPr>
          <w:sz w:val="24"/>
          <w:szCs w:val="24"/>
          <w:color w:val="auto"/>
        </w:rPr>
      </w:pPr>
    </w:p>
    <w:p>
      <w:pPr>
        <w:sectPr>
          <w:pgSz w:w="11900" w:h="16838" w:orient="portrait"/>
          <w:cols w:equalWidth="0" w:num="3">
            <w:col w:w="4680" w:space="720"/>
            <w:col w:w="1980" w:space="720"/>
            <w:col w:w="3140"/>
          </w:cols>
          <w:pgMar w:left="320" w:top="472" w:right="339" w:bottom="1440" w:gutter="0" w:footer="0" w:header="0"/>
          <w:type w:val="continuous"/>
        </w:sectPr>
      </w:pPr>
    </w:p>
    <w:p>
      <w:pPr>
        <w:ind w:left="802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240"/>
          </w:cols>
          <w:pgMar w:left="320" w:top="472" w:right="339" w:bottom="1440" w:gutter="0" w:footer="0" w:header="0"/>
          <w:type w:val="continuous"/>
        </w:sectPr>
      </w:pPr>
    </w:p>
    <w:p>
      <w:pPr>
        <w:spacing w:after="0" w:line="368" w:lineRule="exact"/>
        <w:rPr>
          <w:sz w:val="24"/>
          <w:szCs w:val="24"/>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30" w:lineRule="exact"/>
        <w:rPr>
          <w:sz w:val="24"/>
          <w:szCs w:val="24"/>
          <w:color w:val="auto"/>
        </w:rPr>
      </w:pPr>
    </w:p>
    <w:p>
      <w:pPr>
        <w:ind w:right="4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2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8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8"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4" w:lineRule="exact"/>
        <w:rPr>
          <w:sz w:val="24"/>
          <w:szCs w:val="24"/>
          <w:color w:val="auto"/>
        </w:rPr>
      </w:pPr>
    </w:p>
    <w:p>
      <w:pPr>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As of April 30, 2021, the registrant had 180,997,368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0"/>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8"/>
            <w:shd w:val="clear" w:color="auto" w:fill="CCEEFF"/>
          </w:tcPr>
          <w:p>
            <w:pPr>
              <w:spacing w:after="0" w:line="149" w:lineRule="exact"/>
              <w:rPr>
                <w:rFonts w:ascii="Arial" w:cs="Arial" w:eastAsia="Arial" w:hAnsi="Arial"/>
                <w:sz w:val="17"/>
                <w:szCs w:val="17"/>
                <w:color w:val="0000FF"/>
                <w:w w:val="95"/>
              </w:rPr>
            </w:pPr>
            <w:hyperlink w:anchor="page2">
              <w:r>
                <w:rPr>
                  <w:rFonts w:ascii="Arial" w:cs="Arial" w:eastAsia="Arial" w:hAnsi="Arial"/>
                  <w:sz w:val="17"/>
                  <w:szCs w:val="17"/>
                  <w:color w:val="0000FF"/>
                  <w:w w:val="95"/>
                </w:rPr>
                <w:t>Glossary of Oil and Natural Gas Terms</w:t>
              </w:r>
            </w:hyperlink>
          </w:p>
        </w:tc>
        <w:tc>
          <w:tcPr>
            <w:tcW w:w="7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center"/>
              <w:ind w:right="280"/>
              <w:spacing w:after="0" w:line="169"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60" w:type="dxa"/>
            <w:vAlign w:val="bottom"/>
            <w:gridSpan w:val="23"/>
          </w:tcPr>
          <w:p>
            <w:pPr>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Glossary of Certain Other Terms</w:t>
              </w:r>
            </w:hyperlink>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3"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iii</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60"/>
              <w:spacing w:after="0" w:line="189"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iv</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FF"/>
            </w:tcBorders>
            <w:gridSpan w:val="12"/>
            <w:shd w:val="clear" w:color="auto" w:fill="CCEEFF"/>
          </w:tcPr>
          <w:p>
            <w:pPr>
              <w:jc w:val="center"/>
              <w:spacing w:after="0" w:line="189"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 FINANCIAL INFORMATION</w:t>
              </w:r>
            </w:hyperlink>
          </w:p>
        </w:tc>
        <w:tc>
          <w:tcPr>
            <w:tcW w:w="3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Item 1. Condensed Consolidated Financial Statements (Unaudited)</w:t>
              </w:r>
            </w:hyperlink>
          </w:p>
        </w:tc>
        <w:tc>
          <w:tcPr>
            <w:tcW w:w="380" w:type="dxa"/>
            <w:vAlign w:val="bottom"/>
            <w:gridSpan w:val="2"/>
          </w:tcPr>
          <w:p>
            <w:pPr>
              <w:jc w:val="center"/>
              <w:ind w:left="190"/>
              <w:spacing w:after="0" w:line="189"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1</w:t>
              </w:r>
            </w:hyperlink>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0000FF"/>
            </w:tcBorders>
            <w:gridSpan w:val="8"/>
            <w:shd w:val="clear" w:color="auto" w:fill="CCEEFF"/>
          </w:tcPr>
          <w:p>
            <w:pPr>
              <w:spacing w:after="0" w:line="182"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Condensed Consolidated Balance Sheets</w:t>
              </w:r>
            </w:hyperlink>
          </w:p>
        </w:tc>
        <w:tc>
          <w:tcPr>
            <w:tcW w:w="6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center"/>
              <w:ind w:left="190"/>
              <w:spacing w:after="0" w:line="196" w:lineRule="exact"/>
              <w:rPr>
                <w:rFonts w:ascii="Arial" w:cs="Arial" w:eastAsia="Arial" w:hAnsi="Arial"/>
                <w:sz w:val="18"/>
                <w:szCs w:val="18"/>
                <w:color w:val="0000FF"/>
                <w:w w:val="99"/>
              </w:rPr>
            </w:pPr>
            <w:hyperlink w:anchor="page7">
              <w:r>
                <w:rPr>
                  <w:rFonts w:ascii="Arial" w:cs="Arial" w:eastAsia="Arial" w:hAnsi="Arial"/>
                  <w:sz w:val="18"/>
                  <w:szCs w:val="18"/>
                  <w:color w:val="0000FF"/>
                  <w:w w:val="99"/>
                </w:rPr>
                <w:t>1</w:t>
              </w:r>
            </w:hyperlink>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9900" w:type="dxa"/>
            <w:vAlign w:val="bottom"/>
            <w:tcBorders>
              <w:top w:val="single" w:sz="8" w:color="CCEEFF"/>
            </w:tcBorders>
            <w:gridSpan w:val="22"/>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Operations</w:t>
              </w:r>
            </w:hyperlink>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3</w:t>
              </w:r>
            </w:hyperlink>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Stockholders’ Equity</w:t>
              </w:r>
            </w:hyperlink>
          </w:p>
        </w:tc>
        <w:tc>
          <w:tcPr>
            <w:tcW w:w="380" w:type="dxa"/>
            <w:vAlign w:val="bottom"/>
            <w:gridSpan w:val="2"/>
            <w:shd w:val="clear" w:color="auto" w:fill="CCEEFF"/>
          </w:tcPr>
          <w:p>
            <w:pPr>
              <w:jc w:val="center"/>
              <w:ind w:left="190"/>
              <w:spacing w:after="0" w:line="189"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4</w:t>
              </w:r>
            </w:hyperlink>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380" w:type="dxa"/>
            <w:vAlign w:val="bottom"/>
            <w:tcBorders>
              <w:top w:val="single" w:sz="8" w:color="0000FF"/>
            </w:tcBorders>
            <w:gridSpan w:val="18"/>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5520" w:type="dxa"/>
            <w:vAlign w:val="bottom"/>
            <w:tcBorders>
              <w:top w:val="single" w:sz="8" w:color="CCEEFF"/>
            </w:tcBorders>
            <w:gridSpan w:val="4"/>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10">
              <w:r>
                <w:rPr>
                  <w:rFonts w:ascii="Arial" w:cs="Arial" w:eastAsia="Arial" w:hAnsi="Arial"/>
                  <w:sz w:val="18"/>
                  <w:szCs w:val="18"/>
                  <w:color w:val="0000FF"/>
                  <w:w w:val="99"/>
                </w:rPr>
                <w:t>5</w:t>
              </w:r>
            </w:hyperlink>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Condensed Notes to Consolidated Financial Statements</w:t>
              </w:r>
            </w:hyperlink>
          </w:p>
        </w:tc>
        <w:tc>
          <w:tcPr>
            <w:tcW w:w="380" w:type="dxa"/>
            <w:vAlign w:val="bottom"/>
            <w:gridSpan w:val="2"/>
            <w:shd w:val="clear" w:color="auto" w:fill="CCEEFF"/>
          </w:tcPr>
          <w:p>
            <w:pPr>
              <w:jc w:val="center"/>
              <w:ind w:left="190"/>
              <w:spacing w:after="0" w:line="189"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7</w:t>
              </w:r>
            </w:hyperlink>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2. Management’s Discussion and Analysis of Financial Condition and Results of Operations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31</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Item 3. Quantitative and Qualitative Disclosures About Market Risk</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44</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Item 4. Controls and Procedures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45</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40" w:type="dxa"/>
            <w:vAlign w:val="bottom"/>
            <w:gridSpan w:val="12"/>
            <w:shd w:val="clear" w:color="auto" w:fill="CCEEFF"/>
          </w:tcPr>
          <w:p>
            <w:pPr>
              <w:jc w:val="center"/>
              <w:ind w:right="3580"/>
              <w:spacing w:after="0" w:line="189" w:lineRule="exact"/>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 OTHER INFORMATION</w:t>
              </w:r>
            </w:hyperlink>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CCEEFF"/>
            </w:tcBorders>
            <w:gridSpan w:val="11"/>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Item 1. Legal Proceedings</w:t>
              </w:r>
            </w:hyperlink>
          </w:p>
        </w:tc>
        <w:tc>
          <w:tcPr>
            <w:tcW w:w="2760" w:type="dxa"/>
            <w:vAlign w:val="bottom"/>
            <w:tcBorders>
              <w:top w:val="single" w:sz="8" w:color="0000FF"/>
            </w:tcBorders>
            <w:gridSpan w:val="9"/>
          </w:tcPr>
          <w:p>
            <w:pPr>
              <w:spacing w:after="0"/>
              <w:rPr>
                <w:sz w:val="16"/>
                <w:szCs w:val="16"/>
                <w:color w:val="auto"/>
              </w:rPr>
            </w:pPr>
          </w:p>
        </w:tc>
        <w:tc>
          <w:tcPr>
            <w:tcW w:w="3580" w:type="dxa"/>
            <w:vAlign w:val="bottom"/>
            <w:tcBorders>
              <w:top w:val="single" w:sz="8" w:color="CCEEFF"/>
            </w:tcBorders>
            <w:gridSpan w:val="3"/>
          </w:tcPr>
          <w:p>
            <w:pPr>
              <w:spacing w:after="0"/>
              <w:rPr>
                <w:sz w:val="16"/>
                <w:szCs w:val="16"/>
                <w:color w:val="auto"/>
              </w:rPr>
            </w:pPr>
          </w:p>
        </w:tc>
        <w:tc>
          <w:tcPr>
            <w:tcW w:w="660" w:type="dxa"/>
            <w:vAlign w:val="bottom"/>
            <w:tcBorders>
              <w:top w:val="single" w:sz="8" w:color="CCEEFF"/>
            </w:tcBorders>
            <w:gridSpan w:val="4"/>
          </w:tcPr>
          <w:p>
            <w:pPr>
              <w:jc w:val="center"/>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45</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Item 1A. Risk Factors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46</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Item 2. Unregistered Sales of Equity Securities and Use of Proceeds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46</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Item 6. Exhibits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47</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Signatures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48</w:t>
              </w:r>
            </w:hyperlink>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is a glossary of certain oil and natural gas industry terms that are used in this Quarterly Report on Form 10-Q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5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Bbl or barrel</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89"/>
              </w:rPr>
              <w:t>One stock tank barrel, or 42 U.S. gallons liquid volume, used in this report in reference to crude oil or other liquid</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hydrocarbons.</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One barrel of oil equivalent, with six thousand cubic feet of natural gas being equivalent to one barrel of oil.</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BOE/d</w:t>
            </w:r>
          </w:p>
        </w:tc>
        <w:tc>
          <w:tcPr>
            <w:tcW w:w="8520" w:type="dxa"/>
            <w:vAlign w:val="bottom"/>
          </w:tcPr>
          <w:p>
            <w:pPr>
              <w:ind w:left="500"/>
              <w:spacing w:after="0"/>
              <w:rPr>
                <w:sz w:val="20"/>
                <w:szCs w:val="20"/>
                <w:color w:val="auto"/>
              </w:rPr>
            </w:pPr>
            <w:r>
              <w:rPr>
                <w:rFonts w:ascii="Arial" w:cs="Arial" w:eastAsia="Arial" w:hAnsi="Arial"/>
                <w:sz w:val="18"/>
                <w:szCs w:val="18"/>
                <w:color w:val="auto"/>
              </w:rPr>
              <w:t>BOE per day.</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The quantity of heat required to raise the temperature of one pound of water by one degree Fahrenheit.</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Completion</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2"/>
              </w:rPr>
              <w:t>The process of treating a drilled well followed by the installation of permanent equipment for the production of</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w w:val="98"/>
              </w:rPr>
              <w:t>natural gas or oil, or in the case of a dry hole, the reporting of abandonment to the appropriate agency.</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Liquid hydrocarbons retrieved from geological structures underground to be refined into fuel sources.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Finding and development costs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4"/>
              </w:rPr>
              <w:t>Capital costs incurred in the acquisition, exploitation and exploration of proved oil and natural gas reserves</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acres or gross wells</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Horizontal wells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4"/>
              </w:rPr>
              <w:t>Wells drilled directionally horizontal to allow for development of structures not reachable through traditional</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vertical drilling mechanisms.</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MBbl</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One thousand barrels of crude oil and other liquid hydrocarbons.</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MBOE/d</w:t>
            </w:r>
          </w:p>
        </w:tc>
        <w:tc>
          <w:tcPr>
            <w:tcW w:w="8520" w:type="dxa"/>
            <w:vAlign w:val="bottom"/>
          </w:tcPr>
          <w:p>
            <w:pPr>
              <w:ind w:left="500"/>
              <w:spacing w:after="0"/>
              <w:rPr>
                <w:sz w:val="20"/>
                <w:szCs w:val="20"/>
                <w:color w:val="auto"/>
              </w:rPr>
            </w:pPr>
            <w:r>
              <w:rPr>
                <w:rFonts w:ascii="Arial" w:cs="Arial" w:eastAsia="Arial" w:hAnsi="Arial"/>
                <w:sz w:val="18"/>
                <w:szCs w:val="18"/>
                <w:color w:val="auto"/>
              </w:rPr>
              <w:t>One thousand BOE per day.</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One thousand cubic feet of natural gas.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Mineral interests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6"/>
              </w:rPr>
              <w:t>The interests in ownership of the resource and mineral rights, giving an owner the right to profit from the</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extracted resources.</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MMBtu</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One million British Thermal Units.</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Net acres or net wells</w:t>
            </w:r>
          </w:p>
        </w:tc>
        <w:tc>
          <w:tcPr>
            <w:tcW w:w="8520" w:type="dxa"/>
            <w:vAlign w:val="bottom"/>
          </w:tcPr>
          <w:p>
            <w:pPr>
              <w:ind w:left="50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Plugging and abandonment</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Prospect</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88"/>
              </w:rPr>
              <w:t>A specific geographic area which, based on supporting geological, geophysical or other data and also preliminary</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8"/>
              </w:rPr>
              <w:t>economic analysis using reasonably anticipated prices and costs, is deemed to have potential for the discovery of</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commercial hydrocarbons.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Proved reserves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5"/>
              </w:rPr>
              <w:t>The estimated quantities of oil, natural gas and natural gas liquids which geological and engineering data</w:t>
            </w:r>
          </w:p>
        </w:tc>
      </w:tr>
      <w:tr>
        <w:trPr>
          <w:trHeight w:val="175"/>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93"/>
              </w:rPr>
              <w:t>demonstrate with reasonable certainty to be commercially recoverable in future years from known reservoirs</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under existing economic and operating conditions.</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Reserves</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89"/>
              </w:rPr>
              <w:t>The estimated remaining quantities of oil and natural gas and related substances anticipated to be economically</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9"/>
              </w:rPr>
              <w:t>producible, as of a given date, by application of development projects to known accumulations. In addition, there</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9"/>
              </w:rPr>
              <w:t>must exist, or there must be a reasonable expectation that there will exist, the legal right to produce or a revenue</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8"/>
              </w:rPr>
              <w:t>interest in the production, installed means of delivering oil and natural gas or related substances to the market and</w:t>
            </w:r>
          </w:p>
        </w:tc>
      </w:tr>
      <w:tr>
        <w:trPr>
          <w:trHeight w:val="176"/>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2"/>
              </w:rPr>
              <w:t>all permits and financing required to implement the project. Reserves are not assigned to adjacent reservoirs</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0"/>
              </w:rPr>
              <w:t>isolated by major, potentially sealing, faults until those reservoirs are penetrated and evaluated as economically</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8"/>
              </w:rPr>
              <w:t>producible. Reserves should not be assigned to areas that are clearly separated from a known accumulation by a</w:t>
            </w:r>
          </w:p>
        </w:tc>
      </w:tr>
      <w:tr>
        <w:trPr>
          <w:trHeight w:val="175"/>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88"/>
              </w:rPr>
              <w:t>non-productive reservoir (i.e., absence of reservoir, structurally low reservoir or negative test results). Such areas</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may contain prospective resources (i.e., potentially recoverable resources from undiscovered accumulations).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Reservoir</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3"/>
              </w:rPr>
              <w:t>A porous and permeable underground formation containing a natural accumulation of producible natural gas</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w w:val="92"/>
              </w:rPr>
              <w:t>and/or crude oil that is confined by impermeable rock or water barriers and is separate from other reservoirs.</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Royalty interest</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89"/>
              </w:rPr>
              <w:t>An interest that gives an owner the right to receive a portion of the resources or revenues without having to carry</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any costs of development, which may be subject to expiration.</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Working interest</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w:t>
            </w:r>
          </w:p>
        </w:tc>
      </w:tr>
      <w:tr>
        <w:trPr>
          <w:trHeight w:val="175"/>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93"/>
              </w:rPr>
              <w:t>property and receive a share of production and requires the owner to pay a share of the costs of drilling and</w:t>
            </w:r>
          </w:p>
        </w:tc>
      </w:tr>
      <w:tr>
        <w:trPr>
          <w:trHeight w:val="223"/>
        </w:trPr>
        <w:tc>
          <w:tcPr>
            <w:tcW w:w="2720" w:type="dxa"/>
            <w:vAlign w:val="bottom"/>
            <w:tcBorders>
              <w:bottom w:val="single" w:sz="8" w:color="auto"/>
            </w:tcBorders>
          </w:tcPr>
          <w:p>
            <w:pPr>
              <w:spacing w:after="0"/>
              <w:rPr>
                <w:sz w:val="19"/>
                <w:szCs w:val="19"/>
                <w:color w:val="auto"/>
              </w:rPr>
            </w:pPr>
          </w:p>
        </w:tc>
        <w:tc>
          <w:tcPr>
            <w:tcW w:w="85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production operations.</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8480" w:type="dxa"/>
            <w:vAlign w:val="bottom"/>
          </w:tcPr>
          <w:p>
            <w:pPr>
              <w:ind w:left="110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27"/>
        </w:trPr>
        <w:tc>
          <w:tcPr>
            <w:tcW w:w="276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Accounting Standards Codification.</w:t>
            </w:r>
          </w:p>
        </w:tc>
      </w:tr>
      <w:tr>
        <w:trPr>
          <w:trHeight w:val="228"/>
        </w:trPr>
        <w:tc>
          <w:tcPr>
            <w:tcW w:w="2760" w:type="dxa"/>
            <w:vAlign w:val="bottom"/>
          </w:tcPr>
          <w:p>
            <w:pPr>
              <w:ind w:left="20"/>
              <w:spacing w:after="0"/>
              <w:rPr>
                <w:sz w:val="20"/>
                <w:szCs w:val="20"/>
                <w:color w:val="auto"/>
              </w:rPr>
            </w:pPr>
            <w:r>
              <w:rPr>
                <w:rFonts w:ascii="Arial" w:cs="Arial" w:eastAsia="Arial" w:hAnsi="Arial"/>
                <w:sz w:val="18"/>
                <w:szCs w:val="18"/>
                <w:color w:val="auto"/>
              </w:rPr>
              <w:t>ASU</w:t>
            </w:r>
          </w:p>
        </w:tc>
        <w:tc>
          <w:tcPr>
            <w:tcW w:w="8480" w:type="dxa"/>
            <w:vAlign w:val="bottom"/>
          </w:tcPr>
          <w:p>
            <w:pPr>
              <w:ind w:left="460"/>
              <w:spacing w:after="0"/>
              <w:rPr>
                <w:sz w:val="20"/>
                <w:szCs w:val="20"/>
                <w:color w:val="auto"/>
              </w:rPr>
            </w:pPr>
            <w:r>
              <w:rPr>
                <w:rFonts w:ascii="Arial" w:cs="Arial" w:eastAsia="Arial" w:hAnsi="Arial"/>
                <w:sz w:val="18"/>
                <w:szCs w:val="18"/>
                <w:color w:val="auto"/>
              </w:rPr>
              <w:t>Accounting Standards Update.</w:t>
            </w:r>
          </w:p>
        </w:tc>
      </w:tr>
      <w:tr>
        <w:trPr>
          <w:trHeight w:val="231"/>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Plan</w:t>
            </w: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Company’s Equity Incentive Plan.</w:t>
            </w:r>
          </w:p>
        </w:tc>
      </w:tr>
      <w:tr>
        <w:trPr>
          <w:trHeight w:val="228"/>
        </w:trPr>
        <w:tc>
          <w:tcPr>
            <w:tcW w:w="276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480" w:type="dxa"/>
            <w:vAlign w:val="bottom"/>
          </w:tcPr>
          <w:p>
            <w:pPr>
              <w:ind w:left="460"/>
              <w:spacing w:after="0"/>
              <w:rPr>
                <w:sz w:val="20"/>
                <w:szCs w:val="20"/>
                <w:color w:val="auto"/>
              </w:rPr>
            </w:pPr>
            <w:r>
              <w:rPr>
                <w:rFonts w:ascii="Arial" w:cs="Arial" w:eastAsia="Arial" w:hAnsi="Arial"/>
                <w:sz w:val="18"/>
                <w:szCs w:val="18"/>
                <w:color w:val="auto"/>
              </w:rPr>
              <w:t>The Securities Exchange Act of 1934, as amended.</w:t>
            </w:r>
          </w:p>
        </w:tc>
      </w:tr>
      <w:tr>
        <w:trPr>
          <w:trHeight w:val="231"/>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Accounting Standards Board.</w:t>
            </w:r>
          </w:p>
        </w:tc>
      </w:tr>
      <w:tr>
        <w:trPr>
          <w:trHeight w:val="228"/>
        </w:trPr>
        <w:tc>
          <w:tcPr>
            <w:tcW w:w="2760" w:type="dxa"/>
            <w:vAlign w:val="bottom"/>
          </w:tcPr>
          <w:p>
            <w:pPr>
              <w:ind w:left="20"/>
              <w:spacing w:after="0"/>
              <w:rPr>
                <w:sz w:val="20"/>
                <w:szCs w:val="20"/>
                <w:color w:val="auto"/>
              </w:rPr>
            </w:pPr>
            <w:r>
              <w:rPr>
                <w:rFonts w:ascii="Arial" w:cs="Arial" w:eastAsia="Arial" w:hAnsi="Arial"/>
                <w:sz w:val="18"/>
                <w:szCs w:val="18"/>
                <w:color w:val="auto"/>
              </w:rPr>
              <w:t>GAAP</w:t>
            </w:r>
          </w:p>
        </w:tc>
        <w:tc>
          <w:tcPr>
            <w:tcW w:w="8480" w:type="dxa"/>
            <w:vAlign w:val="bottom"/>
          </w:tcPr>
          <w:p>
            <w:pPr>
              <w:ind w:left="46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182"/>
        </w:trPr>
        <w:tc>
          <w:tcPr>
            <w:tcW w:w="27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2025 Indenture</w:t>
            </w:r>
          </w:p>
        </w:tc>
        <w:tc>
          <w:tcPr>
            <w:tcW w:w="8480" w:type="dxa"/>
            <w:vAlign w:val="bottom"/>
            <w:shd w:val="clear" w:color="auto" w:fill="CCEEFF"/>
          </w:tcPr>
          <w:p>
            <w:pPr>
              <w:ind w:left="460"/>
              <w:spacing w:after="0" w:line="182" w:lineRule="exact"/>
              <w:rPr>
                <w:sz w:val="20"/>
                <w:szCs w:val="20"/>
                <w:color w:val="auto"/>
              </w:rPr>
            </w:pPr>
            <w:r>
              <w:rPr>
                <w:rFonts w:ascii="Arial" w:cs="Arial" w:eastAsia="Arial" w:hAnsi="Arial"/>
                <w:sz w:val="18"/>
                <w:szCs w:val="18"/>
                <w:color w:val="auto"/>
                <w:w w:val="92"/>
              </w:rPr>
              <w:t>The indenture relating to the 2025 Senior Notes (defined below), dated as of December 20, 2016, among the</w:t>
            </w:r>
          </w:p>
        </w:tc>
      </w:tr>
      <w:tr>
        <w:trPr>
          <w:trHeight w:val="224"/>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Company, the subsidiary guarantors party thereto and Wells Fargo, as the trustee, as supplemented.</w:t>
            </w:r>
          </w:p>
        </w:tc>
      </w:tr>
      <w:tr>
        <w:trPr>
          <w:trHeight w:val="228"/>
        </w:trPr>
        <w:tc>
          <w:tcPr>
            <w:tcW w:w="2760" w:type="dxa"/>
            <w:vAlign w:val="bottom"/>
          </w:tcPr>
          <w:p>
            <w:pPr>
              <w:ind w:left="20"/>
              <w:spacing w:after="0"/>
              <w:rPr>
                <w:sz w:val="20"/>
                <w:szCs w:val="20"/>
                <w:color w:val="auto"/>
              </w:rPr>
            </w:pPr>
            <w:r>
              <w:rPr>
                <w:rFonts w:ascii="Arial" w:cs="Arial" w:eastAsia="Arial" w:hAnsi="Arial"/>
                <w:sz w:val="18"/>
                <w:szCs w:val="18"/>
                <w:color w:val="auto"/>
              </w:rPr>
              <w:t>2025 Senior Notes</w:t>
            </w:r>
          </w:p>
        </w:tc>
        <w:tc>
          <w:tcPr>
            <w:tcW w:w="8480" w:type="dxa"/>
            <w:vAlign w:val="bottom"/>
          </w:tcPr>
          <w:p>
            <w:pPr>
              <w:ind w:left="460"/>
              <w:spacing w:after="0"/>
              <w:rPr>
                <w:sz w:val="20"/>
                <w:szCs w:val="20"/>
                <w:color w:val="auto"/>
              </w:rPr>
            </w:pPr>
            <w:r>
              <w:rPr>
                <w:rFonts w:ascii="Arial" w:cs="Arial" w:eastAsia="Arial" w:hAnsi="Arial"/>
                <w:sz w:val="18"/>
                <w:szCs w:val="18"/>
                <w:color w:val="auto"/>
                <w:w w:val="92"/>
              </w:rPr>
              <w:t>The Company’s 5.375% senior unsecured notes due 2025 in the aggregate principal amount of $800 million.</w:t>
            </w:r>
          </w:p>
        </w:tc>
      </w:tr>
      <w:tr>
        <w:trPr>
          <w:trHeight w:val="182"/>
        </w:trPr>
        <w:tc>
          <w:tcPr>
            <w:tcW w:w="27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December 2019 Notes</w:t>
            </w:r>
          </w:p>
        </w:tc>
        <w:tc>
          <w:tcPr>
            <w:tcW w:w="8480" w:type="dxa"/>
            <w:vAlign w:val="bottom"/>
            <w:shd w:val="clear" w:color="auto" w:fill="CCEEFF"/>
          </w:tcPr>
          <w:p>
            <w:pPr>
              <w:ind w:left="460"/>
              <w:spacing w:after="0" w:line="182" w:lineRule="exact"/>
              <w:rPr>
                <w:sz w:val="20"/>
                <w:szCs w:val="20"/>
                <w:color w:val="auto"/>
              </w:rPr>
            </w:pPr>
            <w:r>
              <w:rPr>
                <w:rFonts w:ascii="Arial" w:cs="Arial" w:eastAsia="Arial" w:hAnsi="Arial"/>
                <w:sz w:val="18"/>
                <w:szCs w:val="18"/>
                <w:color w:val="auto"/>
                <w:w w:val="90"/>
              </w:rPr>
              <w:t>The Company’s 2.875% senior unsecured notes due 2024 in the aggregate principal amount of $1.0 billion, the</w:t>
            </w:r>
          </w:p>
        </w:tc>
      </w:tr>
      <w:tr>
        <w:trPr>
          <w:trHeight w:val="175"/>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90"/>
              </w:rPr>
              <w:t>Company’s 3.250% senior unsecured notes due 2026 in the aggregate principal amount of $800 million and the</w:t>
            </w:r>
          </w:p>
        </w:tc>
      </w:tr>
      <w:tr>
        <w:trPr>
          <w:trHeight w:val="224"/>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7"/>
              </w:rPr>
              <w:t>Company’s 3.500% senior unsecured notes due 2029 in the aggregate principal amount of $1.2 billion.</w:t>
            </w:r>
          </w:p>
        </w:tc>
      </w:tr>
      <w:tr>
        <w:trPr>
          <w:trHeight w:val="181"/>
        </w:trPr>
        <w:tc>
          <w:tcPr>
            <w:tcW w:w="2760" w:type="dxa"/>
            <w:vAlign w:val="bottom"/>
          </w:tcPr>
          <w:p>
            <w:pPr>
              <w:ind w:left="20"/>
              <w:spacing w:after="0" w:line="181" w:lineRule="exact"/>
              <w:rPr>
                <w:sz w:val="20"/>
                <w:szCs w:val="20"/>
                <w:color w:val="auto"/>
              </w:rPr>
            </w:pPr>
            <w:r>
              <w:rPr>
                <w:rFonts w:ascii="Arial" w:cs="Arial" w:eastAsia="Arial" w:hAnsi="Arial"/>
                <w:sz w:val="18"/>
                <w:szCs w:val="18"/>
                <w:color w:val="auto"/>
              </w:rPr>
              <w:t>December 2019 Notes Indenture</w:t>
            </w:r>
          </w:p>
        </w:tc>
        <w:tc>
          <w:tcPr>
            <w:tcW w:w="8480" w:type="dxa"/>
            <w:vAlign w:val="bottom"/>
          </w:tcPr>
          <w:p>
            <w:pPr>
              <w:ind w:left="460"/>
              <w:spacing w:after="0" w:line="181" w:lineRule="exact"/>
              <w:rPr>
                <w:sz w:val="20"/>
                <w:szCs w:val="20"/>
                <w:color w:val="auto"/>
              </w:rPr>
            </w:pPr>
            <w:r>
              <w:rPr>
                <w:rFonts w:ascii="Arial" w:cs="Arial" w:eastAsia="Arial" w:hAnsi="Arial"/>
                <w:sz w:val="18"/>
                <w:szCs w:val="18"/>
                <w:color w:val="auto"/>
                <w:w w:val="97"/>
              </w:rPr>
              <w:t>The indenture, dated as of December 5, 2019, among the Company and Wells Fargo, as the trustee, as</w:t>
            </w:r>
          </w:p>
        </w:tc>
      </w:tr>
      <w:tr>
        <w:trPr>
          <w:trHeight w:val="176"/>
        </w:trPr>
        <w:tc>
          <w:tcPr>
            <w:tcW w:w="2760" w:type="dxa"/>
            <w:vAlign w:val="bottom"/>
          </w:tcPr>
          <w:p>
            <w:pPr>
              <w:spacing w:after="0"/>
              <w:rPr>
                <w:sz w:val="15"/>
                <w:szCs w:val="15"/>
                <w:color w:val="auto"/>
              </w:rPr>
            </w:pPr>
          </w:p>
        </w:tc>
        <w:tc>
          <w:tcPr>
            <w:tcW w:w="8480" w:type="dxa"/>
            <w:vAlign w:val="bottom"/>
          </w:tcPr>
          <w:p>
            <w:pPr>
              <w:ind w:left="460"/>
              <w:spacing w:after="0" w:line="176" w:lineRule="exact"/>
              <w:rPr>
                <w:sz w:val="20"/>
                <w:szCs w:val="20"/>
                <w:color w:val="auto"/>
              </w:rPr>
            </w:pPr>
            <w:r>
              <w:rPr>
                <w:rFonts w:ascii="Arial" w:cs="Arial" w:eastAsia="Arial" w:hAnsi="Arial"/>
                <w:sz w:val="18"/>
                <w:szCs w:val="18"/>
                <w:color w:val="auto"/>
                <w:w w:val="90"/>
              </w:rPr>
              <w:t>supplemented by the first supplemental indenture dated as of December 5, 2019 and the second supplemental</w:t>
            </w:r>
          </w:p>
        </w:tc>
      </w:tr>
      <w:tr>
        <w:trPr>
          <w:trHeight w:val="175"/>
        </w:trPr>
        <w:tc>
          <w:tcPr>
            <w:tcW w:w="2760" w:type="dxa"/>
            <w:vAlign w:val="bottom"/>
          </w:tcPr>
          <w:p>
            <w:pPr>
              <w:spacing w:after="0"/>
              <w:rPr>
                <w:sz w:val="15"/>
                <w:szCs w:val="15"/>
                <w:color w:val="auto"/>
              </w:rPr>
            </w:pPr>
          </w:p>
        </w:tc>
        <w:tc>
          <w:tcPr>
            <w:tcW w:w="8480" w:type="dxa"/>
            <w:vAlign w:val="bottom"/>
          </w:tcPr>
          <w:p>
            <w:pPr>
              <w:ind w:left="460"/>
              <w:spacing w:after="0" w:line="176" w:lineRule="exact"/>
              <w:rPr>
                <w:sz w:val="20"/>
                <w:szCs w:val="20"/>
                <w:color w:val="auto"/>
              </w:rPr>
            </w:pPr>
            <w:r>
              <w:rPr>
                <w:rFonts w:ascii="Arial" w:cs="Arial" w:eastAsia="Arial" w:hAnsi="Arial"/>
                <w:sz w:val="18"/>
                <w:szCs w:val="18"/>
                <w:color w:val="auto"/>
                <w:w w:val="90"/>
              </w:rPr>
              <w:t>indenture dated as of May 26, 2020, relating to the December 2019 Notes (defined above), the May 2020 Notes</w:t>
            </w:r>
          </w:p>
        </w:tc>
      </w:tr>
      <w:tr>
        <w:trPr>
          <w:trHeight w:val="223"/>
        </w:trPr>
        <w:tc>
          <w:tcPr>
            <w:tcW w:w="2760" w:type="dxa"/>
            <w:vAlign w:val="bottom"/>
          </w:tcPr>
          <w:p>
            <w:pPr>
              <w:spacing w:after="0"/>
              <w:rPr>
                <w:sz w:val="19"/>
                <w:szCs w:val="19"/>
                <w:color w:val="auto"/>
              </w:rPr>
            </w:pPr>
          </w:p>
        </w:tc>
        <w:tc>
          <w:tcPr>
            <w:tcW w:w="8480" w:type="dxa"/>
            <w:vAlign w:val="bottom"/>
          </w:tcPr>
          <w:p>
            <w:pPr>
              <w:ind w:left="460"/>
              <w:spacing w:after="0"/>
              <w:rPr>
                <w:sz w:val="20"/>
                <w:szCs w:val="20"/>
                <w:color w:val="auto"/>
              </w:rPr>
            </w:pPr>
            <w:r>
              <w:rPr>
                <w:rFonts w:ascii="Arial" w:cs="Arial" w:eastAsia="Arial" w:hAnsi="Arial"/>
                <w:sz w:val="18"/>
                <w:szCs w:val="18"/>
                <w:color w:val="auto"/>
              </w:rPr>
              <w:t>(defined below) and the March 2021 Notes (defined below).</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London interbank offered rate.</w:t>
            </w:r>
          </w:p>
        </w:tc>
      </w:tr>
      <w:tr>
        <w:trPr>
          <w:trHeight w:val="181"/>
        </w:trPr>
        <w:tc>
          <w:tcPr>
            <w:tcW w:w="2760" w:type="dxa"/>
            <w:vAlign w:val="bottom"/>
          </w:tcPr>
          <w:p>
            <w:pPr>
              <w:ind w:left="20"/>
              <w:spacing w:after="0" w:line="181" w:lineRule="exact"/>
              <w:rPr>
                <w:sz w:val="20"/>
                <w:szCs w:val="20"/>
                <w:color w:val="auto"/>
              </w:rPr>
            </w:pPr>
            <w:r>
              <w:rPr>
                <w:rFonts w:ascii="Arial" w:cs="Arial" w:eastAsia="Arial" w:hAnsi="Arial"/>
                <w:sz w:val="18"/>
                <w:szCs w:val="18"/>
                <w:color w:val="auto"/>
              </w:rPr>
              <w:t>May 2020 Notes</w:t>
            </w:r>
          </w:p>
        </w:tc>
        <w:tc>
          <w:tcPr>
            <w:tcW w:w="8480" w:type="dxa"/>
            <w:vAlign w:val="bottom"/>
          </w:tcPr>
          <w:p>
            <w:pPr>
              <w:ind w:left="460"/>
              <w:spacing w:after="0" w:line="181" w:lineRule="exact"/>
              <w:rPr>
                <w:sz w:val="20"/>
                <w:szCs w:val="20"/>
                <w:color w:val="auto"/>
              </w:rPr>
            </w:pPr>
            <w:r>
              <w:rPr>
                <w:rFonts w:ascii="Arial" w:cs="Arial" w:eastAsia="Arial" w:hAnsi="Arial"/>
                <w:sz w:val="18"/>
                <w:szCs w:val="18"/>
                <w:color w:val="auto"/>
                <w:w w:val="91"/>
              </w:rPr>
              <w:t>The Company’s 4.750% Senior Notes due 2025 in the aggregate principal amount of $500.0 million issued on</w:t>
            </w:r>
          </w:p>
        </w:tc>
      </w:tr>
      <w:tr>
        <w:trPr>
          <w:trHeight w:val="175"/>
        </w:trPr>
        <w:tc>
          <w:tcPr>
            <w:tcW w:w="2760" w:type="dxa"/>
            <w:vAlign w:val="bottom"/>
          </w:tcPr>
          <w:p>
            <w:pPr>
              <w:spacing w:after="0"/>
              <w:rPr>
                <w:sz w:val="15"/>
                <w:szCs w:val="15"/>
                <w:color w:val="auto"/>
              </w:rPr>
            </w:pPr>
          </w:p>
        </w:tc>
        <w:tc>
          <w:tcPr>
            <w:tcW w:w="8480" w:type="dxa"/>
            <w:vAlign w:val="bottom"/>
          </w:tcPr>
          <w:p>
            <w:pPr>
              <w:ind w:left="460"/>
              <w:spacing w:after="0" w:line="176" w:lineRule="exact"/>
              <w:rPr>
                <w:sz w:val="20"/>
                <w:szCs w:val="20"/>
                <w:color w:val="auto"/>
              </w:rPr>
            </w:pPr>
            <w:r>
              <w:rPr>
                <w:rFonts w:ascii="Arial" w:cs="Arial" w:eastAsia="Arial" w:hAnsi="Arial"/>
                <w:sz w:val="18"/>
                <w:szCs w:val="18"/>
                <w:color w:val="auto"/>
                <w:w w:val="90"/>
              </w:rPr>
              <w:t>May 26, 2020 under the December 2019 Notes Indenture (defined above) and the related second supplemental</w:t>
            </w:r>
          </w:p>
        </w:tc>
      </w:tr>
      <w:tr>
        <w:trPr>
          <w:trHeight w:val="223"/>
        </w:trPr>
        <w:tc>
          <w:tcPr>
            <w:tcW w:w="2760" w:type="dxa"/>
            <w:vAlign w:val="bottom"/>
          </w:tcPr>
          <w:p>
            <w:pPr>
              <w:spacing w:after="0"/>
              <w:rPr>
                <w:sz w:val="19"/>
                <w:szCs w:val="19"/>
                <w:color w:val="auto"/>
              </w:rPr>
            </w:pPr>
          </w:p>
        </w:tc>
        <w:tc>
          <w:tcPr>
            <w:tcW w:w="8480" w:type="dxa"/>
            <w:vAlign w:val="bottom"/>
          </w:tcPr>
          <w:p>
            <w:pPr>
              <w:ind w:left="460"/>
              <w:spacing w:after="0"/>
              <w:rPr>
                <w:sz w:val="20"/>
                <w:szCs w:val="20"/>
                <w:color w:val="auto"/>
              </w:rPr>
            </w:pPr>
            <w:r>
              <w:rPr>
                <w:rFonts w:ascii="Arial" w:cs="Arial" w:eastAsia="Arial" w:hAnsi="Arial"/>
                <w:sz w:val="18"/>
                <w:szCs w:val="18"/>
                <w:color w:val="auto"/>
              </w:rPr>
              <w:t>indenture.</w:t>
            </w:r>
          </w:p>
        </w:tc>
      </w:tr>
      <w:tr>
        <w:trPr>
          <w:trHeight w:val="182"/>
        </w:trPr>
        <w:tc>
          <w:tcPr>
            <w:tcW w:w="27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March 2021 Notes</w:t>
            </w:r>
          </w:p>
        </w:tc>
        <w:tc>
          <w:tcPr>
            <w:tcW w:w="8480" w:type="dxa"/>
            <w:vAlign w:val="bottom"/>
            <w:shd w:val="clear" w:color="auto" w:fill="CCEEFF"/>
          </w:tcPr>
          <w:p>
            <w:pPr>
              <w:ind w:left="460"/>
              <w:spacing w:after="0" w:line="182" w:lineRule="exact"/>
              <w:rPr>
                <w:sz w:val="20"/>
                <w:szCs w:val="20"/>
                <w:color w:val="auto"/>
              </w:rPr>
            </w:pPr>
            <w:r>
              <w:rPr>
                <w:rFonts w:ascii="Arial" w:cs="Arial" w:eastAsia="Arial" w:hAnsi="Arial"/>
                <w:sz w:val="18"/>
                <w:szCs w:val="18"/>
                <w:color w:val="auto"/>
                <w:w w:val="98"/>
              </w:rPr>
              <w:t>The Company’s 0.900% Senior Notes due 2023 in the aggregate principal amount of $650 million, the</w:t>
            </w:r>
          </w:p>
        </w:tc>
      </w:tr>
      <w:tr>
        <w:trPr>
          <w:trHeight w:val="176"/>
        </w:trPr>
        <w:tc>
          <w:tcPr>
            <w:tcW w:w="2760" w:type="dxa"/>
            <w:vAlign w:val="bottom"/>
            <w:shd w:val="clear" w:color="auto" w:fill="CCEEFF"/>
          </w:tcPr>
          <w:p>
            <w:pPr>
              <w:spacing w:after="0"/>
              <w:rPr>
                <w:sz w:val="15"/>
                <w:szCs w:val="15"/>
                <w:color w:val="auto"/>
              </w:rPr>
            </w:pPr>
          </w:p>
        </w:tc>
        <w:tc>
          <w:tcPr>
            <w:tcW w:w="848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w w:val="89"/>
              </w:rPr>
              <w:t>Company’s 3.125% Senior Notes due 2031 in the aggregate principal amount of $900 million and the Company’s</w:t>
            </w:r>
          </w:p>
        </w:tc>
      </w:tr>
      <w:tr>
        <w:trPr>
          <w:trHeight w:val="224"/>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4.400% Senior Notes due 2051 in the aggregate principal amount of $650 million.</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NYMEX</w:t>
            </w:r>
          </w:p>
        </w:tc>
        <w:tc>
          <w:tcPr>
            <w:tcW w:w="8480" w:type="dxa"/>
            <w:vAlign w:val="bottom"/>
          </w:tcPr>
          <w:p>
            <w:pPr>
              <w:ind w:left="4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OPEC</w:t>
            </w: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Organization of the Petroleum Exporting Countries.</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Rattler</w:t>
            </w:r>
          </w:p>
        </w:tc>
        <w:tc>
          <w:tcPr>
            <w:tcW w:w="8480" w:type="dxa"/>
            <w:vAlign w:val="bottom"/>
          </w:tcPr>
          <w:p>
            <w:pPr>
              <w:ind w:left="460"/>
              <w:spacing w:after="0"/>
              <w:rPr>
                <w:sz w:val="20"/>
                <w:szCs w:val="20"/>
                <w:color w:val="auto"/>
              </w:rPr>
            </w:pPr>
            <w:r>
              <w:rPr>
                <w:rFonts w:ascii="Arial" w:cs="Arial" w:eastAsia="Arial" w:hAnsi="Arial"/>
                <w:sz w:val="18"/>
                <w:szCs w:val="18"/>
                <w:color w:val="auto"/>
              </w:rPr>
              <w:t>Rattler Midstream LP, a Delaware limited partnership.</w:t>
            </w:r>
          </w:p>
        </w:tc>
      </w:tr>
      <w:tr>
        <w:trPr>
          <w:trHeight w:val="182"/>
        </w:trPr>
        <w:tc>
          <w:tcPr>
            <w:tcW w:w="27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Rattler’s General Partner</w:t>
            </w:r>
          </w:p>
        </w:tc>
        <w:tc>
          <w:tcPr>
            <w:tcW w:w="8480" w:type="dxa"/>
            <w:vAlign w:val="bottom"/>
            <w:shd w:val="clear" w:color="auto" w:fill="CCEEFF"/>
          </w:tcPr>
          <w:p>
            <w:pPr>
              <w:ind w:left="460"/>
              <w:spacing w:after="0" w:line="182" w:lineRule="exact"/>
              <w:rPr>
                <w:sz w:val="20"/>
                <w:szCs w:val="20"/>
                <w:color w:val="auto"/>
              </w:rPr>
            </w:pPr>
            <w:r>
              <w:rPr>
                <w:rFonts w:ascii="Arial" w:cs="Arial" w:eastAsia="Arial" w:hAnsi="Arial"/>
                <w:sz w:val="18"/>
                <w:szCs w:val="18"/>
                <w:color w:val="auto"/>
                <w:w w:val="92"/>
              </w:rPr>
              <w:t>Rattler Midstream GP LLC, a Delaware limited liability company; the general partner of Rattler Midstream LP</w:t>
            </w:r>
          </w:p>
        </w:tc>
      </w:tr>
      <w:tr>
        <w:trPr>
          <w:trHeight w:val="224"/>
        </w:trPr>
        <w:tc>
          <w:tcPr>
            <w:tcW w:w="2760" w:type="dxa"/>
            <w:vAlign w:val="bottom"/>
            <w:shd w:val="clear" w:color="auto" w:fill="CCEEFF"/>
          </w:tcPr>
          <w:p>
            <w:pPr>
              <w:spacing w:after="0"/>
              <w:rPr>
                <w:sz w:val="19"/>
                <w:szCs w:val="19"/>
                <w:color w:val="auto"/>
              </w:rPr>
            </w:pP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and a wholly owned subsidiary of the Company.</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Rattler LLC</w:t>
            </w:r>
          </w:p>
        </w:tc>
        <w:tc>
          <w:tcPr>
            <w:tcW w:w="8480" w:type="dxa"/>
            <w:vAlign w:val="bottom"/>
          </w:tcPr>
          <w:p>
            <w:pPr>
              <w:ind w:left="460"/>
              <w:spacing w:after="0"/>
              <w:rPr>
                <w:sz w:val="20"/>
                <w:szCs w:val="20"/>
                <w:color w:val="auto"/>
              </w:rPr>
            </w:pPr>
            <w:r>
              <w:rPr>
                <w:rFonts w:ascii="Arial" w:cs="Arial" w:eastAsia="Arial" w:hAnsi="Arial"/>
                <w:sz w:val="18"/>
                <w:szCs w:val="18"/>
                <w:color w:val="auto"/>
              </w:rPr>
              <w:t>Rattler Midstream Operating LLC, a Delaware limited liability company and a subsidiary of Rattler.</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LTIP</w:t>
            </w: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Rattler Midstream LP Long-Term Incentive Plan.</w:t>
            </w:r>
          </w:p>
        </w:tc>
      </w:tr>
      <w:tr>
        <w:trPr>
          <w:trHeight w:val="228"/>
        </w:trPr>
        <w:tc>
          <w:tcPr>
            <w:tcW w:w="2760" w:type="dxa"/>
            <w:vAlign w:val="bottom"/>
          </w:tcPr>
          <w:p>
            <w:pPr>
              <w:ind w:left="20"/>
              <w:spacing w:after="0"/>
              <w:rPr>
                <w:sz w:val="20"/>
                <w:szCs w:val="20"/>
                <w:color w:val="auto"/>
              </w:rPr>
            </w:pPr>
            <w:r>
              <w:rPr>
                <w:rFonts w:ascii="Arial" w:cs="Arial" w:eastAsia="Arial" w:hAnsi="Arial"/>
                <w:sz w:val="18"/>
                <w:szCs w:val="18"/>
                <w:color w:val="auto"/>
              </w:rPr>
              <w:t>SEC</w:t>
            </w:r>
          </w:p>
        </w:tc>
        <w:tc>
          <w:tcPr>
            <w:tcW w:w="8480" w:type="dxa"/>
            <w:vAlign w:val="bottom"/>
          </w:tcPr>
          <w:p>
            <w:pPr>
              <w:ind w:left="460"/>
              <w:spacing w:after="0"/>
              <w:rPr>
                <w:sz w:val="20"/>
                <w:szCs w:val="20"/>
                <w:color w:val="auto"/>
              </w:rPr>
            </w:pPr>
            <w:r>
              <w:rPr>
                <w:rFonts w:ascii="Arial" w:cs="Arial" w:eastAsia="Arial" w:hAnsi="Arial"/>
                <w:sz w:val="18"/>
                <w:szCs w:val="18"/>
                <w:color w:val="auto"/>
              </w:rPr>
              <w:t>United States Securities and Exchange Commission.</w:t>
            </w:r>
          </w:p>
        </w:tc>
      </w:tr>
      <w:tr>
        <w:trPr>
          <w:trHeight w:val="230"/>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2025 Senior Notes, the December 2019 Notes and the May 2020 Notes.</w:t>
            </w:r>
          </w:p>
        </w:tc>
      </w:tr>
      <w:tr>
        <w:trPr>
          <w:trHeight w:val="228"/>
        </w:trPr>
        <w:tc>
          <w:tcPr>
            <w:tcW w:w="2760" w:type="dxa"/>
            <w:vAlign w:val="bottom"/>
          </w:tcPr>
          <w:p>
            <w:pPr>
              <w:ind w:left="20"/>
              <w:spacing w:after="0"/>
              <w:rPr>
                <w:sz w:val="20"/>
                <w:szCs w:val="20"/>
                <w:color w:val="auto"/>
              </w:rPr>
            </w:pPr>
            <w:r>
              <w:rPr>
                <w:rFonts w:ascii="Arial" w:cs="Arial" w:eastAsia="Arial" w:hAnsi="Arial"/>
                <w:sz w:val="18"/>
                <w:szCs w:val="18"/>
                <w:color w:val="auto"/>
              </w:rPr>
              <w:t>Viper</w:t>
            </w:r>
          </w:p>
        </w:tc>
        <w:tc>
          <w:tcPr>
            <w:tcW w:w="8480" w:type="dxa"/>
            <w:vAlign w:val="bottom"/>
          </w:tcPr>
          <w:p>
            <w:pPr>
              <w:ind w:left="46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31"/>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 LLC</w:t>
            </w:r>
          </w:p>
        </w:tc>
        <w:tc>
          <w:tcPr>
            <w:tcW w:w="84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Viper Energy Partners LLC, a Delaware limited liability company and a subsidiary of the Partnership.</w:t>
            </w:r>
          </w:p>
        </w:tc>
      </w:tr>
      <w:tr>
        <w:trPr>
          <w:trHeight w:val="228"/>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Wells Fargo</w:t>
            </w:r>
          </w:p>
        </w:tc>
        <w:tc>
          <w:tcPr>
            <w:tcW w:w="84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36" w:lineRule="auto"/>
        <w:rPr>
          <w:rFonts w:ascii="Arial" w:cs="Arial" w:eastAsia="Arial" w:hAnsi="Arial"/>
          <w:sz w:val="16"/>
          <w:szCs w:val="16"/>
          <w:color w:val="0000FF"/>
        </w:rPr>
      </w:pPr>
      <w:r>
        <w:rPr>
          <w:rFonts w:ascii="Arial" w:cs="Arial" w:eastAsia="Arial" w:hAnsi="Arial"/>
          <w:sz w:val="16"/>
          <w:szCs w:val="16"/>
          <w:color w:val="auto"/>
        </w:rPr>
        <w:t xml:space="preserve">Various statements contained in this report are “forward-looking statements” as defined by the SEC. These forward-looking statements are subject to a number of risks, uncertainties and assumptions,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hyperlink w:anchor="page51">
        <w:r>
          <w:rPr>
            <w:rFonts w:ascii="Arial" w:cs="Arial" w:eastAsia="Arial" w:hAnsi="Arial"/>
            <w:sz w:val="16"/>
            <w:szCs w:val="16"/>
            <w:i w:val="1"/>
            <w:iCs w:val="1"/>
            <w:u w:val="single" w:color="auto"/>
            <w:color w:val="0000FF"/>
          </w:rPr>
          <w:t>Part II, Item 1A. Risk Factors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in this report and our </w:t>
      </w:r>
      <w:hyperlink r:id="rId16">
        <w:r>
          <w:rPr>
            <w:rFonts w:ascii="Arial" w:cs="Arial" w:eastAsia="Arial" w:hAnsi="Arial"/>
            <w:sz w:val="16"/>
            <w:szCs w:val="16"/>
            <w:u w:val="single" w:color="auto"/>
            <w:color w:val="0000FF"/>
          </w:rPr>
          <w:t>Annual Report on Form 10–K</w:t>
        </w:r>
        <w:r>
          <w:rPr>
            <w:rFonts w:ascii="Arial" w:cs="Arial" w:eastAsia="Arial" w:hAnsi="Arial"/>
            <w:sz w:val="16"/>
            <w:szCs w:val="16"/>
            <w:color w:val="0000FF"/>
          </w:rPr>
          <w:t xml:space="preserve"> </w:t>
        </w:r>
      </w:hyperlink>
      <w:r>
        <w:rPr>
          <w:rFonts w:ascii="Arial" w:cs="Arial" w:eastAsia="Arial" w:hAnsi="Arial"/>
          <w:sz w:val="16"/>
          <w:szCs w:val="16"/>
          <w:color w:val="000000"/>
        </w:rPr>
        <w:t>for</w:t>
      </w:r>
      <w:r>
        <w:rPr>
          <w:rFonts w:ascii="Arial" w:cs="Arial" w:eastAsia="Arial" w:hAnsi="Arial"/>
          <w:sz w:val="16"/>
          <w:szCs w:val="16"/>
          <w:color w:val="0000FF"/>
        </w:rPr>
        <w:t xml:space="preserve"> </w:t>
      </w:r>
      <w:r>
        <w:rPr>
          <w:rFonts w:ascii="Arial" w:cs="Arial" w:eastAsia="Arial" w:hAnsi="Arial"/>
          <w:sz w:val="16"/>
          <w:szCs w:val="16"/>
          <w:color w:val="000000"/>
        </w:rPr>
        <w:t>the year ended December 31, 2020 could affect our actual results and cause our actual results to differ materially from</w:t>
      </w:r>
      <w:r>
        <w:rPr>
          <w:rFonts w:ascii="Arial" w:cs="Arial" w:eastAsia="Arial" w:hAnsi="Arial"/>
          <w:sz w:val="16"/>
          <w:szCs w:val="16"/>
          <w:color w:val="0000FF"/>
        </w:rPr>
        <w:t xml:space="preserve"> </w:t>
      </w:r>
      <w:r>
        <w:rPr>
          <w:rFonts w:ascii="Arial" w:cs="Arial" w:eastAsia="Arial" w:hAnsi="Arial"/>
          <w:sz w:val="16"/>
          <w:szCs w:val="16"/>
          <w:color w:val="000000"/>
        </w:rPr>
        <w:t>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11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w:t>
      </w:r>
    </w:p>
    <w:p>
      <w:pPr>
        <w:spacing w:after="0" w:line="117" w:lineRule="exact"/>
        <w:rPr>
          <w:rFonts w:ascii="Arial" w:cs="Arial" w:eastAsia="Arial" w:hAnsi="Arial"/>
          <w:sz w:val="18"/>
          <w:szCs w:val="18"/>
          <w:color w:val="auto"/>
        </w:rPr>
      </w:pPr>
    </w:p>
    <w:p>
      <w:pPr>
        <w:jc w:val="both"/>
        <w:ind w:left="1300" w:right="2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implications and logistical challenges of epidemic or pandemic diseases, including the ongoing COVID-19 pandemic on the oil and natural gas industry, including the impact on pricing and demand for oil and natural gas and the supply chain disruptions during the ongoing COVID-19 pandemic;</w:t>
      </w:r>
    </w:p>
    <w:p>
      <w:pPr>
        <w:spacing w:after="0" w:line="7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w:t>
      </w:r>
    </w:p>
    <w:p>
      <w:pPr>
        <w:spacing w:after="0" w:line="117"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conditions of the U.S. oil and natural gas industry and the effect of U.S. energy, environmental, monetary and trade policies;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needed for development and exploration operations on favorable terms or at all;</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of the U.S. oil and natural gas industry and the effect of U.S. energy, monetary and trade policies;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production;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reduced drilling activity on our exploration and development drilling prospects, inventories, projects and programs;</w:t>
      </w:r>
    </w:p>
    <w:p>
      <w:pPr>
        <w:spacing w:after="0" w:line="128" w:lineRule="exact"/>
        <w:rPr>
          <w:rFonts w:ascii="Arial" w:cs="Arial" w:eastAsia="Arial" w:hAnsi="Arial"/>
          <w:sz w:val="17"/>
          <w:szCs w:val="17"/>
          <w:color w:val="auto"/>
        </w:rPr>
      </w:pPr>
    </w:p>
    <w:p>
      <w:pPr>
        <w:ind w:left="13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curtailment delays or interruptions of production, and any governmental order, rule or regulation that may impose production limits;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17"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 including our recently completed acquisition of certain assets of Guidon Operating LLC and our merger with QEP Resources, Inc., as well as our anticipated synergies and cost savings from these transactions;</w:t>
      </w:r>
    </w:p>
    <w:p>
      <w:pPr>
        <w:spacing w:after="0" w:line="7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severe weather conditions, including the recent winter storms in the Permian Basin, on our production;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applicable governmental laws and regulations and to obtain permits and governmental approvals;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environmental initiatives and targets;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dividends to our stockholders;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any impairment charges;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 plans;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plans, objectives, expectations and intentions;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8220" w:type="dxa"/>
            <w:vAlign w:val="bottom"/>
            <w:vMerge w:val="restart"/>
          </w:tcPr>
          <w:p>
            <w:pPr>
              <w:ind w:left="390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Joint interest and other,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220" w:type="dxa"/>
            <w:vAlign w:val="bottom"/>
          </w:tcPr>
          <w:p>
            <w:pPr>
              <w:ind w:left="680"/>
              <w:spacing w:after="0"/>
              <w:rPr>
                <w:sz w:val="20"/>
                <w:szCs w:val="20"/>
                <w:color w:val="auto"/>
              </w:rPr>
            </w:pPr>
            <w:r>
              <w:rPr>
                <w:rFonts w:ascii="Arial" w:cs="Arial" w:eastAsia="Arial" w:hAnsi="Arial"/>
                <w:sz w:val="18"/>
                <w:szCs w:val="18"/>
                <w:color w:val="auto"/>
              </w:rPr>
              <w:t>Oil and natural gas sales,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Oil and natural gas properties, full cost method of accounting ($8,430 million and $7,493 million excluded</w:t>
            </w:r>
          </w:p>
        </w:tc>
        <w:tc>
          <w:tcPr>
            <w:tcW w:w="1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31,765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27,377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amortization at March 31, 2021 and December 31, 2020, respectively)</w:t>
            </w: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Midstream assets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property, equipment and land</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depletion, depreciation, amortization and impairment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Funds held in escrow</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Investment in real estate,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8220" w:type="dxa"/>
            <w:vAlign w:val="bottom"/>
            <w:vMerge w:val="restart"/>
          </w:tcPr>
          <w:p>
            <w:pPr>
              <w:ind w:left="286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capital expenditures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Revenues and royalties payable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Common stock, $0.01 par value; 200,000,000 shares authorized; 180,984,014 and 158,088,182 shares issued</w:t>
            </w:r>
          </w:p>
        </w:tc>
        <w:tc>
          <w:tcPr>
            <w:tcW w:w="1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at March 31, 2021 and December 31, 2020, respectively</w:t>
            </w: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12,656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Diamondback Energy, Inc. stockholders’ equity</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8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gridSpan w:val="4"/>
          </w:tcPr>
          <w:p>
            <w:pPr>
              <w:jc w:val="center"/>
              <w:ind w:right="72"/>
              <w:spacing w:after="0" w:line="158" w:lineRule="exact"/>
              <w:rPr>
                <w:sz w:val="20"/>
                <w:szCs w:val="20"/>
                <w:color w:val="auto"/>
              </w:rPr>
            </w:pPr>
            <w:r>
              <w:rPr>
                <w:rFonts w:ascii="Arial" w:cs="Arial" w:eastAsia="Arial" w:hAnsi="Arial"/>
                <w:sz w:val="16"/>
                <w:szCs w:val="16"/>
                <w:b w:val="1"/>
                <w:bCs w:val="1"/>
                <w:color w:val="auto"/>
                <w:w w:val="90"/>
              </w:rPr>
              <w:t>(In millions, except per share amounts,</w:t>
            </w:r>
          </w:p>
        </w:tc>
        <w:tc>
          <w:tcPr>
            <w:tcW w:w="0" w:type="dxa"/>
            <w:vAlign w:val="bottom"/>
          </w:tcPr>
          <w:p>
            <w:pPr>
              <w:spacing w:after="0"/>
              <w:rPr>
                <w:sz w:val="1"/>
                <w:szCs w:val="1"/>
                <w:color w:val="auto"/>
              </w:rPr>
            </w:pPr>
          </w:p>
        </w:tc>
      </w:tr>
      <w:tr>
        <w:trPr>
          <w:trHeight w:val="213"/>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4"/>
          </w:tcPr>
          <w:p>
            <w:pPr>
              <w:jc w:val="center"/>
              <w:ind w:right="72"/>
              <w:spacing w:after="0"/>
              <w:rPr>
                <w:sz w:val="20"/>
                <w:szCs w:val="20"/>
                <w:color w:val="auto"/>
              </w:rPr>
            </w:pPr>
            <w:r>
              <w:rPr>
                <w:rFonts w:ascii="Arial" w:cs="Arial" w:eastAsia="Arial" w:hAnsi="Arial"/>
                <w:sz w:val="16"/>
                <w:szCs w:val="16"/>
                <w:b w:val="1"/>
                <w:bCs w:val="1"/>
                <w:color w:val="auto"/>
                <w:w w:val="86"/>
              </w:rPr>
              <w:t>shares in thousands)</w:t>
            </w:r>
          </w:p>
        </w:tc>
        <w:tc>
          <w:tcPr>
            <w:tcW w:w="0" w:type="dxa"/>
            <w:vAlign w:val="bottom"/>
          </w:tcPr>
          <w:p>
            <w:pPr>
              <w:spacing w:after="0"/>
              <w:rPr>
                <w:sz w:val="1"/>
                <w:szCs w:val="1"/>
                <w:color w:val="auto"/>
              </w:rPr>
            </w:pP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20" w:type="dxa"/>
            <w:vAlign w:val="bottom"/>
          </w:tcPr>
          <w:p>
            <w:pPr>
              <w:ind w:left="360"/>
              <w:spacing w:after="0"/>
              <w:rPr>
                <w:sz w:val="20"/>
                <w:szCs w:val="20"/>
                <w:color w:val="auto"/>
              </w:rPr>
            </w:pPr>
            <w:r>
              <w:rPr>
                <w:rFonts w:ascii="Arial" w:cs="Arial" w:eastAsia="Arial" w:hAnsi="Arial"/>
                <w:sz w:val="18"/>
                <w:szCs w:val="18"/>
                <w:color w:val="auto"/>
              </w:rPr>
              <w:t>Oil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944</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sales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8120" w:type="dxa"/>
            <w:vAlign w:val="bottom"/>
          </w:tcPr>
          <w:p>
            <w:pPr>
              <w:ind w:left="360"/>
              <w:spacing w:after="0"/>
              <w:rPr>
                <w:sz w:val="20"/>
                <w:szCs w:val="20"/>
                <w:color w:val="auto"/>
              </w:rPr>
            </w:pPr>
            <w:r>
              <w:rPr>
                <w:rFonts w:ascii="Arial" w:cs="Arial" w:eastAsia="Arial" w:hAnsi="Arial"/>
                <w:sz w:val="18"/>
                <w:szCs w:val="18"/>
                <w:color w:val="auto"/>
              </w:rPr>
              <w:t>Natural gas liquid sales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1"/>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Midstream services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193"/>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operating expenses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8"/>
        </w:trPr>
        <w:tc>
          <w:tcPr>
            <w:tcW w:w="812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1"/>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Gathering and transportation</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8"/>
        </w:trPr>
        <w:tc>
          <w:tcPr>
            <w:tcW w:w="8120" w:type="dxa"/>
            <w:vAlign w:val="bottom"/>
          </w:tcPr>
          <w:p>
            <w:pPr>
              <w:ind w:left="360"/>
              <w:spacing w:after="0"/>
              <w:rPr>
                <w:sz w:val="20"/>
                <w:szCs w:val="20"/>
                <w:color w:val="auto"/>
              </w:rPr>
            </w:pPr>
            <w:r>
              <w:rPr>
                <w:rFonts w:ascii="Arial" w:cs="Arial" w:eastAsia="Arial" w:hAnsi="Arial"/>
                <w:sz w:val="18"/>
                <w:szCs w:val="18"/>
                <w:color w:val="auto"/>
              </w:rPr>
              <w:t>Midstream services expense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depletion, amortization and accretion</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8"/>
        </w:trPr>
        <w:tc>
          <w:tcPr>
            <w:tcW w:w="8120" w:type="dxa"/>
            <w:vAlign w:val="bottom"/>
          </w:tcPr>
          <w:p>
            <w:pPr>
              <w:ind w:left="360"/>
              <w:spacing w:after="0"/>
              <w:rPr>
                <w:sz w:val="20"/>
                <w:szCs w:val="20"/>
                <w:color w:val="auto"/>
              </w:rPr>
            </w:pPr>
            <w:r>
              <w:rPr>
                <w:rFonts w:ascii="Arial" w:cs="Arial" w:eastAsia="Arial" w:hAnsi="Arial"/>
                <w:sz w:val="18"/>
                <w:szCs w:val="18"/>
                <w:color w:val="auto"/>
              </w:rPr>
              <w:t>Impairment of oil and natural gas properties</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31"/>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midstream assets</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1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1"/>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Merger and integration expense</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4"/>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812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revaluation of investment</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812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equity investments</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8"/>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8"/>
        </w:trPr>
        <w:tc>
          <w:tcPr>
            <w:tcW w:w="81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164,169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158,291</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158,494</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1"/>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7"/>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Common units issued for acquisitions</w:t>
            </w:r>
          </w:p>
        </w:tc>
        <w:tc>
          <w:tcPr>
            <w:tcW w:w="840" w:type="dxa"/>
            <w:vAlign w:val="bottom"/>
          </w:tcPr>
          <w:p>
            <w:pPr>
              <w:jc w:val="right"/>
              <w:spacing w:after="0"/>
              <w:rPr>
                <w:sz w:val="20"/>
                <w:szCs w:val="20"/>
                <w:color w:val="auto"/>
              </w:rPr>
            </w:pPr>
            <w:r>
              <w:rPr>
                <w:rFonts w:ascii="Arial" w:cs="Arial" w:eastAsia="Arial" w:hAnsi="Arial"/>
                <w:sz w:val="18"/>
                <w:szCs w:val="18"/>
                <w:color w:val="auto"/>
              </w:rPr>
              <w:t>22,795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6"/>
        </w:trPr>
        <w:tc>
          <w:tcPr>
            <w:tcW w:w="4400" w:type="dxa"/>
            <w:vAlign w:val="bottom"/>
          </w:tcPr>
          <w:p>
            <w:pPr>
              <w:ind w:left="140"/>
              <w:spacing w:after="0" w:line="176" w:lineRule="exact"/>
              <w:rPr>
                <w:sz w:val="20"/>
                <w:szCs w:val="20"/>
                <w:color w:val="auto"/>
              </w:rPr>
            </w:pPr>
            <w:r>
              <w:rPr>
                <w:rFonts w:ascii="Arial" w:cs="Arial" w:eastAsia="Arial" w:hAnsi="Arial"/>
                <w:sz w:val="18"/>
                <w:szCs w:val="18"/>
                <w:color w:val="auto"/>
                <w:w w:val="92"/>
              </w:rPr>
              <w:t>Exercise of stock options and issuance of restricted stock</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24"/>
                <w:szCs w:val="2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1"/>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7"/>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Repurchased shares for share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Exercise of stock options and vesting of restricted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w:t>
            </w: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20" w:type="dxa"/>
            <w:vAlign w:val="bottom"/>
            <w:gridSpan w:val="3"/>
          </w:tcPr>
          <w:p>
            <w:pPr>
              <w:jc w:val="right"/>
              <w:ind w:right="736"/>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8"/>
                <w:szCs w:val="18"/>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Net income (loss)</w:t>
            </w:r>
          </w:p>
        </w:tc>
        <w:tc>
          <w:tcPr>
            <w:tcW w:w="1140" w:type="dxa"/>
            <w:vAlign w:val="bottom"/>
          </w:tcPr>
          <w:p>
            <w:pPr>
              <w:jc w:val="right"/>
              <w:ind w:right="93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Pr>
          <w:p>
            <w:pPr>
              <w:spacing w:after="0"/>
              <w:rPr>
                <w:sz w:val="18"/>
                <w:szCs w:val="18"/>
                <w:color w:val="auto"/>
              </w:rPr>
            </w:pPr>
          </w:p>
        </w:tc>
        <w:tc>
          <w:tcPr>
            <w:tcW w:w="1180" w:type="dxa"/>
            <w:vAlign w:val="bottom"/>
          </w:tcPr>
          <w:p>
            <w:pPr>
              <w:jc w:val="right"/>
              <w:ind w:right="996"/>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Provision for (benefit from) deferred income taxes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Impairment of oil and natural gas properties</w:t>
            </w:r>
          </w:p>
        </w:tc>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Impairment of midstream assets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Depreciation, depletion, amortization and accretion</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Loss on extinguishment of debt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(Gain) loss on derivative instruments, net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Cash received (paid) on settlement of derivative instruments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Equity-based compensation expense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Other</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Accounts receivable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tax receivable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Prepaid expenses and other</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payable and accrued liabilities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Revenues and royalties payable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0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w:t>
            </w: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Drilling, completions and non-operated additions to oil and natural gas properties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(690)</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Infrastructure additions to oil and natural gas properties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Additions to midstream assets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 of business and assets, net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Acquisitions of mineral interests</w:t>
            </w:r>
          </w:p>
        </w:tc>
        <w:tc>
          <w:tcPr>
            <w:tcW w:w="1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Funds held in escrow</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Contributions to equity method investments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w:t>
            </w: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Proceeds from borrowings under credit facilities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432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430</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Repayments under credit facilities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Proceeds from senior notes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Repayment of senior notes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Premium on extinguishment of debt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joint venture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Debt issuance costs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Repurchased shares under buyback program</w:t>
            </w:r>
          </w:p>
        </w:tc>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Repurchased units under buyback program</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to stockholders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Distributions to non-controlling interest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Financing portion of net cash received (paid) for derivative instruments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10"/>
        </w:trPr>
        <w:tc>
          <w:tcPr>
            <w:tcW w:w="760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6"/>
                <w:szCs w:val="16"/>
                <w:color w:val="auto"/>
              </w:rPr>
              <w:t>Cash, cash equivalents and restricted cash at end of period</w:t>
            </w:r>
            <w:r>
              <w:rPr>
                <w:rFonts w:ascii="Arial" w:cs="Arial" w:eastAsia="Arial" w:hAnsi="Arial"/>
                <w:sz w:val="21"/>
                <w:szCs w:val="21"/>
                <w:color w:val="auto"/>
                <w:vertAlign w:val="superscript"/>
              </w:rPr>
              <w:t>(1)</w:t>
            </w:r>
          </w:p>
        </w:tc>
        <w:tc>
          <w:tcPr>
            <w:tcW w:w="1140" w:type="dxa"/>
            <w:vAlign w:val="bottom"/>
            <w:tcBorders>
              <w:bottom w:val="single" w:sz="8" w:color="auto"/>
            </w:tcBorders>
          </w:tcPr>
          <w:p>
            <w:pPr>
              <w:jc w:val="right"/>
              <w:ind w:right="937"/>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174</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996"/>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155</w:t>
            </w:r>
          </w:p>
        </w:tc>
      </w:tr>
    </w:tbl>
    <w:p>
      <w:pPr>
        <w:spacing w:after="0" w:line="8" w:lineRule="exact"/>
        <w:rPr>
          <w:sz w:val="20"/>
          <w:szCs w:val="20"/>
          <w:color w:val="auto"/>
        </w:rPr>
      </w:pPr>
    </w:p>
    <w:p>
      <w:pPr>
        <w:ind w:left="220" w:hanging="194"/>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See </w:t>
      </w:r>
      <w:hyperlink w:anchor="page13">
        <w:r>
          <w:rPr>
            <w:rFonts w:ascii="Arial" w:cs="Arial" w:eastAsia="Arial" w:hAnsi="Arial"/>
            <w:sz w:val="14"/>
            <w:szCs w:val="14"/>
            <w:u w:val="single" w:color="auto"/>
            <w:color w:val="0000FF"/>
          </w:rPr>
          <w:t>Note 2—Summary of Significant Accounting Policies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-89535</wp:posOffset>
            </wp:positionV>
            <wp:extent cx="23056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7"/>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7"/>
        </w:trPr>
        <w:tc>
          <w:tcPr>
            <w:tcW w:w="76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Supplemental disclosure of non-cash transactions:</w:t>
            </w:r>
          </w:p>
        </w:tc>
        <w:tc>
          <w:tcPr>
            <w:tcW w:w="420" w:type="dxa"/>
            <w:vAlign w:val="bottom"/>
          </w:tcPr>
          <w:p>
            <w:pPr>
              <w:spacing w:after="0"/>
              <w:rPr>
                <w:sz w:val="17"/>
                <w:szCs w:val="17"/>
                <w:color w:val="auto"/>
              </w:rPr>
            </w:pPr>
          </w:p>
        </w:tc>
        <w:tc>
          <w:tcPr>
            <w:tcW w:w="2000" w:type="dxa"/>
            <w:vAlign w:val="bottom"/>
            <w:gridSpan w:val="2"/>
          </w:tcPr>
          <w:p>
            <w:pPr>
              <w:jc w:val="right"/>
              <w:ind w:right="95"/>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Accrued capital expenditures included in accounts payable and accrued expenses</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252</w:t>
            </w:r>
          </w:p>
        </w:tc>
        <w:tc>
          <w:tcPr>
            <w:tcW w:w="62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Common stock issued for business combinations</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1,727</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622"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622"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in the Permian Basin in West Texas.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wholly owned subsidiaries of Diamondback, as of March 31, 2021, include Diamondback E&amp;P LLC, a Delaware limited liability company, Diamondback O&amp;G LLC (“O&amp;G”), a Delaware limited liability company, Viper Energy Partners GP LLC, a Delaware limited liability company, Rattler Midstream GP LLC, a Delaware limited liability company, Energen Corporation, an Alabama corporation (“Energen”) and QEP Resources, Inc. (“QEP”), a Delaware corporation.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after all significant intercompany balances and transactions have been eliminated upon consolidation.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Diamondback’s publicly traded subsidiaries Viper Energy Partners LP (“Viper”) and Rattler Midstream LP (“Rattler”) are consolidated in the Company’s financial statements. As of March 31, 2021, the Company owned approximately 59% of Viper’s total units outstanding. The Company’s wholly owned subsidiary, Viper Energy Partners GP LLC, is the general partner of Viper. As of March 31, 2021, the Company owned approximately 72% of Rattler’s total units outstanding. The Company’s wholly owned subsidiary, Rattler Midstream GP LLC, is the general partner of Rattler. The results of operations attributable to the non-controlling interest in Viper and Rattler are presented within equity and net income and are shown separately from the Company’s equity and net income attributable to the Company.</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2020, which contains a summary of the Company’s significant accounting policies and other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For instance, in 2020, the effects of COVID-19 and actions by OPEC members and other exporting nations on the supply and demand in global oil and natural gas markets resulted in significant negative pricing pressures in the first half of 2020, followed by a recovery in pricing in the second half of 2020 and into 2021. The financial results of companies in the oil and natural gas industry have been impacted materially as a result of changing market conditions. Such circumstances generally increase the uncertainty in the Company’s accounting estimates, particularly those involving financial forecasts.</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derivative instruments and estimates of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at the end of the period in the condensed consolidated statements of cash flows for the three months ended March 31, 2021 and 2020 to the line items within the condensed consolidated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r>
      <w:tr>
        <w:trPr>
          <w:trHeight w:val="209"/>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8"/>
                <w:szCs w:val="18"/>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Restricted cash included in funds held in escrow</w:t>
            </w:r>
            <w:r>
              <w:rPr>
                <w:rFonts w:ascii="Arial" w:cs="Arial" w:eastAsia="Arial" w:hAnsi="Arial"/>
                <w:sz w:val="23"/>
                <w:szCs w:val="23"/>
                <w:color w:val="auto"/>
                <w:vertAlign w:val="superscript"/>
              </w:rPr>
              <w:t>(1)</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30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155</w:t>
            </w:r>
          </w:p>
        </w:tc>
      </w:tr>
      <w:tr>
        <w:trPr>
          <w:trHeight w:val="20"/>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277"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March 31, 2021, the restricted cash included in funds held in escrow on the condensed consolidated balance sheet is primarily related to cash deposited into an escrow account for a title dispute between outside parties in the Williston Basin.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This update is intended to simplify the accounting for income taxes by removing certain exceptions and by clarifying and amending existing guidance and is effective for public business entities beginning after December 15, 2020 with early adoption permitted. The Company adopted this update effective January 1, 2021. The adoption of this update did not have a material impact on its financial position, results of operations or liquidity.</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the applicability and impact of all ASUs. ASUs not discussed above were assessed and determined to be either not applicable or clarifications of ASUs previously disclosed.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52" w:lineRule="exact"/>
        <w:rPr>
          <w:sz w:val="20"/>
          <w:szCs w:val="20"/>
          <w:color w:val="auto"/>
        </w:rPr>
      </w:pPr>
    </w:p>
    <w:p>
      <w:pPr>
        <w:jc w:val="both"/>
        <w:ind w:left="20" w:firstLine="648"/>
        <w:spacing w:after="0" w:line="275"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 The following tables present the Company’s revenue from contracts with customers disaggregated by product type and basin:</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March 31, 2021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March 31, 2020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Midland</w:t>
            </w:r>
          </w:p>
        </w:tc>
        <w:tc>
          <w:tcPr>
            <w:tcW w:w="180" w:type="dxa"/>
            <w:vAlign w:val="bottom"/>
          </w:tcPr>
          <w:p>
            <w:pPr>
              <w:spacing w:after="0"/>
              <w:rPr>
                <w:sz w:val="13"/>
                <w:szCs w:val="13"/>
                <w:color w:val="auto"/>
              </w:rPr>
            </w:pPr>
          </w:p>
        </w:tc>
        <w:tc>
          <w:tcPr>
            <w:tcW w:w="860" w:type="dxa"/>
            <w:vAlign w:val="bottom"/>
          </w:tcPr>
          <w:p>
            <w:pPr>
              <w:jc w:val="right"/>
              <w:ind w:right="73"/>
              <w:spacing w:after="0" w:line="158" w:lineRule="exact"/>
              <w:rPr>
                <w:sz w:val="20"/>
                <w:szCs w:val="20"/>
                <w:color w:val="auto"/>
              </w:rPr>
            </w:pPr>
            <w:r>
              <w:rPr>
                <w:rFonts w:ascii="Arial" w:cs="Arial" w:eastAsia="Arial" w:hAnsi="Arial"/>
                <w:sz w:val="16"/>
                <w:szCs w:val="16"/>
                <w:b w:val="1"/>
                <w:bCs w:val="1"/>
                <w:color w:val="auto"/>
                <w:w w:val="96"/>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86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Midland</w:t>
            </w:r>
          </w:p>
        </w:tc>
        <w:tc>
          <w:tcPr>
            <w:tcW w:w="180" w:type="dxa"/>
            <w:vAlign w:val="bottom"/>
          </w:tcPr>
          <w:p>
            <w:pPr>
              <w:spacing w:after="0"/>
              <w:rPr>
                <w:sz w:val="13"/>
                <w:szCs w:val="13"/>
                <w:color w:val="auto"/>
              </w:rPr>
            </w:pPr>
          </w:p>
        </w:tc>
        <w:tc>
          <w:tcPr>
            <w:tcW w:w="860" w:type="dxa"/>
            <w:vAlign w:val="bottom"/>
          </w:tcPr>
          <w:p>
            <w:pPr>
              <w:jc w:val="right"/>
              <w:ind w:right="73"/>
              <w:spacing w:after="0" w:line="158" w:lineRule="exact"/>
              <w:rPr>
                <w:sz w:val="20"/>
                <w:szCs w:val="20"/>
                <w:color w:val="auto"/>
              </w:rPr>
            </w:pPr>
            <w:r>
              <w:rPr>
                <w:rFonts w:ascii="Arial" w:cs="Arial" w:eastAsia="Arial" w:hAnsi="Arial"/>
                <w:sz w:val="16"/>
                <w:szCs w:val="16"/>
                <w:b w:val="1"/>
                <w:bCs w:val="1"/>
                <w:color w:val="auto"/>
                <w:w w:val="96"/>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3"/>
                <w:szCs w:val="13"/>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4"/>
          </w:tcPr>
          <w:p>
            <w:pPr>
              <w:jc w:val="right"/>
              <w:ind w:right="574"/>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7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4.</w:t>
        <w:tab/>
        <w:t>ACQUISITIONS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Guidon Operating LLC</w:t>
      </w:r>
    </w:p>
    <w:p>
      <w:pPr>
        <w:spacing w:after="0" w:line="252"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On December 21, 2020, the Company entered into a definitive purchase agreement to acquire all leasehold interests and related assets of Guidon Operating LLC (the “Guidon Acquisition”) which include approximately 32,500 net acres in the Northern Midland Basin in exchange for 10.68 million shares of the Company’s common stock and $375 million of cash. The Guidon Acquisition closed on February 26, 2021. The cash portion of this transaction was funded through a combination of cash on hand and borrowings under the Company’s credit facility. As a result of the Guidon Acquisition, the Company added approximately 210 gross producing wells.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presents the acquisition consideration paid in the Guidon Acquisition (in millions, except per share data, shares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Shares of Diamondback common stock issued at closing</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Closing price per share of Diamondback common stock on the closing date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r>
      <w:tr>
        <w:trPr>
          <w:trHeight w:val="222"/>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Fair value of Diamondback common stock issued</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29"/>
        </w:trPr>
        <w:tc>
          <w:tcPr>
            <w:tcW w:w="2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4"/>
        </w:trPr>
        <w:tc>
          <w:tcPr>
            <w:tcW w:w="9020" w:type="dxa"/>
            <w:vAlign w:val="bottom"/>
            <w:gridSpan w:val="2"/>
          </w:tcPr>
          <w:p>
            <w:pPr>
              <w:spacing w:after="0"/>
              <w:rPr>
                <w:sz w:val="20"/>
                <w:szCs w:val="20"/>
                <w:color w:val="auto"/>
              </w:rPr>
            </w:pPr>
            <w:r>
              <w:rPr>
                <w:rFonts w:ascii="Arial" w:cs="Arial" w:eastAsia="Arial" w:hAnsi="Arial"/>
                <w:sz w:val="16"/>
                <w:szCs w:val="16"/>
                <w:b w:val="1"/>
                <w:bCs w:val="1"/>
                <w:color w:val="auto"/>
              </w:rPr>
              <w:t>Total consideration (including fair value of Diamondback common stock issued)</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jc w:val="both"/>
        <w:ind w:left="20" w:firstLine="648"/>
        <w:spacing w:after="0" w:line="293" w:lineRule="auto"/>
        <w:rPr>
          <w:sz w:val="20"/>
          <w:szCs w:val="20"/>
          <w:color w:val="auto"/>
        </w:rPr>
      </w:pPr>
      <w:r>
        <w:rPr>
          <w:rFonts w:ascii="Arial" w:cs="Arial" w:eastAsia="Arial" w:hAnsi="Arial"/>
          <w:sz w:val="16"/>
          <w:szCs w:val="16"/>
          <w:color w:val="auto"/>
        </w:rPr>
        <w:t>The Guidon Acquisition has been accounted for as a business combination using the acquisition method of accounting. The following table represents the allocation of the total purchase price paid in the Guidon Acquisition to the identifiable assets acquired based on the fair values at the acquisition date, with any excess of the purchase price over the estimated fair value of the identifiable net assets acquired. Although the purchase price allocation is substantially complete as of the date of this filing, there may be further adjustments to the fair value of certain assets acquired and liabilities assumed, including but not limited to the Company’s oil and natural gas properties. The Company expects to complete the purchase price allocation during the 12-month period following the acquisition date and may revise the value of the assets and liabilities as appropriate within that time frame.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5" w:name="page16"/>
    <w:bookmarkEnd w:id="1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0000FF"/>
            </w:tcBorders>
          </w:tcPr>
          <w:p>
            <w:pPr>
              <w:spacing w:after="0"/>
              <w:rPr>
                <w:sz w:val="17"/>
                <w:szCs w:val="17"/>
                <w:color w:val="auto"/>
              </w:rPr>
            </w:pPr>
          </w:p>
        </w:tc>
        <w:tc>
          <w:tcPr>
            <w:tcW w:w="7980" w:type="dxa"/>
            <w:vAlign w:val="bottom"/>
          </w:tcPr>
          <w:p>
            <w:pPr>
              <w:jc w:val="center"/>
              <w:ind w:left="1150"/>
              <w:spacing w:after="0" w:line="205" w:lineRule="exact"/>
              <w:rPr>
                <w:sz w:val="20"/>
                <w:szCs w:val="20"/>
                <w:color w:val="auto"/>
              </w:rPr>
            </w:pPr>
            <w:r>
              <w:rPr>
                <w:rFonts w:ascii="Arial" w:cs="Arial" w:eastAsia="Arial" w:hAnsi="Arial"/>
                <w:sz w:val="18"/>
                <w:szCs w:val="18"/>
                <w:b w:val="1"/>
                <w:bCs w:val="1"/>
                <w:color w:val="auto"/>
                <w:w w:val="90"/>
              </w:rPr>
              <w:t>Diamondback Energy, Inc. and Subsidiaries</w:t>
            </w: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798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Condensed Notes to Consolidated Financial Statements-(Continued)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980" w:type="dxa"/>
            <w:vAlign w:val="bottom"/>
          </w:tcPr>
          <w:p>
            <w:pPr>
              <w:jc w:val="center"/>
              <w:ind w:left="11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13"/>
        </w:trPr>
        <w:tc>
          <w:tcPr>
            <w:tcW w:w="900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90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90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Oil and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8"/>
        </w:trPr>
        <w:tc>
          <w:tcPr>
            <w:tcW w:w="90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Midstream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24"/>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1"/>
        </w:trPr>
        <w:tc>
          <w:tcPr>
            <w:tcW w:w="10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are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the completion of the Guidon Acquisition, the Company acquired proved properties of $537 million and unproved properties of $573 million. The Company has included in its condensed consolidated statements of operations, revenues of $28 million and direct operating expenses of $12 million for the period from February 26, 2021 to March 31, 2021 attributable to the acquired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Resources, Inc.</w:t>
      </w:r>
    </w:p>
    <w:p>
      <w:pPr>
        <w:spacing w:after="0" w:line="252"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On March 17, 2021, the Company completed its acquisition of QEP in an all-stock transaction (the “QEP Merger”). The addition of QEP’s assets increased the Company’s net acreage in the Midland Basin by approximately 49,000 net acres. Under the terms of the QEP Merger, each eligible share of QEP common stock issued and outstanding immediately prior to the effective time converted into the right to receive 0.050 of a share of Diamondback common stock, with cash being paid in lieu of any fractional shares (the “merger consideration”). At the closing date of the QEP Merger, the carrying value of QEP’s outstanding debt was approximately $1.6 billion. See Note 9—</w:t>
      </w:r>
      <w:hyperlink w:anchor="page20">
        <w:r>
          <w:rPr>
            <w:rFonts w:ascii="Arial" w:cs="Arial" w:eastAsia="Arial" w:hAnsi="Arial"/>
            <w:sz w:val="17"/>
            <w:szCs w:val="17"/>
            <w:u w:val="single" w:color="auto"/>
            <w:color w:val="0000FF"/>
          </w:rPr>
          <w:t>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w:t>
      </w:r>
    </w:p>
    <w:p>
      <w:pPr>
        <w:spacing w:after="0" w:line="20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the acquisition consideration paid to QEP stockholders in the QEP Merger (in millions, except per share data, shares in thousands):</w:t>
      </w:r>
    </w:p>
    <w:p>
      <w:pPr>
        <w:sectPr>
          <w:pgSz w:w="11900" w:h="16838" w:orient="portrait"/>
          <w:cols w:equalWidth="0" w:num="1">
            <w:col w:w="11240"/>
          </w:cols>
          <w:pgMar w:left="320" w:top="114"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right="2160"/>
        <w:spacing w:after="0" w:line="308" w:lineRule="auto"/>
        <w:rPr>
          <w:sz w:val="20"/>
          <w:szCs w:val="20"/>
          <w:color w:val="auto"/>
        </w:rPr>
      </w:pPr>
      <w:r>
        <w:rPr>
          <w:rFonts w:ascii="Arial" w:cs="Arial" w:eastAsia="Arial" w:hAnsi="Arial"/>
          <w:sz w:val="16"/>
          <w:szCs w:val="16"/>
          <w:color w:val="auto"/>
        </w:rPr>
        <w:t>Eligible shares of QEP common stock converted into shares of Diamondback common stock Shares of QEP equity awards included in precombination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820"/>
        <w:spacing w:after="0" w:line="266" w:lineRule="auto"/>
        <w:rPr>
          <w:sz w:val="20"/>
          <w:szCs w:val="20"/>
          <w:color w:val="auto"/>
        </w:rPr>
      </w:pPr>
      <w:r>
        <w:rPr>
          <w:rFonts w:ascii="Arial" w:cs="Arial" w:eastAsia="Arial" w:hAnsi="Arial"/>
          <w:sz w:val="18"/>
          <w:szCs w:val="18"/>
          <w:color w:val="auto"/>
        </w:rPr>
        <w:t>Total shares of QEP common stock eligible for merger consideration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Shares of Diamondback common stock issued as merger consideration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price per share of Diamondback common stock</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consideration (fair value of the Company's common stock issued)</w:t>
      </w:r>
    </w:p>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238,153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11830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242,374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12,119</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1183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51" w:lineRule="exact"/>
        <w:rPr>
          <w:sz w:val="20"/>
          <w:szCs w:val="20"/>
          <w:color w:val="auto"/>
        </w:rPr>
      </w:pPr>
    </w:p>
    <w:p>
      <w:pPr>
        <w:spacing w:after="0"/>
        <w:tabs>
          <w:tab w:leader="none" w:pos="14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1183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58420</wp:posOffset>
            </wp:positionV>
            <wp:extent cx="11830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822" w:lineRule="exact"/>
        <w:rPr>
          <w:sz w:val="20"/>
          <w:szCs w:val="20"/>
          <w:color w:val="auto"/>
        </w:rPr>
      </w:pPr>
    </w:p>
    <w:p>
      <w:pPr>
        <w:sectPr>
          <w:pgSz w:w="11900" w:h="16838" w:orient="portrait"/>
          <w:cols w:equalWidth="0" w:num="2">
            <w:col w:w="8680" w:space="720"/>
            <w:col w:w="1840"/>
          </w:cols>
          <w:pgMar w:left="320" w:top="114" w:right="339" w:bottom="1440" w:gutter="0" w:footer="0" w:header="0"/>
          <w:type w:val="continuous"/>
        </w:sectPr>
      </w:pPr>
    </w:p>
    <w:p>
      <w:pPr>
        <w:spacing w:after="0" w:line="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QEP Merger has been accounted for as a business combination using the acquisition method. The following table represents the preliminary allocation of the total purchase price for the acquisition of QEP to the identifiable assets acquired and the liabilities assumed based on the fair values at the acquisition date, with any excess of the purchase price over the estimated fair value of the identifiable net assets acquired. Although the purchase price allocation is substantially complete as of the date of this filing, certain data necessary to complete the purchase price allocation is not yet available, and includes, but is not limited to, final tax returns that provide the underlying tax basis of QEP’s assets and liabilities. As such, there may be further adjustments to the fair value of certain assets acquired and liabilities assumed, including the Company’s oil and natural gas properties. The Company expects to complete the purchase price allocation during the 12-month period following the acquisition date.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6" w:name="page17"/>
    <w:bookmarkEnd w:id="1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0000FF"/>
            </w:tcBorders>
          </w:tcPr>
          <w:p>
            <w:pPr>
              <w:spacing w:after="0"/>
              <w:rPr>
                <w:sz w:val="17"/>
                <w:szCs w:val="17"/>
                <w:color w:val="auto"/>
              </w:rPr>
            </w:pPr>
          </w:p>
        </w:tc>
        <w:tc>
          <w:tcPr>
            <w:tcW w:w="7980" w:type="dxa"/>
            <w:vAlign w:val="bottom"/>
          </w:tcPr>
          <w:p>
            <w:pPr>
              <w:jc w:val="center"/>
              <w:ind w:left="1150"/>
              <w:spacing w:after="0" w:line="205" w:lineRule="exact"/>
              <w:rPr>
                <w:sz w:val="20"/>
                <w:szCs w:val="20"/>
                <w:color w:val="auto"/>
              </w:rPr>
            </w:pPr>
            <w:r>
              <w:rPr>
                <w:rFonts w:ascii="Arial" w:cs="Arial" w:eastAsia="Arial" w:hAnsi="Arial"/>
                <w:sz w:val="18"/>
                <w:szCs w:val="18"/>
                <w:b w:val="1"/>
                <w:bCs w:val="1"/>
                <w:color w:val="auto"/>
                <w:w w:val="90"/>
              </w:rPr>
              <w:t>Diamondback Energy, Inc. and Subsidiaries</w:t>
            </w: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1020" w:type="dxa"/>
            <w:vAlign w:val="bottom"/>
          </w:tcPr>
          <w:p>
            <w:pPr>
              <w:spacing w:after="0"/>
              <w:rPr>
                <w:sz w:val="18"/>
                <w:szCs w:val="18"/>
                <w:color w:val="auto"/>
              </w:rPr>
            </w:pPr>
          </w:p>
        </w:tc>
        <w:tc>
          <w:tcPr>
            <w:tcW w:w="798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Condensed Notes to Consolidated Financial Statements-(Continued)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980" w:type="dxa"/>
            <w:vAlign w:val="bottom"/>
          </w:tcPr>
          <w:p>
            <w:pPr>
              <w:jc w:val="center"/>
              <w:ind w:left="11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702"/>
        </w:trPr>
        <w:tc>
          <w:tcPr>
            <w:tcW w:w="9000" w:type="dxa"/>
            <w:vAlign w:val="bottom"/>
            <w:gridSpan w:val="2"/>
          </w:tcPr>
          <w:p>
            <w:pPr>
              <w:ind w:left="660"/>
              <w:spacing w:after="0"/>
              <w:rPr>
                <w:sz w:val="20"/>
                <w:szCs w:val="20"/>
                <w:color w:val="auto"/>
              </w:rPr>
            </w:pPr>
            <w:r>
              <w:rPr>
                <w:rFonts w:ascii="Arial" w:cs="Arial" w:eastAsia="Arial" w:hAnsi="Arial"/>
                <w:sz w:val="18"/>
                <w:szCs w:val="18"/>
                <w:color w:val="auto"/>
              </w:rPr>
              <w:t>The following table sets forth the Company’s preliminary purchase price allocation (in millions):</w:t>
            </w: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9000" w:type="dxa"/>
            <w:vAlign w:val="bottom"/>
            <w:gridSpan w:val="2"/>
          </w:tcPr>
          <w:p>
            <w:pPr>
              <w:spacing w:after="0"/>
              <w:rPr>
                <w:sz w:val="23"/>
                <w:szCs w:val="23"/>
                <w:color w:val="auto"/>
              </w:rPr>
            </w:pPr>
          </w:p>
        </w:tc>
        <w:tc>
          <w:tcPr>
            <w:tcW w:w="9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16"/>
        </w:trPr>
        <w:tc>
          <w:tcPr>
            <w:tcW w:w="90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Accounts payable - trade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capital expenditures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Other accrued liabilities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Revenues and royalties payable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900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Amount attributable to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r>
      <w:tr>
        <w:trPr>
          <w:trHeight w:val="197"/>
        </w:trPr>
        <w:tc>
          <w:tcPr>
            <w:tcW w:w="1020" w:type="dxa"/>
            <w:vAlign w:val="bottom"/>
            <w:shd w:val="clear" w:color="auto" w:fill="CCEEFF"/>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cash equivalents and restricted cash</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Accounts receivable - joint interest and other, net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Accounts receivable - oil and natural gas sales, net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Oil and natural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r>
      <w:tr>
        <w:trPr>
          <w:trHeight w:val="228"/>
        </w:trPr>
        <w:tc>
          <w:tcPr>
            <w:tcW w:w="9000" w:type="dxa"/>
            <w:vAlign w:val="bottom"/>
            <w:gridSpan w:val="2"/>
          </w:tcPr>
          <w:p>
            <w:pPr>
              <w:ind w:left="240"/>
              <w:spacing w:after="0"/>
              <w:rPr>
                <w:sz w:val="20"/>
                <w:szCs w:val="20"/>
                <w:color w:val="auto"/>
              </w:rPr>
            </w:pPr>
            <w:r>
              <w:rPr>
                <w:rFonts w:ascii="Arial" w:cs="Arial" w:eastAsia="Arial" w:hAnsi="Arial"/>
                <w:sz w:val="18"/>
                <w:szCs w:val="18"/>
                <w:color w:val="auto"/>
              </w:rPr>
              <w:t>Other property, equipment and land</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1"/>
        </w:trPr>
        <w:tc>
          <w:tcPr>
            <w:tcW w:w="9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8"/>
        </w:trPr>
        <w:tc>
          <w:tcPr>
            <w:tcW w:w="90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9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r>
      <w:tr>
        <w:trPr>
          <w:trHeight w:val="224"/>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0"/>
        </w:trPr>
        <w:tc>
          <w:tcPr>
            <w:tcW w:w="10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purchase price allocation above was based on preliminary estimates of the fair values of the assets and liabilities of QEP as of the closing date of the QEP Merger. The majority of the measurements of assets acquired and liabilities assumed are based on inputs that are not observable in the market and are therefore considered Level 3 inputs. The fair value of acquired property and equipment, including midstream assets classified in oil and natural gas properties,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forecasts, projected commodity prices and pricing differentials, and estimates of future capital and operating cost which are then discounted utilizing an estimated weighted-average cost of capital for industry market participants. The fair value of QEP’s outstanding senior unsecured notes was based on unadjusted quoted prices in an active market, which are considered Level 1 inputs. The value of derivative instruments was based on observable inputs including forward commodity-price curves which are considered Level 2 inputs. Deferred income taxes represent the tax effects of differences in the tax basis and merger-date fair values of assets acquired and liabilities assumed.</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the completion of the QEP Merger, the Company acquired proved properties of $2.3 billion and unproved properties of $444 million, primarily in the Midland Basin and the Williston Basin. The Company has included in its condensed consolidated statements of operations, revenues of $54 million and direct operating expenses of $31 million for the period from March 17, 2021 to March 31, 2021 attributable to the QEP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unaudited summary pro forma financial information for the three months ended March 31, 2021 and 2020 has been prepared to give effect to the QEP Merger and the Guidon Acquisition as if they had occurred on January 1, 2020.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below information reflects pro forma adjustments for the issuance of the Company’s common stock in exchange for QEP’s outstanding shares of common stock, as well as pro forma adjustments based on available information and certain assumptions that the Company believes are reasonable, including adjustments to depreciation, depletion and amortization based on the full cost method of accounting and the purchase price allocated to property, plant, and equipment as well as adjustments to interest expense and the provision for (benefit from) income taxes.</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pro forma earnings were adjusted to exclude acquisition-related costs incurred by the Company for the QEP Merger and the Guidon Acquisition of approximately $75 million for the three months ended March 31, 2021 and acquisition-related costs incurred by QEP of $31 million. These acquisition-related costs primarily consist of one-time severance costs and the accelerated or change-in-control vesting of certain QEP share-based awards for former QEP employees based on the terms of the merger agreement relating to the QEP Merger and other bank, legal and advisory fees. The pro forma results of operations do not include any cost savings or other synergies that may result from the QEP Merger and Guidon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r>
      <w:tr>
        <w:trPr>
          <w:trHeight w:val="210"/>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8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5"/>
              </w:rPr>
              <w:t>(In millions, except per share amounts)</w:t>
            </w:r>
          </w:p>
        </w:tc>
      </w:tr>
      <w:tr>
        <w:trPr>
          <w:trHeight w:val="23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684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0.81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bl>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REAL ESTATE ASSETS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schedule presents the cost and related accumulated depreciation of the Company’s real estate assets. The Company’s intangible lease assets and related accumulated amortization were immaterial as of March 31, 2021 and December 31,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Estimated Useful</w:t>
            </w:r>
          </w:p>
        </w:tc>
        <w:tc>
          <w:tcPr>
            <w:tcW w:w="220" w:type="dxa"/>
            <w:vAlign w:val="bottom"/>
          </w:tcPr>
          <w:p>
            <w:pPr>
              <w:spacing w:after="0"/>
              <w:rPr>
                <w:sz w:val="16"/>
                <w:szCs w:val="16"/>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tcPr>
          <w:p>
            <w:pPr>
              <w:spacing w:after="0"/>
              <w:rPr>
                <w:sz w:val="16"/>
                <w:szCs w:val="16"/>
                <w:color w:val="auto"/>
              </w:rPr>
            </w:pPr>
          </w:p>
        </w:tc>
        <w:tc>
          <w:tcPr>
            <w:tcW w:w="156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Lives</w:t>
            </w:r>
          </w:p>
        </w:tc>
        <w:tc>
          <w:tcPr>
            <w:tcW w:w="22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gridSpan w:val="4"/>
          </w:tcPr>
          <w:p>
            <w:pPr>
              <w:jc w:val="right"/>
              <w:ind w:right="125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2"/>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06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1"/>
              </w:rPr>
              <w:t>20-30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60" w:type="dxa"/>
            <w:vAlign w:val="bottom"/>
            <w:gridSpan w:val="2"/>
          </w:tcPr>
          <w:p>
            <w:pPr>
              <w:jc w:val="center"/>
              <w:ind w:left="1390"/>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improvements</w:t>
            </w:r>
          </w:p>
        </w:tc>
        <w:tc>
          <w:tcPr>
            <w:tcW w:w="3060" w:type="dxa"/>
            <w:vAlign w:val="bottom"/>
            <w:tcBorders>
              <w:bottom w:val="single" w:sz="8" w:color="CCEEFF"/>
            </w:tcBorders>
            <w:gridSpan w:val="2"/>
          </w:tcPr>
          <w:p>
            <w:pPr>
              <w:jc w:val="center"/>
              <w:ind w:left="1390"/>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real estate assets</w:t>
            </w:r>
          </w:p>
        </w:tc>
        <w:tc>
          <w:tcPr>
            <w:tcW w:w="1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accumulated depreciation</w:t>
            </w:r>
          </w:p>
        </w:tc>
        <w:tc>
          <w:tcPr>
            <w:tcW w:w="14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investment in land and buildings, net</w:t>
            </w:r>
          </w:p>
        </w:tc>
        <w:tc>
          <w:tcPr>
            <w:tcW w:w="1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Arial" w:cs="Arial" w:eastAsia="Arial" w:hAnsi="Arial"/>
                <w:sz w:val="18"/>
                <w:szCs w:val="18"/>
                <w:color w:val="auto"/>
              </w:rPr>
              <w:t>12</w:t>
            </w: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45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includes the following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8"/>
                <w:szCs w:val="18"/>
                <w:color w:val="auto"/>
              </w:rPr>
            </w:pPr>
          </w:p>
        </w:tc>
        <w:tc>
          <w:tcPr>
            <w:tcW w:w="1340" w:type="dxa"/>
            <w:vAlign w:val="bottom"/>
          </w:tcPr>
          <w:p>
            <w:pPr>
              <w:jc w:val="right"/>
              <w:ind w:right="292"/>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7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r>
      <w:tr>
        <w:trPr>
          <w:trHeight w:val="210"/>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Pr>
          <w:p>
            <w:pPr>
              <w:spacing w:after="0"/>
              <w:rPr>
                <w:sz w:val="18"/>
                <w:szCs w:val="18"/>
                <w:color w:val="auto"/>
              </w:rPr>
            </w:pPr>
          </w:p>
        </w:tc>
      </w:tr>
      <w:tr>
        <w:trPr>
          <w:trHeight w:val="23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70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23,335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19,884</w:t>
            </w: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Gross oil and natural gas properties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31,765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27,377</w:t>
            </w:r>
          </w:p>
        </w:tc>
      </w:tr>
      <w:tr>
        <w:trPr>
          <w:trHeight w:val="229"/>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r>
      <w:tr>
        <w:trPr>
          <w:trHeight w:val="230"/>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impairment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23"/>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properties, net</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Midstream assets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equipment and land</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depreciation and impairment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48"/>
        </w:trPr>
        <w:tc>
          <w:tcPr>
            <w:tcW w:w="7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full cost method of accounting, the Company is required to perform a ceiling test each quarter which determines a limit, or ceiling, on the book value of proved oil and natural gas properties. No impairment expense was recorded for the three months ended March 31, 2021 and $1.0 billion in impairment expense was recorded during the three months ended March 31, 2020 based on the results of the respective quarterly ceiling tests.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Additionally, no impairment expense was recorded for the three months ended March 31, 2021 in relation to the oil and natural gas properties acquired in the QEP Merger and the Guidon Acquisition. These properties were recorded at fair value in accordance with ASC 820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Pursuant to SEC guidance, the Company determined the fair value of the properties acquired clearly exceeded the related full cost ceiling</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beyond a reasonable doubt and received a waiver from the SEC to exclude the properties acquired from the ceiling test calculation. This waiver was granted for the quarter ended March 31, 2021. As part of the waiver received from the SEC, the Company is required to disclose what the full cost ceiling test impairment amounts would have been for all periods presented in each applicable quarterly and annual filing if the waiver had not been granted. The fair values of the properties acquired in the QEP Merger and the Guidon Acquisition were based on forward strip oil and natural gas pricing existing at the closing date of the respective QEP Merger and Guidon Acquisition, and management affirmed there has not been a decline to the fair value of these acquired assets. The properties acquired in the QEP Merger and Guidon Acquisition have total unamortized costs at March 31, 2021 of $3.0 billion and $1.1 billion, respectively. Had the Company not received the waiver from the SEC, the impairment charge recorded would have been approximately $1.1 billion for the three months ended March 31, 2021.</w:t>
      </w: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09"/>
        </w:trPr>
        <w:tc>
          <w:tcPr>
            <w:tcW w:w="8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00" w:type="dxa"/>
            <w:vAlign w:val="bottom"/>
            <w:gridSpan w:val="3"/>
          </w:tcPr>
          <w:p>
            <w:pPr>
              <w:jc w:val="right"/>
              <w:ind w:right="653"/>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Additional liabilities incurred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acquired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Liabilities settled and divested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Revisions in estimated liabilities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r>
      <w:tr>
        <w:trPr>
          <w:trHeight w:val="230"/>
        </w:trPr>
        <w:tc>
          <w:tcPr>
            <w:tcW w:w="8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 - long-term</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The current portion of the asset retirement obligation is included in other accrued liabilities in the Company’s condensed consolidated balance sheets.</w:t>
      </w:r>
    </w:p>
    <w:p>
      <w:pPr>
        <w:spacing w:after="0" w:line="2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EQUITY METHOD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Rattler’s equity method investments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Ownership Interest</w:t>
            </w: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2020</w:t>
            </w:r>
          </w:p>
        </w:tc>
      </w:tr>
      <w:tr>
        <w:trPr>
          <w:trHeight w:val="210"/>
        </w:trPr>
        <w:tc>
          <w:tcPr>
            <w:tcW w:w="57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720" w:type="dxa"/>
            <w:vAlign w:val="bottom"/>
            <w:tcBorders>
              <w:top w:val="single" w:sz="8" w:color="auto"/>
            </w:tcBorders>
            <w:gridSpan w:val="4"/>
          </w:tcPr>
          <w:p>
            <w:pPr>
              <w:jc w:val="right"/>
              <w:ind w:right="1491"/>
              <w:spacing w:after="0"/>
              <w:rPr>
                <w:sz w:val="20"/>
                <w:szCs w:val="20"/>
                <w:color w:val="auto"/>
              </w:rPr>
            </w:pPr>
            <w:r>
              <w:rPr>
                <w:rFonts w:ascii="Arial" w:cs="Arial" w:eastAsia="Arial" w:hAnsi="Arial"/>
                <w:sz w:val="16"/>
                <w:szCs w:val="16"/>
                <w:b w:val="1"/>
                <w:bCs w:val="1"/>
                <w:color w:val="auto"/>
              </w:rPr>
              <w:t>(In millions)</w:t>
            </w:r>
          </w:p>
        </w:tc>
      </w:tr>
      <w:tr>
        <w:trPr>
          <w:trHeight w:val="232"/>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4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5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Wink to Webster Pipeline LLC</w:t>
            </w:r>
            <w:r>
              <w:rPr>
                <w:rFonts w:ascii="Arial" w:cs="Arial" w:eastAsia="Arial" w:hAnsi="Arial"/>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44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5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Amarillo Rattler, LLC</w:t>
            </w:r>
            <w:r>
              <w:rPr>
                <w:rFonts w:ascii="Arial" w:cs="Arial" w:eastAsia="Arial" w:hAnsi="Arial"/>
                <w:sz w:val="23"/>
                <w:szCs w:val="23"/>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700" w:type="dxa"/>
            <w:vAlign w:val="bottom"/>
          </w:tcPr>
          <w:p>
            <w:pPr>
              <w:ind w:left="22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1"/>
        </w:trPr>
        <w:tc>
          <w:tcPr>
            <w:tcW w:w="5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340" w:hanging="332"/>
        <w:spacing w:after="0" w:line="255"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Wink to Webster joint venture is developing a crude oil pipeline (the “Wink to Webster pipeline”). The Wink to Webster pipeline’s main segment began interim service operation in the fourth quarter of 2020, and the joint venture is expected to begin full commercial operations in the fourth quarter of 2021.</w:t>
      </w:r>
    </w:p>
    <w:p>
      <w:pPr>
        <w:spacing w:after="0" w:line="2"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30, 2021, Rattler sold its interest in the Amarillo Rattler, LLC (“Amarillo Rattler”) joint venture. See Note 16—</w:t>
      </w:r>
      <w:hyperlink w:anchor="page34">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(loss) from Rattler’s equity method investees was not material for the three months ended March 31, 2021 or 2020.</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Rattler reviews its investments to determine if a loss in value which is other than temporary has occurred. If such a loss has occurred, Rattler recognizes an impairment provision. During the three months ended March 31, 2021, Rattler’s loss from equity method investments includes an immaterial proportional charge representing impairment recorded by the investee associated with abandoned projects. No other impairments were recorded for Rattler’s equity method investments for the three months ended March 31, 2021 or 2020. Rattler’s investees all serve customers in the oil and natural gas industry, which has been experiencing economic challenges as described above. It is possible that prolonged industry challenges could result in circumstances requiring impairment testing, which could result in potentially material impairment charges in future interim periods.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431"/>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2020</w:t>
            </w:r>
          </w:p>
        </w:tc>
      </w:tr>
      <w:tr>
        <w:trPr>
          <w:trHeight w:val="210"/>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520" w:type="dxa"/>
            <w:vAlign w:val="bottom"/>
          </w:tcPr>
          <w:p>
            <w:pPr>
              <w:spacing w:after="0"/>
              <w:rPr>
                <w:sz w:val="18"/>
                <w:szCs w:val="18"/>
                <w:color w:val="auto"/>
              </w:rPr>
            </w:pPr>
          </w:p>
        </w:tc>
      </w:tr>
      <w:tr>
        <w:trPr>
          <w:trHeight w:val="232"/>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4.625%</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1420" w:type="dxa"/>
            <w:vAlign w:val="bottom"/>
            <w:shd w:val="clear" w:color="auto" w:fill="CCEEFF"/>
          </w:tcPr>
          <w:p>
            <w:pPr>
              <w:jc w:val="right"/>
              <w:ind w:right="121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Senior Notes due 2022</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7.320%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2022</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5.250%</w:t>
            </w:r>
          </w:p>
        </w:tc>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Notes due 2023</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2.875%</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4.750%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3.250%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2026</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5.625%</w:t>
            </w:r>
          </w:p>
        </w:tc>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Senior Notes due 2026</w:t>
            </w:r>
            <w:r>
              <w:rPr>
                <w:rFonts w:ascii="Arial" w:cs="Arial" w:eastAsia="Arial" w:hAnsi="Arial"/>
                <w:sz w:val="23"/>
                <w:szCs w:val="23"/>
                <w:color w:val="auto"/>
                <w:vertAlign w:val="superscript"/>
              </w:rPr>
              <w:t>(1)</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7.125%</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B, due 2028</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3.500%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2031</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4.400%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2051</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DrillCo Agreement</w:t>
            </w:r>
            <w:r>
              <w:rPr>
                <w:rFonts w:ascii="Arial" w:cs="Arial" w:eastAsia="Arial" w:hAnsi="Arial"/>
                <w:sz w:val="23"/>
                <w:szCs w:val="23"/>
                <w:color w:val="auto"/>
                <w:vertAlign w:val="superscript"/>
              </w:rPr>
              <w:t>(2)</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Unamortized debt issuance costs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costs</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Unamortized premium costs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3"/>
                <w:szCs w:val="23"/>
                <w:color w:val="auto"/>
                <w:vertAlign w:val="superscript"/>
              </w:rPr>
              <w:t>(3)</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Viper revolving credit facility</w:t>
            </w:r>
            <w:r>
              <w:rPr>
                <w:rFonts w:ascii="Arial" w:cs="Arial" w:eastAsia="Arial" w:hAnsi="Arial"/>
                <w:sz w:val="23"/>
                <w:szCs w:val="23"/>
                <w:color w:val="auto"/>
                <w:vertAlign w:val="superscript"/>
              </w:rPr>
              <w:t>(3)</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Viper 5.375% Senior Notes due 2027</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7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Rattler revolving credit facility</w:t>
            </w:r>
            <w:r>
              <w:rPr>
                <w:rFonts w:ascii="Arial" w:cs="Arial" w:eastAsia="Arial" w:hAnsi="Arial"/>
                <w:sz w:val="23"/>
                <w:szCs w:val="23"/>
                <w:color w:val="auto"/>
                <w:vertAlign w:val="superscript"/>
              </w:rPr>
              <w:t>(4)</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Rattler 5.625% Senior Notes due 2025</w:t>
            </w:r>
          </w:p>
        </w:tc>
        <w:tc>
          <w:tcPr>
            <w:tcW w:w="1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Total debt, net</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5,815</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Total long-term debt</w:t>
            </w:r>
          </w:p>
        </w:tc>
        <w:tc>
          <w:tcPr>
            <w:tcW w:w="1420" w:type="dxa"/>
            <w:vAlign w:val="bottom"/>
            <w:tcBorders>
              <w:bottom w:val="single" w:sz="8" w:color="auto"/>
            </w:tcBorders>
          </w:tcPr>
          <w:p>
            <w:pPr>
              <w:jc w:val="right"/>
              <w:ind w:right="121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r>
      <w:tr>
        <w:trPr>
          <w:trHeight w:val="20"/>
        </w:trPr>
        <w:tc>
          <w:tcPr>
            <w:tcW w:w="6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effective time of the QEP Merger, QEP became a wholly owned subsidiary of the Company and remained the issuer of the notes.</w:t>
      </w:r>
    </w:p>
    <w:p>
      <w:pPr>
        <w:spacing w:after="0" w:line="23" w:lineRule="exact"/>
        <w:rPr>
          <w:rFonts w:ascii="Arial" w:cs="Arial" w:eastAsia="Arial" w:hAnsi="Arial"/>
          <w:sz w:val="18"/>
          <w:szCs w:val="18"/>
          <w:color w:val="auto"/>
        </w:rPr>
      </w:pPr>
    </w:p>
    <w:p>
      <w:pPr>
        <w:ind w:left="340" w:hanging="332"/>
        <w:spacing w:after="0" w:line="250" w:lineRule="auto"/>
        <w:tabs>
          <w:tab w:leader="none" w:pos="27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entered into a participation and development agreement (the “DrillCo Agreement”), dated September 10, 2018, with Obsidian Resources, L.L.C. (“CEMOF”) to fund oil and natural gas development. As of March 31, 2021, the amount due to CEMOF related to this alliance was $75 million.</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these revolving credit facilities matures on November 1, 2022.</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Rattler revolving credit facility matures on May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in this section to the Company shall mean Diamondback Energy, Inc. and Diamondback O&amp;G LLC, collectively, unless otherwise specified.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March 31, 2021, O&amp;G, as borrower, and Diamondback Energy, Inc., as parent guarantor, have a credit agreement, as amended, which provides for a maximum credit amount available of $2 billion, with $52 million of outstanding borrowings and $1.9 billion available for future borrowings. As of March 31, 2021, there was an aggregate of $3 million in outstanding letters of credit, which reduce available borrowings under the credit agreement on a dollar for dollar basis. The weighted average interest rate on the credit facility was 1.65% and 3.02% for the three months ended March 31, 2021 and 2020, respectively. The borrowing base is scheduled to be redetermined semi-annually in May and November.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Company was in compliance with all financial maintenance covenants under the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2021 Notes Offering</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March 24, 2021, the Company issued $650 million aggregate principal amount of 0.900% Senior Notes due March 24, 2023 (the “2023 Notes”), $900 million aggregate principal amount of 3.125% Senior Notes due March 24, 2031 (the “2031 Notes”) and $650 million aggregate principal amount of 4.400% Senior Notes due March 24, 2051 (the “2051 Notes” and together with the 2023 Notes and the 2031 Notes, the “March 2021 Notes”) and received proceeds, net of $24 million in debt issuance costs and discounts, of $2.18 billion. The net proceeds were primarily used to fund the repurchase of other senior notes outstanding as discussed further below. Interest on the March 2021 Notes is payable semi-annually on March 24 and September 24, beginning on September 24, 2021.</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March 2021 Notes are the Company’s senior unsecured obligations and are fully and unconditionally guaranteed by O&amp;G. The March 2021 Notes are senior in right of payment to any of the Company’s and O&amp;G’s future subordinated indebtedness and rank equal in right of payment with all of the Company’s and O&amp;G’s existing and future senior indebtedness. The March 2021 Notes are effectively subordinated to the Company’s and O&amp;G’s existing and future secured indebtedness, if any, to the extent of the value of the collateral securing such indebtedness, and structurally subordinated to all of the existing and future indebtedness and other liabilities of the Company’s subsidiaries other than O&amp;G.</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not redeem the 2023 Notes in whole or in part at any time prior to September 24, 2021. The Company may redeem (i) the 2031 Notes in whole or in part at any time prior to December 24, 2030 and (ii) the 2051 Notes in whole or in part at any time prior to September 24, 2050, in each case at the redemption price set forth in the related indenture. If the March 2021 Notes are redeemed on or after the dates noted above, in each case, the March 2021 Notes may be redeemed at a redemption price equal to 100% of the principal amount of the March 2021 Notes to be redeemed plus interest accrued thereon to but not including the redemption date.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occurrence of a change of control triggering event as defined in the relevant indentures, holders may require the Company to purchase some or all of their March 2021 Notes for cash at a price equal to 101% of the principal amount of the March 2021 Notes being purchased, plus accrued and unpaid interest, if any, to the date of purchase.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Notes and Repurchases of Notes</w:t>
      </w:r>
    </w:p>
    <w:p>
      <w:pPr>
        <w:spacing w:after="0" w:line="252" w:lineRule="exact"/>
        <w:rPr>
          <w:sz w:val="20"/>
          <w:szCs w:val="20"/>
          <w:color w:val="auto"/>
        </w:rPr>
      </w:pPr>
    </w:p>
    <w:p>
      <w:pPr>
        <w:jc w:val="both"/>
        <w:ind w:firstLine="648"/>
        <w:spacing w:after="0" w:line="311" w:lineRule="auto"/>
        <w:rPr>
          <w:rFonts w:ascii="Arial" w:cs="Arial" w:eastAsia="Arial" w:hAnsi="Arial"/>
          <w:sz w:val="16"/>
          <w:szCs w:val="16"/>
          <w:color w:val="auto"/>
        </w:rPr>
      </w:pPr>
      <w:r>
        <w:rPr>
          <w:rFonts w:ascii="Arial" w:cs="Arial" w:eastAsia="Arial" w:hAnsi="Arial"/>
          <w:sz w:val="16"/>
          <w:szCs w:val="16"/>
          <w:color w:val="auto"/>
        </w:rPr>
        <w:t>On March 17, 2021, at the time of the QEP Merger discussed in Note 4—</w:t>
      </w:r>
      <w:hyperlink w:anchor="page15">
        <w:r>
          <w:rPr>
            <w:rFonts w:ascii="Arial" w:cs="Arial" w:eastAsia="Arial" w:hAnsi="Arial"/>
            <w:sz w:val="16"/>
            <w:szCs w:val="16"/>
            <w:u w:val="single" w:color="auto"/>
            <w:color w:val="0000FF"/>
          </w:rPr>
          <w:t>Acquisitions</w:t>
        </w:r>
      </w:hyperlink>
      <w:r>
        <w:rPr>
          <w:rFonts w:ascii="Arial" w:cs="Arial" w:eastAsia="Arial" w:hAnsi="Arial"/>
          <w:sz w:val="16"/>
          <w:szCs w:val="16"/>
          <w:color w:val="auto"/>
        </w:rPr>
        <w:t>, QEP had outstanding debt at fair values consisting of $478 million of 5.375% Senior Notes due 2022 (the “QEP 2022 Notes”), $673 million of 5.250% Senior Notes due 2023 (the “QEP 2023 Notes”) and $558 million of 5.625% Senior Notes due 2026 (the “QEP 2026 Notes” and together with the QEP 2022 Notes and QEP 2023 Notes, the “QEP Notes”).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Subsequent to the QEP Merger, in March 2021, the Company repurchased pursuant to tender offers commenced by the Company, approximately $1.65 billion in fair value carrying amount of the QEP Notes for total cash consideration of $1.7 billion, including redemption and early premium fees, which resulted in a loss on extinguishment of debt during the three months ended March 31, 2021 of approximately $47 million. The aggregate fair value of the QEP Notes repurchased consisted of (i) $453 million, or 94.65%, of the outstanding fair value carrying amount of the QEP 2022 Notes, (ii) $663 million, or 98.43%, of the outstanding fair value carrying amount of the QEP 2023 Notes and (iii) $538 million, or 96.35%, of the outstanding fair value carrying amount of the QEP 2026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2021, the Company also repurchased an aggregate of $368 million principal amount of its 5.375% 2025 Senior Notes, representing approximately 45.97% of the outstanding 2025 Senior Notes, for total cash consideration of $381 million, including redemption and early premium fees, which resulted in a loss on extinguishment of debt during the three months ended March 31, 2021 of $14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funded the repurchases of the QEP Notes and 2025 Senior Notes with the proceeds from the March 2021 Notes offering discussed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tender offers to repurchase the QEP Notes discussed above, the Company also solicited consents from holders of the QEP Notes to amend the indenture for the QEP Notes to, among other things, eliminate substantially all of the restrictive covenants and related provisions and certain events of default contained in the QEP indenture under which the QEP Notes were issued. The Company received the requisite number of consents and, on March 23, 2021, entered into a supplemental indenture relating to the QEP Notes adopting these amendments.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Viper LLC’s credit agreement, as amended (the “Viper credit agreement”), provides for a revolving credit facility in the maximum credit amount of $2 billion and a borrowing base of $580 million based on Viper LLC’s oil and natural gas reserves and other factors (the “borrowing base”). The borrowing base is scheduled to be redetermined semi-annually in May and November. As of March 31, 2021, Viper LLC had $57 million of outstanding borrowings and $523 million available for future borrowings under the Viper credit agreement. The weighted average interest rate on borrowings under the Viper credit agreement was 1.88% and 3.32% for the three months ended March 31, 2021 and 2020, respectively. The Viper credit agreement will mature on November 1, 2022.</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Viper LLC was in compliance with all financial maintenance covenants under the Viper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Rattler LLC’s credit agreement, as amended (the “Rattler credit agreement”), provides for a revolving credit facility in the maximum credit amount of $600 million, which is expandable to $1 billion upon Rattler’s election, subject to obtaining additional lender commitments and satisfaction of customary conditions. As of March 31, 2021, Rattler LLC had $54 million of outstanding borrowings and $546 million available for future borrowings under the Rattler credit agreement. The weighted average interest rate on borrowings under Rattler credit agreement was 1.40% and 2.79% for the three months ended March 31, 2021 and 2020, respectively. The revolving credit facility will mature on May 28, 2024.</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Rattler LLC was in compliance with all financial maintenance covenants under the Rattler credit agreement.</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CAPITAL STOCK AND EARNINGS PER SHARE</w:t>
      </w:r>
    </w:p>
    <w:p>
      <w:pPr>
        <w:spacing w:after="0" w:line="256" w:lineRule="exact"/>
        <w:rPr>
          <w:sz w:val="20"/>
          <w:szCs w:val="20"/>
          <w:color w:val="auto"/>
        </w:rPr>
      </w:pPr>
    </w:p>
    <w:p>
      <w:pPr>
        <w:jc w:val="both"/>
        <w:ind w:right="180" w:firstLine="648"/>
        <w:spacing w:after="0" w:line="286" w:lineRule="auto"/>
        <w:rPr>
          <w:rFonts w:ascii="Arial" w:cs="Arial" w:eastAsia="Arial" w:hAnsi="Arial"/>
          <w:sz w:val="17"/>
          <w:szCs w:val="17"/>
          <w:color w:val="auto"/>
        </w:rPr>
      </w:pPr>
      <w:r>
        <w:rPr>
          <w:rFonts w:ascii="Arial" w:cs="Arial" w:eastAsia="Arial" w:hAnsi="Arial"/>
          <w:sz w:val="17"/>
          <w:szCs w:val="17"/>
          <w:color w:val="auto"/>
        </w:rPr>
        <w:t>Diamondback did not complete any equity offerings during the three months ended March 31, 2021 and March 31, 2020. As discussed in Note 4 —</w:t>
      </w:r>
      <w:hyperlink w:anchor="page15">
        <w:r>
          <w:rPr>
            <w:rFonts w:ascii="Arial" w:cs="Arial" w:eastAsia="Arial" w:hAnsi="Arial"/>
            <w:sz w:val="17"/>
            <w:szCs w:val="17"/>
            <w:u w:val="single" w:color="auto"/>
            <w:color w:val="0000FF"/>
          </w:rPr>
          <w:t>Acquisitions</w:t>
        </w:r>
      </w:hyperlink>
      <w:r>
        <w:rPr>
          <w:rFonts w:ascii="Arial" w:cs="Arial" w:eastAsia="Arial" w:hAnsi="Arial"/>
          <w:sz w:val="17"/>
          <w:szCs w:val="17"/>
          <w:color w:val="auto"/>
        </w:rPr>
        <w:t>, Diamondback issued 12.12 million shares of the Company’s stock as consideration in the QEP Merger and 10.68 million shares of the Company’s stock as consideration for the Guidon Acquisition during the three months ended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the per share earnings of Viper and Rattler are included in the consolidated earnings per share computation based on the consolidated group’s holdings of the subsidiaries.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151"/>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0"/>
        </w:trPr>
        <w:tc>
          <w:tcPr>
            <w:tcW w:w="8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158"/>
        </w:trPr>
        <w:tc>
          <w:tcPr>
            <w:tcW w:w="8320" w:type="dxa"/>
            <w:vAlign w:val="bottom"/>
          </w:tcPr>
          <w:p>
            <w:pPr>
              <w:spacing w:after="0"/>
              <w:rPr>
                <w:sz w:val="13"/>
                <w:szCs w:val="13"/>
                <w:color w:val="auto"/>
              </w:rPr>
            </w:pPr>
          </w:p>
        </w:tc>
        <w:tc>
          <w:tcPr>
            <w:tcW w:w="2920" w:type="dxa"/>
            <w:vAlign w:val="bottom"/>
            <w:gridSpan w:val="5"/>
          </w:tcPr>
          <w:p>
            <w:pPr>
              <w:jc w:val="center"/>
              <w:spacing w:after="0" w:line="158" w:lineRule="exact"/>
              <w:rPr>
                <w:sz w:val="20"/>
                <w:szCs w:val="20"/>
                <w:color w:val="auto"/>
              </w:rPr>
            </w:pPr>
            <w:r>
              <w:rPr>
                <w:rFonts w:ascii="Arial" w:cs="Arial" w:eastAsia="Arial" w:hAnsi="Arial"/>
                <w:sz w:val="16"/>
                <w:szCs w:val="16"/>
                <w:b w:val="1"/>
                <w:bCs w:val="1"/>
                <w:color w:val="auto"/>
                <w:w w:val="89"/>
              </w:rPr>
              <w:t>($ in millions, except per share amounts,</w:t>
            </w:r>
          </w:p>
        </w:tc>
      </w:tr>
      <w:tr>
        <w:trPr>
          <w:trHeight w:val="213"/>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88"/>
              </w:rPr>
              <w:t>shares in thousands)</w:t>
            </w:r>
          </w:p>
        </w:tc>
      </w:tr>
      <w:tr>
        <w:trPr>
          <w:trHeight w:val="232"/>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158,291</w:t>
            </w: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Potential common shares issuable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164,926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158,494</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attributable to common stock</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Diluted net income (loss) attributable to common stock</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Non-controlling interests in the accompanying condensed consolidated financial statements represent minority interest ownership in Viper and Rattler and are presented as a component of equity. When the Company’s relative ownership interests in Viper and Rattler change, adjustments to non-controlling interest and additional paid-in-capital, tax effected, will occur. The following table summarizes changes in the ownership interest in consolidated subsidiaries during the periods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8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Change from net income (loss) attributable to the Company's stockholders and transfers to non-controlling</w:t>
            </w:r>
          </w:p>
        </w:tc>
        <w:tc>
          <w:tcPr>
            <w:tcW w:w="980" w:type="dxa"/>
            <w:vAlign w:val="bottom"/>
            <w:vMerge w:val="restart"/>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Equity Plan, approved by the Board of Directors, the Company is authorized to issue incentive and non-statutory stock options, restricted stock awards and restricted stock units, performance awards and stock appreciation rights to eligible employees. At March 31, 2021, the Company had outstanding restricted stock units, performance-based restricted stock units, an immaterial amount of restricted share awards and restricted stock units which were assumed in connection with the QEP Merger and an immaterial amount of stock options and stock appreciation rights assumed from Energen. The Company classifies these as equity-based awards and estimates the fair values of restricted stock awards and units as the closing price of the Company’s common stock on the grant date of the award, which is expensed over the applicable vesting period. The Company values its stock options using a Black-Scholes option valuation model.</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effects of the equity compensation plans and related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gridSpan w:val="2"/>
          </w:tcPr>
          <w:p>
            <w:pPr>
              <w:jc w:val="right"/>
              <w:ind w:right="713"/>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60" w:type="dxa"/>
            <w:vAlign w:val="bottom"/>
            <w:shd w:val="clear" w:color="auto" w:fill="CCEEFF"/>
          </w:tcPr>
          <w:p>
            <w:pPr>
              <w:jc w:val="right"/>
              <w:ind w:right="9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9"/>
              </w:rPr>
              <w:t>Equity-based compensation capitalized pursuant to full cost method of accounting for oil and natural gas</w:t>
            </w:r>
          </w:p>
        </w:tc>
        <w:tc>
          <w:tcPr>
            <w:tcW w:w="980" w:type="dxa"/>
            <w:vAlign w:val="bottom"/>
            <w:vMerge w:val="restart"/>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ind w:right="13"/>
              <w:spacing w:after="0"/>
              <w:rPr>
                <w:sz w:val="20"/>
                <w:szCs w:val="20"/>
                <w:color w:val="auto"/>
              </w:rPr>
            </w:pPr>
            <w:r>
              <w:rPr>
                <w:rFonts w:ascii="Arial" w:cs="Arial" w:eastAsia="Arial" w:hAnsi="Arial"/>
                <w:sz w:val="18"/>
                <w:szCs w:val="18"/>
                <w:color w:val="auto"/>
              </w:rPr>
              <w:t>4</w:t>
            </w:r>
          </w:p>
        </w:tc>
        <w:tc>
          <w:tcPr>
            <w:tcW w:w="1260" w:type="dxa"/>
            <w:vAlign w:val="bottom"/>
            <w:vMerge w:val="restart"/>
          </w:tcPr>
          <w:p>
            <w:pPr>
              <w:jc w:val="right"/>
              <w:ind w:right="973"/>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98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Company’s restricted stock units activity during the three months ended March 31, 2021 under the Equity Plan and the QEP equity incentive plan assumed by the Company in the QEP Merger: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4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Restricted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30"/>
        </w:trPr>
        <w:tc>
          <w:tcPr>
            <w:tcW w:w="7040" w:type="dxa"/>
            <w:vAlign w:val="bottom"/>
          </w:tcPr>
          <w:p>
            <w:pPr>
              <w:ind w:left="36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2040" w:type="dxa"/>
            <w:vAlign w:val="bottom"/>
          </w:tcPr>
          <w:p>
            <w:pPr>
              <w:jc w:val="right"/>
              <w:spacing w:after="0"/>
              <w:rPr>
                <w:sz w:val="20"/>
                <w:szCs w:val="20"/>
                <w:color w:val="auto"/>
              </w:rPr>
            </w:pPr>
            <w:r>
              <w:rPr>
                <w:rFonts w:ascii="Arial" w:cs="Arial" w:eastAsia="Arial" w:hAnsi="Arial"/>
                <w:sz w:val="18"/>
                <w:szCs w:val="18"/>
                <w:color w:val="auto"/>
              </w:rPr>
              <w:t>638,589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2021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1,439,586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77" w:lineRule="auto"/>
        <w:tabs>
          <w:tab w:leader="none" w:pos="4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164,088 replacement restricted stock unit awards granted in connection with the QEP Merger, the majority of which vested upon closing of the QEP Merger. For additional information regarding the QEP Merger, see Note 4—</w:t>
      </w:r>
      <w:hyperlink w:anchor="page15">
        <w:r>
          <w:rPr>
            <w:rFonts w:ascii="Arial" w:cs="Arial" w:eastAsia="Arial" w:hAnsi="Arial"/>
            <w:sz w:val="18"/>
            <w:szCs w:val="18"/>
            <w:u w:val="single" w:color="auto"/>
            <w:color w:val="0000FF"/>
          </w:rPr>
          <w:t>Acquisitions</w:t>
        </w:r>
      </w:hyperlink>
      <w:r>
        <w:rPr>
          <w:rFonts w:ascii="Arial" w:cs="Arial" w:eastAsia="Arial" w:hAnsi="Arial"/>
          <w:sz w:val="18"/>
          <w:szCs w:val="18"/>
          <w:color w:val="auto"/>
        </w:rPr>
        <w:t>.</w:t>
      </w:r>
    </w:p>
    <w:p>
      <w:pPr>
        <w:spacing w:after="0" w:line="19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aggregate fair value of restricted stock units that vested during the three months ended March 31, 2021 and 2020 was $23 million and $8 million, respectively. As of March 31, 2021, the Company’s unrecognized compensation cost related to unvested restricted stock units was $71 million, which is expected to be recognized over a weighted-average period of 2.5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2019, eligible employees received performance restricted stock unit awards totaling 199,723 units from which a minimum of 0% and a maximum of 200% of the units could be awarded based upon the measurement of total stockholder return of the Company’s common stock as compared to a designated peer group during the performance period of January 1, 2019 to December 31, 2021 and cliff vest at December 31, 2021 subject to continued employment. In March 2019, eligible employees received performance restricted stock unit awards totaling 32,958 units from which a minimum of 0% and a maximum of 200% units could be awarded. The awards have a performance period of January 1, 2019 to December 31, 2021 and vest in five equal installments beginning on March 1, 2025.</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2020, eligible employees received performance restricted stock unit awards totaling 225,047 units from which a minimum of 0% and a maximum of 200% of the units could be awarded based upon the measurement of total stockholder return of the Company’s common stock as compared to a designated peer group during the three-year performance period of January 1, 2020 to December 31, 2022 and cliff vest at December 31, 2022 subject to continued employment. The initial payout of the March 2020 awards will be further adjusted by a TSR modifier that may reduce the payout or increase the payout up to a maximum of 250%.</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2021, eligible employees received performance restricted stock unit awards totaling 198,454 units from which a minimum of 0% and a maximum of 200% of the units could be awarded based upon the measurement of total stockholder return of the Company’s common stock as compared to a designated peer group during the three-year performance period of January 1, 2021 to December 31, 2023 and cliff vest at December 31, 2023 subject to continued employment. The initial payout of the March 2021 awards will be further adjusted by a TSR modifier that may reduce the payout or increase the payout up to a maximum of 250%.</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awards granted during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Arial" w:cs="Arial" w:eastAsia="Arial" w:hAnsi="Arial"/>
                <w:sz w:val="16"/>
                <w:szCs w:val="16"/>
                <w:b w:val="1"/>
                <w:bCs w:val="1"/>
                <w:color w:val="auto"/>
              </w:rPr>
              <w:t>2019</w:t>
            </w:r>
          </w:p>
        </w:tc>
      </w:tr>
      <w:tr>
        <w:trPr>
          <w:trHeight w:val="22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10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131.06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137.22</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Grant-date fair value (5-year vesting)</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132.48</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Company volatility</w:t>
            </w:r>
          </w:p>
        </w:tc>
        <w:tc>
          <w:tcPr>
            <w:tcW w:w="1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69.60 %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36.70 %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35.00 %</w:t>
            </w:r>
          </w:p>
        </w:tc>
      </w:tr>
    </w:tbl>
    <w:p>
      <w:pPr>
        <w:spacing w:after="0" w:line="30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presents the Company’s performance restricted stock units activity under the Equity Plan for the three months ended March 31,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w w:val="91"/>
              </w:rPr>
              <w:t>Performance Restricted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Weighted Average</w:t>
            </w:r>
          </w:p>
        </w:tc>
      </w:tr>
      <w:tr>
        <w:trPr>
          <w:trHeight w:val="213"/>
        </w:trPr>
        <w:tc>
          <w:tcPr>
            <w:tcW w:w="76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Stock Units</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rPr>
              <w:t>Grant-Date Fair Value</w:t>
            </w:r>
          </w:p>
        </w:tc>
      </w:tr>
      <w:tr>
        <w:trPr>
          <w:trHeight w:val="22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198,454</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131.06</w:t>
            </w:r>
          </w:p>
        </w:tc>
      </w:tr>
      <w:tr>
        <w:trPr>
          <w:trHeight w:val="248"/>
        </w:trPr>
        <w:tc>
          <w:tcPr>
            <w:tcW w:w="76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at March 31, 2021</w:t>
            </w:r>
            <w:r>
              <w:rPr>
                <w:rFonts w:ascii="Arial" w:cs="Arial" w:eastAsia="Arial" w:hAnsi="Arial"/>
                <w:sz w:val="23"/>
                <w:szCs w:val="23"/>
                <w:color w:val="auto"/>
                <w:vertAlign w:val="superscript"/>
              </w:rPr>
              <w:t>(1)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610,041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1,431,833 units could be awarded based upon the Company’s final TSR ranking.</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2021, the Company’s unrecognized compensation cost related to unvested performance based restricted stock awards and units was $43 million, which is expected to be recognized over a weighted-average period of 2.2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Long-Term Incentive Plan</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May 22, 2019, the board of directors of Rattler’s General Partner adopted the Rattler Midstream LP Long Term Incentive Plan (“Rattler LTIP”) for employees, consultants and directors of Rattler’s General Partner and any of its affiliates, including Diamondback, who perform services for Rattler.</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Rattler LTIP, the board of directors of Rattler’s General Partner is authorized to issue phantom units to eligible employees and non-employee directors. Rattler estimates the fair value of phantom units as the closing price of Rattler’s common units on the grant date of the award, which is expensed over the applicable vesting period. Upon vesting, the phantom units entitle the recipient to one common unit of Rattler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Rattler LTIP for the three months ended March 31, 2021: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6"/>
                <w:szCs w:val="16"/>
                <w:color w:val="auto"/>
              </w:rPr>
            </w:pPr>
          </w:p>
        </w:tc>
        <w:tc>
          <w:tcPr>
            <w:tcW w:w="140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Phantom</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2,089,668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9"/>
        </w:trPr>
        <w:tc>
          <w:tcPr>
            <w:tcW w:w="76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210,631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(13,385)</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2,282,159</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three months ended March 31, 2021 was immaterial. As of March 31, 2021, the unrecognized compensation cost related to unvested phantom units was $30 million, which is expected to be recognized over a weighted-average period of three years.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25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Company’s effective income tax rates were 22.6% and (26.1)% for the three months ended March 31, 2021 and 2020, respectively. Total income tax expense from continuing operations for the three months ended March 31, 2021 differed from amounts computed by applying the United States federal statutory tax rate to pre-tax income primarily due to (i) state income taxes, net of federal benefit, and (ii) the impact of permanent differences between book and taxable income, partially offset by (iii) tax benefit resulting from a reduction in the valuation allowance on Viper’s deferred tax assets due to pre-tax income for the period.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2021, the Company’s items of discrete income tax expense or benefit were not material.</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17, 2021, the Company completed its acquisition of QEP. For federal income tax purposes, the transaction qualified as a nontaxable merger whereby the Company acquired carryover tax basis in QEP’s assets and liabilities. The Company recorded an opening balance sheet net deferred tax asset of $15 million, primarily consisting of deferred tax assets related to tax attributes acquired from QEP, partially offset by a valuation allowance, and deferred tax liabilities resulting from the excess of financial reporting carrying value over tax basis of oil and natural gas properties and other assets acquired from QEP. The acquired income tax attributes, including federal net operating loss and credit carryforwards, are subject to an annual limitation under Internal Revenue Code Section 382. The Company has considered the positive and negative evidence regarding realizability of these federal tax attributes including taxable income in prior carryback years, the annual limitation imposed by Section 382, and the anticipated timing of reversal of its deferred tax liabilities, resulting in a valuation allowance on the portion of QEP’s federal tax attributes estimated not more likely than not to be realized prior to expiration. In addition, acquired tax attributes include state net operating loss carryforwards for which a valuation allowance has been provided, since the Company does not believe the state net operating losses are more likely than not to be realized based on its assessment of anticipated future operations in those states.</w:t>
      </w:r>
    </w:p>
    <w:p>
      <w:pPr>
        <w:spacing w:after="0" w:line="20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Total income tax expense from continuing operations for the three months ended March 31, 2020 differed from amounts computed by applying the United States federal statutory tax rate to pre-tax loss primarily due to (i) the impact of recording a valuation allowance on Viper’s deferred tax assets, (ii) state income taxes and (iii) the impact of permanent differences between book and taxable income, partially offset by tax benefit resulting from the anticipated carryback of federal net operating losses. For the three months ended March 31, 2020, the Company recorded a discrete income tax expense of $143 million related to application of a valuation allowance on Viper’s beginning-of-year deferred tax assets, which consisted primarily of its investment in Viper LLC and federal net operating loss carryforwards. A valuation allowance was also applied against the year-to-date tax benefit resulting from Viper’s pre-tax loss for 2020. The determination to record a valuation allowance was based on management’s assessment of all available evidence, both positive and negative, supporting realizability of Viper’s deferred tax assets. In light of the criteria established by applicable GAAP for recognizing the tax benefit of deferred tax assets, management’s assessment resulted in recording a valuation allowance against Viper’s deferred tax assets as of March 31, 2020. In addition, for the three months ended March 31, 2020, the Company recorded a discrete income tax benefit of $25 million related to the available carryback of certain federal net operating losses to tax year(s) in which the corporate income tax rate was 35%. Prior to the enactment of the Coronavirus Aid, Relief, and Economic Security Act (“CARES Act”) in the first quarter of 2020, there was no tax refund available to the Company with respect to its losses, resulting in deferred tax benefit associated with federal net operating loss carryforwards at the statutory 21% corporate income tax rate.</w:t>
      </w:r>
    </w:p>
    <w:p>
      <w:pPr>
        <w:spacing w:after="0" w:line="2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considered the impact of the American Rescue Plan, enacted on March 11, 2021, and concluded its provisions related to U.S. income taxes for corporations did not materially affect the Company’s current or deferred tax balances. The Company also considered the impact of the CARES Act, enacted March 27, 2020, in the period of enactment, resulting in discrete income tax benefit for the three months ended March 31, 2020 related to the carryback of approximately $179 million of the Company’s federal net operating losses as noted above. As a result of the refund associated with such carryback as well as the accelerated refund available for minimum tax credits, the Company received a refund of federal taxes in the first quarter of 2021 of approximately $100 million. In addition, the Company’s current and long-term income taxes receivable of approximately $33 million and $32 million, respectively, primarily relate to anticipated refunds of minimum tax credits resulting from available carryback of certain federal net operating losses acquired from QEP.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entered into multiple crude oil, natural gas and natural gas liquids derivatives, indexed to the respective indices as noted in the table below, to reduce price volatility associated with certain of its oil and natural gas sales.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under its credit facility and have been deemed an acceptable credit risk.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of March 31, 2021, the Company had the following outstanding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20" w:type="dxa"/>
            <w:vAlign w:val="bottom"/>
            <w:tcBorders>
              <w:bottom w:val="single" w:sz="8" w:color="auto"/>
            </w:tcBorders>
            <w:gridSpan w:val="2"/>
          </w:tcPr>
          <w:p>
            <w:pPr>
              <w:ind w:left="940"/>
              <w:spacing w:after="0"/>
              <w:rPr>
                <w:sz w:val="20"/>
                <w:szCs w:val="20"/>
                <w:color w:val="auto"/>
              </w:rPr>
            </w:pPr>
            <w:r>
              <w:rPr>
                <w:rFonts w:ascii="Arial" w:cs="Arial" w:eastAsia="Arial" w:hAnsi="Arial"/>
                <w:sz w:val="16"/>
                <w:szCs w:val="16"/>
                <w:b w:val="1"/>
                <w:bCs w:val="1"/>
                <w:color w:val="auto"/>
              </w:rPr>
              <w:t>Swaps</w:t>
            </w:r>
          </w:p>
        </w:tc>
        <w:tc>
          <w:tcPr>
            <w:tcW w:w="2100" w:type="dxa"/>
            <w:vAlign w:val="bottom"/>
            <w:tcBorders>
              <w:bottom w:val="single" w:sz="8" w:color="auto"/>
            </w:tcBorders>
            <w:gridSpan w:val="2"/>
          </w:tcPr>
          <w:p>
            <w:pPr>
              <w:ind w:left="800"/>
              <w:spacing w:after="0"/>
              <w:rPr>
                <w:sz w:val="20"/>
                <w:szCs w:val="20"/>
                <w:color w:val="auto"/>
              </w:rPr>
            </w:pPr>
            <w:r>
              <w:rPr>
                <w:rFonts w:ascii="Arial" w:cs="Arial" w:eastAsia="Arial" w:hAnsi="Arial"/>
                <w:sz w:val="16"/>
                <w:szCs w:val="16"/>
                <w:b w:val="1"/>
                <w:bCs w:val="1"/>
                <w:color w:val="auto"/>
              </w:rPr>
              <w:t>Collars</w:t>
            </w:r>
          </w:p>
        </w:tc>
        <w:tc>
          <w:tcPr>
            <w:tcW w:w="0" w:type="dxa"/>
            <w:vAlign w:val="bottom"/>
          </w:tcPr>
          <w:p>
            <w:pPr>
              <w:spacing w:after="0"/>
              <w:rPr>
                <w:sz w:val="1"/>
                <w:szCs w:val="1"/>
                <w:color w:val="auto"/>
              </w:rPr>
            </w:pPr>
          </w:p>
        </w:tc>
      </w:tr>
      <w:tr>
        <w:trPr>
          <w:trHeight w:val="158"/>
        </w:trPr>
        <w:tc>
          <w:tcPr>
            <w:tcW w:w="1140" w:type="dxa"/>
            <w:vAlign w:val="bottom"/>
            <w:vMerge w:val="restart"/>
          </w:tcPr>
          <w:p>
            <w:pPr>
              <w:jc w:val="center"/>
              <w:ind w:left="33"/>
              <w:spacing w:after="0"/>
              <w:rPr>
                <w:sz w:val="20"/>
                <w:szCs w:val="20"/>
                <w:color w:val="auto"/>
              </w:rPr>
            </w:pPr>
            <w:r>
              <w:rPr>
                <w:rFonts w:ascii="Arial" w:cs="Arial" w:eastAsia="Arial" w:hAnsi="Arial"/>
                <w:sz w:val="16"/>
                <w:szCs w:val="16"/>
                <w:b w:val="1"/>
                <w:bCs w:val="1"/>
                <w:color w:val="auto"/>
                <w:w w:val="90"/>
              </w:rPr>
              <w:t>Settlement</w:t>
            </w: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Bbls/MMBtu</w:t>
            </w:r>
          </w:p>
        </w:tc>
        <w:tc>
          <w:tcPr>
            <w:tcW w:w="172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Weighted</w:t>
            </w:r>
          </w:p>
        </w:tc>
        <w:tc>
          <w:tcPr>
            <w:tcW w:w="11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62"/>
        </w:trPr>
        <w:tc>
          <w:tcPr>
            <w:tcW w:w="1140" w:type="dxa"/>
            <w:vAlign w:val="bottom"/>
            <w:vMerge w:val="continue"/>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Settlement Year</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Type of Contract</w:t>
            </w:r>
          </w:p>
        </w:tc>
        <w:tc>
          <w:tcPr>
            <w:tcW w:w="1140" w:type="dxa"/>
            <w:vAlign w:val="bottom"/>
            <w:vMerge w:val="continue"/>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Index</w:t>
            </w:r>
          </w:p>
        </w:tc>
        <w:tc>
          <w:tcPr>
            <w:tcW w:w="11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1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Average Fixed</w:t>
            </w: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 Floor</w:t>
            </w: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3"/>
        </w:trPr>
        <w:tc>
          <w:tcPr>
            <w:tcW w:w="1140" w:type="dxa"/>
            <w:vAlign w:val="bottom"/>
            <w:tcBorders>
              <w:bottom w:val="single" w:sz="8" w:color="auto"/>
            </w:tcBorders>
          </w:tcPr>
          <w:p>
            <w:pPr>
              <w:jc w:val="center"/>
              <w:ind w:left="13"/>
              <w:spacing w:after="0"/>
              <w:rPr>
                <w:sz w:val="20"/>
                <w:szCs w:val="20"/>
                <w:color w:val="auto"/>
              </w:rPr>
            </w:pPr>
            <w:r>
              <w:rPr>
                <w:rFonts w:ascii="Arial" w:cs="Arial" w:eastAsia="Arial" w:hAnsi="Arial"/>
                <w:sz w:val="16"/>
                <w:szCs w:val="16"/>
                <w:b w:val="1"/>
                <w:bCs w:val="1"/>
                <w:color w:val="auto"/>
                <w:w w:val="99"/>
              </w:rPr>
              <w:t>Month</w:t>
            </w:r>
          </w:p>
        </w:tc>
        <w:tc>
          <w:tcPr>
            <w:tcW w:w="134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Per Day</w:t>
            </w:r>
          </w:p>
        </w:tc>
        <w:tc>
          <w:tcPr>
            <w:tcW w:w="17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Ceiling Price</w:t>
            </w:r>
          </w:p>
        </w:tc>
        <w:tc>
          <w:tcPr>
            <w:tcW w:w="0" w:type="dxa"/>
            <w:vAlign w:val="bottom"/>
          </w:tcPr>
          <w:p>
            <w:pPr>
              <w:spacing w:after="0"/>
              <w:rPr>
                <w:sz w:val="1"/>
                <w:szCs w:val="1"/>
                <w:color w:val="auto"/>
              </w:rPr>
            </w:pPr>
          </w:p>
        </w:tc>
      </w:tr>
      <w:tr>
        <w:trPr>
          <w:trHeight w:val="212"/>
        </w:trPr>
        <w:tc>
          <w:tcPr>
            <w:tcW w:w="1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w:t>
            </w:r>
          </w:p>
        </w:tc>
        <w:tc>
          <w:tcPr>
            <w:tcW w:w="1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6"/>
              </w:rPr>
              <w:t>Apr. - June</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43,341</w:t>
            </w:r>
          </w:p>
        </w:tc>
        <w:tc>
          <w:tcPr>
            <w:tcW w:w="1720" w:type="dxa"/>
            <w:vAlign w:val="bottom"/>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$44.60</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1"/>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July - Sep.</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38,348</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$42.82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8"/>
              </w:rPr>
              <w:t>Oct. - Dec.</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30,674</w:t>
            </w:r>
          </w:p>
        </w:tc>
        <w:tc>
          <w:tcPr>
            <w:tcW w:w="1720" w:type="dxa"/>
            <w:vAlign w:val="bottom"/>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$42.36</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1"/>
        </w:trPr>
        <w:tc>
          <w:tcPr>
            <w:tcW w:w="114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0"/>
              </w:rPr>
              <w:t>Apr. - Dec.</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Argus WTI Houston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$37.78</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1140" w:type="dxa"/>
            <w:vAlign w:val="bottom"/>
          </w:tcPr>
          <w:p>
            <w:pPr>
              <w:jc w:val="center"/>
              <w:ind w:left="33"/>
              <w:spacing w:after="0"/>
              <w:rPr>
                <w:sz w:val="20"/>
                <w:szCs w:val="20"/>
                <w:color w:val="auto"/>
              </w:rPr>
            </w:pPr>
            <w:r>
              <w:rPr>
                <w:rFonts w:ascii="Arial" w:cs="Arial" w:eastAsia="Arial" w:hAnsi="Arial"/>
                <w:sz w:val="18"/>
                <w:szCs w:val="18"/>
                <w:color w:val="auto"/>
                <w:w w:val="90"/>
              </w:rPr>
              <w:t>Apr. - Dec.</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5,000</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Brent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$41.62</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6"/>
              </w:rPr>
              <w:t>Apr. - June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5"/>
              </w:rPr>
              <w:t>Basis Swap</w:t>
            </w:r>
            <w:r>
              <w:rPr>
                <w:rFonts w:ascii="Arial" w:cs="Arial" w:eastAsia="Arial" w:hAnsi="Arial"/>
                <w:sz w:val="22"/>
                <w:szCs w:val="22"/>
                <w:color w:val="auto"/>
                <w:w w:val="85"/>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Argus WTI Midland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9"/>
              </w:rPr>
              <w:t>July - Dec.</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line="229" w:lineRule="exact"/>
              <w:rPr>
                <w:sz w:val="20"/>
                <w:szCs w:val="20"/>
                <w:color w:val="auto"/>
              </w:rPr>
            </w:pPr>
            <w:r>
              <w:rPr>
                <w:rFonts w:ascii="Arial" w:cs="Arial" w:eastAsia="Arial" w:hAnsi="Arial"/>
                <w:sz w:val="18"/>
                <w:szCs w:val="18"/>
                <w:color w:val="auto"/>
                <w:w w:val="85"/>
              </w:rPr>
              <w:t>Basis Swap</w:t>
            </w:r>
            <w:r>
              <w:rPr>
                <w:rFonts w:ascii="Arial" w:cs="Arial" w:eastAsia="Arial" w:hAnsi="Arial"/>
                <w:sz w:val="22"/>
                <w:szCs w:val="22"/>
                <w:color w:val="auto"/>
                <w:w w:val="85"/>
                <w:vertAlign w:val="superscript"/>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34,000</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Argus WTI Midland</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$0.91</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July - Dec.</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Swaption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$51.00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6"/>
              </w:rPr>
              <w:t>Apr. - June</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line="229" w:lineRule="exact"/>
              <w:rPr>
                <w:sz w:val="20"/>
                <w:szCs w:val="20"/>
                <w:color w:val="auto"/>
              </w:rPr>
            </w:pPr>
            <w:r>
              <w:rPr>
                <w:rFonts w:ascii="Arial" w:cs="Arial" w:eastAsia="Arial" w:hAnsi="Arial"/>
                <w:sz w:val="18"/>
                <w:szCs w:val="18"/>
                <w:color w:val="auto"/>
                <w:w w:val="85"/>
              </w:rPr>
              <w:t>Roll Swap</w:t>
            </w:r>
            <w:r>
              <w:rPr>
                <w:rFonts w:ascii="Arial" w:cs="Arial" w:eastAsia="Arial" w:hAnsi="Arial"/>
                <w:sz w:val="22"/>
                <w:szCs w:val="22"/>
                <w:color w:val="auto"/>
                <w:w w:val="85"/>
                <w:vertAlign w:val="superscript"/>
              </w:rPr>
              <w:t>(2)(3)</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46,000</w:t>
            </w:r>
          </w:p>
        </w:tc>
        <w:tc>
          <w:tcPr>
            <w:tcW w:w="1720" w:type="dxa"/>
            <w:vAlign w:val="bottom"/>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$0.16</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July - Dec.</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line="229" w:lineRule="exact"/>
              <w:rPr>
                <w:sz w:val="20"/>
                <w:szCs w:val="20"/>
                <w:color w:val="auto"/>
              </w:rPr>
            </w:pPr>
            <w:r>
              <w:rPr>
                <w:rFonts w:ascii="Arial" w:cs="Arial" w:eastAsia="Arial" w:hAnsi="Arial"/>
                <w:sz w:val="18"/>
                <w:szCs w:val="18"/>
                <w:color w:val="auto"/>
                <w:w w:val="85"/>
              </w:rPr>
              <w:t>Roll Swap</w:t>
            </w:r>
            <w:r>
              <w:rPr>
                <w:rFonts w:ascii="Arial" w:cs="Arial" w:eastAsia="Arial" w:hAnsi="Arial"/>
                <w:sz w:val="22"/>
                <w:szCs w:val="22"/>
                <w:color w:val="auto"/>
                <w:w w:val="85"/>
                <w:vertAlign w:val="superscript"/>
              </w:rPr>
              <w:t>(2)(3)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6"/>
              </w:rPr>
              <w:t>Apr. - June</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20,670</w:t>
            </w:r>
          </w:p>
        </w:tc>
        <w:tc>
          <w:tcPr>
            <w:tcW w:w="1720" w:type="dxa"/>
            <w:vAlign w:val="bottom"/>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$35.78</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$47.08</w:t>
            </w:r>
          </w:p>
        </w:tc>
        <w:tc>
          <w:tcPr>
            <w:tcW w:w="0" w:type="dxa"/>
            <w:vAlign w:val="bottom"/>
          </w:tcPr>
          <w:p>
            <w:pPr>
              <w:spacing w:after="0"/>
              <w:rPr>
                <w:sz w:val="1"/>
                <w:szCs w:val="1"/>
                <w:color w:val="auto"/>
              </w:rPr>
            </w:pPr>
          </w:p>
        </w:tc>
      </w:tr>
      <w:tr>
        <w:trPr>
          <w:trHeight w:val="231"/>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July - Sep.</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17,685</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$35.27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$46.50</w:t>
            </w:r>
          </w:p>
        </w:tc>
        <w:tc>
          <w:tcPr>
            <w:tcW w:w="0" w:type="dxa"/>
            <w:vAlign w:val="bottom"/>
          </w:tcPr>
          <w:p>
            <w:pPr>
              <w:spacing w:after="0"/>
              <w:rPr>
                <w:sz w:val="1"/>
                <w:szCs w:val="1"/>
                <w:color w:val="auto"/>
              </w:rPr>
            </w:pPr>
          </w:p>
        </w:tc>
      </w:tr>
      <w:tr>
        <w:trPr>
          <w:trHeight w:val="228"/>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8"/>
              </w:rPr>
              <w:t>Oct. - Dec.</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26,663</w:t>
            </w:r>
          </w:p>
        </w:tc>
        <w:tc>
          <w:tcPr>
            <w:tcW w:w="1720" w:type="dxa"/>
            <w:vAlign w:val="bottom"/>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$38.69</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$53.80</w:t>
            </w:r>
          </w:p>
        </w:tc>
        <w:tc>
          <w:tcPr>
            <w:tcW w:w="0" w:type="dxa"/>
            <w:vAlign w:val="bottom"/>
          </w:tcPr>
          <w:p>
            <w:pPr>
              <w:spacing w:after="0"/>
              <w:rPr>
                <w:sz w:val="1"/>
                <w:szCs w:val="1"/>
                <w:color w:val="auto"/>
              </w:rPr>
            </w:pPr>
          </w:p>
        </w:tc>
      </w:tr>
      <w:tr>
        <w:trPr>
          <w:trHeight w:val="231"/>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July - Dec.</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Argus WTI Houston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$68.33</w:t>
            </w:r>
          </w:p>
        </w:tc>
        <w:tc>
          <w:tcPr>
            <w:tcW w:w="0" w:type="dxa"/>
            <w:vAlign w:val="bottom"/>
          </w:tcPr>
          <w:p>
            <w:pPr>
              <w:spacing w:after="0"/>
              <w:rPr>
                <w:sz w:val="1"/>
                <w:szCs w:val="1"/>
                <w:color w:val="auto"/>
              </w:rPr>
            </w:pPr>
          </w:p>
        </w:tc>
      </w:tr>
      <w:tr>
        <w:trPr>
          <w:trHeight w:val="229"/>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6"/>
              </w:rPr>
              <w:t>Apr. - June</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82,000</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Brent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$39.40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$48.84</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July - Sep.</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$39.61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$48.42</w:t>
            </w:r>
          </w:p>
        </w:tc>
        <w:tc>
          <w:tcPr>
            <w:tcW w:w="0" w:type="dxa"/>
            <w:vAlign w:val="bottom"/>
          </w:tcPr>
          <w:p>
            <w:pPr>
              <w:spacing w:after="0"/>
              <w:rPr>
                <w:sz w:val="1"/>
                <w:szCs w:val="1"/>
                <w:color w:val="auto"/>
              </w:rPr>
            </w:pPr>
          </w:p>
        </w:tc>
      </w:tr>
      <w:tr>
        <w:trPr>
          <w:trHeight w:val="228"/>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8"/>
              </w:rPr>
              <w:t>Oct. - Dec.</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64,000</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Brent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$39.78</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$48.90</w:t>
            </w:r>
          </w:p>
        </w:tc>
        <w:tc>
          <w:tcPr>
            <w:tcW w:w="0" w:type="dxa"/>
            <w:vAlign w:val="bottom"/>
          </w:tcPr>
          <w:p>
            <w:pPr>
              <w:spacing w:after="0"/>
              <w:rPr>
                <w:sz w:val="1"/>
                <w:szCs w:val="1"/>
                <w:color w:val="auto"/>
              </w:rPr>
            </w:pPr>
          </w:p>
        </w:tc>
      </w:tr>
      <w:tr>
        <w:trPr>
          <w:trHeight w:val="231"/>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5"/>
              </w:rPr>
              <w:t>Jan. - June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7"/>
              </w:rPr>
              <w:t>Jan. - Dec.</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2022</w:t>
            </w:r>
          </w:p>
        </w:tc>
        <w:tc>
          <w:tcPr>
            <w:tcW w:w="1480" w:type="dxa"/>
            <w:vAlign w:val="bottom"/>
          </w:tcPr>
          <w:p>
            <w:pPr>
              <w:jc w:val="center"/>
              <w:spacing w:after="0" w:line="229" w:lineRule="exact"/>
              <w:rPr>
                <w:sz w:val="20"/>
                <w:szCs w:val="20"/>
                <w:color w:val="auto"/>
              </w:rPr>
            </w:pPr>
            <w:r>
              <w:rPr>
                <w:rFonts w:ascii="Arial" w:cs="Arial" w:eastAsia="Arial" w:hAnsi="Arial"/>
                <w:sz w:val="18"/>
                <w:szCs w:val="18"/>
                <w:color w:val="auto"/>
                <w:w w:val="85"/>
              </w:rPr>
              <w:t>Basis Swap</w:t>
            </w:r>
            <w:r>
              <w:rPr>
                <w:rFonts w:ascii="Arial" w:cs="Arial" w:eastAsia="Arial" w:hAnsi="Arial"/>
                <w:sz w:val="22"/>
                <w:szCs w:val="22"/>
                <w:color w:val="auto"/>
                <w:w w:val="85"/>
                <w:vertAlign w:val="superscript"/>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Argus WTI Midland</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$0.84</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8"/>
              </w:rPr>
              <w:t>Jan. - Mar.</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Argus WTI Houston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$67.50</w:t>
            </w:r>
          </w:p>
        </w:tc>
        <w:tc>
          <w:tcPr>
            <w:tcW w:w="0" w:type="dxa"/>
            <w:vAlign w:val="bottom"/>
          </w:tcPr>
          <w:p>
            <w:pPr>
              <w:spacing w:after="0"/>
              <w:rPr>
                <w:sz w:val="1"/>
                <w:szCs w:val="1"/>
                <w:color w:val="auto"/>
              </w:rPr>
            </w:pPr>
          </w:p>
        </w:tc>
      </w:tr>
      <w:tr>
        <w:trPr>
          <w:trHeight w:val="229"/>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8"/>
              </w:rPr>
              <w:t>Jan. - Mar.</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1720" w:type="dxa"/>
            <w:vAlign w:val="bottom"/>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$45.00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$68.00</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6"/>
              </w:rPr>
              <w:t>Apr. - June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6,000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$68.75</w:t>
            </w:r>
          </w:p>
        </w:tc>
        <w:tc>
          <w:tcPr>
            <w:tcW w:w="0" w:type="dxa"/>
            <w:vAlign w:val="bottom"/>
          </w:tcPr>
          <w:p>
            <w:pPr>
              <w:spacing w:after="0"/>
              <w:rPr>
                <w:sz w:val="1"/>
                <w:szCs w:val="1"/>
                <w:color w:val="auto"/>
              </w:rPr>
            </w:pPr>
          </w:p>
        </w:tc>
      </w:tr>
      <w:tr>
        <w:trPr>
          <w:trHeight w:val="229"/>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8"/>
              </w:rPr>
              <w:t>Jan. - Mar.</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34,000</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Brent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$45.00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$67.54</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6"/>
              </w:rPr>
              <w:t>Apr. - June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2022</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Costless Collar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9,000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$75.07</w:t>
            </w:r>
          </w:p>
        </w:tc>
        <w:tc>
          <w:tcPr>
            <w:tcW w:w="0" w:type="dxa"/>
            <w:vAlign w:val="bottom"/>
          </w:tcPr>
          <w:p>
            <w:pPr>
              <w:spacing w:after="0"/>
              <w:rPr>
                <w:sz w:val="1"/>
                <w:szCs w:val="1"/>
                <w:color w:val="auto"/>
              </w:rPr>
            </w:pPr>
          </w:p>
        </w:tc>
      </w:tr>
      <w:tr>
        <w:trPr>
          <w:trHeight w:val="229"/>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NATURAL GAS</w:t>
            </w: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0"/>
              </w:rPr>
              <w:t>Apr. - Dec.</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Swap</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245,000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Henry Hub</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$2.65</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8"/>
        </w:trPr>
        <w:tc>
          <w:tcPr>
            <w:tcW w:w="1140" w:type="dxa"/>
            <w:vAlign w:val="bottom"/>
          </w:tcPr>
          <w:p>
            <w:pPr>
              <w:jc w:val="center"/>
              <w:ind w:left="33"/>
              <w:spacing w:after="0"/>
              <w:rPr>
                <w:sz w:val="20"/>
                <w:szCs w:val="20"/>
                <w:color w:val="auto"/>
              </w:rPr>
            </w:pPr>
            <w:r>
              <w:rPr>
                <w:rFonts w:ascii="Arial" w:cs="Arial" w:eastAsia="Arial" w:hAnsi="Arial"/>
                <w:sz w:val="18"/>
                <w:szCs w:val="18"/>
                <w:color w:val="auto"/>
                <w:w w:val="90"/>
              </w:rPr>
              <w:t>Apr. - Dec.</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Waha Hub</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$1.92</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0"/>
              </w:rPr>
              <w:t>Apr. - Dec.</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5"/>
              </w:rPr>
              <w:t>Basis Swap</w:t>
            </w:r>
            <w:r>
              <w:rPr>
                <w:rFonts w:ascii="Arial" w:cs="Arial" w:eastAsia="Arial" w:hAnsi="Arial"/>
                <w:sz w:val="22"/>
                <w:szCs w:val="22"/>
                <w:color w:val="auto"/>
                <w:w w:val="85"/>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Waha Hub</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140" w:type="dxa"/>
            <w:vAlign w:val="bottom"/>
          </w:tcPr>
          <w:p>
            <w:pPr>
              <w:jc w:val="center"/>
              <w:ind w:left="13"/>
              <w:spacing w:after="0"/>
              <w:rPr>
                <w:sz w:val="20"/>
                <w:szCs w:val="20"/>
                <w:color w:val="auto"/>
              </w:rPr>
            </w:pPr>
            <w:r>
              <w:rPr>
                <w:rFonts w:ascii="Arial" w:cs="Arial" w:eastAsia="Arial" w:hAnsi="Arial"/>
                <w:sz w:val="18"/>
                <w:szCs w:val="18"/>
                <w:color w:val="auto"/>
                <w:w w:val="87"/>
              </w:rPr>
              <w:t>Jan. - Dec.</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2022</w:t>
            </w:r>
          </w:p>
        </w:tc>
        <w:tc>
          <w:tcPr>
            <w:tcW w:w="1480" w:type="dxa"/>
            <w:vAlign w:val="bottom"/>
          </w:tcPr>
          <w:p>
            <w:pPr>
              <w:jc w:val="center"/>
              <w:spacing w:after="0" w:line="229" w:lineRule="exact"/>
              <w:rPr>
                <w:sz w:val="20"/>
                <w:szCs w:val="20"/>
                <w:color w:val="auto"/>
              </w:rPr>
            </w:pPr>
            <w:r>
              <w:rPr>
                <w:rFonts w:ascii="Arial" w:cs="Arial" w:eastAsia="Arial" w:hAnsi="Arial"/>
                <w:sz w:val="18"/>
                <w:szCs w:val="18"/>
                <w:color w:val="auto"/>
                <w:w w:val="85"/>
              </w:rPr>
              <w:t>Basis Swap</w:t>
            </w:r>
            <w:r>
              <w:rPr>
                <w:rFonts w:ascii="Arial" w:cs="Arial" w:eastAsia="Arial" w:hAnsi="Arial"/>
                <w:sz w:val="22"/>
                <w:szCs w:val="22"/>
                <w:color w:val="auto"/>
                <w:w w:val="85"/>
                <w:vertAlign w:val="superscript"/>
              </w:rPr>
              <w:t>(1)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190,000</w:t>
            </w:r>
          </w:p>
        </w:tc>
        <w:tc>
          <w:tcPr>
            <w:tcW w:w="1720" w:type="dxa"/>
            <w:vAlign w:val="bottom"/>
          </w:tcPr>
          <w:p>
            <w:pPr>
              <w:jc w:val="center"/>
              <w:spacing w:after="0"/>
              <w:rPr>
                <w:sz w:val="20"/>
                <w:szCs w:val="20"/>
                <w:color w:val="auto"/>
              </w:rPr>
            </w:pPr>
            <w:r>
              <w:rPr>
                <w:rFonts w:ascii="Arial" w:cs="Arial" w:eastAsia="Arial" w:hAnsi="Arial"/>
                <w:sz w:val="18"/>
                <w:szCs w:val="18"/>
                <w:color w:val="auto"/>
                <w:w w:val="86"/>
              </w:rPr>
              <w:t>Waha Hub</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$(0.36)</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LIQUIDS</w:t>
            </w:r>
          </w:p>
        </w:tc>
        <w:tc>
          <w:tcPr>
            <w:tcW w:w="1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40" w:type="dxa"/>
            <w:vAlign w:val="bottom"/>
          </w:tcPr>
          <w:p>
            <w:pPr>
              <w:jc w:val="center"/>
              <w:ind w:left="33"/>
              <w:spacing w:after="0"/>
              <w:rPr>
                <w:sz w:val="20"/>
                <w:szCs w:val="20"/>
                <w:color w:val="auto"/>
              </w:rPr>
            </w:pPr>
            <w:r>
              <w:rPr>
                <w:rFonts w:ascii="Arial" w:cs="Arial" w:eastAsia="Arial" w:hAnsi="Arial"/>
                <w:sz w:val="18"/>
                <w:szCs w:val="18"/>
                <w:color w:val="auto"/>
                <w:w w:val="90"/>
              </w:rPr>
              <w:t>Apr. - Dec.</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Swap</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Mont Belvieu Propane</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$29.40</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96" w:lineRule="exact"/>
        <w:rPr>
          <w:sz w:val="20"/>
          <w:szCs w:val="20"/>
          <w:color w:val="auto"/>
        </w:rPr>
      </w:pPr>
    </w:p>
    <w:p>
      <w:pPr>
        <w:jc w:val="both"/>
        <w:ind w:firstLine="8"/>
        <w:spacing w:after="0" w:line="286" w:lineRule="auto"/>
        <w:tabs>
          <w:tab w:leader="none" w:pos="2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Cushing, Oklahoma oil price and the Waha Hub natural gas price for the notional volumes covered by the basis swap contracts.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8"/>
        <w:spacing w:after="0" w:line="255" w:lineRule="auto"/>
        <w:tabs>
          <w:tab w:leader="none" w:pos="2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has rolling hedge basis swaps for the differential between the NYMEX prices between the calendar month average and the physical crude oil delivery month. The weighted average differential represents the amount of reduction to Cushing, Oklahoma oil price for the notional volumes covered by the rolling hedge basis swap contracts.</w:t>
      </w:r>
    </w:p>
    <w:p>
      <w:pPr>
        <w:spacing w:after="0" w:line="2" w:lineRule="exact"/>
        <w:rPr>
          <w:rFonts w:ascii="Arial" w:cs="Arial" w:eastAsia="Arial" w:hAnsi="Arial"/>
          <w:sz w:val="18"/>
          <w:szCs w:val="18"/>
          <w:color w:val="auto"/>
        </w:rPr>
      </w:pPr>
    </w:p>
    <w:p>
      <w:pPr>
        <w:ind w:firstLine="8"/>
        <w:spacing w:after="0" w:line="260" w:lineRule="auto"/>
        <w:tabs>
          <w:tab w:leader="none" w:pos="2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 rolling hedge basis swap contract for the differential between the NYMEX prices for WTI Cushing and WTI CMA calendar month average of each basis for a notional quantity of 4,000 barrels per day with a weighted average differential of $0.00.</w:t>
      </w:r>
    </w:p>
    <w:p>
      <w:pPr>
        <w:spacing w:after="0" w:line="253" w:lineRule="exact"/>
        <w:rPr>
          <w:sz w:val="20"/>
          <w:szCs w:val="20"/>
          <w:color w:val="auto"/>
        </w:rPr>
      </w:pPr>
    </w:p>
    <w:p>
      <w:pPr>
        <w:ind w:left="300"/>
        <w:spacing w:after="0"/>
        <w:tabs>
          <w:tab w:leader="none" w:pos="2220" w:val="left"/>
          <w:tab w:leader="none" w:pos="4060" w:val="left"/>
          <w:tab w:leader="none" w:pos="5920" w:val="left"/>
          <w:tab w:leader="none" w:pos="8200" w:val="left"/>
          <w:tab w:leader="none" w:pos="9960" w:val="left"/>
        </w:tabs>
        <w:rPr>
          <w:sz w:val="20"/>
          <w:szCs w:val="20"/>
          <w:color w:val="auto"/>
        </w:rPr>
      </w:pPr>
      <w:r>
        <w:rPr>
          <w:rFonts w:ascii="Arial" w:cs="Arial" w:eastAsia="Arial" w:hAnsi="Arial"/>
          <w:sz w:val="16"/>
          <w:szCs w:val="16"/>
          <w:b w:val="1"/>
          <w:bCs w:val="1"/>
          <w:color w:val="auto"/>
        </w:rPr>
        <w:t>Settlement Month</w:t>
      </w:r>
      <w:r>
        <w:rPr>
          <w:sz w:val="20"/>
          <w:szCs w:val="20"/>
          <w:color w:val="auto"/>
        </w:rPr>
        <w:tab/>
      </w:r>
      <w:r>
        <w:rPr>
          <w:rFonts w:ascii="Arial" w:cs="Arial" w:eastAsia="Arial" w:hAnsi="Arial"/>
          <w:sz w:val="16"/>
          <w:szCs w:val="16"/>
          <w:b w:val="1"/>
          <w:bCs w:val="1"/>
          <w:color w:val="auto"/>
        </w:rPr>
        <w:t>Settlement Year</w:t>
      </w:r>
      <w:r>
        <w:rPr>
          <w:sz w:val="20"/>
          <w:szCs w:val="20"/>
          <w:color w:val="auto"/>
        </w:rPr>
        <w:tab/>
      </w:r>
      <w:r>
        <w:rPr>
          <w:rFonts w:ascii="Arial" w:cs="Arial" w:eastAsia="Arial" w:hAnsi="Arial"/>
          <w:sz w:val="16"/>
          <w:szCs w:val="16"/>
          <w:b w:val="1"/>
          <w:bCs w:val="1"/>
          <w:color w:val="auto"/>
        </w:rPr>
        <w:t>Type of Contract</w:t>
      </w:r>
      <w:r>
        <w:rPr>
          <w:sz w:val="20"/>
          <w:szCs w:val="20"/>
          <w:color w:val="auto"/>
        </w:rPr>
        <w:tab/>
      </w:r>
      <w:r>
        <w:rPr>
          <w:rFonts w:ascii="Arial" w:cs="Arial" w:eastAsia="Arial" w:hAnsi="Arial"/>
          <w:sz w:val="16"/>
          <w:szCs w:val="16"/>
          <w:b w:val="1"/>
          <w:bCs w:val="1"/>
          <w:color w:val="auto"/>
        </w:rPr>
        <w:t>Bbls/Mcf Per Day</w:t>
      </w:r>
      <w:r>
        <w:rPr>
          <w:sz w:val="20"/>
          <w:szCs w:val="20"/>
          <w:color w:val="auto"/>
        </w:rPr>
        <w:tab/>
      </w:r>
      <w:r>
        <w:rPr>
          <w:rFonts w:ascii="Arial" w:cs="Arial" w:eastAsia="Arial" w:hAnsi="Arial"/>
          <w:sz w:val="16"/>
          <w:szCs w:val="16"/>
          <w:b w:val="1"/>
          <w:bCs w:val="1"/>
          <w:color w:val="auto"/>
        </w:rPr>
        <w:t>Index</w:t>
      </w:r>
      <w:r>
        <w:rPr>
          <w:sz w:val="20"/>
          <w:szCs w:val="20"/>
          <w:color w:val="auto"/>
        </w:rPr>
        <w:tab/>
      </w:r>
      <w:r>
        <w:rPr>
          <w:rFonts w:ascii="Arial" w:cs="Arial" w:eastAsia="Arial" w:hAnsi="Arial"/>
          <w:sz w:val="14"/>
          <w:szCs w:val="14"/>
          <w:b w:val="1"/>
          <w:bCs w:val="1"/>
          <w:color w:val="auto"/>
        </w:rPr>
        <w:t>Put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OIL</w:t>
      </w:r>
    </w:p>
    <w:p>
      <w:pPr>
        <w:spacing w:after="0" w:line="23" w:lineRule="exact"/>
        <w:rPr>
          <w:sz w:val="20"/>
          <w:szCs w:val="20"/>
          <w:color w:val="auto"/>
        </w:rPr>
      </w:pPr>
    </w:p>
    <w:p>
      <w:pPr>
        <w:ind w:left="540"/>
        <w:spacing w:after="0"/>
        <w:tabs>
          <w:tab w:leader="none" w:pos="2600" w:val="left"/>
          <w:tab w:leader="none" w:pos="4320" w:val="left"/>
          <w:tab w:leader="none" w:pos="6320" w:val="left"/>
          <w:tab w:leader="none" w:pos="8200" w:val="left"/>
          <w:tab w:leader="none" w:pos="10040" w:val="left"/>
        </w:tabs>
        <w:rPr>
          <w:sz w:val="20"/>
          <w:szCs w:val="20"/>
          <w:color w:val="auto"/>
        </w:rPr>
      </w:pPr>
      <w:r>
        <w:rPr>
          <w:rFonts w:ascii="Arial" w:cs="Arial" w:eastAsia="Arial" w:hAnsi="Arial"/>
          <w:sz w:val="18"/>
          <w:szCs w:val="18"/>
          <w:color w:val="auto"/>
        </w:rPr>
        <w:t>Jan. - Dec.</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Short Put</w:t>
      </w:r>
      <w:r>
        <w:rPr>
          <w:sz w:val="20"/>
          <w:szCs w:val="20"/>
          <w:color w:val="auto"/>
        </w:rPr>
        <w:tab/>
      </w:r>
      <w:r>
        <w:rPr>
          <w:rFonts w:ascii="Arial" w:cs="Arial" w:eastAsia="Arial" w:hAnsi="Arial"/>
          <w:sz w:val="18"/>
          <w:szCs w:val="18"/>
          <w:color w:val="auto"/>
        </w:rPr>
        <w:t>5,000</w:t>
      </w:r>
      <w:r>
        <w:rPr>
          <w:sz w:val="20"/>
          <w:szCs w:val="20"/>
          <w:color w:val="auto"/>
        </w:rPr>
        <w:tab/>
      </w:r>
      <w:r>
        <w:rPr>
          <w:rFonts w:ascii="Arial" w:cs="Arial" w:eastAsia="Arial" w:hAnsi="Arial"/>
          <w:sz w:val="18"/>
          <w:szCs w:val="18"/>
          <w:color w:val="auto"/>
        </w:rPr>
        <w:t>Brent</w:t>
      </w:r>
      <w:r>
        <w:rPr>
          <w:sz w:val="20"/>
          <w:szCs w:val="20"/>
          <w:color w:val="auto"/>
        </w:rPr>
        <w:tab/>
      </w:r>
      <w:r>
        <w:rPr>
          <w:rFonts w:ascii="Arial" w:cs="Arial" w:eastAsia="Arial" w:hAnsi="Arial"/>
          <w:sz w:val="15"/>
          <w:szCs w:val="15"/>
          <w:color w:val="auto"/>
        </w:rPr>
        <w:t>$35.00</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has used interest rate swaps to reduce its exposure to variable rate interest payments associated with the Company’s revolving credit facility. The interest rate swaps were not designated as hedging instruments and as a result, the Company recognized all changes in fair value immediately in earnings. During the first quarter of 2021, the Company terminated all of its interest rate swaps which resulted in cash received upon settlement of $80 million, net of fees. The interest swaps contained an other-than-insignificant financing element at inception, and therefore, the cash receipts were classified as cash flows from financing activities in the condensed consolidated statements of cash flow for the three months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14—</w:t>
      </w:r>
      <w:hyperlink w:anchor="page30">
        <w:r>
          <w:rPr>
            <w:rFonts w:ascii="Arial" w:cs="Arial" w:eastAsia="Arial" w:hAnsi="Arial"/>
            <w:sz w:val="18"/>
            <w:szCs w:val="18"/>
            <w:u w:val="single" w:color="auto"/>
            <w:color w:val="0000FF"/>
          </w:rPr>
          <w:t>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gains and losses on derivative instruments included in the condensed consolidated statements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Borders>
              <w:bottom w:val="single" w:sz="8" w:color="auto"/>
            </w:tcBorders>
          </w:tcPr>
          <w:p>
            <w:pPr>
              <w:spacing w:after="0"/>
              <w:rPr>
                <w:sz w:val="18"/>
                <w:szCs w:val="18"/>
                <w:color w:val="auto"/>
              </w:rPr>
            </w:pPr>
          </w:p>
        </w:tc>
      </w:tr>
      <w:tr>
        <w:trPr>
          <w:trHeight w:val="210"/>
        </w:trPr>
        <w:tc>
          <w:tcPr>
            <w:tcW w:w="8080" w:type="dxa"/>
            <w:vAlign w:val="bottom"/>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10"/>
        </w:trPr>
        <w:tc>
          <w:tcPr>
            <w:tcW w:w="8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r>
      <w:tr>
        <w:trPr>
          <w:trHeight w:val="232"/>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1020" w:type="dxa"/>
            <w:vAlign w:val="bottom"/>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1120" w:type="dxa"/>
            <w:vAlign w:val="bottom"/>
          </w:tcPr>
          <w:p>
            <w:pPr>
              <w:jc w:val="right"/>
              <w:ind w:right="93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604</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8080" w:type="dxa"/>
            <w:vAlign w:val="bottom"/>
          </w:tcPr>
          <w:p>
            <w:pPr>
              <w:ind w:left="4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3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542</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37"/>
        </w:trPr>
        <w:tc>
          <w:tcPr>
            <w:tcW w:w="80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 contracts</w:t>
            </w: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08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three months ended March 31, 2021 include cash received on contracts terminated prior to their contractual maturity of $80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assets and liabilities are reported at fair value on a recurring basis, including the Company’s derivative instruments. The fair values of the Company’s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firstLine="8"/>
        <w:spacing w:after="0" w:line="277" w:lineRule="auto"/>
        <w:tabs>
          <w:tab w:leader="none" w:pos="26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gross amounts of recognized derivative assets and liabilities, (iii) the amounts offset under master netting arrangements with counterparties, and (iv) the resulting net amounts presented in the Company’s condensed consolidated balance sheets as of March 31, 2021 and December 31, 2020. The net amounts of derivative instruments are classified as current or noncurrent based on their anticipated settlement dates.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6"/>
                <w:szCs w:val="16"/>
                <w:b w:val="1"/>
                <w:bCs w:val="1"/>
                <w:color w:val="auto"/>
                <w:w w:val="92"/>
              </w:rPr>
              <w:t>As of March 31, 2021</w:t>
            </w: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54"/>
              <w:spacing w:after="0"/>
              <w:rPr>
                <w:sz w:val="20"/>
                <w:szCs w:val="20"/>
                <w:color w:val="auto"/>
              </w:rPr>
            </w:pPr>
            <w:r>
              <w:rPr>
                <w:rFonts w:ascii="Arial" w:cs="Arial" w:eastAsia="Arial" w:hAnsi="Arial"/>
                <w:sz w:val="16"/>
                <w:szCs w:val="16"/>
                <w:b w:val="1"/>
                <w:bCs w:val="1"/>
                <w:color w:val="auto"/>
                <w:w w:val="92"/>
              </w:rPr>
              <w:t>Total Gross Fair</w:t>
            </w:r>
          </w:p>
        </w:tc>
        <w:tc>
          <w:tcPr>
            <w:tcW w:w="160" w:type="dxa"/>
            <w:vAlign w:val="bottom"/>
          </w:tcPr>
          <w:p>
            <w:pPr>
              <w:spacing w:after="0"/>
              <w:rPr>
                <w:sz w:val="13"/>
                <w:szCs w:val="13"/>
                <w:color w:val="auto"/>
              </w:rPr>
            </w:pPr>
          </w:p>
        </w:tc>
        <w:tc>
          <w:tcPr>
            <w:tcW w:w="1380" w:type="dxa"/>
            <w:vAlign w:val="bottom"/>
          </w:tcPr>
          <w:p>
            <w:pPr>
              <w:jc w:val="center"/>
              <w:ind w:right="74"/>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26"/>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jc w:val="center"/>
              <w:ind w:right="32"/>
              <w:spacing w:after="0"/>
              <w:rPr>
                <w:sz w:val="20"/>
                <w:szCs w:val="20"/>
                <w:color w:val="auto"/>
              </w:rPr>
            </w:pPr>
            <w:r>
              <w:rPr>
                <w:rFonts w:ascii="Arial" w:cs="Arial" w:eastAsia="Arial" w:hAnsi="Arial"/>
                <w:sz w:val="18"/>
                <w:szCs w:val="18"/>
                <w:color w:val="auto"/>
                <w:w w:val="97"/>
              </w:rPr>
              <w:t>(In millions)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637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47"/>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As of December 31, 2020</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74"/>
              <w:spacing w:after="0"/>
              <w:rPr>
                <w:sz w:val="20"/>
                <w:szCs w:val="20"/>
                <w:color w:val="auto"/>
              </w:rPr>
            </w:pPr>
            <w:r>
              <w:rPr>
                <w:rFonts w:ascii="Arial" w:cs="Arial" w:eastAsia="Arial" w:hAnsi="Arial"/>
                <w:sz w:val="16"/>
                <w:szCs w:val="16"/>
                <w:b w:val="1"/>
                <w:bCs w:val="1"/>
                <w:color w:val="auto"/>
                <w:w w:val="91"/>
              </w:rPr>
              <w:t>Total Gross Fair</w:t>
            </w:r>
          </w:p>
        </w:tc>
        <w:tc>
          <w:tcPr>
            <w:tcW w:w="160" w:type="dxa"/>
            <w:vAlign w:val="bottom"/>
          </w:tcPr>
          <w:p>
            <w:pPr>
              <w:spacing w:after="0"/>
              <w:rPr>
                <w:sz w:val="13"/>
                <w:szCs w:val="13"/>
                <w:color w:val="auto"/>
              </w:rPr>
            </w:pPr>
          </w:p>
        </w:tc>
        <w:tc>
          <w:tcPr>
            <w:tcW w:w="138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jc w:val="center"/>
              <w:ind w:right="12"/>
              <w:spacing w:after="0"/>
              <w:rPr>
                <w:sz w:val="20"/>
                <w:szCs w:val="20"/>
                <w:color w:val="auto"/>
              </w:rPr>
            </w:pPr>
            <w:r>
              <w:rPr>
                <w:rFonts w:ascii="Arial" w:cs="Arial" w:eastAsia="Arial" w:hAnsi="Arial"/>
                <w:sz w:val="16"/>
                <w:szCs w:val="16"/>
                <w:b w:val="1"/>
                <w:bCs w:val="1"/>
                <w:color w:val="auto"/>
                <w:w w:val="93"/>
              </w:rPr>
              <w:t>(In millions)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ind w:left="620"/>
              <w:spacing w:after="0"/>
              <w:rPr>
                <w:sz w:val="20"/>
                <w:szCs w:val="20"/>
                <w:color w:val="auto"/>
              </w:rPr>
            </w:pPr>
            <w:r>
              <w:rPr>
                <w:rFonts w:ascii="Arial" w:cs="Arial" w:eastAsia="Arial" w:hAnsi="Arial"/>
                <w:sz w:val="16"/>
                <w:szCs w:val="16"/>
                <w:b w:val="1"/>
                <w:bCs w:val="1"/>
                <w:color w:val="auto"/>
              </w:rPr>
              <w:t>March 31, 2021</w:t>
            </w:r>
          </w:p>
        </w:tc>
        <w:tc>
          <w:tcPr>
            <w:tcW w:w="240" w:type="dxa"/>
            <w:vAlign w:val="bottom"/>
          </w:tcPr>
          <w:p>
            <w:pPr>
              <w:spacing w:after="0"/>
              <w:rPr>
                <w:sz w:val="18"/>
                <w:szCs w:val="18"/>
                <w:color w:val="auto"/>
              </w:rPr>
            </w:pPr>
          </w:p>
        </w:tc>
        <w:tc>
          <w:tcPr>
            <w:tcW w:w="2520" w:type="dxa"/>
            <w:vAlign w:val="bottom"/>
            <w:gridSpan w:val="3"/>
          </w:tcPr>
          <w:p>
            <w:pPr>
              <w:jc w:val="right"/>
              <w:ind w:right="630"/>
              <w:spacing w:after="0"/>
              <w:rPr>
                <w:sz w:val="20"/>
                <w:szCs w:val="20"/>
                <w:color w:val="auto"/>
              </w:rPr>
            </w:pPr>
            <w:r>
              <w:rPr>
                <w:rFonts w:ascii="Arial" w:cs="Arial" w:eastAsia="Arial" w:hAnsi="Arial"/>
                <w:sz w:val="16"/>
                <w:szCs w:val="16"/>
                <w:b w:val="1"/>
                <w:bCs w:val="1"/>
                <w:color w:val="auto"/>
              </w:rPr>
              <w:t>December 31, 2020</w:t>
            </w:r>
          </w:p>
        </w:tc>
      </w:tr>
      <w:tr>
        <w:trPr>
          <w:trHeight w:val="201"/>
        </w:trPr>
        <w:tc>
          <w:tcPr>
            <w:tcW w:w="9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Carrying</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Carrying</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27"/>
        </w:trPr>
        <w:tc>
          <w:tcPr>
            <w:tcW w:w="9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1"/>
              <w:spacing w:after="0" w:line="227"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1"/>
              <w:spacing w:after="0" w:line="227"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6"/>
                <w:szCs w:val="16"/>
                <w:b w:val="1"/>
                <w:bCs w:val="1"/>
                <w:color w:val="auto"/>
              </w:rPr>
              <w:t>Fair Value</w:t>
            </w:r>
          </w:p>
        </w:tc>
      </w:tr>
      <w:tr>
        <w:trPr>
          <w:trHeight w:val="207"/>
        </w:trPr>
        <w:tc>
          <w:tcPr>
            <w:tcW w:w="9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80" w:type="dxa"/>
            <w:vAlign w:val="bottom"/>
            <w:gridSpan w:val="4"/>
          </w:tcPr>
          <w:p>
            <w:pPr>
              <w:jc w:val="right"/>
              <w:ind w:right="891"/>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2"/>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4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5640" w:type="dxa"/>
            <w:vAlign w:val="bottom"/>
            <w:gridSpan w:val="2"/>
          </w:tcPr>
          <w:p>
            <w:pPr>
              <w:ind w:left="36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4.625%</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564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5.375% Senior Notes due 2022</w:t>
            </w:r>
            <w:r>
              <w:rPr>
                <w:rFonts w:ascii="Arial" w:cs="Arial" w:eastAsia="Arial" w:hAnsi="Arial"/>
                <w:sz w:val="23"/>
                <w:szCs w:val="23"/>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7.320%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640" w:type="dxa"/>
            <w:vAlign w:val="bottom"/>
            <w:gridSpan w:val="2"/>
          </w:tcPr>
          <w:p>
            <w:pPr>
              <w:ind w:left="360"/>
              <w:spacing w:after="0"/>
              <w:rPr>
                <w:sz w:val="20"/>
                <w:szCs w:val="20"/>
                <w:color w:val="auto"/>
              </w:rPr>
            </w:pPr>
            <w:r>
              <w:rPr>
                <w:rFonts w:ascii="Arial" w:cs="Arial" w:eastAsia="Arial" w:hAnsi="Arial"/>
                <w:sz w:val="18"/>
                <w:szCs w:val="18"/>
                <w:color w:val="auto"/>
              </w:rPr>
              <w:t>0.900% Senior Notes due 2023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5.250% Senior Notes due 2023</w:t>
            </w:r>
            <w:r>
              <w:rPr>
                <w:rFonts w:ascii="Arial" w:cs="Arial" w:eastAsia="Arial" w:hAnsi="Arial"/>
                <w:sz w:val="23"/>
                <w:szCs w:val="23"/>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0" w:type="dxa"/>
            <w:vAlign w:val="bottom"/>
          </w:tcPr>
          <w:p>
            <w:pPr>
              <w:ind w:left="360"/>
              <w:spacing w:after="0"/>
              <w:rPr>
                <w:sz w:val="20"/>
                <w:szCs w:val="20"/>
                <w:color w:val="auto"/>
              </w:rPr>
            </w:pPr>
            <w:r>
              <w:rPr>
                <w:rFonts w:ascii="Arial" w:cs="Arial" w:eastAsia="Arial" w:hAnsi="Arial"/>
                <w:sz w:val="18"/>
                <w:szCs w:val="18"/>
                <w:color w:val="auto"/>
                <w:w w:val="88"/>
              </w:rPr>
              <w:t>2.875%</w:t>
            </w:r>
          </w:p>
        </w:tc>
        <w:tc>
          <w:tcPr>
            <w:tcW w:w="472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30"/>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4.750%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920" w:type="dxa"/>
            <w:vAlign w:val="bottom"/>
          </w:tcPr>
          <w:p>
            <w:pPr>
              <w:ind w:left="360"/>
              <w:spacing w:after="0"/>
              <w:rPr>
                <w:sz w:val="20"/>
                <w:szCs w:val="20"/>
                <w:color w:val="auto"/>
              </w:rPr>
            </w:pPr>
            <w:r>
              <w:rPr>
                <w:rFonts w:ascii="Arial" w:cs="Arial" w:eastAsia="Arial" w:hAnsi="Arial"/>
                <w:sz w:val="18"/>
                <w:szCs w:val="18"/>
                <w:color w:val="auto"/>
                <w:w w:val="88"/>
              </w:rPr>
              <w:t>5.375%</w:t>
            </w:r>
          </w:p>
        </w:tc>
        <w:tc>
          <w:tcPr>
            <w:tcW w:w="472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29"/>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3.250%</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30"/>
        </w:trPr>
        <w:tc>
          <w:tcPr>
            <w:tcW w:w="564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5.625% Senior Notes due 2026</w:t>
            </w:r>
            <w:r>
              <w:rPr>
                <w:rFonts w:ascii="Arial" w:cs="Arial" w:eastAsia="Arial" w:hAnsi="Arial"/>
                <w:sz w:val="23"/>
                <w:szCs w:val="23"/>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7.125%</w:t>
            </w: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B, due 2028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w w:val="88"/>
              </w:rPr>
              <w:t>3.500%</w:t>
            </w:r>
          </w:p>
        </w:tc>
        <w:tc>
          <w:tcPr>
            <w:tcW w:w="472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1,286</w:t>
            </w:r>
          </w:p>
        </w:tc>
      </w:tr>
      <w:tr>
        <w:trPr>
          <w:trHeight w:val="229"/>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3.125% Senior Notes due 2031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gridSpan w:val="2"/>
          </w:tcPr>
          <w:p>
            <w:pPr>
              <w:ind w:left="360"/>
              <w:spacing w:after="0"/>
              <w:rPr>
                <w:sz w:val="20"/>
                <w:szCs w:val="20"/>
                <w:color w:val="auto"/>
              </w:rPr>
            </w:pPr>
            <w:r>
              <w:rPr>
                <w:rFonts w:ascii="Arial" w:cs="Arial" w:eastAsia="Arial" w:hAnsi="Arial"/>
                <w:sz w:val="18"/>
                <w:szCs w:val="18"/>
                <w:color w:val="auto"/>
              </w:rPr>
              <w:t>4.400% Senior Notes due 2051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Viper revolving credit facility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5640" w:type="dxa"/>
            <w:vAlign w:val="bottom"/>
            <w:gridSpan w:val="2"/>
          </w:tcPr>
          <w:p>
            <w:pPr>
              <w:ind w:left="360"/>
              <w:spacing w:after="0"/>
              <w:rPr>
                <w:sz w:val="20"/>
                <w:szCs w:val="20"/>
                <w:color w:val="auto"/>
              </w:rPr>
            </w:pPr>
            <w:r>
              <w:rPr>
                <w:rFonts w:ascii="Arial" w:cs="Arial" w:eastAsia="Arial" w:hAnsi="Arial"/>
                <w:sz w:val="18"/>
                <w:szCs w:val="18"/>
                <w:color w:val="auto"/>
              </w:rPr>
              <w:t>Viper's 5.375% Senior Notes due 2027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30"/>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Rattler revolving credit facility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640" w:type="dxa"/>
            <w:vAlign w:val="bottom"/>
            <w:gridSpan w:val="2"/>
          </w:tcPr>
          <w:p>
            <w:pPr>
              <w:ind w:left="360"/>
              <w:spacing w:after="0"/>
              <w:rPr>
                <w:sz w:val="20"/>
                <w:szCs w:val="20"/>
                <w:color w:val="auto"/>
              </w:rPr>
            </w:pPr>
            <w:r>
              <w:rPr>
                <w:rFonts w:ascii="Arial" w:cs="Arial" w:eastAsia="Arial" w:hAnsi="Arial"/>
                <w:sz w:val="18"/>
                <w:szCs w:val="18"/>
                <w:color w:val="auto"/>
              </w:rPr>
              <w:t>Rattler’s 5.625% Senior Notes due 2025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DrillCo Agreement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bl>
    <w:p>
      <w:pPr>
        <w:spacing w:after="0" w:line="6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carrying value includes associated deferred loan costs and any remaining discount or premium, if any.</w:t>
      </w:r>
    </w:p>
    <w:p>
      <w:pPr>
        <w:spacing w:after="0" w:line="23" w:lineRule="exact"/>
        <w:rPr>
          <w:rFonts w:ascii="Arial" w:cs="Arial" w:eastAsia="Arial" w:hAnsi="Arial"/>
          <w:sz w:val="18"/>
          <w:szCs w:val="18"/>
          <w:color w:val="auto"/>
        </w:rPr>
      </w:pPr>
    </w:p>
    <w:p>
      <w:pPr>
        <w:ind w:left="340" w:right="20" w:hanging="332"/>
        <w:spacing w:after="0" w:line="260"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notes were issued by QEP prior to the QEP Merger and remained outstanding as of March 31, 2021 following the QEP Merger and the Company’s subsequent repurchase of a portion of these notes in its tender offers for these notes.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values of the Company’s revolving credit facility, the Viper credit agreement and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March 31, 2021 quoted market price, a Level 1 classification in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funds held in escrow, prepaid expenses and other current assets, payables and other accrued liabilities approximate their fair value because of the short-term nature of the instruments.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 party to various routine legal proceedings, disputes and claims arising in the course of its business, including those that arise from interpretation of federal and state laws and regulations affecting the crude oil and natural gas industry.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2021, the Company acquired certain contractual obligations in conjunction with the QEP Merger including an aggregate of approximately $68 million in various transportation, gathering and purchase commitments.</w:t>
      </w:r>
    </w:p>
    <w:p>
      <w:pPr>
        <w:spacing w:after="0" w:line="35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First Quarter 2021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29, 2021, the Board of Directors of the Company declared a cash dividend for the first quarter of 2021 of $0.40 per share of common stock, payable on May 20, 2021 to its stockholders of record at the close of business on May 13,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Subsequent to March 31, 2021, the Company entered into new costless collars and basis swaps. The Company’s derivative contracts are based upon reported settlement prices on commodity exchanges noted in the table below. When aggregating multiple contracts, the weighted average contract price is disclosed. The following table presents the derivative contracts entered into by the Company between April 1, 2021 and April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Swaps</w:t>
            </w:r>
          </w:p>
        </w:tc>
        <w:tc>
          <w:tcPr>
            <w:tcW w:w="218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b w:val="1"/>
                <w:bCs w:val="1"/>
                <w:color w:val="auto"/>
              </w:rPr>
              <w:t>Collars</w:t>
            </w:r>
          </w:p>
        </w:tc>
        <w:tc>
          <w:tcPr>
            <w:tcW w:w="0" w:type="dxa"/>
            <w:vAlign w:val="bottom"/>
          </w:tcPr>
          <w:p>
            <w:pPr>
              <w:spacing w:after="0"/>
              <w:rPr>
                <w:sz w:val="1"/>
                <w:szCs w:val="1"/>
                <w:color w:val="auto"/>
              </w:rPr>
            </w:pPr>
          </w:p>
        </w:tc>
      </w:tr>
      <w:tr>
        <w:trPr>
          <w:trHeight w:val="158"/>
        </w:trPr>
        <w:tc>
          <w:tcPr>
            <w:tcW w:w="1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Bbls/MMBtu Per</w:t>
            </w:r>
          </w:p>
        </w:tc>
        <w:tc>
          <w:tcPr>
            <w:tcW w:w="202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Weighted</w:t>
            </w:r>
          </w:p>
        </w:tc>
        <w:tc>
          <w:tcPr>
            <w:tcW w:w="11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62"/>
        </w:trPr>
        <w:tc>
          <w:tcPr>
            <w:tcW w:w="2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9"/>
              </w:rPr>
              <w:t>Settlement Month Settlement Year</w:t>
            </w: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Type of Contract</w:t>
            </w:r>
          </w:p>
        </w:tc>
        <w:tc>
          <w:tcPr>
            <w:tcW w:w="1660" w:type="dxa"/>
            <w:vAlign w:val="bottom"/>
            <w:vMerge w:val="continue"/>
          </w:tcPr>
          <w:p>
            <w:pPr>
              <w:spacing w:after="0"/>
              <w:rPr>
                <w:sz w:val="14"/>
                <w:szCs w:val="14"/>
                <w:color w:val="auto"/>
              </w:rPr>
            </w:pPr>
          </w:p>
        </w:tc>
        <w:tc>
          <w:tcPr>
            <w:tcW w:w="2020" w:type="dxa"/>
            <w:vAlign w:val="bottom"/>
            <w:vMerge w:val="restart"/>
          </w:tcPr>
          <w:p>
            <w:pPr>
              <w:jc w:val="center"/>
              <w:ind w:right="12"/>
              <w:spacing w:after="0"/>
              <w:rPr>
                <w:sz w:val="20"/>
                <w:szCs w:val="20"/>
                <w:color w:val="auto"/>
              </w:rPr>
            </w:pPr>
            <w:r>
              <w:rPr>
                <w:rFonts w:ascii="Arial" w:cs="Arial" w:eastAsia="Arial" w:hAnsi="Arial"/>
                <w:sz w:val="16"/>
                <w:szCs w:val="16"/>
                <w:b w:val="1"/>
                <w:bCs w:val="1"/>
                <w:color w:val="auto"/>
                <w:w w:val="95"/>
              </w:rPr>
              <w:t>Index</w:t>
            </w: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 Floor</w:t>
            </w:r>
          </w:p>
        </w:tc>
        <w:tc>
          <w:tcPr>
            <w:tcW w:w="10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gridSpan w:val="2"/>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Day</w:t>
            </w:r>
          </w:p>
        </w:tc>
        <w:tc>
          <w:tcPr>
            <w:tcW w:w="20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Ceiling Price</w:t>
            </w: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OIL</w:t>
            </w:r>
          </w:p>
        </w:tc>
        <w:tc>
          <w:tcPr>
            <w:tcW w:w="1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260"/>
              <w:spacing w:after="0"/>
              <w:rPr>
                <w:sz w:val="20"/>
                <w:szCs w:val="20"/>
                <w:color w:val="auto"/>
              </w:rPr>
            </w:pPr>
            <w:r>
              <w:rPr>
                <w:rFonts w:ascii="Arial" w:cs="Arial" w:eastAsia="Arial" w:hAnsi="Arial"/>
                <w:sz w:val="18"/>
                <w:szCs w:val="18"/>
                <w:color w:val="auto"/>
              </w:rPr>
              <w:t>Jan. - June</w:t>
            </w: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2022</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14,000</w:t>
            </w:r>
          </w:p>
        </w:tc>
        <w:tc>
          <w:tcPr>
            <w:tcW w:w="2020" w:type="dxa"/>
            <w:vAlign w:val="bottom"/>
          </w:tcPr>
          <w:p>
            <w:pPr>
              <w:jc w:val="center"/>
              <w:ind w:right="12"/>
              <w:spacing w:after="0"/>
              <w:rPr>
                <w:sz w:val="20"/>
                <w:szCs w:val="20"/>
                <w:color w:val="auto"/>
              </w:rPr>
            </w:pPr>
            <w:r>
              <w:rPr>
                <w:rFonts w:ascii="Arial" w:cs="Arial" w:eastAsia="Arial" w:hAnsi="Arial"/>
                <w:sz w:val="18"/>
                <w:szCs w:val="18"/>
                <w:color w:val="auto"/>
                <w:w w:val="94"/>
              </w:rPr>
              <w:t>Argus WTI Houston</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$45.00</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$69.98</w:t>
            </w:r>
          </w:p>
        </w:tc>
        <w:tc>
          <w:tcPr>
            <w:tcW w:w="0" w:type="dxa"/>
            <w:vAlign w:val="bottom"/>
          </w:tcPr>
          <w:p>
            <w:pPr>
              <w:spacing w:after="0"/>
              <w:rPr>
                <w:sz w:val="1"/>
                <w:szCs w:val="1"/>
                <w:color w:val="auto"/>
              </w:rPr>
            </w:pPr>
          </w:p>
        </w:tc>
      </w:tr>
      <w:tr>
        <w:trPr>
          <w:trHeight w:val="229"/>
        </w:trPr>
        <w:tc>
          <w:tcPr>
            <w:tcW w:w="1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Jan. - June</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2022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20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2"/>
              </w:rPr>
              <w:t>Brent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$74.82</w:t>
            </w:r>
          </w:p>
        </w:tc>
        <w:tc>
          <w:tcPr>
            <w:tcW w:w="0" w:type="dxa"/>
            <w:vAlign w:val="bottom"/>
          </w:tcPr>
          <w:p>
            <w:pPr>
              <w:spacing w:after="0"/>
              <w:rPr>
                <w:sz w:val="1"/>
                <w:szCs w:val="1"/>
                <w:color w:val="auto"/>
              </w:rPr>
            </w:pPr>
          </w:p>
        </w:tc>
      </w:tr>
      <w:tr>
        <w:trPr>
          <w:trHeight w:val="213"/>
        </w:trPr>
        <w:tc>
          <w:tcPr>
            <w:tcW w:w="1440" w:type="dxa"/>
            <w:vAlign w:val="bottom"/>
          </w:tcPr>
          <w:p>
            <w:pPr>
              <w:ind w:left="20"/>
              <w:spacing w:after="0"/>
              <w:rPr>
                <w:sz w:val="20"/>
                <w:szCs w:val="20"/>
                <w:color w:val="auto"/>
              </w:rPr>
            </w:pPr>
            <w:r>
              <w:rPr>
                <w:rFonts w:ascii="Arial" w:cs="Arial" w:eastAsia="Arial" w:hAnsi="Arial"/>
                <w:sz w:val="16"/>
                <w:szCs w:val="16"/>
                <w:b w:val="1"/>
                <w:bCs w:val="1"/>
                <w:color w:val="auto"/>
              </w:rPr>
              <w:t>NATURAL GAS</w:t>
            </w:r>
          </w:p>
        </w:tc>
        <w:tc>
          <w:tcPr>
            <w:tcW w:w="1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Jan. - Dec.</w:t>
            </w:r>
          </w:p>
        </w:tc>
        <w:tc>
          <w:tcPr>
            <w:tcW w:w="11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2022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Basis Swap</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202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89"/>
              </w:rPr>
              <w:t>Waha Hub</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$(0.23)</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3, 2021, the Company signed a definitive agreement to divest all of its Williston Basin assets acquired in the QEP Merger, consisting of approximately 95,000 net acres, for a purchase price of approximately $745 million, subject to certain closing adjustments. These assets have estimated full year 2021 net production of approximately 15 MBO/d (25 MBOE/d). This transaction is expected to close in the third quarter of 2021, subject to continued due diligence and closing conditions. The Company intends to use its net proceeds from this transaction toward debt reduction.</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28, 2021 and April 29, 2021, the Company signed definitive agreements to divest certain non-core Permian assets including 7,000 net acres of non-core Southern Midland Basin acreage in Upton county and approximately 1,300 net acres of non-core, non-operated Delaware Basin assets in Lea county, New Mexico for a combined gross purchase price of $87 million, subject to certain closing adjustments. These assets have estimated full year 2021 net production of approximately 900 BO/d (2,650 BOE/d) from 140 producing wells. These transactions are expected to close in the second quarter of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subject to continued diligence and closing conditions. The Company intends to use its net proceeds from these transactions toward debt reduction.</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30, 2021, each of Rattler and its joint venture partner Amarillo Midstream, LLC sold its interest in Amarillo Rattler to EnLink Midstream Operating, LP for aggregate total gross potential consideration of $75 million, consisting of $50 million at closing, $10 million upon the first anniversary of closing and up to $15 million in contingent earn-out payments over a three-year span based upon the Company’s development activity. Net of transaction expenses and working capital adjustments, Rattler received $24 million at closing, with an incremental $5 million due in April 2022 and could receive up to $7.5 million in contingent payments from 2023 to 2025.</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SEGMENT INFORMATION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reports its operations in two operating segments: (i) the upstream segment, which is engaged in the acquisition, development, exploration and exploitation of unconventional, onshore oil and natural gas reserves primarily in the Permian Basin in West Texas and (ii) the midstream operations segment, which is focused on owning, operating, developing and acquiring midstream infrastructure assets in the Midland and Delaware Basins of the Permian Basin. All of the Company’s equity method investments are included in the midstream operations segment.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2021:</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Impairment of midstream assets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21,996</w:t>
            </w:r>
          </w:p>
        </w:tc>
        <w:tc>
          <w:tcPr>
            <w:tcW w:w="0" w:type="dxa"/>
            <w:vAlign w:val="bottom"/>
          </w:tcPr>
          <w:p>
            <w:pPr>
              <w:spacing w:after="0"/>
              <w:rPr>
                <w:sz w:val="1"/>
                <w:szCs w:val="1"/>
                <w:color w:val="auto"/>
              </w:rPr>
            </w:pPr>
          </w:p>
        </w:tc>
      </w:tr>
      <w:tr>
        <w:trPr>
          <w:trHeight w:val="890"/>
        </w:trPr>
        <w:tc>
          <w:tcPr>
            <w:tcW w:w="492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647"/>
        </w:trPr>
        <w:tc>
          <w:tcPr>
            <w:tcW w:w="492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consolidated financial statements and notes thereto presented in this report as well as our audited consolidated financial statements and notes thereto included in our </w:t>
      </w:r>
      <w:hyperlink r:id="rId16">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2020.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51">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4">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operate in two operating segments: (i) the upstream segment, which is engaged in the acquisition, development, exploration and exploitation of unconventional, onshore oil and natural gas reserves primarily in the Permian Basin in West Texas and (ii) through our subsidiary, Rattler, the midstream operations segment, which is focused on ownership, operation, development and acquisition of midstream infrastructure assets in the Midland and Delaware Basins of the Permian Basin.</w:t>
      </w:r>
    </w:p>
    <w:p>
      <w:pPr>
        <w:spacing w:after="0" w:line="210"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Acquisitions</w:t>
      </w:r>
    </w:p>
    <w:p>
      <w:pPr>
        <w:spacing w:after="0" w:line="252"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26, 2021, we completed the Guidon Acquisition, which included approximately 32,500 net acres in the Northern Midland Basin, in exchange for 10.68 million shares of the Company’s common stock and $375 million of cash.</w:t>
      </w:r>
    </w:p>
    <w:p>
      <w:pPr>
        <w:spacing w:after="0" w:line="197" w:lineRule="exact"/>
        <w:rPr>
          <w:rFonts w:ascii="Arial" w:cs="Arial" w:eastAsia="Arial" w:hAnsi="Arial"/>
          <w:sz w:val="17"/>
          <w:szCs w:val="17"/>
          <w:i w:val="1"/>
          <w:iCs w:val="1"/>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17, 2021, we completed the acquisition of QEP pursuant to the Agreement and Plan of Merger, dated as of December 20, 2020 (the “Merger Agreement”), by and among Diamondback, Bohemia Merger Sub, Inc., a Delaware corporation and QEP. Pursuant to the Merger Agreement, at the effective time of the QEP Merger, Bohemia Merger Sub, Inc. merged with and into QEP, with QEP continuing as the surviving corporation and as a wholly owned subsidiary of Diamondback. The addition of QEP’s assets increased our net acreage in the Midland Basin by approximately 49,000 net acres. Under the terms of the Merger Agreement, we issued approximately 12.12 million shares of our common stock (valued at a price of $81.41 per share on the closing date) to the former QEP stockholders, with the total value of approximately $987 million.</w:t>
      </w:r>
    </w:p>
    <w:p>
      <w:pPr>
        <w:spacing w:after="0" w:line="205" w:lineRule="exact"/>
        <w:rPr>
          <w:rFonts w:ascii="Arial" w:cs="Arial" w:eastAsia="Arial" w:hAnsi="Arial"/>
          <w:sz w:val="17"/>
          <w:szCs w:val="17"/>
          <w:i w:val="1"/>
          <w:iCs w:val="1"/>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4—</w:t>
      </w:r>
      <w:hyperlink w:anchor="page15">
        <w:r>
          <w:rPr>
            <w:rFonts w:ascii="Arial" w:cs="Arial" w:eastAsia="Arial" w:hAnsi="Arial"/>
            <w:sz w:val="18"/>
            <w:szCs w:val="18"/>
            <w:u w:val="single" w:color="auto"/>
            <w:color w:val="0000FF"/>
          </w:rPr>
          <w:t>Acquisitions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the Guidon Acquisition and the QEP Merger.</w:t>
      </w:r>
    </w:p>
    <w:p>
      <w:pPr>
        <w:spacing w:after="0" w:line="252"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Recent and Pending Divestitures</w:t>
      </w:r>
    </w:p>
    <w:p>
      <w:pPr>
        <w:spacing w:after="0" w:line="252" w:lineRule="exact"/>
        <w:rPr>
          <w:rFonts w:ascii="Arial" w:cs="Arial" w:eastAsia="Arial" w:hAnsi="Arial"/>
          <w:sz w:val="17"/>
          <w:szCs w:val="17"/>
          <w:i w:val="1"/>
          <w:iCs w:val="1"/>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3, 2021, we signed a definitive agreement to divest all of our Williston Basin assets acquired in the QEP Merger, consisting of approximately 95,000 net acres, for a purchase price of approximately $745 million, subject to certain closing adjustments. This transaction is expected to close in the third quarter of 2021, subject to continued due diligence and closing conditions. We intend to use our net proceeds from this transaction toward debt reduction.</w:t>
      </w:r>
    </w:p>
    <w:p>
      <w:pPr>
        <w:spacing w:after="0" w:line="214" w:lineRule="exact"/>
        <w:rPr>
          <w:rFonts w:ascii="Arial" w:cs="Arial" w:eastAsia="Arial" w:hAnsi="Arial"/>
          <w:sz w:val="17"/>
          <w:szCs w:val="17"/>
          <w:i w:val="1"/>
          <w:iCs w:val="1"/>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28, 2021 and April 29, 2021, we signed definitive agreements to divest certain non-core Permian assets, including 7,000 net acres of non-core Southern Midland Basin acreage in Upton county and approximately 1,300 net acres of non-core, non-operated Delaware Basin assets in Lea county, New Mexico, for a combined gross purchase price of $87 million, subject to certain closing adjustments. These transactions are expected to close in the second quarter of 2021, subject to continued due diligence and closing conditions. We intend to use our net proceeds from these transactions toward debt reduction.</w:t>
      </w:r>
    </w:p>
    <w:p>
      <w:pPr>
        <w:spacing w:after="0" w:line="215" w:lineRule="exact"/>
        <w:rPr>
          <w:rFonts w:ascii="Arial" w:cs="Arial" w:eastAsia="Arial" w:hAnsi="Arial"/>
          <w:sz w:val="17"/>
          <w:szCs w:val="17"/>
          <w:i w:val="1"/>
          <w:iCs w:val="1"/>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30, 2021, each of Rattler and its joint venture partner Amarillo Midstream, LLC sold its interest in Amarillo Rattler to EnLink Midstream Operating, LP for aggregate total gross potential consideration of $75 million, consisting of $50 million at closing, $10 million upon the first anniversary of closing and up to $15 million in contingent earn-out payments over a three-year span based upon the Company’s development activity. Net of transaction expenses and working capital adjustments, Rattler received $24 million at closing, with an incremental $5 million due in April 2022 and could receive up to $7.5 million in contingent payments from 2023 to 2025.</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47"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Debt Transactions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24, 2021, we completed a notes offering of our March 2021 Notes resulting in aggregate net proceeds of $2.18 billion. The net proceeds were primarily used to fund the repurchase of $1.65 billion in fair value carrying amount of the QEP Notes that remained outstanding at the effective time of the QEP Merger for total cash consideration of $1.7 billion, and $368 million principal amount of 2025 Senior Notes, for total cash consideration of $381 million. These refinancing transactions are expected to result in an estimated annual interest cost savings of approximately $40 million in addition to an estimated $60 to $80 million of previously announced expected annual cost synergies from the QEP Merger.</w:t>
      </w:r>
    </w:p>
    <w:p>
      <w:pPr>
        <w:spacing w:after="0" w:line="203"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9—</w:t>
      </w:r>
      <w:hyperlink w:anchor="page20">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our 2021 debt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Commodity Prices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ongoing COVID-19 pandemic. However, certain restrictions on conducting business that were implemented in response to the COVID-19 pandemic have been lifted as improved treatments and vaccinations for COVID-19 have been rolled-out globally since late 2020. As a result, oil and natural gas market prices have improved in response to the increase in demand.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2020 and 2021, the posted NYMEX WTI price for crude oil ranged from $(37.63) to $66.09 per Bbl, and the NYMEX Henry Hub price of natural gas ranged from $1.48 to $3.35 per MMBtu. On April 12, 2021, the NYMEX WTI price for crude oil was $59.70 per Bbl and the NYMEX Henry Hub price of natural gas was $2.56 per MMBtu. Commodity prices have historically been volatile and we cannot predict events which may lead to future fluctuations in these prices.</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a result of the reduction in crude oil demand caused by factors discussed above, in 2020, we lowered our 2020 capital budgets and production guidance, however, we have restored curtailed production. Our results of operations may be further adversely impacted by any government rule, regulation or order that may impose production limits, as well as pipeline capacity and storage constraints, in the Permian Basin where we operate.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Operating Highlights</w:t>
      </w:r>
    </w:p>
    <w:p>
      <w:pPr>
        <w:spacing w:after="0" w:line="25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recorded net income of $220 million for the first quarter ended March 31, 2021.</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Our average production was 307.4 MBOE/d during the first quarter of 2021 which includes the effect of approximately four to five days of lost total net production during February 2021 resulting from the recent winter storms in the Permian Basin. The Company expects to make up these production losses throughout the remainder of 2021.</w:t>
      </w:r>
    </w:p>
    <w:p>
      <w:pPr>
        <w:spacing w:after="0" w:line="210"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color w:val="auto"/>
        </w:rPr>
        <w:t>During the first quarter of 2021, we drilled 41 gross horizontal wells in the Midland Basin and eight gross horizontal wells in the Delaware Basin.</w:t>
      </w:r>
    </w:p>
    <w:p>
      <w:pPr>
        <w:spacing w:after="0" w:line="288" w:lineRule="exact"/>
        <w:rPr>
          <w:rFonts w:ascii="Arial" w:cs="Arial" w:eastAsia="Arial" w:hAnsi="Arial"/>
          <w:sz w:val="16"/>
          <w:szCs w:val="16"/>
          <w:b w:val="1"/>
          <w:bCs w:val="1"/>
          <w:i w:val="1"/>
          <w:iCs w:val="1"/>
          <w:color w:val="auto"/>
        </w:rPr>
      </w:pPr>
    </w:p>
    <w:p>
      <w:pPr>
        <w:ind w:left="660" w:hanging="328"/>
        <w:spacing w:after="0" w:line="250"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18"/>
          <w:szCs w:val="18"/>
          <w:color w:val="auto"/>
        </w:rPr>
        <w:t>We turned 67 gross operated horizontal wells (42 in the Midland Basin and 25 in the Delaware Basin) to production and had capital expenditures, excluding acquisitions, of $296 million during the first quarter of 2021.</w:t>
      </w:r>
    </w:p>
    <w:p>
      <w:pPr>
        <w:spacing w:after="0" w:line="219"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The average lateral length for the wells completed during the first quarter of 2021 was 10,331 feet.</w:t>
      </w:r>
    </w:p>
    <w:p>
      <w:pPr>
        <w:spacing w:after="0" w:line="252"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March 31, 2021, we had $1.9 billion of availability for future borrowings under our revolving credit facility and approximately $121 million of cash on hand.</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cash operating costs for the first quarter ended March 31, 2021 were $8.06 per BOE, including lease operating expenses of $3.69 per BOE, cash general and administrative expenses of $0.54 per BOE and production and ad valorem taxes and gathering and transportation expenses of $3.83 per BOE.</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April 29, 2021, our board of directors declared a cash dividend for the first quarter of 2021 of $0.40 per share of common stock, payable on May 20, 2021 to our stockholders of record at the close of business of May 13,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Segment</w:t>
      </w:r>
    </w:p>
    <w:p>
      <w:pPr>
        <w:spacing w:after="0" w:line="252"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In our upstream segment,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Also, in our upstream segment, our publicly-traded subsidiary, Viper, is focused on owning and acquiring mineral interests and royalty interests in oil and natural gas properties primarily in the Permian Basin and derives royalty income and lease bonus income from such interests.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March 31, 2021, we had approximately 554,594 net acres, which primarily consisted of approximately 275,113 net acres in the Midland Basin, 151,245 net acres in the Delaware Basin and 94,610 net acres in the Williston Basin. As discussed above, we recently entered into definitive agreements to divest (i) all of our Williston Basin net acres, (ii) 7,000 net acres of non-core Southern Midland Basin acreage in Upton county and (iii) approximately 1,300 net acres of non-core, non-operated Delaware Basin assets in Lea county, New Mexico for an aggregate purchase price of $832 million, subject to certain closing adjustments. These transactions are expected to close in the second and third quarters of 2021, subject to continued due diligence and closing conditions.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2020, we had an estimated 10,413 gross horizontal locations that we believe to be economic at $60 per barrel WTI.</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total number of operated horizontal wells drilled and completed during the three months ended March 31,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160"/>
              <w:spacing w:after="0"/>
              <w:rPr>
                <w:sz w:val="20"/>
                <w:szCs w:val="20"/>
                <w:color w:val="auto"/>
              </w:rPr>
            </w:pPr>
            <w:r>
              <w:rPr>
                <w:rFonts w:ascii="Arial" w:cs="Arial" w:eastAsia="Arial" w:hAnsi="Arial"/>
                <w:sz w:val="16"/>
                <w:szCs w:val="16"/>
                <w:b w:val="1"/>
                <w:bCs w:val="1"/>
                <w:color w:val="auto"/>
              </w:rPr>
              <w:t>Three Months Ended March 31, 2021</w:t>
            </w:r>
          </w:p>
        </w:tc>
        <w:tc>
          <w:tcPr>
            <w:tcW w:w="620" w:type="dxa"/>
            <w:vAlign w:val="bottom"/>
            <w:tcBorders>
              <w:bottom w:val="single" w:sz="8" w:color="auto"/>
            </w:tcBorders>
          </w:tcPr>
          <w:p>
            <w:pPr>
              <w:spacing w:after="0"/>
              <w:rPr>
                <w:sz w:val="18"/>
                <w:szCs w:val="18"/>
                <w:color w:val="auto"/>
              </w:rPr>
            </w:pPr>
          </w:p>
        </w:tc>
      </w:tr>
      <w:tr>
        <w:trPr>
          <w:trHeight w:val="213"/>
        </w:trPr>
        <w:tc>
          <w:tcPr>
            <w:tcW w:w="68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Drilled</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ind w:left="640"/>
              <w:spacing w:after="0" w:line="213" w:lineRule="exact"/>
              <w:rPr>
                <w:sz w:val="20"/>
                <w:szCs w:val="20"/>
                <w:color w:val="auto"/>
              </w:rPr>
            </w:pPr>
            <w:r>
              <w:rPr>
                <w:rFonts w:ascii="Arial" w:cs="Arial" w:eastAsia="Arial" w:hAnsi="Arial"/>
                <w:sz w:val="16"/>
                <w:szCs w:val="16"/>
                <w:b w:val="1"/>
                <w:bCs w:val="1"/>
                <w:color w:val="auto"/>
                <w:w w:val="86"/>
              </w:rPr>
              <w:t>Completed</w:t>
            </w:r>
            <w:r>
              <w:rPr>
                <w:rFonts w:ascii="Arial" w:cs="Arial" w:eastAsia="Arial" w:hAnsi="Arial"/>
                <w:sz w:val="21"/>
                <w:szCs w:val="21"/>
                <w:b w:val="1"/>
                <w:bCs w:val="1"/>
                <w:color w:val="auto"/>
                <w:w w:val="86"/>
                <w:vertAlign w:val="superscript"/>
              </w:rPr>
              <w:t>(1)</w:t>
            </w:r>
          </w:p>
        </w:tc>
        <w:tc>
          <w:tcPr>
            <w:tcW w:w="620" w:type="dxa"/>
            <w:vAlign w:val="bottom"/>
            <w:tcBorders>
              <w:bottom w:val="single" w:sz="8" w:color="auto"/>
            </w:tcBorders>
          </w:tcPr>
          <w:p>
            <w:pPr>
              <w:spacing w:after="0"/>
              <w:rPr>
                <w:sz w:val="18"/>
                <w:szCs w:val="18"/>
                <w:color w:val="auto"/>
              </w:rPr>
            </w:pPr>
          </w:p>
        </w:tc>
      </w:tr>
      <w:tr>
        <w:trPr>
          <w:trHeight w:val="207"/>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740" w:type="dxa"/>
            <w:vAlign w:val="bottom"/>
          </w:tcPr>
          <w:p>
            <w:pPr>
              <w:ind w:left="32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00"/>
              <w:spacing w:after="0"/>
              <w:rPr>
                <w:sz w:val="20"/>
                <w:szCs w:val="20"/>
                <w:color w:val="auto"/>
              </w:rPr>
            </w:pPr>
            <w:r>
              <w:rPr>
                <w:rFonts w:ascii="Arial" w:cs="Arial" w:eastAsia="Arial" w:hAnsi="Arial"/>
                <w:sz w:val="16"/>
                <w:szCs w:val="16"/>
                <w:b w:val="1"/>
                <w:bCs w:val="1"/>
                <w:color w:val="auto"/>
              </w:rPr>
              <w:t>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tcPr>
          <w:p>
            <w:pPr>
              <w:ind w:left="320"/>
              <w:spacing w:after="0"/>
              <w:rPr>
                <w:sz w:val="20"/>
                <w:szCs w:val="20"/>
                <w:color w:val="auto"/>
              </w:rPr>
            </w:pPr>
            <w:r>
              <w:rPr>
                <w:rFonts w:ascii="Arial" w:cs="Arial" w:eastAsia="Arial" w:hAnsi="Arial"/>
                <w:sz w:val="16"/>
                <w:szCs w:val="16"/>
                <w:b w:val="1"/>
                <w:bCs w:val="1"/>
                <w:color w:val="auto"/>
              </w:rPr>
              <w:t>Gross</w:t>
            </w:r>
          </w:p>
        </w:tc>
        <w:tc>
          <w:tcPr>
            <w:tcW w:w="620" w:type="dxa"/>
            <w:vAlign w:val="bottom"/>
          </w:tcPr>
          <w:p>
            <w:pPr>
              <w:jc w:val="right"/>
              <w:ind w:right="292"/>
              <w:spacing w:after="0"/>
              <w:rPr>
                <w:sz w:val="20"/>
                <w:szCs w:val="20"/>
                <w:color w:val="auto"/>
              </w:rPr>
            </w:pPr>
            <w:r>
              <w:rPr>
                <w:rFonts w:ascii="Arial" w:cs="Arial" w:eastAsia="Arial" w:hAnsi="Arial"/>
                <w:sz w:val="16"/>
                <w:szCs w:val="16"/>
                <w:b w:val="1"/>
                <w:bCs w:val="1"/>
                <w:color w:val="auto"/>
                <w:w w:val="85"/>
              </w:rPr>
              <w:t>Net</w:t>
            </w:r>
          </w:p>
        </w:tc>
      </w:tr>
      <w:tr>
        <w:trPr>
          <w:trHeight w:val="226"/>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63"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first quarter of 2021 was 10,331 feet. Operated completions during the first quarter of 2021 consisted of 27 Wolfcamp A wells, eight Wolfcamp B wells, ten Lower Spraberry wells, seven Middle Spraberry wells, six Second Bone Springs wells, four Jo Mill wells, three Third Bone Springs wells, one Dean well and one Barnett well.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operated the following wells: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2"/>
              </w:rPr>
              <w:t>As of March 31, 2021</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3940" w:type="dxa"/>
            <w:vAlign w:val="bottom"/>
          </w:tcPr>
          <w:p>
            <w:pPr>
              <w:spacing w:after="0"/>
              <w:rPr>
                <w:sz w:val="17"/>
                <w:szCs w:val="17"/>
                <w:color w:val="auto"/>
              </w:rPr>
            </w:pPr>
          </w:p>
        </w:tc>
        <w:tc>
          <w:tcPr>
            <w:tcW w:w="1660" w:type="dxa"/>
            <w:vAlign w:val="bottom"/>
            <w:gridSpan w:val="3"/>
          </w:tcPr>
          <w:p>
            <w:pPr>
              <w:ind w:left="700"/>
              <w:spacing w:after="0"/>
              <w:rPr>
                <w:sz w:val="20"/>
                <w:szCs w:val="20"/>
                <w:color w:val="auto"/>
              </w:rPr>
            </w:pPr>
            <w:r>
              <w:rPr>
                <w:rFonts w:ascii="Arial" w:cs="Arial" w:eastAsia="Arial" w:hAnsi="Arial"/>
                <w:sz w:val="16"/>
                <w:szCs w:val="16"/>
                <w:b w:val="1"/>
                <w:bCs w:val="1"/>
                <w:color w:val="auto"/>
                <w:w w:val="90"/>
              </w:rPr>
              <w:t>Vertical Wells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Horizontal Wells</w:t>
            </w:r>
          </w:p>
        </w:tc>
        <w:tc>
          <w:tcPr>
            <w:tcW w:w="1540" w:type="dxa"/>
            <w:vAlign w:val="bottom"/>
            <w:gridSpan w:val="3"/>
          </w:tcPr>
          <w:p>
            <w:pPr>
              <w:ind w:left="1020"/>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spacing w:after="0"/>
              <w:rPr>
                <w:sz w:val="17"/>
                <w:szCs w:val="17"/>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166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68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5"/>
              </w:rPr>
              <w:t>Net</w:t>
            </w:r>
          </w:p>
        </w:tc>
        <w:tc>
          <w:tcPr>
            <w:tcW w:w="120" w:type="dxa"/>
            <w:vAlign w:val="bottom"/>
          </w:tcPr>
          <w:p>
            <w:pPr>
              <w:spacing w:after="0"/>
              <w:rPr>
                <w:sz w:val="18"/>
                <w:szCs w:val="18"/>
                <w:color w:val="auto"/>
              </w:rPr>
            </w:pPr>
          </w:p>
        </w:tc>
        <w:tc>
          <w:tcPr>
            <w:tcW w:w="122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8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r>
      <w:tr>
        <w:trPr>
          <w:trHeight w:val="22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23"/>
        </w:trPr>
        <w:tc>
          <w:tcPr>
            <w:tcW w:w="3940" w:type="dxa"/>
            <w:vAlign w:val="bottom"/>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4,657</w:t>
            </w:r>
          </w:p>
        </w:tc>
      </w:tr>
      <w:tr>
        <w:trPr>
          <w:trHeight w:val="20"/>
        </w:trPr>
        <w:tc>
          <w:tcPr>
            <w:tcW w:w="3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we held interests in 10,763 gross (4,815 net) wells, including wells that we do not operate. During the first quarter of 2021, we acquired interests in 1,671 gross (1,240 net) wells as part of the QEP Merger.</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development program is focused entirely within the Permian Basin, where we continue to focus on long-lateral multi-well pad development. Our horizontal development consists of multiple targeted intervals, primarily within the Wolfcamp and Spraberry formations in the Midland Basin and the Wolfcamp and Bone Springs formations in the Delaware Basin.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Operations</w:t>
      </w:r>
    </w:p>
    <w:p>
      <w:pPr>
        <w:spacing w:after="0" w:line="252"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Glasscock areas within the Permian Basin. Rattler’s natural gas gathering and compression system consists of gathering pipelines, compression and metering facilities, which collectively service the production from our Pecos area assets within the Permian Basin. Rattler’s water sourcing and distribution assets consists of water wells, hydraulic fracturing pits, pipelines and water treatment facilities, which collectively gather and distribute water from Permian Basin aquifers to the drilling and completion sites through buried pipelines and temporary surface pipelines. Rattler’s gathering and disposal system spans approximately 524 miles and consists of gathering pipelines along with produced water disposal wells and facilities which collectively gather and dispose of produced water from operations throughout our Permian Basin acreage.</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operating data for the three months ended March 31,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2020</w:t>
            </w: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(In millions):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oil, natural gas and natural gas liquid revenues</w:t>
            </w:r>
          </w:p>
        </w:tc>
        <w:tc>
          <w:tcPr>
            <w:tcW w:w="9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86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18,325</w:t>
            </w:r>
          </w:p>
        </w:tc>
      </w:tr>
      <w:tr>
        <w:trPr>
          <w:trHeight w:val="230"/>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w:t>
            </w:r>
          </w:p>
        </w:tc>
      </w:tr>
      <w:tr>
        <w:trPr>
          <w:trHeight w:val="229"/>
        </w:trPr>
        <w:tc>
          <w:tcPr>
            <w:tcW w:w="786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5,538</w:t>
            </w:r>
          </w:p>
        </w:tc>
      </w:tr>
      <w:tr>
        <w:trPr>
          <w:trHeight w:val="230"/>
        </w:trPr>
        <w:tc>
          <w:tcPr>
            <w:tcW w:w="78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29,216</w:t>
            </w:r>
          </w:p>
        </w:tc>
      </w:tr>
      <w:tr>
        <w:trPr>
          <w:trHeight w:val="270"/>
        </w:trPr>
        <w:tc>
          <w:tcPr>
            <w:tcW w:w="7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7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Daily oil volumes (BO/d)</w:t>
            </w:r>
            <w:r>
              <w:rPr>
                <w:rFonts w:ascii="Arial" w:cs="Arial" w:eastAsia="Arial" w:hAnsi="Arial"/>
                <w:sz w:val="23"/>
                <w:szCs w:val="23"/>
                <w:color w:val="auto"/>
                <w:vertAlign w:val="superscript"/>
              </w:rPr>
              <w:t>(2)</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201,369</w:t>
            </w:r>
          </w:p>
        </w:tc>
      </w:tr>
      <w:tr>
        <w:trPr>
          <w:trHeight w:val="229"/>
        </w:trPr>
        <w:tc>
          <w:tcPr>
            <w:tcW w:w="7860" w:type="dxa"/>
            <w:vAlign w:val="bottom"/>
          </w:tcPr>
          <w:p>
            <w:pPr>
              <w:ind w:left="20"/>
              <w:spacing w:after="0" w:line="230" w:lineRule="exact"/>
              <w:rPr>
                <w:sz w:val="20"/>
                <w:szCs w:val="20"/>
                <w:color w:val="auto"/>
              </w:rPr>
            </w:pPr>
            <w:r>
              <w:rPr>
                <w:rFonts w:ascii="Arial" w:cs="Arial" w:eastAsia="Arial" w:hAnsi="Arial"/>
                <w:sz w:val="18"/>
                <w:szCs w:val="18"/>
                <w:color w:val="auto"/>
              </w:rPr>
              <w:t>Daily combined volumes (BOE/d)</w:t>
            </w:r>
            <w:r>
              <w:rPr>
                <w:rFonts w:ascii="Arial" w:cs="Arial" w:eastAsia="Arial" w:hAnsi="Arial"/>
                <w:sz w:val="23"/>
                <w:szCs w:val="23"/>
                <w:color w:val="auto"/>
                <w:vertAlign w:val="superscript"/>
              </w:rPr>
              <w:t>(2)</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307,422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321,057</w:t>
            </w:r>
          </w:p>
        </w:tc>
      </w:tr>
      <w:tr>
        <w:trPr>
          <w:trHeight w:val="270"/>
        </w:trPr>
        <w:tc>
          <w:tcPr>
            <w:tcW w:w="78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Average Prices: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2"/>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r>
      <w:tr>
        <w:trPr>
          <w:trHeight w:val="229"/>
        </w:trPr>
        <w:tc>
          <w:tcPr>
            <w:tcW w:w="786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7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786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30.23</w:t>
            </w:r>
          </w:p>
        </w:tc>
      </w:tr>
      <w:tr>
        <w:trPr>
          <w:trHeight w:val="270"/>
        </w:trPr>
        <w:tc>
          <w:tcPr>
            <w:tcW w:w="78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786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(3)</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49.32</w:t>
            </w:r>
          </w:p>
        </w:tc>
      </w:tr>
      <w:tr>
        <w:trPr>
          <w:trHeight w:val="229"/>
        </w:trPr>
        <w:tc>
          <w:tcPr>
            <w:tcW w:w="78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3"/>
                <w:szCs w:val="23"/>
                <w:color w:val="auto"/>
                <w:vertAlign w:val="superscript"/>
              </w:rPr>
              <w:t>(3)</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30"/>
        </w:trPr>
        <w:tc>
          <w:tcPr>
            <w:tcW w:w="786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(3)</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78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(3)</w:t>
            </w:r>
          </w:p>
        </w:tc>
        <w:tc>
          <w:tcPr>
            <w:tcW w:w="98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r>
    </w:tbl>
    <w:p>
      <w:pPr>
        <w:spacing w:after="0" w:line="6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volumes presented are based on actual results and are not calculated using the rounded numbers in the table above.</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and natural gas liquids production. The following tables set forth our production data for the three months ended March 31,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2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6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3"/>
        </w:trPr>
        <w:tc>
          <w:tcPr>
            <w:tcW w:w="80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45"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Three Months Ended March 31, 2021</w:t>
      </w:r>
    </w:p>
    <w:p>
      <w:pPr>
        <w:spacing w:after="0" w:line="26"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5"/>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840" w:type="dxa"/>
            <w:vAlign w:val="bottom"/>
            <w:tcBorders>
              <w:top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Three Months Ended March 31,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1"/>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(2)</w:t>
            </w:r>
          </w:p>
        </w:tc>
        <w:tc>
          <w:tcPr>
            <w:tcW w:w="800" w:type="dxa"/>
            <w:vAlign w:val="bottom"/>
            <w:tcBorders>
              <w:top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20" w:space="100"/>
            <w:col w:w="38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9,840</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6,436</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302</w:t>
            </w:r>
          </w:p>
        </w:tc>
        <w:tc>
          <w:tcPr>
            <w:tcW w:w="760" w:type="dxa"/>
            <w:vAlign w:val="bottom"/>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10,511</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7,760</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740" w:type="dxa"/>
            <w:vAlign w:val="bottom"/>
          </w:tcPr>
          <w:p>
            <w:pPr>
              <w:jc w:val="right"/>
              <w:spacing w:after="0"/>
              <w:rPr>
                <w:sz w:val="20"/>
                <w:szCs w:val="20"/>
                <w:color w:val="auto"/>
              </w:rPr>
            </w:pPr>
            <w:r>
              <w:rPr>
                <w:rFonts w:ascii="Arial" w:cs="Arial" w:eastAsia="Arial" w:hAnsi="Arial"/>
                <w:sz w:val="18"/>
                <w:szCs w:val="18"/>
                <w:color w:val="auto"/>
              </w:rPr>
              <w:t>18,325</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18,457</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15,055</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15,833</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16,147</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3,236</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2,069</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760" w:type="dxa"/>
            <w:vAlign w:val="bottom"/>
          </w:tcPr>
          <w:p>
            <w:pPr>
              <w:jc w:val="right"/>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3,048</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2,463</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740" w:type="dxa"/>
            <w:vAlign w:val="bottom"/>
          </w:tcPr>
          <w:p>
            <w:pPr>
              <w:jc w:val="right"/>
              <w:spacing w:after="0"/>
              <w:rPr>
                <w:sz w:val="20"/>
                <w:szCs w:val="20"/>
                <w:color w:val="auto"/>
              </w:rPr>
            </w:pPr>
            <w:r>
              <w:rPr>
                <w:rFonts w:ascii="Arial" w:cs="Arial" w:eastAsia="Arial" w:hAnsi="Arial"/>
                <w:sz w:val="18"/>
                <w:szCs w:val="18"/>
                <w:color w:val="auto"/>
              </w:rPr>
              <w:t>5,538</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16,152</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11,014</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16,198</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12,914</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29,216</w:t>
            </w:r>
          </w:p>
        </w:tc>
      </w:tr>
    </w:tbl>
    <w:p>
      <w:pPr>
        <w:spacing w:after="0" w:line="8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Eagle Ford Shale, Rockies and High Plains.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Central Basin Platform, Eagle Ford Shale and Rockies.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oil, natural gas and natural gas liquids revenues for the first quarter of 2021 increased by $289 million, or 33%, to $1,172 million from $883 million during the first quarter of 2020. The increase in average prices received during the three months ended March 31, 2021 as compared to the same period in 2020 contributed to $368 million of the total increase. The impact of higher pricing was partially offset by a 5.3% decrease in combined volumes sold primarily driven by the recent winter storms in the Permian Basin which caused the loss of approximately four to five days of total net production during February 2021. The production declines were slightly offset by additional production contributed during the first quarter of 2021 from the QEP Merger and Guidon Acquisition. The Company expects to make up weather related production losses throughout the remainder of 2021.</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Average daily production sold decreased by 13,635 BOE/d to 307,422 BOE/d during the three months ended March 31, 2021 from 321,057 BOE/d during the three months ended March 31,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Lease Operating Expenses. </w:t>
      </w:r>
      <w:r>
        <w:rPr>
          <w:rFonts w:ascii="Arial" w:cs="Arial" w:eastAsia="Arial" w:hAnsi="Arial"/>
          <w:sz w:val="17"/>
          <w:szCs w:val="17"/>
          <w:color w:val="auto"/>
        </w:rPr>
        <w:t>The following table shows lease operating expenses for the three months ended March 31, 2021 and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3"/>
              </w:rPr>
              <w:t>Three Months Ended March 31,</w:t>
            </w:r>
          </w:p>
        </w:tc>
        <w:tc>
          <w:tcPr>
            <w:tcW w:w="800" w:type="dxa"/>
            <w:vAlign w:val="bottom"/>
            <w:tcBorders>
              <w:bottom w:val="single" w:sz="8" w:color="auto"/>
            </w:tcBorders>
          </w:tcPr>
          <w:p>
            <w:pPr>
              <w:spacing w:after="0"/>
              <w:rPr>
                <w:sz w:val="18"/>
                <w:szCs w:val="18"/>
                <w:color w:val="auto"/>
              </w:rPr>
            </w:pPr>
          </w:p>
        </w:tc>
      </w:tr>
      <w:tr>
        <w:trPr>
          <w:trHeight w:val="210"/>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8"/>
                <w:szCs w:val="18"/>
                <w:color w:val="auto"/>
              </w:rPr>
            </w:pPr>
          </w:p>
        </w:tc>
      </w:tr>
      <w:tr>
        <w:trPr>
          <w:trHeight w:val="210"/>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w w:val="95"/>
              </w:rPr>
              <w:t>Amount</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8"/>
              </w:rPr>
              <w:t>Per BOE</w:t>
            </w:r>
          </w:p>
        </w:tc>
      </w:t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8"/>
          </w:tcPr>
          <w:p>
            <w:pPr>
              <w:jc w:val="right"/>
              <w:ind w:right="575"/>
              <w:spacing w:after="0"/>
              <w:rPr>
                <w:sz w:val="20"/>
                <w:szCs w:val="20"/>
                <w:color w:val="auto"/>
              </w:rPr>
            </w:pPr>
            <w:r>
              <w:rPr>
                <w:rFonts w:ascii="Arial" w:cs="Arial" w:eastAsia="Arial" w:hAnsi="Arial"/>
                <w:sz w:val="16"/>
                <w:szCs w:val="16"/>
                <w:b w:val="1"/>
                <w:bCs w:val="1"/>
                <w:color w:val="auto"/>
              </w:rPr>
              <w:t>(In millions, except per BOE amounts)</w:t>
            </w:r>
          </w:p>
        </w:tc>
      </w:tr>
      <w:tr>
        <w:trPr>
          <w:trHeight w:val="232"/>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bl>
    <w:p>
      <w:pPr>
        <w:spacing w:after="0" w:line="323" w:lineRule="exact"/>
        <w:rPr>
          <w:sz w:val="20"/>
          <w:szCs w:val="20"/>
          <w:color w:val="auto"/>
        </w:rPr>
      </w:pPr>
    </w:p>
    <w:p>
      <w:pPr>
        <w:jc w:val="both"/>
        <w:ind w:firstLine="648"/>
        <w:spacing w:after="0" w:line="286" w:lineRule="auto"/>
        <w:rPr>
          <w:rFonts w:ascii="Arial" w:cs="Arial" w:eastAsia="Arial" w:hAnsi="Arial"/>
          <w:sz w:val="17"/>
          <w:szCs w:val="17"/>
          <w:color w:val="auto"/>
        </w:rPr>
      </w:pPr>
      <w:r>
        <w:rPr>
          <w:rFonts w:ascii="Arial" w:cs="Arial" w:eastAsia="Arial" w:hAnsi="Arial"/>
          <w:sz w:val="17"/>
          <w:szCs w:val="17"/>
          <w:color w:val="auto"/>
        </w:rPr>
        <w:t>Lease operating expenses for the three months ended March 31, 2021 as compared to the three months ended March 31, 2020 decreased by $25 million, or $0.66 per BOE. The decrease in lease operating expenses was primarily due to declining power generation costs which were partially offset by additional costs resulting from production associated with the acquisitions discussed in Note 4—</w:t>
      </w:r>
      <w:hyperlink w:anchor="page15">
        <w:r>
          <w:rPr>
            <w:rFonts w:ascii="Arial" w:cs="Arial" w:eastAsia="Arial" w:hAnsi="Arial"/>
            <w:sz w:val="17"/>
            <w:szCs w:val="17"/>
            <w:u w:val="single" w:color="auto"/>
            <w:color w:val="0000FF"/>
          </w:rPr>
          <w:t>Acquisitions</w:t>
        </w:r>
      </w:hyperlink>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Production and Ad Valorem Tax Expense. </w:t>
      </w:r>
      <w:r>
        <w:rPr>
          <w:rFonts w:ascii="Arial" w:cs="Arial" w:eastAsia="Arial" w:hAnsi="Arial"/>
          <w:sz w:val="17"/>
          <w:szCs w:val="17"/>
          <w:color w:val="auto"/>
        </w:rPr>
        <w:t>The following table shows production and ad valorem tax expense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8"/>
          </w:tcPr>
          <w:p>
            <w:pPr>
              <w:ind w:left="160"/>
              <w:spacing w:after="0"/>
              <w:rPr>
                <w:sz w:val="20"/>
                <w:szCs w:val="20"/>
                <w:color w:val="auto"/>
              </w:rPr>
            </w:pPr>
            <w:r>
              <w:rPr>
                <w:rFonts w:ascii="Arial" w:cs="Arial" w:eastAsia="Arial" w:hAnsi="Arial"/>
                <w:sz w:val="16"/>
                <w:szCs w:val="16"/>
                <w:b w:val="1"/>
                <w:bCs w:val="1"/>
                <w:color w:val="auto"/>
                <w:w w:val="98"/>
              </w:rPr>
              <w:t>Three Months Ended March 31,</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89"/>
              </w:rPr>
              <w:t>2021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5"/>
              </w:rPr>
              <w:t>Per BOE</w:t>
            </w:r>
          </w:p>
        </w:tc>
      </w:tr>
      <w:tr>
        <w:trPr>
          <w:trHeight w:val="209"/>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00" w:type="dxa"/>
            <w:vAlign w:val="bottom"/>
            <w:gridSpan w:val="10"/>
          </w:tcPr>
          <w:p>
            <w:pPr>
              <w:jc w:val="right"/>
              <w:spacing w:after="0"/>
              <w:rPr>
                <w:sz w:val="20"/>
                <w:szCs w:val="20"/>
                <w:color w:val="auto"/>
              </w:rPr>
            </w:pPr>
            <w:r>
              <w:rPr>
                <w:rFonts w:ascii="Arial" w:cs="Arial" w:eastAsia="Arial" w:hAnsi="Arial"/>
                <w:sz w:val="16"/>
                <w:szCs w:val="16"/>
                <w:b w:val="1"/>
                <w:bCs w:val="1"/>
                <w:color w:val="auto"/>
              </w:rPr>
              <w:t>(In millions, except per BOE amounts)</w:t>
            </w:r>
          </w:p>
        </w:tc>
        <w:tc>
          <w:tcPr>
            <w:tcW w:w="780" w:type="dxa"/>
            <w:vAlign w:val="bottom"/>
          </w:tcPr>
          <w:p>
            <w:pPr>
              <w:spacing w:after="0"/>
              <w:rPr>
                <w:sz w:val="18"/>
                <w:szCs w:val="18"/>
                <w:color w:val="auto"/>
              </w:rPr>
            </w:pPr>
          </w:p>
        </w:tc>
      </w:tr>
      <w:tr>
        <w:trPr>
          <w:trHeight w:val="232"/>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6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production and ad valorem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 as a % of oil, natural gas, and natural gas liquids revenue</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general, production taxes are directly related to production revenues and are based upon current year commodity prices. Production taxes as a percentage of production revenues remained consistent for the three months ended March 31, 2021 compared to the same period in 2020.</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Ad valorem taxes for the three months ended March 31, 2021 as compared to the three months ended March 31, 2020 decreased by $14 million primarily due to lower overall valuations resulting from a decrease in commodity prices between valuation periods.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Gathering and Transportation Expense. </w:t>
      </w:r>
      <w:r>
        <w:rPr>
          <w:rFonts w:ascii="Arial" w:cs="Arial" w:eastAsia="Arial" w:hAnsi="Arial"/>
          <w:sz w:val="18"/>
          <w:szCs w:val="18"/>
          <w:color w:val="auto"/>
        </w:rPr>
        <w:t>The following table shows gathering and transportation expense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3"/>
              </w:rPr>
              <w:t>Three Months Ended March 31,</w:t>
            </w:r>
          </w:p>
        </w:tc>
        <w:tc>
          <w:tcPr>
            <w:tcW w:w="780" w:type="dxa"/>
            <w:vAlign w:val="bottom"/>
            <w:tcBorders>
              <w:bottom w:val="single" w:sz="8" w:color="auto"/>
            </w:tcBorders>
          </w:tcPr>
          <w:p>
            <w:pPr>
              <w:spacing w:after="0"/>
              <w:rPr>
                <w:sz w:val="18"/>
                <w:szCs w:val="18"/>
                <w:color w:val="auto"/>
              </w:rPr>
            </w:pPr>
          </w:p>
        </w:tc>
      </w:tr>
      <w:tr>
        <w:trPr>
          <w:trHeight w:val="210"/>
        </w:trPr>
        <w:tc>
          <w:tcPr>
            <w:tcW w:w="7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r>
      <w:tr>
        <w:trPr>
          <w:trHeight w:val="209"/>
        </w:trPr>
        <w:tc>
          <w:tcPr>
            <w:tcW w:w="7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5"/>
              </w:rPr>
              <w:t>Amount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r>
      <w:tr>
        <w:trPr>
          <w:trHeight w:val="210"/>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0" w:type="dxa"/>
            <w:vAlign w:val="bottom"/>
            <w:gridSpan w:val="8"/>
          </w:tcPr>
          <w:p>
            <w:pPr>
              <w:ind w:left="500"/>
              <w:spacing w:after="0"/>
              <w:rPr>
                <w:sz w:val="20"/>
                <w:szCs w:val="20"/>
                <w:color w:val="auto"/>
              </w:rPr>
            </w:pPr>
            <w:r>
              <w:rPr>
                <w:rFonts w:ascii="Arial" w:cs="Arial" w:eastAsia="Arial" w:hAnsi="Arial"/>
                <w:sz w:val="16"/>
                <w:szCs w:val="16"/>
                <w:b w:val="1"/>
                <w:bCs w:val="1"/>
                <w:color w:val="auto"/>
              </w:rPr>
              <w:t>(In millions, except per BOE amounts)</w:t>
            </w:r>
          </w:p>
        </w:tc>
      </w:tr>
      <w:tr>
        <w:trPr>
          <w:trHeight w:val="232"/>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transportation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31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2021, the per BOE decrease for gathering and transportation expenses is primarily attributable to recording minimum volume commitment fees in 2020.</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Amortization and Accretion. </w:t>
      </w:r>
      <w:r>
        <w:rPr>
          <w:rFonts w:ascii="Arial" w:cs="Arial" w:eastAsia="Arial" w:hAnsi="Arial"/>
          <w:sz w:val="18"/>
          <w:szCs w:val="18"/>
          <w:color w:val="auto"/>
        </w:rPr>
        <w:t>The following table provides the components of our depreciation, depletion,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accretion expense for the three months ended March 31, 2021 and 2020: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98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8260" w:type="dxa"/>
            <w:vAlign w:val="bottom"/>
          </w:tcPr>
          <w:p>
            <w:pPr>
              <w:spacing w:after="0"/>
              <w:rPr>
                <w:sz w:val="18"/>
                <w:szCs w:val="18"/>
                <w:color w:val="auto"/>
              </w:rPr>
            </w:pPr>
          </w:p>
        </w:tc>
        <w:tc>
          <w:tcPr>
            <w:tcW w:w="2980" w:type="dxa"/>
            <w:vAlign w:val="bottom"/>
            <w:gridSpan w:val="5"/>
          </w:tcPr>
          <w:p>
            <w:pPr>
              <w:jc w:val="right"/>
              <w:ind w:right="191"/>
              <w:spacing w:after="0"/>
              <w:rPr>
                <w:sz w:val="20"/>
                <w:szCs w:val="20"/>
                <w:color w:val="auto"/>
              </w:rPr>
            </w:pPr>
            <w:r>
              <w:rPr>
                <w:rFonts w:ascii="Arial" w:cs="Arial" w:eastAsia="Arial" w:hAnsi="Arial"/>
                <w:sz w:val="16"/>
                <w:szCs w:val="16"/>
                <w:b w:val="1"/>
                <w:bCs w:val="1"/>
                <w:color w:val="auto"/>
              </w:rPr>
              <w:t>(In millions, except BOE amounts)</w:t>
            </w: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Depreciation of midstream assets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retirement obligation accretion</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Oil and natural gas properties depletion rate per BOE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vMerge w:val="continue"/>
          </w:tcPr>
          <w:p>
            <w:pPr>
              <w:spacing w:after="0"/>
              <w:rPr>
                <w:sz w:val="17"/>
                <w:szCs w:val="17"/>
                <w:color w:val="auto"/>
              </w:rPr>
            </w:pPr>
          </w:p>
        </w:tc>
        <w:tc>
          <w:tcPr>
            <w:tcW w:w="980" w:type="dxa"/>
            <w:vAlign w:val="bottom"/>
          </w:tcPr>
          <w:p>
            <w:pPr>
              <w:jc w:val="right"/>
              <w:ind w:right="775"/>
              <w:spacing w:after="0" w:line="204"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4" w:lineRule="exact"/>
              <w:rPr>
                <w:sz w:val="20"/>
                <w:szCs w:val="20"/>
                <w:color w:val="auto"/>
              </w:rPr>
            </w:pPr>
            <w:r>
              <w:rPr>
                <w:rFonts w:ascii="Arial" w:cs="Arial" w:eastAsia="Arial" w:hAnsi="Arial"/>
                <w:sz w:val="18"/>
                <w:szCs w:val="18"/>
                <w:color w:val="auto"/>
              </w:rPr>
              <w:t>9.29</w:t>
            </w:r>
          </w:p>
        </w:tc>
        <w:tc>
          <w:tcPr>
            <w:tcW w:w="100" w:type="dxa"/>
            <w:vAlign w:val="bottom"/>
          </w:tcPr>
          <w:p>
            <w:pPr>
              <w:spacing w:after="0"/>
              <w:rPr>
                <w:sz w:val="17"/>
                <w:szCs w:val="17"/>
                <w:color w:val="auto"/>
              </w:rPr>
            </w:pPr>
          </w:p>
        </w:tc>
        <w:tc>
          <w:tcPr>
            <w:tcW w:w="340" w:type="dxa"/>
            <w:vAlign w:val="bottom"/>
          </w:tcPr>
          <w:p>
            <w:pPr>
              <w:jc w:val="right"/>
              <w:ind w:right="130"/>
              <w:spacing w:after="0" w:line="204"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4" w:lineRule="exact"/>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decrease in depletion of proved oil and natural gas properties of $135 million for the three months ended March 31, 2021 as compared to the three months ended March 31, 2020 resulted largely from a reduction in the average depletion rate for our oil and natural gas properties in 2021, which stemmed from a decrease in the net book value of our properties due primarily to the full cost ceiling impairments recorded in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Impairment of Oil and Natural Gas Properties. </w:t>
      </w:r>
      <w:r>
        <w:rPr>
          <w:rFonts w:ascii="Arial" w:cs="Arial" w:eastAsia="Arial" w:hAnsi="Arial"/>
          <w:sz w:val="18"/>
          <w:szCs w:val="18"/>
          <w:color w:val="auto"/>
        </w:rPr>
        <w:t>Pursuant to SEC guidance, we determined the fair value of the properties acquired in the QEP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and Guidon Acquisition clearly exceeded the related full cost ceiling limitation beyond a reasonable doubt and received a waiver from the SEC to exclude the acquired properties from the first quarter 2021 ceiling test calculation. As a result, no impairment expense was recorded for the three months ended March 31, 2021. The properties acquired in the QEP Merger and Guidon Acquisition had an unamortized cost at March 31, 2021 of $3.0 billion and $1.1 billion, respectively. Had we not received the waiver from the SEC, the impairment charge recorded would have been an additional $1.1 billion for the three months ended March 31, 2021.</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sharp decline in commodity prices during 2020, we recorded a non-cash ceiling test impairment for the three months ended March 31, 2020 of $1.0 billion, which is included in accumulated depletion, depreciation, amortization and impairment on our condensed consolidated balance sheet.</w:t>
      </w:r>
    </w:p>
    <w:p>
      <w:pPr>
        <w:spacing w:after="0" w:line="211"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Impairment charges affect our results of operations but do not reduce our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fall as compared to the commodity prices used in prior quarters, we may have material write-downs in subsequent quarters. See Note 6—</w:t>
      </w:r>
      <w:hyperlink w:anchor="page18">
        <w:r>
          <w:rPr>
            <w:rFonts w:ascii="Arial" w:cs="Arial" w:eastAsia="Arial" w:hAnsi="Arial"/>
            <w:sz w:val="18"/>
            <w:szCs w:val="18"/>
            <w:u w:val="single" w:color="auto"/>
            <w:color w:val="0000FF"/>
          </w:rPr>
          <w:t>Property and Equipment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factors that impact the impairment of oil and natural gas properties.</w:t>
      </w:r>
    </w:p>
    <w:p>
      <w:pPr>
        <w:spacing w:after="0" w:line="21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w w:val="93"/>
              </w:rPr>
              <w:t>Three Months Ended March 31,</w:t>
            </w:r>
          </w:p>
        </w:tc>
        <w:tc>
          <w:tcPr>
            <w:tcW w:w="800" w:type="dxa"/>
            <w:vAlign w:val="bottom"/>
            <w:tcBorders>
              <w:bottom w:val="single" w:sz="8" w:color="auto"/>
            </w:tcBorders>
          </w:tcPr>
          <w:p>
            <w:pPr>
              <w:spacing w:after="0"/>
              <w:rPr>
                <w:sz w:val="18"/>
                <w:szCs w:val="18"/>
                <w:color w:val="auto"/>
              </w:rPr>
            </w:pPr>
          </w:p>
        </w:tc>
      </w:tr>
      <w:tr>
        <w:trPr>
          <w:trHeight w:val="210"/>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8"/>
                <w:szCs w:val="18"/>
                <w:color w:val="auto"/>
              </w:rPr>
            </w:pPr>
          </w:p>
        </w:tc>
      </w:tr>
      <w:tr>
        <w:trPr>
          <w:trHeight w:val="209"/>
        </w:trPr>
        <w:tc>
          <w:tcPr>
            <w:tcW w:w="7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 BOE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8"/>
              </w:rPr>
              <w:t>Per BOE</w:t>
            </w:r>
          </w:p>
        </w:tc>
      </w:t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11"/>
          </w:tcPr>
          <w:p>
            <w:pPr>
              <w:ind w:left="540"/>
              <w:spacing w:after="0"/>
              <w:rPr>
                <w:sz w:val="20"/>
                <w:szCs w:val="20"/>
                <w:color w:val="auto"/>
              </w:rPr>
            </w:pPr>
            <w:r>
              <w:rPr>
                <w:rFonts w:ascii="Arial" w:cs="Arial" w:eastAsia="Arial" w:hAnsi="Arial"/>
                <w:sz w:val="16"/>
                <w:szCs w:val="16"/>
                <w:b w:val="1"/>
                <w:bCs w:val="1"/>
                <w:color w:val="auto"/>
              </w:rPr>
              <w:t>(In millions, except per BOE amounts)</w:t>
            </w:r>
          </w:p>
        </w:tc>
      </w:tr>
      <w:tr>
        <w:trPr>
          <w:trHeight w:val="232"/>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15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9"/>
              </w:rPr>
              <w:t>10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9"/>
              </w:rPr>
              <w:t>25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0"/>
        </w:trPr>
        <w:tc>
          <w:tcPr>
            <w:tcW w:w="11240" w:type="dxa"/>
            <w:vAlign w:val="bottom"/>
            <w:gridSpan w:val="13"/>
          </w:tcPr>
          <w:p>
            <w:pPr>
              <w:jc w:val="right"/>
              <w:spacing w:after="0"/>
              <w:rPr>
                <w:sz w:val="20"/>
                <w:szCs w:val="20"/>
                <w:color w:val="auto"/>
              </w:rPr>
            </w:pPr>
            <w:r>
              <w:rPr>
                <w:rFonts w:ascii="Arial" w:cs="Arial" w:eastAsia="Arial" w:hAnsi="Arial"/>
                <w:sz w:val="18"/>
                <w:szCs w:val="18"/>
                <w:b w:val="1"/>
                <w:bCs w:val="1"/>
                <w:i w:val="1"/>
                <w:iCs w:val="1"/>
                <w:color w:val="auto"/>
                <w:w w:val="98"/>
              </w:rPr>
              <w:t xml:space="preserve">Merger and Integration Expense. </w:t>
            </w:r>
            <w:r>
              <w:rPr>
                <w:rFonts w:ascii="Arial" w:cs="Arial" w:eastAsia="Arial" w:hAnsi="Arial"/>
                <w:sz w:val="18"/>
                <w:szCs w:val="18"/>
                <w:color w:val="auto"/>
                <w:w w:val="98"/>
              </w:rPr>
              <w:t>The following tables shows merger and integration expense for the three months ended March 31, 2021 and</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0"/>
        </w:trPr>
        <w:tc>
          <w:tcPr>
            <w:tcW w:w="7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29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6"/>
                <w:szCs w:val="16"/>
                <w:b w:val="1"/>
                <w:bCs w:val="1"/>
                <w:color w:val="auto"/>
                <w:w w:val="95"/>
              </w:rPr>
              <w:t>2020</w:t>
            </w:r>
          </w:p>
        </w:tc>
      </w:t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and integration expense</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Total merger and integration expense for the three months ended March 31, 2021 includes $67 million in costs incurred for the QEP Merger and $8 million in costs incurred for the Guidon Acquisition. The QEP Merger related expenses primarily consist of $38 million in severance costs and $23 million in banking, legal and advisory fees, and the Guidon Acquisition related expenses consist primarily of advisory fees. See Note 4—</w:t>
      </w:r>
      <w:hyperlink w:anchor="page15">
        <w:r>
          <w:rPr>
            <w:rFonts w:ascii="Arial" w:cs="Arial" w:eastAsia="Arial" w:hAnsi="Arial"/>
            <w:sz w:val="18"/>
            <w:szCs w:val="18"/>
            <w:u w:val="single" w:color="auto"/>
            <w:color w:val="0000FF"/>
          </w:rPr>
          <w:t>Acquisitions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the QEP Merger and Guidon Acquisition.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Net Interest Expense. </w:t>
      </w:r>
      <w:r>
        <w:rPr>
          <w:rFonts w:ascii="Arial" w:cs="Arial" w:eastAsia="Arial" w:hAnsi="Arial"/>
          <w:sz w:val="16"/>
          <w:szCs w:val="16"/>
          <w:color w:val="auto"/>
        </w:rPr>
        <w:t>The following table shows the components of net interest expense for the three months ended March 31, 2021 and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Borders>
              <w:bottom w:val="single" w:sz="8" w:color="auto"/>
            </w:tcBorders>
          </w:tcPr>
          <w:p>
            <w:pPr>
              <w:spacing w:after="0"/>
              <w:rPr>
                <w:sz w:val="18"/>
                <w:szCs w:val="18"/>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r>
      <w:tr>
        <w:trPr>
          <w:trHeight w:val="209"/>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8"/>
                <w:szCs w:val="18"/>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agreements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income</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1"/>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96" w:lineRule="auto"/>
        <w:rPr>
          <w:rFonts w:ascii="Arial" w:cs="Arial" w:eastAsia="Arial" w:hAnsi="Arial"/>
          <w:sz w:val="16"/>
          <w:szCs w:val="16"/>
          <w:color w:val="auto"/>
        </w:rPr>
      </w:pPr>
      <w:r>
        <w:rPr>
          <w:rFonts w:ascii="Arial" w:cs="Arial" w:eastAsia="Arial" w:hAnsi="Arial"/>
          <w:sz w:val="16"/>
          <w:szCs w:val="16"/>
          <w:color w:val="auto"/>
        </w:rPr>
        <w:t>Net interest expense increased by $8 million for the three months ended March 31, 2021 compared to the same period in 2020. The increase was primarily due to interest expense related to our May 2020 Notes, Rattler’s 5.625% Senior Notes due 2025, and to a lesser extent, interest expense incurred on the QEP Notes that remained outstanding following the QEP Merger completed in March 2021 and the newly issued March 2021 Notes, which increase was partially offset by interest cost savings on the repurchase of $368 million in outstanding principal of our 2025 Notes in March 2021, and a decrease in borrowings under our revolving credit agreements. See Note 9—</w:t>
      </w:r>
      <w:hyperlink w:anchor="page20">
        <w:r>
          <w:rPr>
            <w:rFonts w:ascii="Arial" w:cs="Arial" w:eastAsia="Arial" w:hAnsi="Arial"/>
            <w:sz w:val="16"/>
            <w:szCs w:val="16"/>
            <w:u w:val="single" w:color="auto"/>
            <w:color w:val="0000FF"/>
          </w:rPr>
          <w:t>Debt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details regarding outstanding borrowings and interest expense.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receipts (payments)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of derivative instruments for the three months ended March 31,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09"/>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304"/>
        </w:trPr>
        <w:tc>
          <w:tcPr>
            <w:tcW w:w="826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5" w:lineRule="exact"/>
        <w:rPr>
          <w:sz w:val="20"/>
          <w:szCs w:val="20"/>
          <w:color w:val="auto"/>
        </w:rPr>
      </w:pPr>
    </w:p>
    <w:p>
      <w:pPr>
        <w:ind w:left="340" w:hanging="332"/>
        <w:spacing w:after="0" w:line="277"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three months ended March 31, 2021 include cash received on interest rate swap contracts terminated prior to their contractual maturity of $80 million.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 As part of the QEP Merger, we received by novation from QEP certain derivative instruments which were included on our balance sheet as of March 31,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Provision for (Benefit from) Income Taxes. </w:t>
      </w:r>
      <w:r>
        <w:rPr>
          <w:rFonts w:ascii="Arial" w:cs="Arial" w:eastAsia="Arial" w:hAnsi="Arial"/>
          <w:sz w:val="16"/>
          <w:szCs w:val="16"/>
          <w:color w:val="auto"/>
        </w:rPr>
        <w:t>The following table shows the provision for (benefit from) income taxes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117" w:lineRule="exact"/>
        <w:rPr>
          <w:sz w:val="20"/>
          <w:szCs w:val="20"/>
          <w:color w:val="auto"/>
        </w:rPr>
      </w:pPr>
    </w:p>
    <w:p>
      <w:pPr>
        <w:jc w:val="center"/>
        <w:ind w:left="83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20320</wp:posOffset>
            </wp:positionV>
            <wp:extent cx="18516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6" w:lineRule="exact"/>
        <w:rPr>
          <w:sz w:val="20"/>
          <w:szCs w:val="20"/>
          <w:color w:val="auto"/>
        </w:rPr>
      </w:pPr>
    </w:p>
    <w:p>
      <w:pPr>
        <w:ind w:left="8860"/>
        <w:spacing w:after="0"/>
        <w:tabs>
          <w:tab w:leader="none" w:pos="103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20320</wp:posOffset>
            </wp:positionV>
            <wp:extent cx="18516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6"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(In millions)</w:t>
      </w:r>
    </w:p>
    <w:p>
      <w:pPr>
        <w:spacing w:after="0" w:line="32" w:lineRule="exact"/>
        <w:rPr>
          <w:sz w:val="20"/>
          <w:szCs w:val="20"/>
          <w:color w:val="auto"/>
        </w:rPr>
      </w:pPr>
    </w:p>
    <w:p>
      <w:pPr>
        <w:ind w:left="20"/>
        <w:spacing w:after="0"/>
        <w:tabs>
          <w:tab w:leader="none" w:pos="8320" w:val="left"/>
          <w:tab w:leader="none" w:pos="9460" w:val="left"/>
          <w:tab w:leader="none" w:pos="9840" w:val="left"/>
          <w:tab w:leader="none" w:pos="10960" w:val="left"/>
        </w:tabs>
        <w:rPr>
          <w:sz w:val="20"/>
          <w:szCs w:val="20"/>
          <w:color w:val="auto"/>
        </w:rPr>
      </w:pPr>
      <w:r>
        <w:rPr>
          <w:rFonts w:ascii="Arial" w:cs="Arial" w:eastAsia="Arial" w:hAnsi="Arial"/>
          <w:sz w:val="18"/>
          <w:szCs w:val="18"/>
          <w:color w:val="auto"/>
        </w:rPr>
        <w:t>Provision for (benefit from)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w:t>
        <w:tab/>
        <w:t>$</w:t>
      </w:r>
      <w:r>
        <w:rPr>
          <w:sz w:val="20"/>
          <w:szCs w:val="20"/>
          <w:color w:val="auto"/>
        </w:rPr>
        <w:tab/>
      </w: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change in our income tax provision for the first quarter of 2021 compared to the same period in 2020 was primarily due to income tax expense resulting from recording a valuation allowance on Viper’s deferred tax assets for the three months ended March 31, 2020.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Historically, our primary sources of liquidity have been cash flows from operations, proceeds from our public equity offerings, borrowings under our revolving credit facility and proceeds from the issuance of our senior notes. Our primary uses of capital have been for the acquisition, development and exploration of oil and natural gas properties.</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three months ended March 31, 2021 and 2020 are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r>
      <w:tr>
        <w:trPr>
          <w:trHeight w:val="209"/>
        </w:trPr>
        <w:tc>
          <w:tcPr>
            <w:tcW w:w="8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(923)</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increase (decrease) in cash</w:t>
            </w: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decrease in operating cash flows for the three months ended March 31, 2021 compared to the same period in 2020 primarily resulted from (i) working capital changes, primarily due to the timing of collections of our oil and natural gas sales receivables and recording working capital assets and liabilities acquired in the QEP Merger during March 2021, (ii) a reduction of $265 million due to making net cash payments of $178 million on our derivative contracts in the first quarter of 2021 compared to receiving net cash of $87 million on our derivative contracts in the first quarter of 2020, and</w:t>
      </w:r>
    </w:p>
    <w:p>
      <w:pPr>
        <w:spacing w:after="0" w:line="1" w:lineRule="exact"/>
        <w:rPr>
          <w:sz w:val="20"/>
          <w:szCs w:val="20"/>
          <w:color w:val="auto"/>
        </w:rPr>
      </w:pPr>
    </w:p>
    <w:p>
      <w:pPr>
        <w:jc w:val="both"/>
        <w:ind w:firstLine="8"/>
        <w:spacing w:after="0" w:line="277" w:lineRule="auto"/>
        <w:tabs>
          <w:tab w:leader="none" w:pos="32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acquisition costs of $75 million incurred during the first quarter of 2021 for the QEP Merger and Guidon Acquisition. These net cash outflows were partially offset by an increase of $285 million in our total revenues and receipt of a $100 million refund of an income tax receivable related to the carryback of federal net operating losses and the accelerated refund of minimum tax credits allowed under the CARES Act in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was $587 million compared to $923 million during the three months ended March 31, 2021 and 2020, respectively. The majority of our cash used for investing activities during 2021 was for the purchase and development of oil and natural gas properties and related assets including the acquisition of certain leasehold interests as part of the Guidon Acquisition. The majority of our net cash used in investing activities during the three months ended March 31, 2020 was incurred for drilling and completion costs in conjunction with our development program. Our capital expenditures for each period are discussed further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 Activities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capital expenditures excluding acquisitions and equity method investments (on a cash basis) were as follows for the specified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Borders>
              <w:bottom w:val="single" w:sz="8" w:color="auto"/>
            </w:tcBorders>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r>
      <w:tr>
        <w:trPr>
          <w:trHeight w:val="232"/>
        </w:trPr>
        <w:tc>
          <w:tcPr>
            <w:tcW w:w="79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Drilling, completions and non-operated additions to oil and natural gas properties</w:t>
            </w:r>
            <w:r>
              <w:rPr>
                <w:rFonts w:ascii="Arial" w:cs="Arial" w:eastAsia="Arial" w:hAnsi="Arial"/>
                <w:sz w:val="23"/>
                <w:szCs w:val="23"/>
                <w:color w:val="auto"/>
                <w:vertAlign w:val="superscript"/>
              </w:rPr>
              <w:t>(1)(2)</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Infrastructure additions to oil and natural gas properties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midstream assets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0"/>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54"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three months ended March 31, 2021, in conjunction with our development program, we drilled 49 gross (47 net) operated horizontal wells, of which 41 gross (40 net) wells were in the Midland Basin and eight gross (seven net) wells were in the Delaware Basin, and turned 67 gross (60 net) operated horizontal wells to production, of which 42 gross (37 net) wells were in the Midland Basin and 25 gross (23 net) wells were in the Delaware Basin.</w:t>
      </w:r>
    </w:p>
    <w:p>
      <w:pPr>
        <w:spacing w:after="0" w:line="2"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three months ended March 31, 2020, in conjunction with our development program, we drilled 93 gross (85 net) operated horizontal wells, of which 55 gross (50 net) wells were in the Midland Basin and 38 gross (35 net) wells were in the Delaware Basin, and turned 80 gross (72 net) operated horizontal wells to production, of which 46 gross (42 net) wells were in the Delaware Basin and 34 gross (30 net) wells were in the Midland Basin.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financing activities for the three months ended March 31, 2021 and 2020 was $29 million and $101 million, respectively. During the three months ended March 31, 2021, the amount provided by financing activities was primarily attributable to $2.2 billion in proceeds from the March 2021 Notes and $76 million in proceeds that relate primarily to the early settlement of interest rate swaps that contained an other-than-insignificant financing element. These net increases in cash flows from financing activities were partially offset by $1.9 billion paid for the repurchase of a portion of the QEP Notes and 2025 Senior Notes, as well as $166 million of additional premiums paid in connection with the repurchases, $68 million of dividends paid to stockholders, $24 million of unit repurchases as part of the Viper and Rattler unit repurchase programs and $23 million of repayments under our credit facilities, net of borrowings.</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2020 amount provided by financing activities was primarily attributable to $290 million of borrowings, net of repayments under our credit facilities and $16 million in proceeds from joint ventures, partially offset by $98 million of share repurchases as part of our previous stock repurchase program, $59 million of dividends to stockholders, $43 million of distributions to non-controlling interest and $5 million of cash paid for tax withholding on vested equity awards.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At March 31, 2021, our debt, including the debt of Viper and Rattler, consists of approximately $7.5 billion in aggregate outstanding principal amount of senior notes (including $191 million due in 2021), $163 million in aggregate outstanding borrowings under revolving credit facilities and $75 million in outstanding amounts due under our DrillCo Agreement. Our revolving credit facilities and significant changes in our outstanding indebtedness during the three months ended March 31, 2021 are discussed further below. See Note 9—</w:t>
      </w:r>
      <w:hyperlink w:anchor="page20">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our outstanding debt at March 31,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the maximum credit amount available under our credit agreement was $2 billion, with $52 million in outstanding borrowings and $1.9 billion available for future borrowings. As of March 31, 2021, there was an aggregate of $3 million in letters of credit outstanding under our credit agreement. The weighted average interest rate on borrowings under the credit facility was 1.65% for the three months ended March 31,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we were in compliance with all financial maintenance covenants under the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March 2021 Notes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24, 2021, we issued $650 million of our 2023 Notes, $900 million of our 2031 Notes and $650 million of our 2051 Notes and received proceeds of $2.18 billion, net of $24 million in debt issuance costs and discounts. The net proceeds were primarily used to fund the repurchase of other senior notes outstanding as discussed further below. Interest on the March 2021 Notes is payable semi-annually on March 24 and September 24, beginning on September 24,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QEP Notes and Repurchases of Notes</w:t>
      </w:r>
    </w:p>
    <w:p>
      <w:pPr>
        <w:spacing w:after="0" w:line="25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On March 17, 2021, in conjunction with the QEP Merger discussed in Note 4—</w:t>
      </w:r>
      <w:hyperlink w:anchor="page15">
        <w:r>
          <w:rPr>
            <w:rFonts w:ascii="Arial" w:cs="Arial" w:eastAsia="Arial" w:hAnsi="Arial"/>
            <w:sz w:val="18"/>
            <w:szCs w:val="18"/>
            <w:u w:val="single" w:color="auto"/>
            <w:color w:val="0000FF"/>
          </w:rPr>
          <w:t>Acquisitions</w:t>
        </w:r>
      </w:hyperlink>
      <w:r>
        <w:rPr>
          <w:rFonts w:ascii="Arial" w:cs="Arial" w:eastAsia="Arial" w:hAnsi="Arial"/>
          <w:sz w:val="18"/>
          <w:szCs w:val="18"/>
          <w:color w:val="auto"/>
        </w:rPr>
        <w:t>, QEP’s outstanding debt had fair values consisting of $478 million of the QEP 2022 Notes, $673 million of the QEP 2023 Notes, and $558 million of the QEP 2026 Notes.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Subsequent to the QEP Merger, in March 2021, we repurchased pursuant to tender offers commenced by us approximately $1.65 billion in fair value carrying amount of the QEP Notes for total cash consideration of $1.7 billion, including redemption and early premium fees, which resulted in a loss on extinguishment of debt during the three months ended March 31, 2021 of approximately $47 million. The aggregate fair value of the QEP Notes repurchased consisted of (i) $453 million, or 94.65%, of the outstanding fair value carrying amount of the QEP 2022 Notes, (ii) $663 million, or 98.43%, of the outstanding fair value carrying amount of the QEP 2023 Notes, and (iii) $538 million, or 96.35%, of the outstanding fair value carrying amount of the QEP 2026 Notes.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2021, we also repurchased an aggregate of $368 million principal amount of our 5.375% 2025 Senior Notes, representing approximately 45.97% of the outstanding 2025 Senior Notes, for total cash consideration of $381 million, including redemption and early premium fees, which resulted in a loss on extinguishment of debt during the three months ended March 31, 2021 of $14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funded the repurchases of the QEP Notes and 2025 Senior Notes with the proceeds from the March 2021 Notes offering discussed above.</w:t>
      </w:r>
    </w:p>
    <w:p>
      <w:pPr>
        <w:spacing w:after="0" w:line="2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tender offers to repurchase the QEP Notes discussed above, we also solicited consents from holders of the QEP Notes to amend the indenture for the QEP Notes to, among other things, eliminate substantially all of the restrictive covenants and related provisions and certain events of default contained in the QEP indenture under which the QEP Notes were issued. We received the requisite number of consents and, on March 23, 2021, entered into a supplemental indenture relating to the QEP Notes adopting these amendments.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Viper credit agreement, as amended to date, or the Viper credit agreement, provides for a revolving credit facility in the maximum credit amount of $2 billion, with a borrowing base of $580 million as of March 31, 2021 based on Viper LLC’s oil and natural gas reserves and other factors (the “borrowing base”). The borrowing base is scheduled to be redetermined semi-annually in May and November. As of March 31, 2021, Viper LLC had $57 million of outstanding borrowings and $523 million available for future borrowings under the Viper credit agreement. The weighted average interest rate on borrowings under the Viper credit agreement was 1.88% for the three months ended March 31, 2021. The Viper credit agreement matures on November 1, 2022.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Viper LLC was in compliance with all financial maintenance covenants under the Viper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as amended to date, or the Rattler credit agreement, provides for a revolving credit facility in the maximum credit amount of $600 million, which is expandable to $1 billion upon Rattler’s election, subject to obtaining additional lender commitments and satisfaction of customary conditions. As of March 31, 2021, Rattler LLC had $54 million of outstanding borrowings and $546 million available for future borrowings under the Rattler credit agreement. The weighted average interest rate on borrowings under the Rattler credit agreement was 1.40% for the three months ended March 31, 2021. The Rattler credit agreement matures on May 28, 2024.</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Rattler LLC was in compliance with all financial maintenance covenants under the Rattler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initially approved a 2021 capital budget for drilling and completion, midstream and infrastructure of approximately $1.4 billion to $1.6 billion. We have updated our 2021 capital budget to approximately $1.6 billion to $1.75 billion to give effect to the QEP Merger, representing an increase of 16% over our original 2021 capital budget. We estimate that, of these expenditures, approximately:</w:t>
      </w:r>
    </w:p>
    <w:p>
      <w:pPr>
        <w:spacing w:after="0" w:line="192" w:lineRule="exact"/>
        <w:rPr>
          <w:sz w:val="20"/>
          <w:szCs w:val="20"/>
          <w:color w:val="auto"/>
        </w:rPr>
      </w:pPr>
    </w:p>
    <w:p>
      <w:pPr>
        <w:ind w:left="66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$1.5 billion to $1.6 billion will be spent on drilling and completing 275 to 285 gross (250 to 259 net) horizontal wells across our operated leasehold acreage in the Northern Midland and Southern Delaware Basins, with an average lateral length of approximately 10,300 feet;</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$60 million to $80 million will be spent on midstream infrastructure, excluding joint venture investments;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$80 million to $90 million will be spent on infrastructure and other expenditures, excluding the cost of any leasehold and mineral interest acquisitions.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quarter of 2021, we spent $273 million on drilling and completion, $7 million on midstream, $8 million on non-operated properties and $8 million on infrastructure, for total capital expenditures, excluding acquisitions, of $296 million.</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11 drilling rigs and three completion crews. We currently continue to execute on our strategy to hold oil production flat while using cash flow from operations to reduce debt, strengthen our balance sheet and return capital to our stockholders. We will continue monitoring commodity prices and overall market conditions and can adjust our rig cadence up or down in response to changes in commodity prices and overall market conditions.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current oil and natural gas prices and production expectations for 2021, we believe that our cash flow from operations, cash on hand and borrowings under our revolving credit facility will be sufficient to fund our operations through the 12-month period following the filing of this report. However, future cash flows are subject to a number of variables, including the level of oil and natural gas production and prices, and significant additional capital expenditures will be required to more fully develop our properties. Further, our 2021 capital expenditure budget does not allocate any funds for leasehold interest and property acquisitions.</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monitor and adjust our projected capital expenditures in response to the results of our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expenditures necessary to replace our reserves. If there is a decline in commodity prices, our revenues, cash flows, results of operations, liquidity and reserves may be materially and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2021, Diamondback O&amp;G LLC is the sole guarantor under the indentures governing the December 2019 Notes, the May 2020 Notes, the 2025 Senior Notes and the March 2021 Notes.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Guarantees are “full and unconditional,” as that term is used in Regulation S-X, Rule 3-10(b)(3), except that such guarantees will be released or terminated in certain circumstances set forth in the December 2019 Notes Indenture and the 2025 Indenture, such as, with certain exceptions, (1) in the event Diamondback O&amp;G LLC (or all or substantially all of its assets) is sold or disposed of, (2) in the event Diamondback O&amp;G LLC ceases to be a guarantor of or otherwise be an obligor under certain other indebtedness, and (3) in connection with any covenant defeasance, legal defeasance or satisfaction and discharge of the relevant indenture.</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LLC’s guarantees of the December 2019 Notes, the May 2020 Notes, the 2025 Senior Notes and the March 2021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O&amp;G LLC may be limited under the U.S. Bankruptcy Code or state fraudulent transfer or conveyance law. Each guarantee contains a provision intended to limit Diamondback O&amp;G LLC’s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O&amp;G LLC.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O&amp;G LLC,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March 31, 2021</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7"/>
              </w:rPr>
              <w:t>December 31, 2020</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Summarized Balance Sheets:</w:t>
            </w:r>
          </w:p>
        </w:tc>
        <w:tc>
          <w:tcPr>
            <w:tcW w:w="280" w:type="dxa"/>
            <w:vAlign w:val="bottom"/>
          </w:tcPr>
          <w:p>
            <w:pPr>
              <w:spacing w:after="0"/>
              <w:rPr>
                <w:sz w:val="18"/>
                <w:szCs w:val="18"/>
                <w:color w:val="auto"/>
              </w:rPr>
            </w:pPr>
          </w:p>
        </w:tc>
        <w:tc>
          <w:tcPr>
            <w:tcW w:w="3780" w:type="dxa"/>
            <w:vAlign w:val="bottom"/>
            <w:gridSpan w:val="3"/>
          </w:tcPr>
          <w:p>
            <w:pPr>
              <w:jc w:val="right"/>
              <w:ind w:right="1511"/>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302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8,108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769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accounts payable, non-guarantor subsidiary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6,132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4,293</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Three Months Ended March</w:t>
            </w:r>
          </w:p>
        </w:tc>
      </w:tr>
      <w:tr>
        <w:trPr>
          <w:trHeight w:val="210"/>
        </w:trPr>
        <w:tc>
          <w:tcPr>
            <w:tcW w:w="4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294"/>
              <w:spacing w:after="0"/>
              <w:rPr>
                <w:sz w:val="20"/>
                <w:szCs w:val="20"/>
                <w:color w:val="auto"/>
              </w:rPr>
            </w:pPr>
            <w:r>
              <w:rPr>
                <w:rFonts w:ascii="Arial" w:cs="Arial" w:eastAsia="Arial" w:hAnsi="Arial"/>
                <w:sz w:val="16"/>
                <w:szCs w:val="16"/>
                <w:b w:val="1"/>
                <w:bCs w:val="1"/>
                <w:color w:val="auto"/>
                <w:w w:val="93"/>
              </w:rPr>
              <w:t>31, 2021</w:t>
            </w:r>
          </w:p>
        </w:tc>
      </w:tr>
      <w:tr>
        <w:trPr>
          <w:trHeight w:val="212"/>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Summarized Statement of Operations:</w:t>
            </w:r>
          </w:p>
        </w:tc>
        <w:tc>
          <w:tcPr>
            <w:tcW w:w="4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tcPr>
          <w:p>
            <w:pPr>
              <w:jc w:val="center"/>
              <w:ind w:right="294"/>
              <w:spacing w:after="0"/>
              <w:rPr>
                <w:sz w:val="20"/>
                <w:szCs w:val="20"/>
                <w:color w:val="auto"/>
              </w:rPr>
            </w:pPr>
            <w:r>
              <w:rPr>
                <w:rFonts w:ascii="Arial" w:cs="Arial" w:eastAsia="Arial" w:hAnsi="Arial"/>
                <w:sz w:val="16"/>
                <w:szCs w:val="16"/>
                <w:b w:val="1"/>
                <w:bCs w:val="1"/>
                <w:color w:val="auto"/>
                <w:w w:val="95"/>
              </w:rPr>
              <w:t>(In millions)</w:t>
            </w:r>
          </w:p>
        </w:tc>
      </w:tr>
      <w:tr>
        <w:trPr>
          <w:trHeight w:val="232"/>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532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532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5320" w:type="dxa"/>
            <w:vAlign w:val="bottom"/>
            <w:gridSpan w:val="2"/>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743"/>
        </w:trPr>
        <w:tc>
          <w:tcPr>
            <w:tcW w:w="4120" w:type="dxa"/>
            <w:vAlign w:val="bottom"/>
          </w:tcPr>
          <w:p>
            <w:pPr>
              <w:spacing w:after="0"/>
              <w:rPr>
                <w:sz w:val="24"/>
                <w:szCs w:val="24"/>
                <w:color w:val="auto"/>
              </w:rPr>
            </w:pPr>
          </w:p>
        </w:tc>
        <w:tc>
          <w:tcPr>
            <w:tcW w:w="4940" w:type="dxa"/>
            <w:vAlign w:val="bottom"/>
          </w:tcPr>
          <w:p>
            <w:pPr>
              <w:jc w:val="right"/>
              <w:ind w:right="3250"/>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58"/>
        </w:trPr>
        <w:tc>
          <w:tcPr>
            <w:tcW w:w="41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In addition to the changes in debt discussed in </w:t>
      </w:r>
      <w:r>
        <w:rPr>
          <w:rFonts w:ascii="Arial" w:cs="Arial" w:eastAsia="Arial" w:hAnsi="Arial"/>
          <w:sz w:val="18"/>
          <w:szCs w:val="18"/>
          <w:i w:val="1"/>
          <w:iCs w:val="1"/>
          <w:color w:val="auto"/>
        </w:rPr>
        <w:t>“</w:t>
      </w:r>
      <w:hyperlink w:anchor="page46">
        <w:r>
          <w:rPr>
            <w:rFonts w:ascii="Arial" w:cs="Arial" w:eastAsia="Arial" w:hAnsi="Arial"/>
            <w:sz w:val="18"/>
            <w:szCs w:val="18"/>
            <w:i w:val="1"/>
            <w:iCs w:val="1"/>
            <w:u w:val="single" w:color="auto"/>
            <w:color w:val="0000FF"/>
          </w:rPr>
          <w:t>—Indebtedness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above and in Note 9—</w:t>
      </w:r>
      <w:hyperlink w:anchor="page20">
        <w:r>
          <w:rPr>
            <w:rFonts w:ascii="Arial" w:cs="Arial" w:eastAsia="Arial" w:hAnsi="Arial"/>
            <w:sz w:val="18"/>
            <w:szCs w:val="18"/>
            <w:u w:val="single" w:color="auto"/>
            <w:color w:val="0000FF"/>
          </w:rPr>
          <w:t>Deb</w:t>
        </w:r>
      </w:hyperlink>
      <w:r>
        <w:rPr>
          <w:rFonts w:ascii="Arial" w:cs="Arial" w:eastAsia="Arial" w:hAnsi="Arial"/>
          <w:sz w:val="18"/>
          <w:szCs w:val="18"/>
          <w:color w:val="auto"/>
        </w:rPr>
        <w:t xml:space="preserve">t included in the notes to the condensed consolidated financial statements included elsewhere in this report, we acquired certain contractual obligations during the three months ended March 31, 2021 in conjunction with the QEP Merger including an aggregate of approximately $68 million in various transportation, gathering and purchase commitments. There were no other significant changes in our contractual obligations from those disclosed in our </w:t>
      </w:r>
      <w:hyperlink r:id="rId1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21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rFonts w:ascii="Arial" w:cs="Arial" w:eastAsia="Arial" w:hAnsi="Arial"/>
          <w:sz w:val="18"/>
          <w:szCs w:val="18"/>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our critical accounting policies from those disclosed in our </w:t>
      </w:r>
      <w:hyperlink r:id="rId79">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9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rFonts w:ascii="Arial" w:cs="Arial" w:eastAsia="Arial" w:hAnsi="Arial"/>
          <w:sz w:val="18"/>
          <w:szCs w:val="18"/>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We had no material off-balance sheet arrangements as of March 31, 2021. Please read Note 15—</w:t>
      </w:r>
      <w:hyperlink w:anchor="page33">
        <w:r>
          <w:rPr>
            <w:rFonts w:ascii="Arial" w:cs="Arial" w:eastAsia="Arial" w:hAnsi="Arial"/>
            <w:sz w:val="18"/>
            <w:szCs w:val="18"/>
            <w:u w:val="single" w:color="auto"/>
            <w:color w:val="0000FF"/>
          </w:rPr>
          <w:t>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notes to the condensed consolidated financial statements included elsewhere in this report, for a discussion of our commitments and contingencies, which are not recognized in the balance sheets under GAAP.</w:t>
      </w:r>
    </w:p>
    <w:p>
      <w:pPr>
        <w:spacing w:after="0" w:line="207" w:lineRule="exact"/>
        <w:rPr>
          <w:rFonts w:ascii="Arial" w:cs="Arial" w:eastAsia="Arial" w:hAnsi="Arial"/>
          <w:sz w:val="18"/>
          <w:szCs w:val="18"/>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rFonts w:ascii="Arial" w:cs="Arial" w:eastAsia="Arial" w:hAnsi="Arial"/>
          <w:sz w:val="18"/>
          <w:szCs w:val="18"/>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214" w:lineRule="exact"/>
        <w:rPr>
          <w:rFonts w:ascii="Arial" w:cs="Arial" w:eastAsia="Arial" w:hAnsi="Arial"/>
          <w:sz w:val="18"/>
          <w:szCs w:val="18"/>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derivatives, including swaps, basis swaps, puts, swaptions, roll swaps, and costless collars, to reduce price volatility associated with certain of our oil and natural gas sales.</w:t>
      </w:r>
    </w:p>
    <w:p>
      <w:pPr>
        <w:spacing w:after="0" w:line="197" w:lineRule="exact"/>
        <w:rPr>
          <w:rFonts w:ascii="Arial" w:cs="Arial" w:eastAsia="Arial" w:hAnsi="Arial"/>
          <w:sz w:val="18"/>
          <w:szCs w:val="18"/>
          <w:color w:val="auto"/>
        </w:rPr>
      </w:pPr>
    </w:p>
    <w:p>
      <w:pPr>
        <w:jc w:val="both"/>
        <w:ind w:firstLine="648"/>
        <w:spacing w:after="0" w:line="255" w:lineRule="auto"/>
        <w:rPr>
          <w:sz w:val="20"/>
          <w:szCs w:val="20"/>
          <w:color w:val="auto"/>
        </w:rPr>
      </w:pPr>
      <w:r>
        <w:rPr>
          <w:rFonts w:ascii="Arial" w:cs="Arial" w:eastAsia="Arial" w:hAnsi="Arial"/>
          <w:sz w:val="18"/>
          <w:szCs w:val="18"/>
          <w:color w:val="auto"/>
        </w:rPr>
        <w:t>At March 31, 2021, we had a net liability derivative position related to our commodity price derivatives of $608 million, related to our commodity price risk derivatives. Utilizing actual derivative contractual volumes under our commodity price derivatives as of March 31, 2021, a 10% increase in forward curves associated with the underlying commodity would have increased the net liability position to $670 million, an increase of $62 million, while a 10% decrease in forward curves associated with the underlying commodity would have decreased the net liability position to $546 million, a decrease of $62 million. However, any cash derivative gain or loss would be substantially offset by a decrease or increase, respectively, in the actual sales value of production covered by the derivative instrument.</w:t>
      </w:r>
    </w:p>
    <w:p>
      <w:pPr>
        <w:spacing w:after="0" w:line="219" w:lineRule="exact"/>
        <w:rPr>
          <w:rFonts w:ascii="Arial" w:cs="Arial" w:eastAsia="Arial" w:hAnsi="Arial"/>
          <w:sz w:val="18"/>
          <w:szCs w:val="18"/>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2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additional information on our open commodity derivative instruments at March 31, 2021, see Note 13—</w:t>
      </w:r>
      <w:hyperlink w:anchor="page27">
        <w:r>
          <w:rPr>
            <w:rFonts w:ascii="Arial" w:cs="Arial" w:eastAsia="Arial" w:hAnsi="Arial"/>
            <w:sz w:val="18"/>
            <w:szCs w:val="18"/>
            <w:u w:val="single" w:color="auto"/>
            <w:color w:val="0000FF"/>
          </w:rPr>
          <w:t>Derivatives</w:t>
        </w:r>
      </w:hyperlink>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rFonts w:ascii="Arial" w:cs="Arial" w:eastAsia="Arial" w:hAnsi="Arial"/>
          <w:sz w:val="18"/>
          <w:szCs w:val="18"/>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principal exposures to credit risk are due to the concentration of receivables from the sale of our oil and natural gas production (approximately $531 million at March 31, 2021), and to a lesser extent, receivables resulting from joint interest receivables (approximately $68 million at March 31, 2021).</w:t>
      </w:r>
    </w:p>
    <w:p>
      <w:pPr>
        <w:spacing w:after="0" w:line="151" w:lineRule="exact"/>
        <w:rPr>
          <w:rFonts w:ascii="Arial" w:cs="Arial" w:eastAsia="Arial" w:hAnsi="Arial"/>
          <w:sz w:val="18"/>
          <w:szCs w:val="18"/>
          <w:color w:val="auto"/>
        </w:rPr>
      </w:pPr>
    </w:p>
    <w:p>
      <w:pPr>
        <w:ind w:firstLine="648"/>
        <w:spacing w:after="0" w:line="277" w:lineRule="auto"/>
        <w:rPr>
          <w:sz w:val="20"/>
          <w:szCs w:val="20"/>
          <w:color w:val="auto"/>
        </w:rPr>
      </w:pPr>
      <w:r>
        <w:rPr>
          <w:rFonts w:ascii="Arial" w:cs="Arial" w:eastAsia="Arial" w:hAnsi="Arial"/>
          <w:sz w:val="18"/>
          <w:szCs w:val="18"/>
          <w:color w:val="auto"/>
        </w:rPr>
        <w:t>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14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0.125% to 1.0% per annum in the case of the alternative base rate and from 1.125% to 2.0% per annum in the case of LIBOR, in each case depending on the amount of the loan outstanding in relation to the borrowing base. Historically, we have at times used interest rate swaps and treasury locks to reduce our exposure to variable rate interest payments associated with our revolving credit facility.</w:t>
      </w:r>
    </w:p>
    <w:p>
      <w:pPr>
        <w:spacing w:after="0" w:line="205"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additional information on our variable interest rate debt at March 31, 2021, see Note 9—</w:t>
      </w:r>
      <w:hyperlink w:anchor="page20">
        <w:r>
          <w:rPr>
            <w:rFonts w:ascii="Arial" w:cs="Arial" w:eastAsia="Arial" w:hAnsi="Arial"/>
            <w:sz w:val="18"/>
            <w:szCs w:val="18"/>
            <w:u w:val="single" w:color="auto"/>
            <w:color w:val="0000FF"/>
          </w:rPr>
          <w:t>Debt</w:t>
        </w:r>
      </w:hyperlink>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2021,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March 31, 2021, our disclosure controls and procedures are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March 31, 2021, that have materially affected, or are reasonably likely to materially affect, internal controls over financial reporting.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648"/>
        <w:spacing w:after="0" w:line="293" w:lineRule="auto"/>
        <w:rPr>
          <w:rFonts w:ascii="Arial" w:cs="Arial" w:eastAsia="Arial" w:hAnsi="Arial"/>
          <w:sz w:val="16"/>
          <w:szCs w:val="16"/>
          <w:color w:val="auto"/>
        </w:rPr>
      </w:pPr>
      <w:r>
        <w:rPr>
          <w:rFonts w:ascii="Arial" w:cs="Arial" w:eastAsia="Arial" w:hAnsi="Arial"/>
          <w:sz w:val="16"/>
          <w:szCs w:val="16"/>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15—</w:t>
      </w:r>
      <w:hyperlink w:anchor="page33">
        <w:r>
          <w:rPr>
            <w:rFonts w:ascii="Arial" w:cs="Arial" w:eastAsia="Arial" w:hAnsi="Arial"/>
            <w:sz w:val="16"/>
            <w:szCs w:val="16"/>
            <w:u w:val="single" w:color="auto"/>
            <w:color w:val="0000FF"/>
          </w:rPr>
          <w:t>Commitments and Contingencies</w:t>
        </w:r>
      </w:hyperlink>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311" w:lineRule="auto"/>
        <w:rPr>
          <w:rFonts w:ascii="Arial" w:cs="Arial" w:eastAsia="Arial" w:hAnsi="Arial"/>
          <w:sz w:val="16"/>
          <w:szCs w:val="16"/>
          <w:color w:val="000000"/>
        </w:rPr>
      </w:pPr>
      <w:hyperlink r:id="rId82">
        <w:r>
          <w:rPr>
            <w:rFonts w:ascii="Arial" w:cs="Arial" w:eastAsia="Arial" w:hAnsi="Arial"/>
            <w:sz w:val="16"/>
            <w:szCs w:val="16"/>
            <w:color w:val="auto"/>
          </w:rPr>
          <w:t xml:space="preserve">As of the date of this filing, we continue to be subject to the risk factors previously disclosed in </w:t>
        </w:r>
        <w:r>
          <w:rPr>
            <w:rFonts w:ascii="Arial" w:cs="Arial" w:eastAsia="Arial" w:hAnsi="Arial"/>
            <w:sz w:val="16"/>
            <w:szCs w:val="16"/>
            <w:u w:val="single" w:color="auto"/>
            <w:color w:val="0000FF"/>
          </w:rPr>
          <w:t>Part I, Item 1A. Risk Factors in our Annual Report</w:t>
        </w:r>
      </w:hyperlink>
      <w:r>
        <w:rPr>
          <w:rFonts w:ascii="Arial" w:cs="Arial" w:eastAsia="Arial" w:hAnsi="Arial"/>
          <w:sz w:val="16"/>
          <w:szCs w:val="16"/>
          <w:color w:val="auto"/>
        </w:rPr>
        <w:t xml:space="preserve"> </w:t>
      </w:r>
      <w:hyperlink r:id="rId82">
        <w:r>
          <w:rPr>
            <w:rFonts w:ascii="Arial" w:cs="Arial" w:eastAsia="Arial" w:hAnsi="Arial"/>
            <w:sz w:val="16"/>
            <w:szCs w:val="16"/>
            <w:u w:val="single" w:color="auto"/>
            <w:color w:val="0000FF"/>
          </w:rPr>
          <w:t>on Form 10-K</w:t>
        </w:r>
        <w:r>
          <w:rPr>
            <w:rFonts w:ascii="Arial" w:cs="Arial" w:eastAsia="Arial" w:hAnsi="Arial"/>
            <w:sz w:val="16"/>
            <w:szCs w:val="16"/>
            <w:color w:val="0000FF"/>
          </w:rPr>
          <w:t xml:space="preserve"> </w:t>
        </w:r>
        <w:r>
          <w:rPr>
            <w:rFonts w:ascii="Arial" w:cs="Arial" w:eastAsia="Arial" w:hAnsi="Arial"/>
            <w:sz w:val="16"/>
            <w:szCs w:val="16"/>
            <w:color w:val="000000"/>
          </w:rPr>
          <w:t>for the year ended December 31, 2020, filed with the SEC on February 25, 2021, and in subsequent filings we make with the SEC. There</w:t>
        </w:r>
      </w:hyperlink>
      <w:r>
        <w:rPr>
          <w:rFonts w:ascii="Arial" w:cs="Arial" w:eastAsia="Arial" w:hAnsi="Arial"/>
          <w:sz w:val="16"/>
          <w:szCs w:val="16"/>
          <w:color w:val="0000FF"/>
        </w:rPr>
        <w:t xml:space="preserve"> </w:t>
      </w:r>
      <w:r>
        <w:rPr>
          <w:rFonts w:ascii="Arial" w:cs="Arial" w:eastAsia="Arial" w:hAnsi="Arial"/>
          <w:sz w:val="16"/>
          <w:szCs w:val="16"/>
          <w:color w:val="000000"/>
        </w:rPr>
        <w:t xml:space="preserve">have been no material changes in our risk factors from those described in our </w:t>
      </w:r>
      <w:hyperlink r:id="rId82">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for the year ended December 31, 2020.</w:t>
      </w:r>
    </w:p>
    <w:p>
      <w:pPr>
        <w:spacing w:after="0" w:line="17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three months ended March 31, 2021 was as follows:</w:t>
      </w:r>
    </w:p>
    <w:p>
      <w:pPr>
        <w:spacing w:after="0" w:line="113"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20" w:type="dxa"/>
            <w:vAlign w:val="bottom"/>
          </w:tcPr>
          <w:p>
            <w:pPr>
              <w:spacing w:after="0"/>
              <w:rPr>
                <w:sz w:val="17"/>
                <w:szCs w:val="17"/>
                <w:color w:val="auto"/>
              </w:rPr>
            </w:pPr>
          </w:p>
        </w:tc>
        <w:tc>
          <w:tcPr>
            <w:tcW w:w="104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2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80" w:type="dxa"/>
            <w:vAlign w:val="bottom"/>
          </w:tcPr>
          <w:p>
            <w:pPr>
              <w:spacing w:after="0"/>
              <w:rPr>
                <w:sz w:val="17"/>
                <w:szCs w:val="17"/>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Approximate Dollar</w:t>
            </w: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212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w w:val="91"/>
              </w:rPr>
              <w:t>Value of Shares that May</w:t>
            </w:r>
          </w:p>
        </w:tc>
        <w:tc>
          <w:tcPr>
            <w:tcW w:w="0" w:type="dxa"/>
            <w:vAlign w:val="bottom"/>
          </w:tcPr>
          <w:p>
            <w:pPr>
              <w:spacing w:after="0"/>
              <w:rPr>
                <w:sz w:val="1"/>
                <w:szCs w:val="1"/>
                <w:color w:val="auto"/>
              </w:rPr>
            </w:pPr>
          </w:p>
        </w:tc>
      </w:tr>
      <w:tr>
        <w:trPr>
          <w:trHeight w:val="176"/>
        </w:trPr>
        <w:tc>
          <w:tcPr>
            <w:tcW w:w="3900" w:type="dxa"/>
            <w:vAlign w:val="bottom"/>
            <w:gridSpan w:val="2"/>
            <w:vMerge w:val="restart"/>
          </w:tcPr>
          <w:p>
            <w:pPr>
              <w:ind w:left="1660"/>
              <w:spacing w:after="0"/>
              <w:rPr>
                <w:sz w:val="20"/>
                <w:szCs w:val="20"/>
                <w:color w:val="auto"/>
              </w:rPr>
            </w:pPr>
            <w:r>
              <w:rPr>
                <w:rFonts w:ascii="Arial" w:cs="Arial" w:eastAsia="Arial" w:hAnsi="Arial"/>
                <w:sz w:val="18"/>
                <w:szCs w:val="18"/>
                <w:b w:val="1"/>
                <w:bCs w:val="1"/>
                <w:color w:val="auto"/>
              </w:rPr>
              <w:t>Period</w:t>
            </w: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3"/>
              </w:rPr>
              <w:t>Shares</w:t>
            </w:r>
          </w:p>
        </w:tc>
        <w:tc>
          <w:tcPr>
            <w:tcW w:w="220" w:type="dxa"/>
            <w:vAlign w:val="bottom"/>
          </w:tcPr>
          <w:p>
            <w:pPr>
              <w:spacing w:after="0"/>
              <w:rPr>
                <w:sz w:val="15"/>
                <w:szCs w:val="15"/>
                <w:color w:val="auto"/>
              </w:rPr>
            </w:pPr>
          </w:p>
        </w:tc>
        <w:tc>
          <w:tcPr>
            <w:tcW w:w="10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9"/>
              </w:rPr>
              <w:t>Price Paid</w:t>
            </w:r>
          </w:p>
        </w:tc>
        <w:tc>
          <w:tcPr>
            <w:tcW w:w="2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Publicly</w:t>
            </w:r>
          </w:p>
        </w:tc>
        <w:tc>
          <w:tcPr>
            <w:tcW w:w="21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w w:val="97"/>
              </w:rPr>
              <w:t>Yet Be Purchased Under</w:t>
            </w:r>
          </w:p>
        </w:tc>
        <w:tc>
          <w:tcPr>
            <w:tcW w:w="0" w:type="dxa"/>
            <w:vAlign w:val="bottom"/>
          </w:tcPr>
          <w:p>
            <w:pPr>
              <w:spacing w:after="0"/>
              <w:rPr>
                <w:sz w:val="1"/>
                <w:szCs w:val="1"/>
                <w:color w:val="auto"/>
              </w:rPr>
            </w:pPr>
          </w:p>
        </w:tc>
      </w:tr>
      <w:tr>
        <w:trPr>
          <w:trHeight w:val="229"/>
        </w:trPr>
        <w:tc>
          <w:tcPr>
            <w:tcW w:w="3900" w:type="dxa"/>
            <w:vAlign w:val="bottom"/>
            <w:gridSpan w:val="2"/>
            <w:vMerge w:val="continue"/>
          </w:tcPr>
          <w:p>
            <w:pPr>
              <w:spacing w:after="0"/>
              <w:rPr>
                <w:sz w:val="19"/>
                <w:szCs w:val="19"/>
                <w:color w:val="auto"/>
              </w:rPr>
            </w:pPr>
          </w:p>
        </w:tc>
        <w:tc>
          <w:tcPr>
            <w:tcW w:w="142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2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3"/>
                <w:szCs w:val="23"/>
                <w:b w:val="1"/>
                <w:bCs w:val="1"/>
                <w:color w:val="auto"/>
                <w:w w:val="87"/>
                <w:vertAlign w:val="superscript"/>
              </w:rPr>
              <w:t>(2)</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280" w:type="dxa"/>
            <w:vAlign w:val="bottom"/>
          </w:tcPr>
          <w:p>
            <w:pPr>
              <w:spacing w:after="0"/>
              <w:rPr>
                <w:sz w:val="19"/>
                <w:szCs w:val="19"/>
                <w:color w:val="auto"/>
              </w:rPr>
            </w:pPr>
          </w:p>
        </w:tc>
        <w:tc>
          <w:tcPr>
            <w:tcW w:w="1840" w:type="dxa"/>
            <w:vAlign w:val="bottom"/>
          </w:tcPr>
          <w:p>
            <w:pPr>
              <w:jc w:val="right"/>
              <w:ind w:right="590"/>
              <w:spacing w:after="0"/>
              <w:rPr>
                <w:sz w:val="20"/>
                <w:szCs w:val="20"/>
                <w:color w:val="auto"/>
              </w:rPr>
            </w:pPr>
            <w:r>
              <w:rPr>
                <w:rFonts w:ascii="Arial" w:cs="Arial" w:eastAsia="Arial" w:hAnsi="Arial"/>
                <w:sz w:val="18"/>
                <w:szCs w:val="18"/>
                <w:b w:val="1"/>
                <w:bCs w:val="1"/>
                <w:color w:val="auto"/>
              </w:rPr>
              <w:t>the Plan</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340" w:type="dxa"/>
            <w:vAlign w:val="bottom"/>
            <w:tcBorders>
              <w:top w:val="single" w:sz="8" w:color="auto"/>
            </w:tcBorders>
            <w:gridSpan w:val="6"/>
          </w:tcPr>
          <w:p>
            <w:pPr>
              <w:jc w:val="right"/>
              <w:ind w:right="1210"/>
              <w:spacing w:after="0"/>
              <w:rPr>
                <w:sz w:val="20"/>
                <w:szCs w:val="20"/>
                <w:color w:val="auto"/>
              </w:rPr>
            </w:pPr>
            <w:r>
              <w:rPr>
                <w:rFonts w:ascii="Arial" w:cs="Arial" w:eastAsia="Arial" w:hAnsi="Arial"/>
                <w:sz w:val="18"/>
                <w:szCs w:val="18"/>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2021 - January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23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February 1, 2021 - February 28, 2021</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540" w:type="dxa"/>
            <w:vAlign w:val="bottom"/>
          </w:tcPr>
          <w:p>
            <w:pPr>
              <w:ind w:left="234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2021 -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76.24</w:t>
            </w:r>
          </w:p>
        </w:tc>
        <w:tc>
          <w:tcPr>
            <w:tcW w:w="2540" w:type="dxa"/>
            <w:vAlign w:val="bottom"/>
            <w:tcBorders>
              <w:bottom w:val="single" w:sz="8" w:color="auto"/>
            </w:tcBorders>
            <w:shd w:val="clear" w:color="auto" w:fill="CCEEFF"/>
          </w:tcPr>
          <w:p>
            <w:pPr>
              <w:ind w:left="23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76.24</w:t>
            </w:r>
          </w:p>
        </w:tc>
        <w:tc>
          <w:tcPr>
            <w:tcW w:w="2540" w:type="dxa"/>
            <w:vAlign w:val="bottom"/>
            <w:tcBorders>
              <w:bottom w:val="single" w:sz="8" w:color="auto"/>
            </w:tcBorders>
          </w:tcPr>
          <w:p>
            <w:pPr>
              <w:ind w:left="23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rFonts w:ascii="Arial" w:cs="Arial" w:eastAsia="Arial" w:hAnsi="Arial"/>
          <w:sz w:val="16"/>
          <w:szCs w:val="16"/>
          <w:color w:val="auto"/>
        </w:rPr>
      </w:pPr>
    </w:p>
    <w:p>
      <w:pPr>
        <w:ind w:left="340" w:hanging="332"/>
        <w:spacing w:after="0" w:line="258"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shares of common stock repurchased from employees in order to satisfy tax withholding requirements. Such shares are cancelled and retired immediately upon repurchase.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average price paid per share is net of any commissions paid to repurchase stock.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020"/>
          </w:cols>
          <w:pgMar w:left="320" w:top="122" w:right="559" w:bottom="1440" w:gutter="0" w:footer="0" w:header="0"/>
        </w:sectPr>
      </w:pPr>
    </w:p>
    <w:p>
      <w:pPr>
        <w:spacing w:after="0" w:line="122" w:lineRule="exact"/>
        <w:rPr>
          <w:sz w:val="20"/>
          <w:szCs w:val="20"/>
          <w:color w:val="auto"/>
        </w:rPr>
      </w:pPr>
    </w:p>
    <w:p>
      <w:pPr>
        <w:ind w:left="60"/>
        <w:spacing w:after="0" w:line="258" w:lineRule="auto"/>
        <w:rPr>
          <w:sz w:val="20"/>
          <w:szCs w:val="20"/>
          <w:color w:val="auto"/>
        </w:rPr>
      </w:pPr>
      <w:r>
        <w:rPr>
          <w:rFonts w:ascii="Arial" w:cs="Arial" w:eastAsia="Arial" w:hAnsi="Arial"/>
          <w:sz w:val="16"/>
          <w:szCs w:val="16"/>
          <w:b w:val="1"/>
          <w:bCs w:val="1"/>
          <w:color w:val="auto"/>
        </w:rPr>
        <w:t>Exhibit Number</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3.3</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4.1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4.2</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4.3</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color w:val="auto"/>
        </w:rPr>
        <w:t>4.4</w:t>
      </w: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7"/>
          <w:szCs w:val="17"/>
          <w:color w:val="auto"/>
        </w:rPr>
        <w:t>4.5</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10.2</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10.3</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22.1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31.2*</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32.1**</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32.2**</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86995</wp:posOffset>
            </wp:positionV>
            <wp:extent cx="7003415"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pacing w:after="0" w:line="126" w:lineRule="exact"/>
        <w:rPr>
          <w:sz w:val="20"/>
          <w:szCs w:val="20"/>
          <w:color w:val="auto"/>
        </w:rPr>
      </w:pPr>
    </w:p>
    <w:p>
      <w:pPr>
        <w:ind w:left="40" w:right="40"/>
        <w:spacing w:after="0" w:line="274" w:lineRule="auto"/>
        <w:rPr>
          <w:rFonts w:ascii="Arial" w:cs="Arial" w:eastAsia="Arial" w:hAnsi="Arial"/>
          <w:sz w:val="17"/>
          <w:szCs w:val="17"/>
          <w:u w:val="single" w:color="auto"/>
          <w:color w:val="0000FF"/>
        </w:rPr>
      </w:pPr>
      <w:hyperlink r:id="rId85">
        <w:r>
          <w:rPr>
            <w:rFonts w:ascii="Arial" w:cs="Arial" w:eastAsia="Arial" w:hAnsi="Arial"/>
            <w:sz w:val="17"/>
            <w:szCs w:val="17"/>
            <w:u w:val="single" w:color="auto"/>
            <w:color w:val="0000FF"/>
          </w:rPr>
          <w:t>Amended and Restated Certificate of Incorporation of the Company (incorporated by reference to Exhibit 3.1 to the Form 10-Q, File No. 001-</w:t>
        </w:r>
      </w:hyperlink>
      <w:hyperlink r:id="rId85">
        <w:r>
          <w:rPr>
            <w:rFonts w:ascii="Arial" w:cs="Arial" w:eastAsia="Arial" w:hAnsi="Arial"/>
            <w:sz w:val="17"/>
            <w:szCs w:val="17"/>
            <w:u w:val="single" w:color="auto"/>
            <w:color w:val="0000FF"/>
          </w:rPr>
          <w:t>35700, filed by the Company with the SEC on November 16, 2012).</w:t>
        </w:r>
      </w:hyperlink>
    </w:p>
    <w:p>
      <w:pPr>
        <w:spacing w:after="0" w:line="13" w:lineRule="exact"/>
        <w:rPr>
          <w:sz w:val="20"/>
          <w:szCs w:val="20"/>
          <w:color w:val="auto"/>
        </w:rPr>
      </w:pPr>
    </w:p>
    <w:p>
      <w:pPr>
        <w:ind w:left="40" w:right="60"/>
        <w:spacing w:after="0" w:line="274" w:lineRule="auto"/>
        <w:rPr>
          <w:rFonts w:ascii="Arial" w:cs="Arial" w:eastAsia="Arial" w:hAnsi="Arial"/>
          <w:sz w:val="17"/>
          <w:szCs w:val="17"/>
          <w:u w:val="single" w:color="auto"/>
          <w:color w:val="0000FF"/>
        </w:rPr>
      </w:pPr>
      <w:hyperlink r:id="rId86">
        <w:r>
          <w:rPr>
            <w:rFonts w:ascii="Arial" w:cs="Arial" w:eastAsia="Arial" w:hAnsi="Arial"/>
            <w:sz w:val="17"/>
            <w:szCs w:val="17"/>
            <w:u w:val="single" w:color="auto"/>
            <w:color w:val="0000FF"/>
          </w:rPr>
          <w:t>Certificate of Amendment No. 1 of the Amended and Restated Certificate of Incorporation of the Company (incorporated by reference to</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Exhibit 3.1 to the Form 8-K, File No. 001-35700, filed by the Company with the SEC on December 12,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wp:posOffset>
            </wp:positionV>
            <wp:extent cx="7003415"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ind w:left="40" w:right="40"/>
        <w:spacing w:after="0" w:line="274" w:lineRule="auto"/>
        <w:rPr>
          <w:rFonts w:ascii="Arial" w:cs="Arial" w:eastAsia="Arial" w:hAnsi="Arial"/>
          <w:sz w:val="17"/>
          <w:szCs w:val="17"/>
          <w:u w:val="single" w:color="auto"/>
          <w:color w:val="0000FF"/>
        </w:rPr>
      </w:pPr>
      <w:hyperlink r:id="rId88">
        <w:r>
          <w:rPr>
            <w:rFonts w:ascii="Arial" w:cs="Arial" w:eastAsia="Arial" w:hAnsi="Arial"/>
            <w:sz w:val="17"/>
            <w:szCs w:val="17"/>
            <w:u w:val="single" w:color="auto"/>
            <w:color w:val="0000FF"/>
          </w:rPr>
          <w:t>Second Amended and Restated Bylaws of the Company (incorporated by reference to Exhibit 3.1 to the Form 8-K, File No. 001-35700, filed</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by the Company with the SEC on November 19, 2019).</w:t>
        </w:r>
      </w:hyperlink>
    </w:p>
    <w:p>
      <w:pPr>
        <w:spacing w:after="0" w:line="13" w:lineRule="exact"/>
        <w:rPr>
          <w:sz w:val="20"/>
          <w:szCs w:val="20"/>
          <w:color w:val="auto"/>
        </w:rPr>
      </w:pPr>
    </w:p>
    <w:p>
      <w:pPr>
        <w:jc w:val="both"/>
        <w:ind w:left="40" w:right="40"/>
        <w:spacing w:after="0" w:line="309" w:lineRule="auto"/>
        <w:rPr>
          <w:rFonts w:ascii="Arial" w:cs="Arial" w:eastAsia="Arial" w:hAnsi="Arial"/>
          <w:sz w:val="15"/>
          <w:szCs w:val="15"/>
          <w:u w:val="single" w:color="auto"/>
          <w:color w:val="0000FF"/>
        </w:rPr>
      </w:pPr>
      <w:hyperlink r:id="rId89">
        <w:r>
          <w:rPr>
            <w:rFonts w:ascii="Arial" w:cs="Arial" w:eastAsia="Arial" w:hAnsi="Arial"/>
            <w:sz w:val="15"/>
            <w:szCs w:val="15"/>
            <w:u w:val="single" w:color="auto"/>
            <w:color w:val="0000FF"/>
          </w:rPr>
          <w:t>Specimen certificate for shares of common stock, par value $0.01 per share, of the Company (incorporated by reference to Exhibit 4.1 to</w:t>
        </w:r>
      </w:hyperlink>
      <w:r>
        <w:rPr>
          <w:rFonts w:ascii="Arial" w:cs="Arial" w:eastAsia="Arial" w:hAnsi="Arial"/>
          <w:sz w:val="15"/>
          <w:szCs w:val="15"/>
          <w:u w:val="single" w:color="auto"/>
          <w:color w:val="0000FF"/>
        </w:rPr>
        <w:t xml:space="preserve"> </w:t>
      </w:r>
      <w:hyperlink r:id="rId89">
        <w:r>
          <w:rPr>
            <w:rFonts w:ascii="Arial" w:cs="Arial" w:eastAsia="Arial" w:hAnsi="Arial"/>
            <w:sz w:val="15"/>
            <w:szCs w:val="15"/>
            <w:u w:val="single" w:color="auto"/>
            <w:color w:val="0000FF"/>
          </w:rPr>
          <w:t>Amendment No. 4 to the Registration Statement on Form S-1, File No. 333-179502, filed by the Company with the SEC on August 20, 2012).</w:t>
        </w:r>
      </w:hyperlink>
    </w:p>
    <w:p>
      <w:pPr>
        <w:spacing w:after="0" w:line="1" w:lineRule="exact"/>
        <w:rPr>
          <w:sz w:val="20"/>
          <w:szCs w:val="20"/>
          <w:color w:val="auto"/>
        </w:rPr>
      </w:pPr>
    </w:p>
    <w:p>
      <w:pPr>
        <w:jc w:val="both"/>
        <w:ind w:left="40"/>
        <w:spacing w:after="0" w:line="221" w:lineRule="auto"/>
        <w:rPr>
          <w:rFonts w:ascii="Arial" w:cs="Arial" w:eastAsia="Arial" w:hAnsi="Arial"/>
          <w:sz w:val="17"/>
          <w:szCs w:val="17"/>
          <w:u w:val="single" w:color="auto"/>
          <w:color w:val="0000FF"/>
        </w:rPr>
      </w:pPr>
      <w:hyperlink r:id="rId90">
        <w:r>
          <w:rPr>
            <w:rFonts w:ascii="Arial" w:cs="Arial" w:eastAsia="Arial" w:hAnsi="Arial"/>
            <w:sz w:val="17"/>
            <w:szCs w:val="17"/>
            <w:u w:val="single" w:color="auto"/>
            <w:color w:val="0000FF"/>
          </w:rPr>
          <w:t>Registration Rights Agreement, dated as of February 26, 2021, by and among the Company, Guidon Operating LLC and Guidon Energy</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Holdings LP (incorporated by reference to Exhibit 4.3 to the Company’s Registration Statement on Form S-3, File No. 333-255731, filed by</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the Company with the SEC on May 3, 2021.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-339725</wp:posOffset>
            </wp:positionV>
            <wp:extent cx="7003415" cy="342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003415" cy="342900"/>
                    </a:xfrm>
                    <a:prstGeom prst="rect">
                      <a:avLst/>
                    </a:prstGeom>
                    <a:noFill/>
                  </pic:spPr>
                </pic:pic>
              </a:graphicData>
            </a:graphic>
          </wp:anchor>
        </w:drawing>
      </w:r>
    </w:p>
    <w:p>
      <w:pPr>
        <w:jc w:val="both"/>
        <w:ind w:left="40"/>
        <w:spacing w:after="0" w:line="221" w:lineRule="auto"/>
        <w:rPr>
          <w:rFonts w:ascii="Arial" w:cs="Arial" w:eastAsia="Arial" w:hAnsi="Arial"/>
          <w:sz w:val="17"/>
          <w:szCs w:val="17"/>
          <w:u w:val="single" w:color="auto"/>
          <w:color w:val="0000FF"/>
        </w:rPr>
      </w:pPr>
      <w:hyperlink r:id="rId92">
        <w:r>
          <w:rPr>
            <w:rFonts w:ascii="Arial" w:cs="Arial" w:eastAsia="Arial" w:hAnsi="Arial"/>
            <w:sz w:val="17"/>
            <w:szCs w:val="17"/>
            <w:u w:val="single" w:color="auto"/>
            <w:color w:val="0000FF"/>
          </w:rPr>
          <w:t>Letter Agreement, dated as of April 27, 2021, by and among the Company, Guidon Operating LLC and Guidon Energy Holdings LP relating to</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the Registration Rights Agreement referenced as Exhibit 4.2 hereto (incorporated by reference to Exhibit 4.4 to the Company’s Registration</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Statement on Form S-3, File No. 333-255731, filed by the Company with the SEC on May 3, 2021).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2540</wp:posOffset>
            </wp:positionV>
            <wp:extent cx="7003415" cy="420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003415" cy="420370"/>
                    </a:xfrm>
                    <a:prstGeom prst="rect">
                      <a:avLst/>
                    </a:prstGeom>
                    <a:noFill/>
                  </pic:spPr>
                </pic:pic>
              </a:graphicData>
            </a:graphic>
          </wp:anchor>
        </w:drawing>
      </w:r>
    </w:p>
    <w:p>
      <w:pPr>
        <w:jc w:val="both"/>
        <w:ind w:left="40" w:right="40"/>
        <w:spacing w:after="0" w:line="261" w:lineRule="auto"/>
        <w:rPr>
          <w:rFonts w:ascii="Arial" w:cs="Arial" w:eastAsia="Arial" w:hAnsi="Arial"/>
          <w:sz w:val="17"/>
          <w:szCs w:val="17"/>
          <w:u w:val="single" w:color="auto"/>
          <w:color w:val="0000FF"/>
        </w:rPr>
      </w:pPr>
      <w:hyperlink r:id="rId94">
        <w:r>
          <w:rPr>
            <w:rFonts w:ascii="Arial" w:cs="Arial" w:eastAsia="Arial" w:hAnsi="Arial"/>
            <w:sz w:val="17"/>
            <w:szCs w:val="17"/>
            <w:u w:val="single" w:color="auto"/>
            <w:color w:val="0000FF"/>
          </w:rPr>
          <w:t>Third Supplemental Indenture, dated as of March 24, 2021, among Diamondback Energy, Inc., Diamondback O&amp;G LLC and Wells Fargo</w:t>
        </w:r>
      </w:hyperlink>
      <w:r>
        <w:rPr>
          <w:rFonts w:ascii="Arial" w:cs="Arial" w:eastAsia="Arial" w:hAnsi="Arial"/>
          <w:sz w:val="17"/>
          <w:szCs w:val="17"/>
          <w:u w:val="single" w:color="auto"/>
          <w:color w:val="0000FF"/>
        </w:rPr>
        <w:t xml:space="preserve"> </w:t>
      </w:r>
      <w:hyperlink r:id="rId94">
        <w:r>
          <w:rPr>
            <w:rFonts w:ascii="Arial" w:cs="Arial" w:eastAsia="Arial" w:hAnsi="Arial"/>
            <w:sz w:val="17"/>
            <w:szCs w:val="17"/>
            <w:u w:val="single" w:color="auto"/>
            <w:color w:val="0000FF"/>
          </w:rPr>
          <w:t>Bank, National Association, as trustee (including the forms of 2023 Notes, 2031 Notes and 2051 Notes) (incorporated by reference to Exhibit</w:t>
        </w:r>
      </w:hyperlink>
      <w:r>
        <w:rPr>
          <w:rFonts w:ascii="Arial" w:cs="Arial" w:eastAsia="Arial" w:hAnsi="Arial"/>
          <w:sz w:val="17"/>
          <w:szCs w:val="17"/>
          <w:u w:val="single" w:color="auto"/>
          <w:color w:val="0000FF"/>
        </w:rPr>
        <w:t xml:space="preserve"> </w:t>
      </w:r>
      <w:hyperlink r:id="rId94">
        <w:r>
          <w:rPr>
            <w:rFonts w:ascii="Arial" w:cs="Arial" w:eastAsia="Arial" w:hAnsi="Arial"/>
            <w:sz w:val="17"/>
            <w:szCs w:val="17"/>
            <w:u w:val="single" w:color="auto"/>
            <w:color w:val="0000FF"/>
          </w:rPr>
          <w:t>4.2 to the Form 8-K, File No. 001-35700, filed by the Company with the SEC on March 24, 2021).</w:t>
        </w:r>
      </w:hyperlink>
    </w:p>
    <w:p>
      <w:pPr>
        <w:spacing w:after="0" w:line="24" w:lineRule="exact"/>
        <w:rPr>
          <w:rFonts w:ascii="Arial" w:cs="Arial" w:eastAsia="Arial" w:hAnsi="Arial"/>
          <w:sz w:val="17"/>
          <w:szCs w:val="17"/>
          <w:u w:val="single" w:color="auto"/>
          <w:color w:val="0000FF"/>
        </w:rPr>
      </w:pPr>
    </w:p>
    <w:p>
      <w:pPr>
        <w:ind w:left="40"/>
        <w:spacing w:after="0" w:line="319" w:lineRule="auto"/>
        <w:rPr>
          <w:rFonts w:ascii="Arial" w:cs="Arial" w:eastAsia="Arial" w:hAnsi="Arial"/>
          <w:sz w:val="15"/>
          <w:szCs w:val="15"/>
          <w:u w:val="single" w:color="auto"/>
          <w:color w:val="0000FF"/>
        </w:rPr>
      </w:pPr>
      <w:hyperlink r:id="rId95">
        <w:r>
          <w:rPr>
            <w:rFonts w:ascii="Arial" w:cs="Arial" w:eastAsia="Arial" w:hAnsi="Arial"/>
            <w:sz w:val="15"/>
            <w:szCs w:val="15"/>
            <w:u w:val="single" w:color="auto"/>
            <w:color w:val="0000FF"/>
          </w:rPr>
          <w:t>First Supplemental Indenture, dated as of March 23, 2021, among QEP Resources, Inc. and Wells Fargo Bank, National Association, as trustee</w:t>
        </w:r>
      </w:hyperlink>
      <w:r>
        <w:rPr>
          <w:rFonts w:ascii="Arial" w:cs="Arial" w:eastAsia="Arial" w:hAnsi="Arial"/>
          <w:sz w:val="15"/>
          <w:szCs w:val="15"/>
          <w:u w:val="single" w:color="auto"/>
          <w:color w:val="0000FF"/>
        </w:rPr>
        <w:t xml:space="preserve"> </w:t>
      </w:r>
      <w:hyperlink r:id="rId95">
        <w:r>
          <w:rPr>
            <w:rFonts w:ascii="Arial" w:cs="Arial" w:eastAsia="Arial" w:hAnsi="Arial"/>
            <w:sz w:val="15"/>
            <w:szCs w:val="15"/>
            <w:u w:val="single" w:color="auto"/>
            <w:color w:val="0000FF"/>
          </w:rPr>
          <w:t>(incorporated by reference to Exhibit 4.3 to the Form 8-K, File No. 001-35700, filed by the Company with the SEC on March 24,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-5080</wp:posOffset>
            </wp:positionV>
            <wp:extent cx="7003415" cy="291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ind w:left="40"/>
        <w:spacing w:after="0"/>
        <w:rPr>
          <w:rFonts w:ascii="Arial" w:cs="Arial" w:eastAsia="Arial" w:hAnsi="Arial"/>
          <w:sz w:val="16"/>
          <w:szCs w:val="16"/>
          <w:u w:val="single" w:color="auto"/>
          <w:color w:val="0000FF"/>
        </w:rPr>
      </w:pPr>
      <w:hyperlink r:id="rId97">
        <w:r>
          <w:rPr>
            <w:rFonts w:ascii="Arial" w:cs="Arial" w:eastAsia="Arial" w:hAnsi="Arial"/>
            <w:sz w:val="16"/>
            <w:szCs w:val="16"/>
            <w:u w:val="single" w:color="auto"/>
            <w:color w:val="0000FF"/>
          </w:rPr>
          <w:t>2021 Form of Time Vesting Restricted Stock Unit Award Agreement (incorporated by reference to Exhibit 10.4 to the Form 10-K, File No.</w:t>
        </w:r>
      </w:hyperlink>
    </w:p>
    <w:p>
      <w:pPr>
        <w:spacing w:after="0" w:line="32" w:lineRule="exact"/>
        <w:rPr>
          <w:sz w:val="20"/>
          <w:szCs w:val="20"/>
          <w:color w:val="auto"/>
        </w:rPr>
      </w:pPr>
    </w:p>
    <w:p>
      <w:pPr>
        <w:ind w:left="40"/>
        <w:spacing w:after="0"/>
        <w:rPr>
          <w:rFonts w:ascii="Arial" w:cs="Arial" w:eastAsia="Arial" w:hAnsi="Arial"/>
          <w:sz w:val="17"/>
          <w:szCs w:val="17"/>
          <w:u w:val="single" w:color="auto"/>
          <w:color w:val="0000FF"/>
        </w:rPr>
      </w:pPr>
      <w:hyperlink r:id="rId97">
        <w:r>
          <w:rPr>
            <w:rFonts w:ascii="Arial" w:cs="Arial" w:eastAsia="Arial" w:hAnsi="Arial"/>
            <w:sz w:val="17"/>
            <w:szCs w:val="17"/>
            <w:u w:val="single" w:color="auto"/>
            <w:color w:val="0000FF"/>
          </w:rPr>
          <w:t>001-35700, filed by the Company with the SEC on February 25, 2021).</w:t>
        </w:r>
      </w:hyperlink>
    </w:p>
    <w:p>
      <w:pPr>
        <w:spacing w:after="0" w:line="47" w:lineRule="exact"/>
        <w:rPr>
          <w:sz w:val="20"/>
          <w:szCs w:val="20"/>
          <w:color w:val="auto"/>
        </w:rPr>
      </w:pPr>
    </w:p>
    <w:p>
      <w:pPr>
        <w:ind w:left="40"/>
        <w:spacing w:after="0"/>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2021 Form of Performance Vesting Restricted Stock Unit Agreement (incorporated by reference to Exhibit 10.5 to the Form 10-K, File No.</w:t>
        </w:r>
      </w:hyperlink>
    </w:p>
    <w:p>
      <w:pPr>
        <w:spacing w:after="0" w:line="32" w:lineRule="exact"/>
        <w:rPr>
          <w:sz w:val="20"/>
          <w:szCs w:val="20"/>
          <w:color w:val="auto"/>
        </w:rPr>
      </w:pPr>
    </w:p>
    <w:p>
      <w:pPr>
        <w:ind w:left="40"/>
        <w:spacing w:after="0"/>
        <w:rPr>
          <w:rFonts w:ascii="Arial" w:cs="Arial" w:eastAsia="Arial" w:hAnsi="Arial"/>
          <w:sz w:val="17"/>
          <w:szCs w:val="17"/>
          <w:u w:val="single" w:color="auto"/>
          <w:color w:val="0000FF"/>
        </w:rPr>
      </w:pPr>
      <w:hyperlink r:id="rId98">
        <w:r>
          <w:rPr>
            <w:rFonts w:ascii="Arial" w:cs="Arial" w:eastAsia="Arial" w:hAnsi="Arial"/>
            <w:sz w:val="17"/>
            <w:szCs w:val="17"/>
            <w:u w:val="single" w:color="auto"/>
            <w:color w:val="0000FF"/>
          </w:rPr>
          <w:t>001-35700, filed by the Company with the SEC on February 25,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24130</wp:posOffset>
            </wp:positionV>
            <wp:extent cx="7003415"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pacing w:after="0" w:line="27" w:lineRule="exact"/>
        <w:rPr>
          <w:sz w:val="20"/>
          <w:szCs w:val="20"/>
          <w:color w:val="auto"/>
        </w:rPr>
      </w:pPr>
    </w:p>
    <w:p>
      <w:pPr>
        <w:ind w:left="40"/>
        <w:spacing w:after="0" w:line="274" w:lineRule="auto"/>
        <w:rPr>
          <w:rFonts w:ascii="Arial" w:cs="Arial" w:eastAsia="Arial" w:hAnsi="Arial"/>
          <w:sz w:val="17"/>
          <w:szCs w:val="17"/>
          <w:u w:val="single" w:color="auto"/>
          <w:color w:val="0000FF"/>
        </w:rPr>
      </w:pPr>
      <w:hyperlink r:id="rId100">
        <w:r>
          <w:rPr>
            <w:rFonts w:ascii="Arial" w:cs="Arial" w:eastAsia="Arial" w:hAnsi="Arial"/>
            <w:sz w:val="17"/>
            <w:szCs w:val="17"/>
            <w:u w:val="single" w:color="auto"/>
            <w:color w:val="0000FF"/>
          </w:rPr>
          <w:t>Executive Annual Incentive Compensation Plan adopted in February 2021 (incorporated by reference to Exhibit 10.11 to the Form 10-K, File</w:t>
        </w:r>
      </w:hyperlink>
      <w:r>
        <w:rPr>
          <w:rFonts w:ascii="Arial" w:cs="Arial" w:eastAsia="Arial" w:hAnsi="Arial"/>
          <w:sz w:val="17"/>
          <w:szCs w:val="17"/>
          <w:u w:val="single" w:color="auto"/>
          <w:color w:val="0000FF"/>
        </w:rPr>
        <w:t xml:space="preserve"> </w:t>
      </w:r>
      <w:hyperlink r:id="rId100">
        <w:r>
          <w:rPr>
            <w:rFonts w:ascii="Arial" w:cs="Arial" w:eastAsia="Arial" w:hAnsi="Arial"/>
            <w:sz w:val="17"/>
            <w:szCs w:val="17"/>
            <w:u w:val="single" w:color="auto"/>
            <w:color w:val="0000FF"/>
          </w:rPr>
          <w:t>No. 001-35700, filed by the Company with the SEC on February 25, 2021).</w:t>
        </w:r>
      </w:hyperlink>
    </w:p>
    <w:p>
      <w:pPr>
        <w:spacing w:after="0" w:line="13" w:lineRule="exact"/>
        <w:rPr>
          <w:sz w:val="20"/>
          <w:szCs w:val="20"/>
          <w:color w:val="auto"/>
        </w:rPr>
      </w:pPr>
    </w:p>
    <w:p>
      <w:pPr>
        <w:ind w:left="40" w:right="40"/>
        <w:spacing w:after="0" w:line="274" w:lineRule="auto"/>
        <w:rPr>
          <w:rFonts w:ascii="Arial" w:cs="Arial" w:eastAsia="Arial" w:hAnsi="Arial"/>
          <w:sz w:val="17"/>
          <w:szCs w:val="17"/>
          <w:u w:val="single" w:color="auto"/>
          <w:color w:val="0000FF"/>
        </w:rPr>
      </w:pPr>
      <w:hyperlink r:id="rId101">
        <w:r>
          <w:rPr>
            <w:rFonts w:ascii="Arial" w:cs="Arial" w:eastAsia="Arial" w:hAnsi="Arial"/>
            <w:sz w:val="17"/>
            <w:szCs w:val="17"/>
            <w:u w:val="single" w:color="auto"/>
            <w:color w:val="0000FF"/>
          </w:rPr>
          <w:t>List of Issuers and Guarantor Subsidiaries (incorporated by reference to Exhibit 22.1 to the Form 10-Q, File No. 001-35700, filed by the</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Company with the SEC on May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wp:posOffset>
            </wp:positionV>
            <wp:extent cx="7003415"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ind w:left="40" w:right="60"/>
        <w:spacing w:after="0" w:line="274" w:lineRule="auto"/>
        <w:rPr>
          <w:rFonts w:ascii="Arial" w:cs="Arial" w:eastAsia="Arial" w:hAnsi="Arial"/>
          <w:sz w:val="17"/>
          <w:szCs w:val="17"/>
          <w:u w:val="single" w:color="auto"/>
          <w:color w:val="0000FF"/>
        </w:rPr>
      </w:pPr>
      <w:hyperlink w:anchor="page55">
        <w:r>
          <w:rPr>
            <w:rFonts w:ascii="Arial" w:cs="Arial" w:eastAsia="Arial" w:hAnsi="Arial"/>
            <w:sz w:val="17"/>
            <w:szCs w:val="17"/>
            <w:u w:val="single" w:color="auto"/>
            <w:color w:val="0000FF"/>
          </w:rPr>
          <w:t>Certification of Chief Executive Officer of the Registrant pursuant to Rule 13a-14(a) promulgated under the Securities Exchange Act of 1934,</w:t>
        </w:r>
      </w:hyperlink>
      <w:r>
        <w:rPr>
          <w:rFonts w:ascii="Arial" w:cs="Arial" w:eastAsia="Arial" w:hAnsi="Arial"/>
          <w:sz w:val="17"/>
          <w:szCs w:val="17"/>
          <w:u w:val="single" w:color="auto"/>
          <w:color w:val="0000FF"/>
        </w:rPr>
        <w:t xml:space="preserve"> </w:t>
      </w:r>
      <w:hyperlink w:anchor="page55">
        <w:r>
          <w:rPr>
            <w:rFonts w:ascii="Arial" w:cs="Arial" w:eastAsia="Arial" w:hAnsi="Arial"/>
            <w:sz w:val="17"/>
            <w:szCs w:val="17"/>
            <w:u w:val="single" w:color="auto"/>
            <w:color w:val="0000FF"/>
          </w:rPr>
          <w:t>as amended.</w:t>
        </w:r>
      </w:hyperlink>
    </w:p>
    <w:p>
      <w:pPr>
        <w:spacing w:after="0" w:line="13" w:lineRule="exact"/>
        <w:rPr>
          <w:sz w:val="20"/>
          <w:szCs w:val="20"/>
          <w:color w:val="auto"/>
        </w:rPr>
      </w:pPr>
    </w:p>
    <w:p>
      <w:pPr>
        <w:ind w:left="40" w:right="40"/>
        <w:spacing w:after="0" w:line="274" w:lineRule="auto"/>
        <w:rPr>
          <w:rFonts w:ascii="Arial" w:cs="Arial" w:eastAsia="Arial" w:hAnsi="Arial"/>
          <w:sz w:val="17"/>
          <w:szCs w:val="17"/>
          <w:u w:val="single" w:color="auto"/>
          <w:color w:val="0000FF"/>
        </w:rPr>
      </w:pPr>
      <w:hyperlink w:anchor="page56">
        <w:r>
          <w:rPr>
            <w:rFonts w:ascii="Arial" w:cs="Arial" w:eastAsia="Arial" w:hAnsi="Arial"/>
            <w:sz w:val="17"/>
            <w:szCs w:val="17"/>
            <w:u w:val="single" w:color="auto"/>
            <w:color w:val="0000FF"/>
          </w:rPr>
          <w:t>Certification of Chief Financial Officer of the Registrant pursuant to Rule 13a-14(a) promulgated under the Securities Exchange Act of 1934,</w:t>
        </w:r>
      </w:hyperlink>
      <w:r>
        <w:rPr>
          <w:rFonts w:ascii="Arial" w:cs="Arial" w:eastAsia="Arial" w:hAnsi="Arial"/>
          <w:sz w:val="17"/>
          <w:szCs w:val="17"/>
          <w:u w:val="single" w:color="auto"/>
          <w:color w:val="0000FF"/>
        </w:rPr>
        <w:t xml:space="preserve"> </w:t>
      </w:r>
      <w:hyperlink w:anchor="page56">
        <w:r>
          <w:rPr>
            <w:rFonts w:ascii="Arial" w:cs="Arial" w:eastAsia="Arial" w:hAnsi="Arial"/>
            <w:sz w:val="17"/>
            <w:szCs w:val="17"/>
            <w:u w:val="single" w:color="auto"/>
            <w:color w:val="0000FF"/>
          </w:rPr>
          <w:t>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wp:posOffset>
            </wp:positionV>
            <wp:extent cx="700341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ind w:left="40" w:right="40"/>
        <w:spacing w:after="0" w:line="274" w:lineRule="auto"/>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Certification of Chief Executive Officer of the Registrant pursuant to Rule 13a-14(b) promulgated under the Securities Exchange Act of 1934,</w:t>
        </w:r>
      </w:hyperlink>
      <w:r>
        <w:rPr>
          <w:rFonts w:ascii="Arial" w:cs="Arial" w:eastAsia="Arial" w:hAnsi="Arial"/>
          <w:sz w:val="17"/>
          <w:szCs w:val="17"/>
          <w:u w:val="single" w:color="auto"/>
          <w:color w:val="0000FF"/>
        </w:rPr>
        <w:t xml:space="preserve"> </w:t>
      </w:r>
      <w:hyperlink w:anchor="page57">
        <w:r>
          <w:rPr>
            <w:rFonts w:ascii="Arial" w:cs="Arial" w:eastAsia="Arial" w:hAnsi="Arial"/>
            <w:sz w:val="17"/>
            <w:szCs w:val="17"/>
            <w:u w:val="single" w:color="auto"/>
            <w:color w:val="0000FF"/>
          </w:rPr>
          <w:t>as amended, and Section 1350 of Chapter 63 of Title 18 of the United States Code.</w:t>
        </w:r>
      </w:hyperlink>
    </w:p>
    <w:p>
      <w:pPr>
        <w:spacing w:after="0" w:line="13" w:lineRule="exact"/>
        <w:rPr>
          <w:sz w:val="20"/>
          <w:szCs w:val="20"/>
          <w:color w:val="auto"/>
        </w:rPr>
      </w:pPr>
    </w:p>
    <w:p>
      <w:pPr>
        <w:ind w:left="40" w:right="40"/>
        <w:spacing w:after="0" w:line="273" w:lineRule="auto"/>
        <w:rPr>
          <w:rFonts w:ascii="Arial" w:cs="Arial" w:eastAsia="Arial" w:hAnsi="Arial"/>
          <w:sz w:val="17"/>
          <w:szCs w:val="17"/>
          <w:u w:val="single" w:color="auto"/>
          <w:color w:val="0000FF"/>
        </w:rPr>
      </w:pPr>
      <w:hyperlink w:anchor="page58">
        <w:r>
          <w:rPr>
            <w:rFonts w:ascii="Arial" w:cs="Arial" w:eastAsia="Arial" w:hAnsi="Arial"/>
            <w:sz w:val="17"/>
            <w:szCs w:val="17"/>
            <w:u w:val="single" w:color="auto"/>
            <w:color w:val="0000FF"/>
          </w:rPr>
          <w:t>Certification of Chief Financial Officer of the Registrant pursuant to Rule 13a-14(b) promulgated under the Securities Exchange Act of 1934,</w:t>
        </w:r>
      </w:hyperlink>
      <w:r>
        <w:rPr>
          <w:rFonts w:ascii="Arial" w:cs="Arial" w:eastAsia="Arial" w:hAnsi="Arial"/>
          <w:sz w:val="17"/>
          <w:szCs w:val="17"/>
          <w:u w:val="single" w:color="auto"/>
          <w:color w:val="0000FF"/>
        </w:rPr>
        <w:t xml:space="preserve"> </w:t>
      </w:r>
      <w:hyperlink w:anchor="page58">
        <w:r>
          <w:rPr>
            <w:rFonts w:ascii="Arial" w:cs="Arial" w:eastAsia="Arial" w:hAnsi="Arial"/>
            <w:sz w:val="17"/>
            <w:szCs w:val="17"/>
            <w:u w:val="single" w:color="auto"/>
            <w:color w:val="0000FF"/>
          </w:rPr>
          <w:t>as amended, and Section 1350 of Chapter 63 of Title 18 of the United States Code.</w:t>
        </w:r>
      </w:hyperlink>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The following financial information from the Company’s Quarterly Report on Form 10-Q for the quarter ended March 31, 2021,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-441325</wp:posOffset>
            </wp:positionV>
            <wp:extent cx="7003415" cy="445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003415" cy="44577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680" w:space="460"/>
            <w:col w:w="9880"/>
          </w:cols>
          <w:pgMar w:left="320" w:top="122" w:right="559" w:bottom="1440" w:gutter="0" w:footer="0" w:header="0"/>
          <w:type w:val="continuous"/>
        </w:sectPr>
      </w:pPr>
    </w:p>
    <w:p>
      <w:pPr>
        <w:ind w:left="60"/>
        <w:spacing w:after="0"/>
        <w:tabs>
          <w:tab w:leader="none" w:pos="11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(formatted as Inline XBRL and contained in Exhibit 101).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41" w:lineRule="exact"/>
        <w:rPr>
          <w:sz w:val="20"/>
          <w:szCs w:val="20"/>
          <w:color w:val="auto"/>
        </w:rPr>
      </w:pPr>
    </w:p>
    <w:p>
      <w:pPr>
        <w:ind w:left="540" w:hanging="47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29" w:lineRule="exact"/>
        <w:rPr>
          <w:sz w:val="20"/>
          <w:szCs w:val="20"/>
          <w:color w:val="auto"/>
        </w:rPr>
      </w:pPr>
    </w:p>
    <w:p>
      <w:pPr>
        <w:jc w:val="both"/>
        <w:ind w:left="540" w:right="820" w:hanging="474"/>
        <w:spacing w:after="0" w:line="221"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DIAMONDBACK ENERGY, INC.</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tcPr>
          <w:p>
            <w:pPr>
              <w:ind w:left="160"/>
              <w:spacing w:after="0"/>
              <w:rPr>
                <w:sz w:val="20"/>
                <w:szCs w:val="20"/>
                <w:color w:val="auto"/>
              </w:rPr>
            </w:pPr>
            <w:r>
              <w:rPr>
                <w:rFonts w:ascii="Arial" w:cs="Arial" w:eastAsia="Arial" w:hAnsi="Arial"/>
                <w:sz w:val="18"/>
                <w:szCs w:val="18"/>
                <w:color w:val="auto"/>
              </w:rPr>
              <w:t>May 7, 2021</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Travis D. Stice</w:t>
            </w:r>
          </w:p>
        </w:tc>
      </w:tr>
      <w:tr>
        <w:trPr>
          <w:trHeight w:val="229"/>
        </w:trPr>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tcPr>
          <w:p>
            <w:pPr>
              <w:ind w:left="160"/>
              <w:spacing w:after="0"/>
              <w:rPr>
                <w:sz w:val="20"/>
                <w:szCs w:val="20"/>
                <w:color w:val="auto"/>
              </w:rPr>
            </w:pPr>
            <w:r>
              <w:rPr>
                <w:rFonts w:ascii="Arial" w:cs="Arial" w:eastAsia="Arial" w:hAnsi="Arial"/>
                <w:sz w:val="18"/>
                <w:szCs w:val="18"/>
                <w:color w:val="auto"/>
              </w:rPr>
              <w:t>May 7, 2021</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Kaes Van’t Hof</w:t>
            </w:r>
          </w:p>
        </w:tc>
      </w:tr>
      <w:tr>
        <w:trPr>
          <w:trHeight w:val="229"/>
        </w:trPr>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60" w:type="dxa"/>
            <w:vAlign w:val="bottom"/>
          </w:tcPr>
          <w:p>
            <w:pPr>
              <w:ind w:left="200"/>
              <w:spacing w:after="0"/>
              <w:rPr>
                <w:sz w:val="20"/>
                <w:szCs w:val="20"/>
                <w:color w:val="auto"/>
              </w:rPr>
            </w:pPr>
            <w:r>
              <w:rPr>
                <w:rFonts w:ascii="Arial" w:cs="Arial" w:eastAsia="Arial" w:hAnsi="Arial"/>
                <w:sz w:val="18"/>
                <w:szCs w:val="18"/>
                <w:color w:val="auto"/>
              </w:rPr>
              <w:t>May 7,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May 7,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May 7,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Kaes Van't Hof, Chief Financial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May 7,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lowerRoman"/>
      <w:start w:val="2"/>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Roman"/>
      <w:start w:val="3"/>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7" Type="http://schemas.openxmlformats.org/officeDocument/2006/relationships/image" Target="media/image75.png"/><Relationship Id="rId91" Type="http://schemas.openxmlformats.org/officeDocument/2006/relationships/image" Target="media/image76.png"/><Relationship Id="rId93" Type="http://schemas.openxmlformats.org/officeDocument/2006/relationships/image" Target="media/image77.png"/><Relationship Id="rId96" Type="http://schemas.openxmlformats.org/officeDocument/2006/relationships/image" Target="media/image78.png"/><Relationship Id="rId99"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6" Type="http://schemas.openxmlformats.org/officeDocument/2006/relationships/hyperlink" Target="https://www.sec.gov/ix?doc=/Archives/edgar/data/1539838/000153983821000015/fang-20201231.htm" TargetMode="External"/><Relationship Id="rId79" Type="http://schemas.openxmlformats.org/officeDocument/2006/relationships/hyperlink" Target="http://www.sec.gov/ix?doc=/Archives/edgar/data/1539838/000153983821000015/fang-20201231.htm" TargetMode="External"/><Relationship Id="rId82" Type="http://schemas.openxmlformats.org/officeDocument/2006/relationships/hyperlink" Target="https://www.sec.gov/ix?doc=/Archives/edgar/data/1539838/000153983821000015/fang-20201231.htm#i4b770a66acfe418cb1b377f3d113fa9f_25" TargetMode="External"/><Relationship Id="rId85" Type="http://schemas.openxmlformats.org/officeDocument/2006/relationships/hyperlink" Target="http://www.sec.gov/Archives/edgar/data/1539838/000153983812000004/exhibit31amendcertofincorp.htm" TargetMode="External"/><Relationship Id="rId86" Type="http://schemas.openxmlformats.org/officeDocument/2006/relationships/hyperlink" Target="http://www.sec.gov/Archives/edgar/data/1539838/000153983816000266/diamondbackex31-12x12x16.htm" TargetMode="External"/><Relationship Id="rId88" Type="http://schemas.openxmlformats.org/officeDocument/2006/relationships/hyperlink" Target="https://www.sec.gov/Archives/edgar/data/1539838/000153983819000122/diamondbackex31-11x19x.htm" TargetMode="External"/><Relationship Id="rId89" Type="http://schemas.openxmlformats.org/officeDocument/2006/relationships/hyperlink" Target="http://www.sec.gov/Archives/edgar/data/1539838/000119312512360997/d295327dex41.htm" TargetMode="External"/><Relationship Id="rId90" Type="http://schemas.openxmlformats.org/officeDocument/2006/relationships/hyperlink" Target="https://www.sec.gov/Archives/edgar/data/1539838/000119312521148164/d301323dex43.htm" TargetMode="External"/><Relationship Id="rId92" Type="http://schemas.openxmlformats.org/officeDocument/2006/relationships/hyperlink" Target="https://www.sec.gov/Archives/edgar/data/1539838/000119312521148164/d301323dex44.htm" TargetMode="External"/><Relationship Id="rId94" Type="http://schemas.openxmlformats.org/officeDocument/2006/relationships/hyperlink" Target="https://www.sec.gov/Archives/edgar/data/1539838/000110465921040981/tm218746d8_ex4-2.htm" TargetMode="External"/><Relationship Id="rId95" Type="http://schemas.openxmlformats.org/officeDocument/2006/relationships/hyperlink" Target="https://www.sec.gov/Archives/edgar/data/1539838/000110465921040981/tm218746d8_ex4-3.htm" TargetMode="External"/><Relationship Id="rId97" Type="http://schemas.openxmlformats.org/officeDocument/2006/relationships/hyperlink" Target="https://www.sec.gov/Archives/edgar/data/1539838/000153983821000015/diamondback202010-kxex104.htm" TargetMode="External"/><Relationship Id="rId98" Type="http://schemas.openxmlformats.org/officeDocument/2006/relationships/hyperlink" Target="https://www.sec.gov/Archives/edgar/data/1539838/000153983821000015/diamondback202010-kxex105.htm" TargetMode="External"/><Relationship Id="rId100" Type="http://schemas.openxmlformats.org/officeDocument/2006/relationships/hyperlink" Target="https://www.sec.gov/Archives/edgar/data/1539838/000153983821000015/diamondback202010-kxex1011.htm" TargetMode="External"/><Relationship Id="rId101" Type="http://schemas.openxmlformats.org/officeDocument/2006/relationships/hyperlink" Target="https://www.sec.gov/Archives/edgar/data/1539838/000153983820000054/q12020diamondback10-q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2021-05-07T15:42:19Z</dcterms:created>
  <dcterms:modified xsi:type="dcterms:W3CDTF">2021-05-07T15:42:19Z</dcterms:modified>
</cp:coreProperties>
</file>