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Commission File Number 001-35700</w:t>
      </w:r>
    </w:p>
    <w:p>
      <w:pPr>
        <w:pStyle w:val="TextBody"/>
        <w:bidi w:val="0"/>
        <w:spacing w:lineRule="auto" w:line="288" w:before="0" w:after="0"/>
        <w:ind w:left="0" w:right="0" w:firstLine="72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720"/>
        <w:jc w:val="center"/>
        <w:rPr>
          <w:rFonts w:ascii="Times New Roman;serif" w:hAnsi="Times New Roman;serif"/>
          <w:b/>
          <w:color w:val="000000"/>
          <w:sz w:val="44"/>
        </w:rPr>
      </w:pPr>
      <w:r>
        <w:rPr>
          <w:rFonts w:ascii="Times New Roman;serif" w:hAnsi="Times New Roman;serif"/>
          <w:b/>
          <w:color w:val="000000"/>
          <w:sz w:val="44"/>
        </w:rPr>
        <w:t>Diamondback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30" w:type="dxa"/>
        <w:jc w:val="center"/>
        <w:tblInd w:w="0" w:type="dxa"/>
        <w:tblLayout w:type="fixed"/>
        <w:tblCellMar>
          <w:top w:w="28" w:type="dxa"/>
          <w:left w:w="28" w:type="dxa"/>
          <w:bottom w:w="28" w:type="dxa"/>
          <w:right w:w="28" w:type="dxa"/>
        </w:tblCellMar>
      </w:tblPr>
      <w:tblGrid>
        <w:gridCol w:w="842"/>
        <w:gridCol w:w="741"/>
        <w:gridCol w:w="741"/>
        <w:gridCol w:w="741"/>
        <w:gridCol w:w="741"/>
        <w:gridCol w:w="753"/>
        <w:gridCol w:w="109"/>
        <w:gridCol w:w="109"/>
        <w:gridCol w:w="109"/>
        <w:gridCol w:w="799"/>
        <w:gridCol w:w="799"/>
        <w:gridCol w:w="1146"/>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45-4502447</w:t>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79701</w:t>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45"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(432) 221-7400</w:t>
      </w:r>
    </w:p>
    <w:p>
      <w:pPr>
        <w:pStyle w:val="TextBody"/>
        <w:bidi w:val="0"/>
        <w:spacing w:lineRule="auto" w:line="264" w:before="0" w:after="0"/>
        <w:ind w:left="0" w:right="0" w:firstLine="7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color w:val="000000"/>
        </w:rPr>
        <w:t> </w:t>
      </w:r>
      <w:r>
        <w:rPr>
          <w:rFonts w:ascii="Times New Roman;serif" w:hAnsi="Times New Roman;serif"/>
          <w:b w:val="false"/>
          <w:color w:val="000000"/>
          <w:sz w:val="16"/>
        </w:rPr>
        <w:t>Securities registered pursuant to Section 12(b) of the Act:</w:t>
      </w:r>
    </w:p>
    <w:tbl>
      <w:tblPr>
        <w:tblW w:w="9182" w:type="dxa"/>
        <w:jc w:val="center"/>
        <w:tblInd w:w="0" w:type="dxa"/>
        <w:tblLayout w:type="fixed"/>
        <w:tblCellMar>
          <w:top w:w="28" w:type="dxa"/>
          <w:left w:w="28" w:type="dxa"/>
          <w:bottom w:w="28" w:type="dxa"/>
          <w:right w:w="28" w:type="dxa"/>
        </w:tblCellMar>
      </w:tblPr>
      <w:tblGrid>
        <w:gridCol w:w="124"/>
        <w:gridCol w:w="109"/>
        <w:gridCol w:w="109"/>
        <w:gridCol w:w="1028"/>
        <w:gridCol w:w="1028"/>
        <w:gridCol w:w="1034"/>
        <w:gridCol w:w="109"/>
        <w:gridCol w:w="109"/>
        <w:gridCol w:w="109"/>
        <w:gridCol w:w="484"/>
        <w:gridCol w:w="484"/>
        <w:gridCol w:w="486"/>
        <w:gridCol w:w="109"/>
        <w:gridCol w:w="109"/>
        <w:gridCol w:w="109"/>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July 31, 2026, the registrant had 280,024,353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417" w:before="0" w:after="0"/>
        <w:jc w:val="center"/>
        <w:rPr>
          <w:rFonts w:ascii="Times New Roman;serif" w:hAnsi="Times New Roman;serif"/>
          <w:b/>
          <w:color w:val="000000"/>
          <w:sz w:val="20"/>
        </w:rPr>
      </w:pPr>
      <w:bookmarkStart w:id="0" w:name="i89938af68e4241a49e98a914c76ee5f3"/>
      <w:bookmarkEnd w:id="0"/>
      <w:r>
        <w:rPr>
          <w:rFonts w:ascii="Times New Roman;serif" w:hAnsi="Times New Roman;serif"/>
          <w:b/>
          <w:color w:val="000000"/>
          <w:sz w:val="20"/>
        </w:rPr>
        <w:t>DIAMONDBACK ENERGY, INC.</w:t>
      </w:r>
    </w:p>
    <w:p>
      <w:pPr>
        <w:pStyle w:val="TextBody"/>
        <w:bidi w:val="0"/>
        <w:spacing w:lineRule="auto" w:line="417" w:before="0" w:after="0"/>
        <w:jc w:val="center"/>
        <w:rPr>
          <w:rFonts w:ascii="Times New Roman;serif" w:hAnsi="Times New Roman;serif"/>
          <w:b/>
          <w:color w:val="000000"/>
          <w:sz w:val="20"/>
        </w:rPr>
      </w:pPr>
      <w:bookmarkStart w:id="1" w:name="id7734cfc0f394afe9ec78118eec78288"/>
      <w:bookmarkEnd w:id="1"/>
      <w:r>
        <w:rPr>
          <w:rFonts w:ascii="Times New Roman;serif" w:hAnsi="Times New Roman;serif"/>
          <w:b/>
          <w:color w:val="000000"/>
          <w:sz w:val="20"/>
        </w:rPr>
        <w:t>FORM 10-Q</w:t>
      </w:r>
    </w:p>
    <w:p>
      <w:pPr>
        <w:pStyle w:val="TextBody"/>
        <w:bidi w:val="0"/>
        <w:spacing w:lineRule="auto" w:line="417" w:before="0" w:after="0"/>
        <w:jc w:val="center"/>
        <w:rPr>
          <w:rFonts w:ascii="Times New Roman;serif" w:hAnsi="Times New Roman;serif"/>
          <w:b/>
          <w:color w:val="000000"/>
          <w:sz w:val="20"/>
        </w:rPr>
      </w:pPr>
      <w:bookmarkStart w:id="2" w:name="i2dca118e9696486eb87262185052a58f"/>
      <w:bookmarkEnd w:id="2"/>
      <w:r>
        <w:rPr>
          <w:rFonts w:ascii="Times New Roman;serif" w:hAnsi="Times New Roman;serif"/>
          <w:b/>
          <w:color w:val="000000"/>
          <w:sz w:val="20"/>
        </w:rPr>
        <w:t>FOR THE QUARTER ENDED JUNE 30, 2026</w:t>
      </w:r>
    </w:p>
    <w:p>
      <w:pPr>
        <w:pStyle w:val="TextBody"/>
        <w:bidi w:val="0"/>
        <w:spacing w:lineRule="auto" w:line="417" w:before="0" w:after="0"/>
        <w:jc w:val="center"/>
        <w:rPr>
          <w:rFonts w:ascii="Times New Roman;serif" w:hAnsi="Times New Roman;serif"/>
          <w:b/>
          <w:color w:val="000000"/>
          <w:sz w:val="20"/>
        </w:rPr>
      </w:pPr>
      <w:bookmarkStart w:id="3" w:name="i8af7df2f382e45358b10474e08010a1d"/>
      <w:bookmarkEnd w:id="3"/>
      <w:r>
        <w:rPr>
          <w:rFonts w:ascii="Times New Roman;serif" w:hAnsi="Times New Roman;serif"/>
          <w:b/>
          <w:color w:val="000000"/>
          <w:sz w:val="20"/>
        </w:rPr>
        <w:t>TABLE OF CONTENTS</w:t>
      </w:r>
    </w:p>
    <w:tbl>
      <w:tblPr>
        <w:tblW w:w="7546" w:type="dxa"/>
        <w:jc w:val="left"/>
        <w:tblInd w:w="0" w:type="dxa"/>
        <w:tblLayout w:type="fixed"/>
        <w:tblCellMar>
          <w:top w:w="28" w:type="dxa"/>
          <w:left w:w="28" w:type="dxa"/>
          <w:bottom w:w="28" w:type="dxa"/>
          <w:right w:w="28" w:type="dxa"/>
        </w:tblCellMar>
      </w:tblPr>
      <w:tblGrid>
        <w:gridCol w:w="2550"/>
        <w:gridCol w:w="2246"/>
        <w:gridCol w:w="2254"/>
        <w:gridCol w:w="145"/>
        <w:gridCol w:w="145"/>
        <w:gridCol w:w="206"/>
      </w:tblGrid>
      <w:tr>
        <w:trPr/>
        <w:tc>
          <w:tcPr>
            <w:tcW w:w="255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13">
              <w:r>
                <w:rPr>
                  <w:rStyle w:val="InternetLink"/>
                  <w:rFonts w:ascii="Times New Roman;serif" w:hAnsi="Times New Roman;serif"/>
                  <w:b w:val="false"/>
                  <w:color w:val="0000FF"/>
                  <w:sz w:val="18"/>
                  <w:u w:val="single"/>
                </w:rPr>
                <w:t>Glossary of Oil and Natural Gas Terms</w:t>
              </w:r>
            </w:hyperlink>
          </w:p>
        </w:tc>
        <w:tc>
          <w:tcPr>
            <w:tcW w:w="4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pPr>
            <w:hyperlink w:anchor="i72109fb793334acb85eafc0257cc53bf_13">
              <w:r>
                <w:rPr>
                  <w:rStyle w:val="InternetLink"/>
                  <w:rFonts w:ascii="Times New Roman;serif" w:hAnsi="Times New Roman;serif"/>
                  <w:b w:val="false"/>
                  <w:color w:val="0000FF"/>
                  <w:sz w:val="18"/>
                  <w:u w:val="single"/>
                </w:rPr>
                <w:t>ii</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16">
              <w:r>
                <w:rPr>
                  <w:rStyle w:val="InternetLink"/>
                  <w:rFonts w:ascii="Times New Roman;serif" w:hAnsi="Times New Roman;serif"/>
                  <w:b w:val="false"/>
                  <w:color w:val="0000FF"/>
                  <w:sz w:val="18"/>
                  <w:u w:val="single"/>
                </w:rPr>
                <w:t>Glossary of Certain Other Terms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16">
              <w:r>
                <w:rPr>
                  <w:rStyle w:val="InternetLink"/>
                  <w:rFonts w:ascii="Times New Roman;serif" w:hAnsi="Times New Roman;serif"/>
                  <w:b w:val="false"/>
                  <w:color w:val="0000FF"/>
                  <w:sz w:val="18"/>
                  <w:u w:val="single"/>
                </w:rPr>
                <w:t>iv</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19">
              <w:r>
                <w:rPr>
                  <w:rStyle w:val="InternetLink"/>
                  <w:rFonts w:ascii="Times New Roman;serif" w:hAnsi="Times New Roman;serif"/>
                  <w:b w:val="false"/>
                  <w:color w:val="0000FF"/>
                  <w:sz w:val="18"/>
                  <w:u w:val="single"/>
                </w:rPr>
                <w:t>Cautionary Statement Regarding Forward-Looking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19">
              <w:r>
                <w:rPr>
                  <w:rStyle w:val="InternetLink"/>
                  <w:rFonts w:ascii="Times New Roman;serif" w:hAnsi="Times New Roman;serif"/>
                  <w:b w:val="false"/>
                  <w:color w:val="0000FF"/>
                  <w:sz w:val="18"/>
                  <w:u w:val="single"/>
                </w:rPr>
                <w:t>v</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22">
              <w:r>
                <w:rPr>
                  <w:rStyle w:val="InternetLink"/>
                  <w:rFonts w:ascii="Times New Roman;serif" w:hAnsi="Times New Roman;serif"/>
                  <w:b/>
                  <w:color w:val="0000FF"/>
                  <w:sz w:val="17"/>
                  <w:u w:val="single"/>
                </w:rPr>
                <w:t>PART I. FINANCIAL INFORMATION</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22">
              <w:r>
                <w:rPr>
                  <w:rStyle w:val="InternetLink"/>
                  <w:rFonts w:ascii="Times New Roman;serif" w:hAnsi="Times New Roman;serif"/>
                  <w:b w:val="false"/>
                  <w:color w:val="0000FF"/>
                  <w:sz w:val="18"/>
                  <w:u w:val="single"/>
                </w:rPr>
                <w:t>Item 1. Financial Statements (Unaudited)</w:t>
              </w:r>
            </w:hyperlink>
            <w:r>
              <w:rPr>
                <w:color w:val="000000"/>
              </w:rPr>
              <w:t xml:space="preserve"> </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25">
              <w:r>
                <w:rPr>
                  <w:rStyle w:val="InternetLink"/>
                  <w:rFonts w:ascii="Times New Roman;serif" w:hAnsi="Times New Roman;serif"/>
                  <w:b w:val="false"/>
                  <w:color w:val="0000FF"/>
                  <w:sz w:val="18"/>
                  <w:u w:val="single"/>
                </w:rPr>
                <w:t>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28">
              <w:r>
                <w:rPr>
                  <w:rStyle w:val="InternetLink"/>
                  <w:rFonts w:ascii="Times New Roman;serif" w:hAnsi="Times New Roman;serif"/>
                  <w:b w:val="false"/>
                  <w:color w:val="0000FF"/>
                  <w:sz w:val="18"/>
                  <w:u w:val="single"/>
                </w:rPr>
                <w:t>Condensed Consolidated Statements of Operations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28">
              <w:r>
                <w:rPr>
                  <w:rStyle w:val="InternetLink"/>
                  <w:rFonts w:ascii="Times New Roman;serif" w:hAnsi="Times New Roman;serif"/>
                  <w:b w:val="false"/>
                  <w:color w:val="0000FF"/>
                  <w:sz w:val="18"/>
                  <w:u w:val="single"/>
                </w:rPr>
                <w:t>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31">
              <w:r>
                <w:rPr>
                  <w:rStyle w:val="InternetLink"/>
                  <w:rFonts w:ascii="Times New Roman;serif" w:hAnsi="Times New Roman;serif"/>
                  <w:b w:val="false"/>
                  <w:color w:val="0000FF"/>
                  <w:sz w:val="18"/>
                  <w:u w:val="single"/>
                </w:rPr>
                <w:t>Condensed Consolidated Balance Sheets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31">
              <w:r>
                <w:rPr>
                  <w:rStyle w:val="InternetLink"/>
                  <w:rFonts w:ascii="Times New Roman;serif" w:hAnsi="Times New Roman;serif"/>
                  <w:b w:val="false"/>
                  <w:color w:val="0000FF"/>
                  <w:sz w:val="18"/>
                  <w:u w:val="single"/>
                </w:rPr>
                <w:t>2</w:t>
              </w:r>
            </w:hyperlink>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34">
              <w:r>
                <w:rPr>
                  <w:rStyle w:val="InternetLink"/>
                  <w:rFonts w:ascii="Times New Roman;serif" w:hAnsi="Times New Roman;serif"/>
                  <w:b w:val="false"/>
                  <w:color w:val="0000FF"/>
                  <w:sz w:val="18"/>
                  <w:u w:val="single"/>
                </w:rPr>
                <w:t>Condensed Consolidated Statements of Cash Flows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34">
              <w:r>
                <w:rPr>
                  <w:rStyle w:val="InternetLink"/>
                  <w:rFonts w:ascii="Times New Roman;serif" w:hAnsi="Times New Roman;serif"/>
                  <w:b w:val="false"/>
                  <w:color w:val="0000FF"/>
                  <w:sz w:val="18"/>
                  <w:u w:val="single"/>
                </w:rPr>
                <w:t>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37">
              <w:r>
                <w:rPr>
                  <w:rStyle w:val="InternetLink"/>
                  <w:rFonts w:ascii="Times New Roman;serif" w:hAnsi="Times New Roman;serif"/>
                  <w:b w:val="false"/>
                  <w:color w:val="0000FF"/>
                  <w:sz w:val="18"/>
                  <w:u w:val="single"/>
                </w:rPr>
                <w:t>Condensed Consolidated Statements of Stockholders’ Equity</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37">
              <w:r>
                <w:rPr>
                  <w:rStyle w:val="InternetLink"/>
                  <w:rFonts w:ascii="Times New Roman;serif" w:hAnsi="Times New Roman;serif"/>
                  <w:b w:val="false"/>
                  <w:color w:val="0000FF"/>
                  <w:sz w:val="18"/>
                  <w:u w:val="single"/>
                </w:rPr>
                <w:t>4</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40">
              <w:r>
                <w:rPr>
                  <w:rStyle w:val="InternetLink"/>
                  <w:rFonts w:ascii="Times New Roman;serif" w:hAnsi="Times New Roman;serif"/>
                  <w:b w:val="false"/>
                  <w:color w:val="0000FF"/>
                  <w:sz w:val="18"/>
                  <w:u w:val="single"/>
                </w:rPr>
                <w:t>Notes to the Condensed Consolidated Financial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40">
              <w:r>
                <w:rPr>
                  <w:rStyle w:val="InternetLink"/>
                  <w:rFonts w:ascii="Times New Roman;serif" w:hAnsi="Times New Roman;serif"/>
                  <w:b w:val="false"/>
                  <w:color w:val="0000FF"/>
                  <w:sz w:val="18"/>
                  <w:u w:val="single"/>
                </w:rPr>
                <w:t>6</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43">
              <w:r>
                <w:rPr>
                  <w:rStyle w:val="InternetLink"/>
                  <w:rFonts w:ascii="Times New Roman;serif" w:hAnsi="Times New Roman;serif"/>
                  <w:b w:val="false"/>
                  <w:color w:val="0000FF"/>
                  <w:sz w:val="18"/>
                  <w:u w:val="single"/>
                </w:rPr>
                <w:t>1. Description of the Business and Basis of Presentation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43">
              <w:r>
                <w:rPr>
                  <w:rStyle w:val="InternetLink"/>
                  <w:rFonts w:ascii="Times New Roman;serif" w:hAnsi="Times New Roman;serif"/>
                  <w:b w:val="false"/>
                  <w:color w:val="0000FF"/>
                  <w:sz w:val="18"/>
                  <w:u w:val="single"/>
                </w:rPr>
                <w:t>6</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46">
              <w:r>
                <w:rPr>
                  <w:rStyle w:val="InternetLink"/>
                  <w:rFonts w:ascii="Times New Roman;serif" w:hAnsi="Times New Roman;serif"/>
                  <w:b w:val="false"/>
                  <w:color w:val="0000FF"/>
                  <w:sz w:val="18"/>
                  <w:u w:val="single"/>
                </w:rPr>
                <w:t>2. Summary of Significant Accounting Policies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46">
              <w:r>
                <w:rPr>
                  <w:rStyle w:val="InternetLink"/>
                  <w:rFonts w:ascii="Times New Roman;serif" w:hAnsi="Times New Roman;serif"/>
                  <w:b w:val="false"/>
                  <w:color w:val="0000FF"/>
                  <w:sz w:val="18"/>
                  <w:u w:val="single"/>
                </w:rPr>
                <w:t>7</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49">
              <w:r>
                <w:rPr>
                  <w:rStyle w:val="InternetLink"/>
                  <w:rFonts w:ascii="Times New Roman;serif" w:hAnsi="Times New Roman;serif"/>
                  <w:b w:val="false"/>
                  <w:color w:val="0000FF"/>
                  <w:sz w:val="18"/>
                  <w:u w:val="single"/>
                </w:rPr>
                <w:t>3. Revenue from Contracts with Customers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49">
              <w:r>
                <w:rPr>
                  <w:rStyle w:val="InternetLink"/>
                  <w:rFonts w:ascii="Times New Roman;serif" w:hAnsi="Times New Roman;serif"/>
                  <w:b w:val="false"/>
                  <w:color w:val="0000FF"/>
                  <w:sz w:val="18"/>
                  <w:u w:val="single"/>
                </w:rPr>
                <w:t>8</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52">
              <w:r>
                <w:rPr>
                  <w:rStyle w:val="InternetLink"/>
                  <w:rFonts w:ascii="Times New Roman;serif" w:hAnsi="Times New Roman;serif"/>
                  <w:b w:val="false"/>
                  <w:color w:val="0000FF"/>
                  <w:sz w:val="18"/>
                  <w:u w:val="single"/>
                </w:rPr>
                <w:t>4. Acquisitions and Divestitures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52">
              <w:r>
                <w:rPr>
                  <w:rStyle w:val="InternetLink"/>
                  <w:rFonts w:ascii="Times New Roman;serif" w:hAnsi="Times New Roman;serif"/>
                  <w:b w:val="false"/>
                  <w:color w:val="0000FF"/>
                  <w:sz w:val="18"/>
                  <w:u w:val="single"/>
                </w:rPr>
                <w:t>8</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55">
              <w:r>
                <w:rPr>
                  <w:rStyle w:val="InternetLink"/>
                  <w:rFonts w:ascii="Times New Roman;serif" w:hAnsi="Times New Roman;serif"/>
                  <w:b w:val="false"/>
                  <w:color w:val="0000FF"/>
                  <w:sz w:val="18"/>
                  <w:u w:val="single"/>
                </w:rPr>
                <w:t>5. Property and Equipment</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55">
              <w:r>
                <w:rPr>
                  <w:rStyle w:val="InternetLink"/>
                  <w:rFonts w:ascii="Times New Roman;serif" w:hAnsi="Times New Roman;serif"/>
                  <w:b w:val="false"/>
                  <w:color w:val="0000FF"/>
                  <w:sz w:val="18"/>
                  <w:u w:val="single"/>
                </w:rPr>
                <w:t>10</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58">
              <w:r>
                <w:rPr>
                  <w:rStyle w:val="InternetLink"/>
                  <w:rFonts w:ascii="Times New Roman;serif" w:hAnsi="Times New Roman;serif"/>
                  <w:b w:val="false"/>
                  <w:color w:val="0000FF"/>
                  <w:sz w:val="18"/>
                  <w:u w:val="single"/>
                </w:rPr>
                <w:t>6. Asset Retirement Obligations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58">
              <w:r>
                <w:rPr>
                  <w:rStyle w:val="InternetLink"/>
                  <w:rFonts w:ascii="Times New Roman;serif" w:hAnsi="Times New Roman;serif"/>
                  <w:b w:val="false"/>
                  <w:color w:val="0000FF"/>
                  <w:sz w:val="18"/>
                  <w:u w:val="single"/>
                </w:rPr>
                <w:t>11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61">
              <w:r>
                <w:rPr>
                  <w:rStyle w:val="InternetLink"/>
                  <w:rFonts w:ascii="Times New Roman;serif" w:hAnsi="Times New Roman;serif"/>
                  <w:b w:val="false"/>
                  <w:color w:val="0000FF"/>
                  <w:sz w:val="18"/>
                  <w:u w:val="single"/>
                </w:rPr>
                <w:t>7. Related Party Transactions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61">
              <w:r>
                <w:rPr>
                  <w:rStyle w:val="InternetLink"/>
                  <w:rFonts w:ascii="Times New Roman;serif" w:hAnsi="Times New Roman;serif"/>
                  <w:b w:val="false"/>
                  <w:color w:val="0000FF"/>
                  <w:sz w:val="18"/>
                  <w:u w:val="single"/>
                </w:rPr>
                <w:t>11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64">
              <w:r>
                <w:rPr>
                  <w:rStyle w:val="InternetLink"/>
                  <w:rFonts w:ascii="Times New Roman;serif" w:hAnsi="Times New Roman;serif"/>
                  <w:b w:val="false"/>
                  <w:color w:val="0000FF"/>
                  <w:sz w:val="18"/>
                  <w:u w:val="single"/>
                </w:rPr>
                <w:t>8. Debt</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64">
              <w:r>
                <w:rPr>
                  <w:rStyle w:val="InternetLink"/>
                  <w:rFonts w:ascii="Times New Roman;serif" w:hAnsi="Times New Roman;serif"/>
                  <w:b w:val="false"/>
                  <w:color w:val="0000FF"/>
                  <w:sz w:val="18"/>
                  <w:u w:val="single"/>
                </w:rPr>
                <w:t>13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67">
              <w:r>
                <w:rPr>
                  <w:rStyle w:val="InternetLink"/>
                  <w:rFonts w:ascii="Times New Roman;serif" w:hAnsi="Times New Roman;serif"/>
                  <w:b w:val="false"/>
                  <w:color w:val="0000FF"/>
                  <w:sz w:val="18"/>
                  <w:u w:val="single"/>
                </w:rPr>
                <w:t>9. Stockholders’ Equity and Earnings (Loss) Per Share</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67">
              <w:r>
                <w:rPr>
                  <w:rStyle w:val="InternetLink"/>
                  <w:rFonts w:ascii="Times New Roman;serif" w:hAnsi="Times New Roman;serif"/>
                  <w:b w:val="false"/>
                  <w:color w:val="0000FF"/>
                  <w:sz w:val="18"/>
                  <w:u w:val="single"/>
                </w:rPr>
                <w:t>15</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70">
              <w:r>
                <w:rPr>
                  <w:rStyle w:val="InternetLink"/>
                  <w:rFonts w:ascii="Times New Roman;serif" w:hAnsi="Times New Roman;serif"/>
                  <w:b w:val="false"/>
                  <w:color w:val="0000FF"/>
                  <w:sz w:val="18"/>
                  <w:u w:val="single"/>
                </w:rPr>
                <w:t>10. Equity-Based Compensation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70">
              <w:r>
                <w:rPr>
                  <w:rStyle w:val="InternetLink"/>
                  <w:rFonts w:ascii="Times New Roman;serif" w:hAnsi="Times New Roman;serif"/>
                  <w:b w:val="false"/>
                  <w:color w:val="0000FF"/>
                  <w:sz w:val="18"/>
                  <w:u w:val="single"/>
                </w:rPr>
                <w:t>17</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73">
              <w:r>
                <w:rPr>
                  <w:rStyle w:val="InternetLink"/>
                  <w:rFonts w:ascii="Times New Roman;serif" w:hAnsi="Times New Roman;serif"/>
                  <w:b w:val="false"/>
                  <w:color w:val="0000FF"/>
                  <w:sz w:val="18"/>
                  <w:u w:val="single"/>
                </w:rPr>
                <w:t>11. Income Taxes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73">
              <w:r>
                <w:rPr>
                  <w:rStyle w:val="InternetLink"/>
                  <w:rFonts w:ascii="Times New Roman;serif" w:hAnsi="Times New Roman;serif"/>
                  <w:b w:val="false"/>
                  <w:color w:val="0000FF"/>
                  <w:sz w:val="18"/>
                  <w:u w:val="single"/>
                </w:rPr>
                <w:t>18</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76">
              <w:r>
                <w:rPr>
                  <w:rStyle w:val="InternetLink"/>
                  <w:rFonts w:ascii="Times New Roman;serif" w:hAnsi="Times New Roman;serif"/>
                  <w:b w:val="false"/>
                  <w:color w:val="0000FF"/>
                  <w:sz w:val="18"/>
                  <w:u w:val="single"/>
                </w:rPr>
                <w:t>12. Derivatives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76">
              <w:r>
                <w:rPr>
                  <w:rStyle w:val="InternetLink"/>
                  <w:rFonts w:ascii="Times New Roman;serif" w:hAnsi="Times New Roman;serif"/>
                  <w:b w:val="false"/>
                  <w:color w:val="0000FF"/>
                  <w:sz w:val="18"/>
                  <w:u w:val="single"/>
                </w:rPr>
                <w:t>19</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79">
              <w:r>
                <w:rPr>
                  <w:rStyle w:val="InternetLink"/>
                  <w:rFonts w:ascii="Times New Roman;serif" w:hAnsi="Times New Roman;serif"/>
                  <w:b w:val="false"/>
                  <w:color w:val="0000FF"/>
                  <w:sz w:val="18"/>
                  <w:u w:val="single"/>
                </w:rPr>
                <w:t>13. Fair Value Measurements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79">
              <w:r>
                <w:rPr>
                  <w:rStyle w:val="InternetLink"/>
                  <w:rFonts w:ascii="Times New Roman;serif" w:hAnsi="Times New Roman;serif"/>
                  <w:b w:val="false"/>
                  <w:color w:val="0000FF"/>
                  <w:sz w:val="18"/>
                  <w:u w:val="single"/>
                </w:rPr>
                <w:t>21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82">
              <w:r>
                <w:rPr>
                  <w:rStyle w:val="InternetLink"/>
                  <w:rFonts w:ascii="Times New Roman;serif" w:hAnsi="Times New Roman;serif"/>
                  <w:b w:val="false"/>
                  <w:color w:val="0000FF"/>
                  <w:sz w:val="18"/>
                  <w:u w:val="single"/>
                </w:rPr>
                <w:t>14. Supplemental Information To Statements of Cash Flows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82">
              <w:r>
                <w:rPr>
                  <w:rStyle w:val="InternetLink"/>
                  <w:rFonts w:ascii="Times New Roman;serif" w:hAnsi="Times New Roman;serif"/>
                  <w:b w:val="false"/>
                  <w:color w:val="0000FF"/>
                  <w:sz w:val="18"/>
                  <w:u w:val="single"/>
                </w:rPr>
                <w:t>23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85">
              <w:r>
                <w:rPr>
                  <w:rStyle w:val="InternetLink"/>
                  <w:rFonts w:ascii="Times New Roman;serif" w:hAnsi="Times New Roman;serif"/>
                  <w:b w:val="false"/>
                  <w:color w:val="0000FF"/>
                  <w:sz w:val="18"/>
                  <w:u w:val="single"/>
                </w:rPr>
                <w:t>15. Commitments and Contingencies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85">
              <w:r>
                <w:rPr>
                  <w:rStyle w:val="InternetLink"/>
                  <w:rFonts w:ascii="Times New Roman;serif" w:hAnsi="Times New Roman;serif"/>
                  <w:b w:val="false"/>
                  <w:color w:val="0000FF"/>
                  <w:sz w:val="18"/>
                  <w:u w:val="single"/>
                </w:rPr>
                <w:t>24</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88">
              <w:r>
                <w:rPr>
                  <w:rStyle w:val="InternetLink"/>
                  <w:rFonts w:ascii="Times New Roman;serif" w:hAnsi="Times New Roman;serif"/>
                  <w:b w:val="false"/>
                  <w:color w:val="0000FF"/>
                  <w:sz w:val="18"/>
                  <w:u w:val="single"/>
                </w:rPr>
                <w:t>16. Subsequent Events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88">
              <w:r>
                <w:rPr>
                  <w:rStyle w:val="InternetLink"/>
                  <w:rFonts w:ascii="Times New Roman;serif" w:hAnsi="Times New Roman;serif"/>
                  <w:b w:val="false"/>
                  <w:color w:val="0000FF"/>
                  <w:sz w:val="18"/>
                  <w:u w:val="single"/>
                </w:rPr>
                <w:t>24</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91">
              <w:r>
                <w:rPr>
                  <w:rStyle w:val="InternetLink"/>
                  <w:rFonts w:ascii="Times New Roman;serif" w:hAnsi="Times New Roman;serif"/>
                  <w:b w:val="false"/>
                  <w:color w:val="0000FF"/>
                  <w:sz w:val="18"/>
                  <w:u w:val="single"/>
                </w:rPr>
                <w:t>17. Segment Information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91">
              <w:r>
                <w:rPr>
                  <w:rStyle w:val="InternetLink"/>
                  <w:rFonts w:ascii="Times New Roman;serif" w:hAnsi="Times New Roman;serif"/>
                  <w:b w:val="false"/>
                  <w:color w:val="0000FF"/>
                  <w:sz w:val="18"/>
                  <w:u w:val="single"/>
                </w:rPr>
                <w:t>25</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94">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94">
              <w:r>
                <w:rPr>
                  <w:rStyle w:val="InternetLink"/>
                  <w:rFonts w:ascii="Times New Roman;serif" w:hAnsi="Times New Roman;serif"/>
                  <w:b w:val="false"/>
                  <w:color w:val="0000FF"/>
                  <w:sz w:val="18"/>
                  <w:u w:val="single"/>
                </w:rPr>
                <w:t>26</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151">
              <w:r>
                <w:rPr>
                  <w:rStyle w:val="InternetLink"/>
                  <w:rFonts w:ascii="Times New Roman;serif" w:hAnsi="Times New Roman;serif"/>
                  <w:b w:val="false"/>
                  <w:color w:val="0000FF"/>
                  <w:sz w:val="18"/>
                  <w:u w:val="single"/>
                </w:rPr>
                <w:t>Item 3. Quantitative and Qualitative Disclosures About Market Risk</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151">
              <w:r>
                <w:rPr>
                  <w:rStyle w:val="InternetLink"/>
                  <w:rFonts w:ascii="Times New Roman;serif" w:hAnsi="Times New Roman;serif"/>
                  <w:b w:val="false"/>
                  <w:color w:val="0000FF"/>
                  <w:sz w:val="18"/>
                  <w:u w:val="single"/>
                </w:rPr>
                <w:t>41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154">
              <w:r>
                <w:rPr>
                  <w:rStyle w:val="InternetLink"/>
                  <w:rFonts w:ascii="Times New Roman;serif" w:hAnsi="Times New Roman;serif"/>
                  <w:b w:val="false"/>
                  <w:color w:val="0000FF"/>
                  <w:sz w:val="18"/>
                  <w:u w:val="single"/>
                </w:rPr>
                <w:t>Item 4. Controls and Procedures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154">
              <w:r>
                <w:rPr>
                  <w:rStyle w:val="InternetLink"/>
                  <w:rFonts w:ascii="Times New Roman;serif" w:hAnsi="Times New Roman;serif"/>
                  <w:b w:val="false"/>
                  <w:color w:val="0000FF"/>
                  <w:sz w:val="18"/>
                  <w:u w:val="single"/>
                </w:rPr>
                <w:t>41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157">
              <w:r>
                <w:rPr>
                  <w:rStyle w:val="InternetLink"/>
                  <w:rFonts w:ascii="Times New Roman;serif" w:hAnsi="Times New Roman;serif"/>
                  <w:b/>
                  <w:color w:val="0000FF"/>
                  <w:sz w:val="17"/>
                  <w:u w:val="single"/>
                </w:rPr>
                <w:t>PART II. OTHER INFORMATION</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160">
              <w:r>
                <w:rPr>
                  <w:rStyle w:val="InternetLink"/>
                  <w:rFonts w:ascii="Times New Roman;serif" w:hAnsi="Times New Roman;serif"/>
                  <w:b w:val="false"/>
                  <w:color w:val="0000FF"/>
                  <w:sz w:val="18"/>
                  <w:u w:val="single"/>
                </w:rPr>
                <w:t>Item 1. Legal Proceedings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160">
              <w:r>
                <w:rPr>
                  <w:rStyle w:val="InternetLink"/>
                  <w:rFonts w:ascii="Times New Roman;serif" w:hAnsi="Times New Roman;serif"/>
                  <w:b w:val="false"/>
                  <w:color w:val="0000FF"/>
                  <w:sz w:val="18"/>
                  <w:u w:val="single"/>
                </w:rPr>
                <w:t>43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163">
              <w:r>
                <w:rPr>
                  <w:rStyle w:val="InternetLink"/>
                  <w:rFonts w:ascii="Times New Roman;serif" w:hAnsi="Times New Roman;serif"/>
                  <w:b w:val="false"/>
                  <w:color w:val="0000FF"/>
                  <w:sz w:val="18"/>
                  <w:u w:val="single"/>
                </w:rPr>
                <w:t>Item 1A. Risk Factors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163">
              <w:r>
                <w:rPr>
                  <w:rStyle w:val="InternetLink"/>
                  <w:rFonts w:ascii="Times New Roman;serif" w:hAnsi="Times New Roman;serif"/>
                  <w:b w:val="false"/>
                  <w:color w:val="0000FF"/>
                  <w:sz w:val="18"/>
                  <w:u w:val="single"/>
                </w:rPr>
                <w:t>43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166">
              <w:r>
                <w:rPr>
                  <w:rStyle w:val="InternetLink"/>
                  <w:rFonts w:ascii="Times New Roman;serif" w:hAnsi="Times New Roman;serif"/>
                  <w:b w:val="false"/>
                  <w:color w:val="0000FF"/>
                  <w:sz w:val="18"/>
                  <w:u w:val="single"/>
                </w:rPr>
                <w:t>Item 2. Unregistered Sales of Equity Securities and Use of Proceeds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166">
              <w:r>
                <w:rPr>
                  <w:rStyle w:val="InternetLink"/>
                  <w:rFonts w:ascii="Times New Roman;serif" w:hAnsi="Times New Roman;serif"/>
                  <w:b w:val="false"/>
                  <w:color w:val="0000FF"/>
                  <w:sz w:val="18"/>
                  <w:u w:val="single"/>
                </w:rPr>
                <w:t>43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169">
              <w:r>
                <w:rPr>
                  <w:rStyle w:val="InternetLink"/>
                  <w:rFonts w:ascii="Times New Roman;serif" w:hAnsi="Times New Roman;serif"/>
                  <w:b w:val="false"/>
                  <w:color w:val="0000FF"/>
                  <w:sz w:val="18"/>
                  <w:u w:val="single"/>
                </w:rPr>
                <w:t>Item 5. Other Information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169">
              <w:r>
                <w:rPr>
                  <w:rStyle w:val="InternetLink"/>
                  <w:rFonts w:ascii="Times New Roman;serif" w:hAnsi="Times New Roman;serif"/>
                  <w:b w:val="false"/>
                  <w:color w:val="0000FF"/>
                  <w:sz w:val="18"/>
                  <w:u w:val="single"/>
                </w:rPr>
                <w:t>44</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175">
              <w:r>
                <w:rPr>
                  <w:rStyle w:val="InternetLink"/>
                  <w:rFonts w:ascii="Times New Roman;serif" w:hAnsi="Times New Roman;serif"/>
                  <w:b w:val="false"/>
                  <w:color w:val="0000FF"/>
                  <w:sz w:val="18"/>
                  <w:u w:val="single"/>
                </w:rPr>
                <w:t>Item 6. Exhibits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175">
              <w:r>
                <w:rPr>
                  <w:rStyle w:val="InternetLink"/>
                  <w:rFonts w:ascii="Times New Roman;serif" w:hAnsi="Times New Roman;serif"/>
                  <w:b w:val="false"/>
                  <w:color w:val="0000FF"/>
                  <w:sz w:val="18"/>
                  <w:u w:val="single"/>
                </w:rPr>
                <w:t>45</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09fb793334acb85eafc0257cc53bf_178">
              <w:r>
                <w:rPr>
                  <w:rStyle w:val="InternetLink"/>
                  <w:rFonts w:ascii="Times New Roman;serif" w:hAnsi="Times New Roman;serif"/>
                  <w:b w:val="false"/>
                  <w:color w:val="0000FF"/>
                  <w:sz w:val="18"/>
                  <w:u w:val="single"/>
                </w:rPr>
                <w:t>Signatures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2109fb793334acb85eafc0257cc53bf_178">
              <w:r>
                <w:rPr>
                  <w:rStyle w:val="InternetLink"/>
                  <w:rFonts w:ascii="Times New Roman;serif" w:hAnsi="Times New Roman;serif"/>
                  <w:b w:val="false"/>
                  <w:color w:val="0000FF"/>
                  <w:sz w:val="18"/>
                  <w:u w:val="singl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bookmarkStart w:id="4" w:name="i7e16bd1cc1b14ff3b503fc7579408a25"/>
      <w:bookmarkEnd w:id="4"/>
      <w:r>
        <w:rPr>
          <w:rFonts w:ascii="Times New Roman;serif" w:hAnsi="Times New Roman;serif"/>
          <w:b/>
          <w:color w:val="000000"/>
          <w:sz w:val="24"/>
        </w:rPr>
        <w:t>GLOSSARY OF OIL AND NATURAL GAS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oil and natural gas industry terms that are used in this Quarterly Report on Form 10-Q (this “report”) and our other periodic reports under the Exchange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2"/>
        <w:gridCol w:w="441"/>
        <w:gridCol w:w="436"/>
        <w:gridCol w:w="2626"/>
        <w:gridCol w:w="2488"/>
        <w:gridCol w:w="3542"/>
      </w:tblGrid>
      <w:tr>
        <w:trPr/>
        <w:tc>
          <w:tcPr>
            <w:tcW w:w="67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86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Houston, Texas.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Argus WTI Midland</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Midland, Texas.</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Basin</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large depression on the earth’s surface in which sediments accumulate.</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Bbl or barrel</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One stock tank barrel, or 42 U.S. gallons liquid volume, used in this report in reference to crude oil or other liquid hydrocarbons.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BO/d</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One barrel of crude oil per day.</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BOE</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One barrel of crude oil equivalent, with six thousand cubic feet of natural gas being equivalent to one barrel of oil.</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BOE/d</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BOE per day.</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Brent</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major trading classification of light sweet oil that serves as a benchmark price for oil worldwide.</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Completion</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Crude oil</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Liquid hydrocarbons retrieved from geological structures underground to be refined into fuel sources.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costs</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Capital costs incurred in the acquisition, exploitation and exploration of proved oil and natural gas reserves.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Differential</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An adjustment to the price of oil or natural gas from an established spot market price to reflect differences in the quality and/or location of oil or natural gas.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Exploitation</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development or other project which may target proven or unproven reserves (such as probable or possible reserves), but which generally has a lower risk than that associated with exploration projects.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Formation</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layer of rock which has distinct characteristics that differ from nearby rock. </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Fracturing</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process of creating and preserving a fracture or system of fractures in a reservoir rock typically by injecting a fluid under pressure through a wellbore and into the targeted formation.</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Henry Hub</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futures on the NYMEX.</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Horizontal drilling</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drilling technique used in certain formations where a well is drilled vertically to a certain depth and then drilled at a right angle within a specified interval.</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Horizontal wells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Wells drilled directionally horizontal to allow for development of structures not reachable through traditional vertical drilling mechanisms.</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HSC Hub</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at the Houston Ship Channel area.</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MBbls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barrels of crude oil and other liquid hydrocarbons.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MBOE</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One thousand BOE, determined using a ratio of six Mcf of natural gas to one Bbl of crude oil, condensate or natural gas liquids.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MBOE/d</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BOE per day.</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Mcf</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cubic feet of natural gas.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Mineral interests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interests in ownership of the resource and mineral rights, giving an owner the right to profit from the extracted resources.</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MMBtu</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million British Thermal Units.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MMcf</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Million cubic feet of natural gas.</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acres or net wells</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sum of the fractional working interest owned in gross acres.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royalty acres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Net mineral acres multiplied by the average lease royalty interest and other burdens.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Oil and natural gas properties</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Tracts of land consisting of properties to be developed for oil and natural gas resource extraction.</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Operator</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individual or company responsible for the exploration and/or production of an oil or natural gas well or lease.</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Plugging and abandonment</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Refers to the sealing off of fluids in the reservoir penetrated by a well so that the fluids from one reservoir will not escape into another or to the surface.</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Proved reserves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3"/>
        <w:gridCol w:w="275"/>
        <w:gridCol w:w="278"/>
        <w:gridCol w:w="2732"/>
        <w:gridCol w:w="2732"/>
        <w:gridCol w:w="3875"/>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Reserves</w:t>
            </w:r>
          </w:p>
        </w:tc>
        <w:tc>
          <w:tcPr>
            <w:tcW w:w="93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Reserves are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Reservoir</w:t>
            </w:r>
          </w:p>
        </w:tc>
        <w:tc>
          <w:tcPr>
            <w:tcW w:w="9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interest</w:t>
            </w:r>
          </w:p>
        </w:tc>
        <w:tc>
          <w:tcPr>
            <w:tcW w:w="9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An interest that gives an owner the right to receive a portion of the resources or revenues without having to carry any costs of development, which may be subject to expiration.</w:t>
            </w:r>
          </w:p>
        </w:tc>
      </w:tr>
      <w:tr>
        <w:trPr/>
        <w:tc>
          <w:tcPr>
            <w:tcW w:w="866" w:type="dxa"/>
            <w:gridSpan w:val="3"/>
            <w:tcBorders/>
            <w:vAlign w:val="center"/>
          </w:tcPr>
          <w:p>
            <w:pPr>
              <w:pStyle w:val="TableContents"/>
              <w:bidi w:val="0"/>
              <w:spacing w:before="0" w:after="283"/>
              <w:jc w:val="left"/>
              <w:rPr>
                <w:sz w:val="4"/>
                <w:szCs w:val="4"/>
              </w:rPr>
            </w:pPr>
            <w:r>
              <w:rPr>
                <w:sz w:val="4"/>
                <w:szCs w:val="4"/>
              </w:rPr>
            </w:r>
          </w:p>
        </w:tc>
        <w:tc>
          <w:tcPr>
            <w:tcW w:w="9339" w:type="dxa"/>
            <w:gridSpan w:val="3"/>
            <w:tcBorders/>
            <w:vAlign w:val="center"/>
          </w:tcPr>
          <w:p>
            <w:pPr>
              <w:pStyle w:val="TableContents"/>
              <w:bidi w:val="0"/>
              <w:spacing w:before="0" w:after="283"/>
              <w:jc w:val="left"/>
              <w:rPr>
                <w:sz w:val="4"/>
                <w:szCs w:val="4"/>
              </w:rPr>
            </w:pPr>
            <w:r>
              <w:rPr>
                <w:sz w:val="4"/>
                <w:szCs w:val="4"/>
              </w:rPr>
            </w:r>
          </w:p>
        </w:tc>
      </w:tr>
      <w:tr>
        <w:trPr/>
        <w:tc>
          <w:tcPr>
            <w:tcW w:w="866" w:type="dxa"/>
            <w:gridSpan w:val="3"/>
            <w:tcBorders/>
            <w:vAlign w:val="center"/>
          </w:tcPr>
          <w:p>
            <w:pPr>
              <w:pStyle w:val="TableContents"/>
              <w:bidi w:val="0"/>
              <w:spacing w:before="0" w:after="283"/>
              <w:jc w:val="left"/>
              <w:rPr>
                <w:sz w:val="4"/>
                <w:szCs w:val="4"/>
              </w:rPr>
            </w:pPr>
            <w:r>
              <w:rPr>
                <w:sz w:val="4"/>
                <w:szCs w:val="4"/>
              </w:rPr>
            </w:r>
          </w:p>
        </w:tc>
        <w:tc>
          <w:tcPr>
            <w:tcW w:w="9339" w:type="dxa"/>
            <w:gridSpan w:val="3"/>
            <w:tcBorders/>
            <w:vAlign w:val="center"/>
          </w:tcPr>
          <w:p>
            <w:pPr>
              <w:pStyle w:val="TableContents"/>
              <w:bidi w:val="0"/>
              <w:spacing w:before="0" w:after="283"/>
              <w:jc w:val="left"/>
              <w:rPr>
                <w:sz w:val="4"/>
                <w:szCs w:val="4"/>
              </w:rPr>
            </w:pPr>
            <w:r>
              <w:rPr>
                <w:sz w:val="4"/>
                <w:szCs w:val="4"/>
              </w:rPr>
            </w:r>
          </w:p>
        </w:tc>
      </w:tr>
      <w:tr>
        <w:trPr/>
        <w:tc>
          <w:tcPr>
            <w:tcW w:w="866" w:type="dxa"/>
            <w:gridSpan w:val="3"/>
            <w:tcBorders/>
            <w:vAlign w:val="center"/>
          </w:tcPr>
          <w:p>
            <w:pPr>
              <w:pStyle w:val="TableContents"/>
              <w:bidi w:val="0"/>
              <w:spacing w:before="0" w:after="283"/>
              <w:jc w:val="left"/>
              <w:rPr>
                <w:sz w:val="4"/>
                <w:szCs w:val="4"/>
              </w:rPr>
            </w:pPr>
            <w:r>
              <w:rPr>
                <w:sz w:val="4"/>
                <w:szCs w:val="4"/>
              </w:rPr>
            </w:r>
          </w:p>
        </w:tc>
        <w:tc>
          <w:tcPr>
            <w:tcW w:w="9339" w:type="dxa"/>
            <w:gridSpan w:val="3"/>
            <w:tcBorders/>
            <w:vAlign w:val="center"/>
          </w:tcPr>
          <w:p>
            <w:pPr>
              <w:pStyle w:val="TableContents"/>
              <w:bidi w:val="0"/>
              <w:spacing w:before="0" w:after="283"/>
              <w:jc w:val="left"/>
              <w:rPr>
                <w:sz w:val="4"/>
                <w:szCs w:val="4"/>
              </w:rPr>
            </w:pPr>
            <w:r>
              <w:rPr>
                <w:sz w:val="4"/>
                <w:szCs w:val="4"/>
              </w:rPr>
            </w:r>
          </w:p>
        </w:tc>
      </w:tr>
      <w:tr>
        <w:trPr/>
        <w:tc>
          <w:tcPr>
            <w:tcW w:w="866" w:type="dxa"/>
            <w:gridSpan w:val="3"/>
            <w:tcBorders/>
            <w:vAlign w:val="center"/>
          </w:tcPr>
          <w:p>
            <w:pPr>
              <w:pStyle w:val="TableContents"/>
              <w:bidi w:val="0"/>
              <w:spacing w:before="0" w:after="283"/>
              <w:jc w:val="left"/>
              <w:rPr>
                <w:sz w:val="4"/>
                <w:szCs w:val="4"/>
              </w:rPr>
            </w:pPr>
            <w:r>
              <w:rPr>
                <w:sz w:val="4"/>
                <w:szCs w:val="4"/>
              </w:rPr>
            </w:r>
          </w:p>
        </w:tc>
        <w:tc>
          <w:tcPr>
            <w:tcW w:w="9339" w:type="dxa"/>
            <w:gridSpan w:val="3"/>
            <w:tcBorders/>
            <w:vAlign w:val="center"/>
          </w:tcPr>
          <w:p>
            <w:pPr>
              <w:pStyle w:val="TableContents"/>
              <w:bidi w:val="0"/>
              <w:spacing w:before="0" w:after="283"/>
              <w:jc w:val="left"/>
              <w:rPr>
                <w:sz w:val="4"/>
                <w:szCs w:val="4"/>
              </w:rPr>
            </w:pPr>
            <w:r>
              <w:rPr>
                <w:sz w:val="4"/>
                <w:szCs w:val="4"/>
              </w:rPr>
            </w:r>
          </w:p>
        </w:tc>
      </w:tr>
      <w:tr>
        <w:trPr/>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Waha Hub</w:t>
            </w:r>
          </w:p>
        </w:tc>
        <w:tc>
          <w:tcPr>
            <w:tcW w:w="9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at western Texas and New Mexico.</w:t>
            </w:r>
          </w:p>
        </w:tc>
      </w:tr>
      <w:tr>
        <w:trPr/>
        <w:tc>
          <w:tcPr>
            <w:tcW w:w="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Working interest</w:t>
            </w:r>
          </w:p>
        </w:tc>
        <w:tc>
          <w:tcPr>
            <w:tcW w:w="9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WTI</w:t>
            </w:r>
          </w:p>
        </w:tc>
        <w:tc>
          <w:tcPr>
            <w:tcW w:w="9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West Texas Intermediate, a light sweet blend of oil produced from fields in western Texas and is a grade of oil that serves as a benchmark for oil on the NYMEX.</w:t>
            </w:r>
          </w:p>
        </w:tc>
      </w:tr>
      <w:tr>
        <w:trPr/>
        <w:tc>
          <w:tcPr>
            <w:tcW w:w="8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93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Cushing, Oklahoma.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bookmarkStart w:id="5" w:name="ib81005421d6b4dfbae1179f8a304163b"/>
      <w:bookmarkEnd w:id="5"/>
      <w:r>
        <w:rPr>
          <w:rFonts w:ascii="Times New Roman;serif" w:hAnsi="Times New Roman;serif"/>
          <w:b/>
          <w:color w:val="000000"/>
          <w:sz w:val="24"/>
        </w:rPr>
        <w:t>GLOSSARY OF CERTAIN OTHER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other terms that are used in this report and our other periodic reports under the Exchange Act: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03"/>
        <w:gridCol w:w="443"/>
        <w:gridCol w:w="448"/>
        <w:gridCol w:w="3079"/>
        <w:gridCol w:w="2369"/>
        <w:gridCol w:w="3363"/>
      </w:tblGrid>
      <w:tr>
        <w:trPr/>
        <w:tc>
          <w:tcPr>
            <w:tcW w:w="5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E&amp;P</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Diamondback E&amp;P LLC, a Delaware limited liability company and a wholly owned subsidiary of the Company.</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Plan</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2021 Amended and Restated Equity Incentive Plan.</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non-GAAP financial measure calculated as cash flow from operating activities before changes in working capital in excess of cash capital expenditures.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Senior Notes</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both"/>
              <w:rPr>
                <w:rFonts w:ascii="Times New Roman;serif" w:hAnsi="Times New Roman;serif"/>
                <w:b w:val="false"/>
                <w:color w:val="000000"/>
                <w:sz w:val="20"/>
              </w:rPr>
            </w:pPr>
            <w:r>
              <w:rPr>
                <w:rFonts w:ascii="Times New Roman;serif" w:hAnsi="Times New Roman;serif"/>
                <w:b w:val="false"/>
                <w:color w:val="000000"/>
                <w:sz w:val="20"/>
              </w:rPr>
              <w:t>The outstanding senior notes issued by Diamondback Energy, Inc. under indentures where Diamondback E&amp;P is the sole guarantor, consisting of the 3.250% Senior Notes due 2026, 5.200% Senior Notes due 2027, 3.500% Senior Notes due 2029, 5.150% Senior Notes due 2030, 3.125% Senior Notes due 2031, 6.250% Senior Notes due 2033, 5.400% Senior Notes due 2034, 5.550% Senior Notes due 2035, 4.400% Senior Notes due 2051, 4.250% Senior Notes due 2052, 6.250% Senior Notes due 2053, 5.750% Senior Notes due 2054 and 5.900% Senior Notes due 2064.</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NYMEX</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New York Mercantile Exchange.</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OPEC</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Organization of the Petroleum Exporting Countries.</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 Prices</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Unweighted arithmetic average of the first-day-of-the-month price for each month during the 12-month period prior to the ending date of the period covered by this report.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Act of 1933, as amended.</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secured overnight financing rate.</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TSR</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Total stockholder return of the Company’s common stock.</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New Viper following the Sitio Acquisition, and (ii) Former Viper prior to the Sitio Acquisition, (each term as defined in Note 1—Description of the Business and Basis of Presentation in Part I. Item 1. Financial Statements of this report). </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LLC</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December 23, 2025, Viper Energy Partners LLC, a Delaware limited liability company and a subsidiary of Viper Energy, Inc. and after December 23, 2025, VNOM Holding Company LLC, a Delaware limited liability company and a consolidated subsidiary of Viper Energy, Inc.</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Wells Fargo</w:t>
            </w:r>
          </w:p>
        </w:tc>
        <w:tc>
          <w:tcPr>
            <w:tcW w:w="881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Wells Fargo Bank, National Association.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bookmarkStart w:id="6" w:name="i73c5346d62b944f6bd113f50572fc867"/>
      <w:bookmarkEnd w:id="6"/>
      <w:r>
        <w:rPr>
          <w:rFonts w:ascii="Times New Roman;serif" w:hAnsi="Times New Roman;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or other effects of strategic transactions (including the Double Eagle Acquisition and Viper’s Sitio Acquisition (in each case, as defined below) discussed in this report and other acquisitions or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In particular, the factors discussed in this report and detailed under </w:t>
      </w:r>
      <w:hyperlink w:anchor="i72109fb793334acb85eafc0257cc53bf_163">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in this report and our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2025,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that could cause our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geopolitics and market conditions, including 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U.S. energy, environmental, monetary and trade policies, including with respect to tariffs or other trade barriers and any resulting trade tensions;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actions taken by the members of OPEC and its non-OPEC allies (“OPEC+”)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general economic, business or industry conditions, including changes in foreign currency exchange rates, interest rates, inflation rates and instability in the financial sector;</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regional supply and demand factors, including delays, curtailment delays or interruptions of production, or governmental orders, rules or regulations that impose production limits;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physical and transition risks relating to climate change, changing political and social perspectives on climate change and other environmental, social and governance factors, and risks from our publicly disclosed targets related to sustainability and emissions reduction initiatives;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challenges in developing our existing leasehold acreage and finding, developing or acquiring additional reserves;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restrictions on the use of water, including limits on the use of produced water and a moratorium on new produced water disposal well permits recently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conditions in the capital, financial and credit markets, including the availability and pricing of capital for acquisitions, exploration and development operations;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challenges with employee retention and an increasingly competitive labor market;</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availability or cost of rigs, equipment, raw materials, supplies and oilfield services;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safety, health, environmental, tax and other regulations or requirements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lack of, or disruption in, access to adequate and reliable electrical power, internet and telecommunication infrastructure, information and computer systems, transportation, processing, storage and other facilities for our oil, natural gas and natural gas liquids;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inability to keep pace with technological developments in our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 to meet our obligations under our oil purchase contracts;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loss of one or more customers or their inability to meet their obligations;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geographical concentration of our primary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risks from our return of capital commitment, and uncertainties over our future dividends and share repurchases;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difficulty in obtaining necessary approvals and permits;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severe weather conditions and natural disasters;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the financial strength of counterparties to our credit facilities and hedging contracts;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our substantial indebtedness and restrictions to our operating and financial flexibility;</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our credit rating;</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failure to identify, complete and successfully integrate acquisitions, including Viper’s Riverbend Acquisition and Sitio Acquisition;</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Endeavor equityholders’ ability to significantly influence our business and potential conflicts of interest;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other risks and factors disclosed or incorporated by reference under </w:t>
      </w:r>
      <w:hyperlink w:anchor="i72109fb793334acb85eafc0257cc53bf_163">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and our </w:t>
      </w:r>
      <w:hyperlink r:id="rId3">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0"/>
        <w:jc w:val="both"/>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7" w:name="icdce6e53a24f4f41860475d6213c158f"/>
      <w:bookmarkEnd w:id="7"/>
      <w:r>
        <w:rPr>
          <w:rFonts w:ascii="Times New Roman;serif" w:hAnsi="Times New Roman;serif"/>
          <w:b/>
          <w:color w:val="000000"/>
          <w:sz w:val="20"/>
        </w:rPr>
        <w:t>ITEM 1.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55" w:type="dxa"/>
        <w:jc w:val="left"/>
        <w:tblInd w:w="0" w:type="dxa"/>
        <w:tblLayout w:type="fixed"/>
        <w:tblCellMar>
          <w:top w:w="28" w:type="dxa"/>
          <w:left w:w="28" w:type="dxa"/>
          <w:bottom w:w="28" w:type="dxa"/>
          <w:right w:w="28" w:type="dxa"/>
        </w:tblCellMar>
      </w:tblPr>
      <w:tblGrid>
        <w:gridCol w:w="1703"/>
        <w:gridCol w:w="1495"/>
        <w:gridCol w:w="1511"/>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70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5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Diamondback Energy, Inc. and Subsidiaries</w:t>
            </w:r>
          </w:p>
        </w:tc>
      </w:tr>
      <w:tr>
        <w:trPr/>
        <w:tc>
          <w:tcPr>
            <w:tcW w:w="975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tc>
      </w:tr>
      <w:tr>
        <w:trPr/>
        <w:tc>
          <w:tcPr>
            <w:tcW w:w="975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Oil sales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8,072 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5,891 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Natural gas sales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Natural gas liquid sales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Sales of purchased oil</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income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revenues</w:t>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5,562 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3,678 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9,802 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7,726 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Lease operating expenses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Production and ad valorem taxes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Gathering, processing and transportation</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Purchased oil expense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depletion, amortization and accretion</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Impairment of oil and natural gas properties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 expenses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expenses, net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costs and expenses</w:t>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3,050 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2,539 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7,174 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4,914 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2,512 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1,139 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2,628 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2,812 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Gain (loss) on derivative instruments, net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Gain (loss) on extinguishment of debt, net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income (expense), net</w:t>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(196)</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2,635 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943 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2,811 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2,837 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(benefit from) income taxes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Net income (loss) </w:t>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2,055 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739 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2,199 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2,230 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 attributable to non-controlling interest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Diamondback Energy, Inc.</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1,882 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699 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1,907 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2,104 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(loss) per common share:</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281,202 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281,993 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290,880 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281,202 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281,993 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290,880 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19"/>
        </w:rPr>
      </w:pPr>
      <w:r>
        <w:rPr>
          <w:rFonts w:ascii="Times New Roman;serif" w:hAnsi="Times New Roman;serif"/>
          <w:b w:val="false"/>
          <w:color w:val="000000"/>
          <w:sz w:val="19"/>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21"/>
        <w:gridCol w:w="2263"/>
        <w:gridCol w:w="2209"/>
        <w:gridCol w:w="247"/>
        <w:gridCol w:w="845"/>
        <w:gridCol w:w="127"/>
        <w:gridCol w:w="127"/>
        <w:gridCol w:w="127"/>
        <w:gridCol w:w="127"/>
        <w:gridCol w:w="253"/>
        <w:gridCol w:w="867"/>
        <w:gridCol w:w="192"/>
      </w:tblGrid>
      <w:tr>
        <w:trPr/>
        <w:tc>
          <w:tcPr>
            <w:tcW w:w="282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par values and share data)</w:t>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2912"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Cash and cash equivalents ($77 million and $13 million related to Viper)</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Joint interest and other, net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Oil and natural gas sales, net ($461 million and $262 million related to Viper)</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2,650 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1,915 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Property and equipment:</w:t>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Oil and natural gas properties:</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Proved properties ($9,608 million and $9,746 million related to Viper)</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74,385 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71,588 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Unproved properties ($4,545 million and $4,910 million related to Viper)</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23,193 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23,941 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property, equipment and land</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Accumulated depletion, depreciation, amortization and impairment ($2,856 million and $2,455 million related to Viper)</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(31,705)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(27,782)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and equipment, net</w:t>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66,772 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68,621 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523 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70,218 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71,059 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capital expenditures</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1,168 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maturities of debt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accrued liabilities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1,108 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Revenues and royalties payable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1,397 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instruments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5,678 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4,600 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Long-term debt ($1,678 million and $2,186 million related to Viper)</w:t>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11,066 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13,726 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9,141 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26,233 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28,092 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15)</w:t>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Common stock, $0.01 par value; 800,000,000 shares authorized; 280,567,508 and 284,594,908 shares issued and outstanding at June 30, 2026, and December 31, 2025, respectively</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31,866 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32,236 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 (accumulated deficit)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6,038 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4,740 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Diamondback Energy, Inc. stockholders’ equity</w:t>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37,900 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36,972 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6,085 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5,995 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43,985 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42,967 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stockholders’ equity</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70,218 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71,059 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19"/>
        </w:rPr>
      </w:pPr>
      <w:r>
        <w:rPr>
          <w:rFonts w:ascii="Times New Roman;serif" w:hAnsi="Times New Roman;serif"/>
          <w:b w:val="false"/>
          <w:color w:val="000000"/>
          <w:sz w:val="19"/>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28" w:type="dxa"/>
        <w:jc w:val="left"/>
        <w:tblInd w:w="0" w:type="dxa"/>
        <w:tblLayout w:type="fixed"/>
        <w:tblCellMar>
          <w:top w:w="28" w:type="dxa"/>
          <w:left w:w="28" w:type="dxa"/>
          <w:bottom w:w="28" w:type="dxa"/>
          <w:right w:w="28" w:type="dxa"/>
        </w:tblCellMar>
      </w:tblPr>
      <w:tblGrid>
        <w:gridCol w:w="2505"/>
        <w:gridCol w:w="2196"/>
        <w:gridCol w:w="2214"/>
        <w:gridCol w:w="198"/>
        <w:gridCol w:w="561"/>
        <w:gridCol w:w="110"/>
        <w:gridCol w:w="110"/>
        <w:gridCol w:w="110"/>
        <w:gridCol w:w="110"/>
        <w:gridCol w:w="198"/>
        <w:gridCol w:w="561"/>
        <w:gridCol w:w="155"/>
      </w:tblGrid>
      <w:tr>
        <w:trPr/>
        <w:tc>
          <w:tcPr>
            <w:tcW w:w="250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deferred income taxes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amortization and accretion</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oil and natural gas properties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 net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net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(paid) on settlement of derivative instruments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and royalties payable</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oil and natural gas properties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acquisitions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(2,053)</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 under repurchase program</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 - related party</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shares/units under Viper’s repurchase program</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Viper’s issuance of common stock</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Viper's common stock</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stockholders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non-controlling interest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(3,006)</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19"/>
        </w:rPr>
      </w:pPr>
      <w:r>
        <w:rPr>
          <w:rFonts w:ascii="Times New Roman;serif" w:hAnsi="Times New Roman;serif"/>
          <w:b w:val="false"/>
          <w:color w:val="000000"/>
          <w:sz w:val="19"/>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297"/>
        <w:gridCol w:w="843"/>
        <w:gridCol w:w="166"/>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284,595 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4,740 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Viper 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repurchase program, including excise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 related party, including excise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Viper’s repurchase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Proceeds from sale of Viper's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281,312 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4,467 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6,167 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42,640 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Viper 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repurchase program, including excise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Viper’s repurchase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280,568 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31,866 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6,038 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6,085 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43,985 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val="false"/>
          <w:color w:val="000000"/>
          <w:sz w:val="17"/>
        </w:rPr>
      </w:pPr>
      <w:r>
        <w:rPr>
          <w:rFonts w:ascii="Times New Roman;serif" w:hAnsi="Times New Roman;serif"/>
          <w:b w:val="false"/>
          <w:color w:val="000000"/>
          <w:sz w:val="17"/>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 (Continued)</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center"/>
        <w:rPr/>
      </w:pPr>
      <w:r>
        <w:rPr/>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297"/>
        <w:gridCol w:w="843"/>
        <w:gridCol w:w="166"/>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290,984 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Viper 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repurchase program, including excise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Viper LLC’s units issued for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proceeds from Viper’s issuance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287,288 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5,352 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3,270 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41,743 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Viper 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repurchase program, including excise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Viper’s repurchase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Common shares issued for acquisition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6,843 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291,155 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33,127 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5,758 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3,938 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42,819 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17"/>
        </w:rPr>
      </w:pPr>
      <w:r>
        <w:rPr>
          <w:rFonts w:ascii="Times New Roman;serif" w:hAnsi="Times New Roman;serif"/>
          <w:b w:val="false"/>
          <w:color w:val="000000"/>
          <w:sz w:val="17"/>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Diamondback Energy,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8" w:name="i9a2ea1567d0f4ff58d430d8e8f2edde7"/>
      <w:bookmarkEnd w:id="8"/>
      <w:r>
        <w:rPr>
          <w:rFonts w:ascii="Times New Roman;serif" w:hAnsi="Times New Roman;serif"/>
          <w:b/>
          <w:color w:val="000000"/>
          <w:sz w:val="20"/>
        </w:rPr>
        <w:t>1.    DESCRIPTION OF THE BUSINESS AND 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9" w:name="i2dae44ee372d4677b065b2de133ab5db"/>
      <w:bookmarkEnd w:id="9"/>
      <w:r>
        <w:rPr>
          <w:rFonts w:ascii="Times New Roman;serif" w:hAnsi="Times New Roman;serif"/>
          <w:b/>
          <w:color w:val="000000"/>
          <w:sz w:val="20"/>
        </w:rPr>
        <w:t>Organization and Description of the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Energy, Inc., together with its subsidiaries (collectively referred to as “Diamondback,” the “Company,” “we” or “our” unless the context otherwise requires), is an independent oil and natural gas company currently focused on the acquisition, development, exploration and exploitation of unconventional, onshore oil and natural gas reserves primarily in the Permian Basin in West Texas.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wholly owned subsidiaries of Diamondback include Diamondback E&amp;P, a Delaware limited liability company, Rattler Midstream GP LLC, a Delaware limited liability company, Rattler Midstream LP, a Delaware limited partnership, QEP Resources, Inc., a Delaware corporation, Diamondback RE Holdco LLC, a Delaware limited liability company and Eclipse Merger Sub II, LLC, a Delaware limited liability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10" w:name="i5077c2cf78bc491ab9c52fab8c4a8e1e"/>
      <w:bookmarkEnd w:id="10"/>
      <w:r>
        <w:rPr>
          <w:rFonts w:ascii="Times New Roman;serif" w:hAnsi="Times New Roman;serif"/>
          <w:b/>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subsidiaries, including its publicly-traded subsidiary, Viper Energy, Inc., after all significant intercompany balances and transactions have been eliminated upon consolidation. As of June 30, 2026, the Company is managed as one operating and reportable segment, the upstream segment, which is engaged in the acquisition, development, exploration and exploitation of unconventional, onshore oil and natural gas reserves primarily in the Permian Basin in West Texas and includes the activities of Viper as well as the Company’s remaining midstream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19, 2025, upon completion of Viper’s Sitio Acquisition (as defined and discussed in Note 4—</w:t>
      </w:r>
      <w:hyperlink w:anchor="i72109fb793334acb85eafc0257cc53bf_52">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VNOM Sub, Inc., (formerly Viper Energy, Inc., “Former Viper”) became a wholly owned subsidiary of Viper Energy, Inc. (formerly New Cobra Pubco, Inc., “New Viper”).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June 30, 2026, the Company owned approximately 39% of Viper’s combined outstanding Class A common stock and Class B common stock on a fully diluted basis. This gives effect to an option for certain Viper LLC equity holders to purchase and exchange up to approximately 6.75 million of Class B common stock paired with an equivalent number of units representing limited liability company interests in Viper’s operating subsidiary (“Viper LLC Units”) into Viper Class A common stock. The Company determined that it controls the activities of Viper in accordance with the guidance for variable interest entities in Accounting Standards Codification (“ASC”) Topic 810, “Consolidation,” and therefore continues to consolidate Viper in the Company’s financial statements at June 30, 2026 as discussed further in Note 2—</w:t>
      </w:r>
      <w:hyperlink w:anchor="i72109fb793334acb85eafc0257cc53bf_46">
        <w:r>
          <w:rPr>
            <w:rStyle w:val="InternetLink"/>
            <w:rFonts w:ascii="Times New Roman;serif" w:hAnsi="Times New Roman;serif"/>
            <w:b w:val="false"/>
            <w:color w:val="0000FF"/>
            <w:sz w:val="20"/>
            <w:u w:val="single"/>
          </w:rPr>
          <w:t>Summary of Significant Accounting Policies</w:t>
        </w:r>
      </w:hyperlink>
      <w:r>
        <w:rPr>
          <w:rFonts w:ascii="Times New Roman;serif" w:hAnsi="Times New Roman;serif"/>
          <w:b w:val="false"/>
          <w:color w:val="000000"/>
          <w:sz w:val="20"/>
        </w:rPr>
        <w:t>. The results of operations attributable to the non-controlling interest in Viper are presented within equity and net income and are shown separately from the equity and net income attributable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w:t>
      </w:r>
      <w:hyperlink r:id="rId4">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2025, which contains a summary of the Company’s significant accounting policies and other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1" w:name="ic754e79ea8f84b1ebff5156d54b5b0cf"/>
      <w:bookmarkEnd w:id="11"/>
      <w:r>
        <w:rPr>
          <w:rFonts w:ascii="Times New Roman;serif" w:hAnsi="Times New Roman;serif"/>
          <w:b/>
          <w:color w:val="000000"/>
          <w:sz w:val="20"/>
        </w:rPr>
        <w:t>Reclassifications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12" w:name="if0a018f4886341f581d899d32e595d78"/>
      <w:bookmarkEnd w:id="12"/>
      <w:r>
        <w:rPr>
          <w:rFonts w:ascii="Times New Roman;serif" w:hAnsi="Times New Roman;serif"/>
          <w:b/>
          <w:color w:val="000000"/>
          <w:sz w:val="20"/>
        </w:rPr>
        <w:t>2.    SUMMARY OF SIGNIFICANT ACCOUNTING POLICIES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3" w:name="idead407d5b274b88bd5783cebff5b4da"/>
      <w:bookmarkEnd w:id="13"/>
      <w:r>
        <w:rPr>
          <w:rFonts w:ascii="Times New Roman;serif" w:hAnsi="Times New Roman;serif"/>
          <w:b/>
          <w:color w:val="000000"/>
          <w:sz w:val="20"/>
        </w:rPr>
        <w:t>Use of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4" w:name="i62fa666bc5874abbae001a25b2de3353"/>
      <w:bookmarkEnd w:id="14"/>
      <w:r>
        <w:rPr>
          <w:rFonts w:ascii="Times New Roman;serif" w:hAnsi="Times New Roman;serif"/>
          <w:b/>
          <w:color w:val="000000"/>
          <w:sz w:val="20"/>
        </w:rPr>
        <w:t>Variable Interest Entity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is a publicly traded corporation formed by the Company in 2014 to provide an attractive return to its stockholders (the largest of which is Diamondback) by focusing on business results, maximizing dividends through organic growth and pursuing accretive growth opportunities through acquisitions of mineral, royalty, overriding royalty, net profits and similar interests from the Company and from third parties. Viper has no employees and the Company provides management, operating and administrative services to Viper under a services and secondment agreement, including the services of the executive officers and other 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meets the definition of a VIE under ASC Topic 810, “Consolidation,” and the Company continues to be the primary beneficiary of the VIE through its ability, via existing contractual agreements, to direct the activities that most significantly affect Viper’s economic performance. The Company also has the obligation to absorb losses and the right to receive benefits that could be significant to Viper. As such, the Company continues to consolidate the activity of Viper.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4, 2026, Viper completed a secondary public offering with the Company and certain other Viper stockholders, along with J.P. Morgan Securities LLC and Goldman Sachs &amp; Co. LLC as underwriters (the “Underwriters”) (the “Secondary Offering”). The Company exchanged approximately 12.39 million shares of Viper Class B common stock and an equivalent number of Viper LLC Units for an equivalent number of shares of Viper Class A common stock and subsequently sold such shares in the Secondary Offering. On March 19, 2026, the Underwriters exercised an option to purchase approximately 0.51 million additional shares of Viper Class A common stock from the Company, bringing the aggregate cash proceeds to approximately $589 million. The Company’s proceeds from the Secondary Offering were used for general corporate purposes and to accelerate debt reduction. The Secondary Offering was evaluated and determined not to be an event that would cause the Company to change its conclusion regarding Viper’s status as a VIE, and the Company continues to be the primary beneficiary.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maintains its own capital structure that is separate from the Company, and the Company is not under any obligation to provide additional financial support or investment to Viper. Viper’s assets cannot be used by the Company for general corporate purposes and the creditors of Viper’s liabilities do not have recourse to the Company’s assets. The assets and liabilities of Viper are included in the Company’s condensed consolidated balance sheets and disclosed parenthetically, if material.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5" w:name="ice624468994b4f9e9103a2b891ec1c67"/>
      <w:bookmarkEnd w:id="15"/>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16" w:name="ide8abd3a08ce414f9fcd0178f43dfcb5"/>
      <w:bookmarkEnd w:id="16"/>
      <w:r>
        <w:rPr>
          <w:rFonts w:ascii="Times New Roman;serif" w:hAnsi="Times New Roman;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significant accounting pronouncements were adopted during the three and six months ended June 30,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17" w:name="i2ac44291600a42a98d40b4e10870d05f"/>
      <w:bookmarkEnd w:id="17"/>
      <w:r>
        <w:rPr>
          <w:rFonts w:ascii="Times New Roman;serif" w:hAnsi="Times New Roman;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ASUs not listed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8" w:name="ib32a4c44d8a941fead48ce94581fd191"/>
      <w:bookmarkEnd w:id="18"/>
      <w:r>
        <w:rPr>
          <w:rFonts w:ascii="Times New Roman;serif" w:hAnsi="Times New Roman;serif"/>
          <w:b/>
          <w:color w:val="000000"/>
          <w:sz w:val="20"/>
        </w:rPr>
        <w:t>3.    REVENUE FROM CONTRACTS WITH CUSTOMERS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9" w:name="i7392e48808f64f64bfbd9c57dfd115e3"/>
      <w:bookmarkEnd w:id="19"/>
      <w:r>
        <w:rPr>
          <w:rFonts w:ascii="Times New Roman;serif" w:hAnsi="Times New Roman;serif"/>
          <w:b/>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 from contracts with customers:</w:t>
      </w:r>
    </w:p>
    <w:p>
      <w:pPr>
        <w:pStyle w:val="TextBody"/>
        <w:bidi w:val="0"/>
        <w:spacing w:before="0" w:after="0"/>
        <w:ind w:left="0" w:right="0" w:firstLine="720"/>
        <w:jc w:val="both"/>
        <w:rPr/>
      </w:pPr>
      <w:r>
        <w:rPr/>
      </w:r>
    </w:p>
    <w:tbl>
      <w:tblPr>
        <w:tblW w:w="9426" w:type="dxa"/>
        <w:jc w:val="left"/>
        <w:tblInd w:w="0" w:type="dxa"/>
        <w:tblLayout w:type="fixed"/>
        <w:tblCellMar>
          <w:top w:w="28" w:type="dxa"/>
          <w:left w:w="28" w:type="dxa"/>
          <w:bottom w:w="28" w:type="dxa"/>
          <w:right w:w="28" w:type="dxa"/>
        </w:tblCellMar>
      </w:tblPr>
      <w:tblGrid>
        <w:gridCol w:w="1585"/>
        <w:gridCol w:w="1389"/>
        <w:gridCol w:w="1406"/>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5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natural gas and natural gas liquid revenues</w:t>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oil</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5,546 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9,769 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 from oil, natural gas and natural gas liquids disaggregated by basin:</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50"/>
        <w:gridCol w:w="307"/>
        <w:gridCol w:w="233"/>
        <w:gridCol w:w="220"/>
        <w:gridCol w:w="643"/>
        <w:gridCol w:w="113"/>
        <w:gridCol w:w="109"/>
        <w:gridCol w:w="109"/>
        <w:gridCol w:w="109"/>
        <w:gridCol w:w="239"/>
        <w:gridCol w:w="530"/>
        <w:gridCol w:w="125"/>
        <w:gridCol w:w="109"/>
        <w:gridCol w:w="109"/>
        <w:gridCol w:w="109"/>
        <w:gridCol w:w="211"/>
        <w:gridCol w:w="361"/>
        <w:gridCol w:w="109"/>
        <w:gridCol w:w="109"/>
        <w:gridCol w:w="109"/>
        <w:gridCol w:w="109"/>
        <w:gridCol w:w="211"/>
        <w:gridCol w:w="616"/>
        <w:gridCol w:w="109"/>
        <w:gridCol w:w="109"/>
        <w:gridCol w:w="109"/>
        <w:gridCol w:w="109"/>
        <w:gridCol w:w="220"/>
        <w:gridCol w:w="643"/>
        <w:gridCol w:w="113"/>
        <w:gridCol w:w="109"/>
        <w:gridCol w:w="109"/>
        <w:gridCol w:w="109"/>
        <w:gridCol w:w="239"/>
        <w:gridCol w:w="530"/>
        <w:gridCol w:w="125"/>
        <w:gridCol w:w="109"/>
        <w:gridCol w:w="109"/>
        <w:gridCol w:w="109"/>
        <w:gridCol w:w="211"/>
        <w:gridCol w:w="361"/>
        <w:gridCol w:w="109"/>
        <w:gridCol w:w="109"/>
        <w:gridCol w:w="109"/>
        <w:gridCol w:w="109"/>
        <w:gridCol w:w="211"/>
        <w:gridCol w:w="616"/>
        <w:gridCol w:w="161"/>
      </w:tblGrid>
      <w:tr>
        <w:trPr/>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4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20" w:name="i3b7fc00863e94840a813cc3963777bea"/>
      <w:bookmarkEnd w:id="20"/>
      <w:r>
        <w:rPr>
          <w:rFonts w:ascii="Times New Roman;serif" w:hAnsi="Times New Roman;serif"/>
          <w:b/>
          <w:color w:val="000000"/>
          <w:sz w:val="20"/>
        </w:rPr>
        <w:t>4.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21" w:name="i6272e7e9be044abfb49f2d63ce4b17c9"/>
      <w:bookmarkEnd w:id="21"/>
      <w:r>
        <w:rPr>
          <w:rFonts w:ascii="Times New Roman;serif" w:hAnsi="Times New Roman;serif"/>
          <w:b/>
          <w:color w:val="000000"/>
          <w:sz w:val="20"/>
        </w:rPr>
        <w:t>2026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22" w:name="ie470854c2e174df7b89ed177d92a179c"/>
      <w:bookmarkEnd w:id="22"/>
      <w:r>
        <w:rPr>
          <w:rFonts w:ascii="Times New Roman;serif" w:hAnsi="Times New Roman;serif"/>
          <w:b w:val="false"/>
          <w:i/>
          <w:color w:val="000000"/>
          <w:sz w:val="20"/>
        </w:rPr>
        <w:t>Viper Divestiture of Non-Permian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9, 2026, Viper divested all of its non-Permian assets, including those acquired from Sitio Royalties Corp. (“Sitio”), to an affiliate of GRP Energy Capital LLC and Warwick Capital Partners LLP for net cash proceeds of approximately $610 million, including transaction costs and customary post-closing adjustments (the “Viper Non-Permian Divestiture”). The divested properties consisted of approximately 9,400 net royalty acres in the Denver-Julesburg, Eagle Ford and Williston basins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pPr>
      <w:r>
        <w:rPr>
          <w:rFonts w:ascii="Times New Roman;serif" w:hAnsi="Times New Roman;serif"/>
          <w:b w:val="false"/>
          <w:color w:val="000000"/>
          <w:sz w:val="20"/>
        </w:rPr>
        <w:t>with then-current production of approximately 4,750 BO/d. Proceeds from the Viper Non-Permian Divestiture were used to (i) repay the Viper 2025 Term Loan (as defined and discussed in Note 8—</w:t>
      </w:r>
      <w:hyperlink w:anchor="i72109fb793334acb85eafc0257cc53bf_64">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of $500 million in full, (ii) repay outstanding borrowings under the Viper Revolving Credit Facility (as defined and discussed in Note 8—</w:t>
      </w:r>
      <w:hyperlink w:anchor="i72109fb793334acb85eafc0257cc53bf_64">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and (iii) for general corporate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23" w:name="ib0bfcabe07ad495f8f6388baca4d4bec"/>
      <w:bookmarkEnd w:id="23"/>
      <w:r>
        <w:rPr>
          <w:rFonts w:ascii="Times New Roman;serif" w:hAnsi="Times New Roman;serif"/>
          <w:b/>
          <w:color w:val="000000"/>
          <w:sz w:val="20"/>
        </w:rPr>
        <w:t>2025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bookmarkStart w:id="24" w:name="i31b47927cb734406b7cefe3725dd585f"/>
      <w:bookmarkEnd w:id="24"/>
      <w:r>
        <w:rPr>
          <w:rFonts w:ascii="Times New Roman;serif" w:hAnsi="Times New Roman;serif"/>
          <w:b/>
          <w:i/>
          <w:color w:val="000000"/>
          <w:sz w:val="20"/>
        </w:rPr>
        <w:t>Diamondback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25" w:name="ibc663f4640e5474a9d6ab6bc8cb404ff"/>
      <w:bookmarkEnd w:id="25"/>
      <w:r>
        <w:rPr>
          <w:rFonts w:ascii="Times New Roman;serif" w:hAnsi="Times New Roman;serif"/>
          <w:b w:val="false"/>
          <w:i/>
          <w:color w:val="000000"/>
          <w:sz w:val="20"/>
        </w:rPr>
        <w:t>EPIC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31, 2025, the Company divested its 27.5% equity interest in EPIC Crude Holdings, LP (“EPIC”) pursuant to a definitive purchase and sale agreement with Plains All American Pipeline, L.P. and Plains GP Holdings for approximately $504 million in cash and an additional $96 million in unrecognized potential contingent consideration (the “EPIC Divestiture”). The contingent cash payment is due to the Company should the capacity expansion of EPIC be formally sanctioned before year-end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26" w:name="i2251e5d1ebda4d5b802430c63e0f505e"/>
      <w:bookmarkEnd w:id="26"/>
      <w:r>
        <w:rPr>
          <w:rFonts w:ascii="Times New Roman;serif" w:hAnsi="Times New Roman;serif"/>
          <w:b w:val="false"/>
          <w:i/>
          <w:color w:val="000000"/>
          <w:sz w:val="20"/>
        </w:rPr>
        <w:t>Divestiture of Water Assets to 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October 1, 2025, the Company divested its subsidiary, Environmental Disposal Systems, LLC, to Deep Blue Midland Basin LLC (“Deep Blue”), in exchange for upfront net cash proceeds of $694 million, subject to transaction costs and customary post-closing adjustments, and approximately $34 million of additional equity interests issued by Deep Blue as non-cash consideration. Per the terms of the transaction, if certain annual completion thresholds are met in each of the years 2026 through 2028, the Company can potentially earn up to an additional $200 million in contingent consideration. Conversely, if those completion thresholds are not met, the Company could owe up to $150 million in contingent consideration to Deep Blue. The Company will recognize any contingent gains when realizable at the end of each annual measurement period, or will accrue a contingent loss if at any time a payable to Deep Blue becomes probable and reasonably estimable. The divestiture resulted in an aggregate gain of approximately $167 million, which includes a loss of approximately $1 million recognized during the six months ended June 30, 2026, as a result of customary post-closing adjustments. The gain (loss) is included in the caption “Other income (expense), net” in the condensed consolidated statements of operations. As part of the divestiture, the Company renewed its 15-year dedication to Deep Blue for its produced water and supply water within a 12-county area of mutual interest in the Midland Basin. The Company’s equity ownership interest in Deep Blue remained at 30% following the closing of the transaction. The cash proceeds from the divestiture were used to repay borrowings under the Revolving Credit Facility (as defined and discussed in Note 8—</w:t>
      </w:r>
      <w:hyperlink w:anchor="i72109fb793334acb85eafc0257cc53bf_64">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and for general corporate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27" w:name="i44c5831a75074dc5aab00d0925e2fb89"/>
      <w:bookmarkEnd w:id="27"/>
      <w:r>
        <w:rPr>
          <w:rFonts w:ascii="Times New Roman;serif" w:hAnsi="Times New Roman;serif"/>
          <w:b w:val="false"/>
          <w:i/>
          <w:color w:val="000000"/>
          <w:sz w:val="20"/>
        </w:rPr>
        <w:t>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2025, the Company’s wholly owned subsidiary Endeavor Energy Resources, LP divested all of the issued and outstanding equity interests in 1979 Royalties, LP and 1979 Royalties GP, LLC, each of which was a subsidiary of the Company, pursuant to a definitive equity purchase agreement with Viper and Viper LLC in exchange for consideration consisting of (i) $873 million in cash, including customary post-closing adjustments, and (ii) the issuance of 69.63 million Viper LLC Units and an equivalent number of shares of Viper’s Class B common stock (the “2025 Drop Down”). The 2025 Drop Down was accounted for as a transaction between entities under common control.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28" w:name="idaf0c5556e7448dcab2cb607c1369316"/>
      <w:bookmarkEnd w:id="28"/>
      <w:r>
        <w:rPr>
          <w:rFonts w:ascii="Times New Roman;serif" w:hAnsi="Times New Roman;serif"/>
          <w:b w:val="false"/>
          <w:i/>
          <w:color w:val="000000"/>
          <w:sz w:val="20"/>
        </w:rPr>
        <w:t>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April 1, 2025, the Company completed its acquisition of all of the issued and outstanding interests of DE Permian, LLC, DE IV Combo, LLC and DE IV Operating, LLC, each of which were wholly owned subsidiaries of Double Eagle IV Midco, LLC (the “Double Eagle Acquisition”) for consideration of $3.1 billion in cash and approximately 6.84 million shares of the Company’s common stock, including transaction costs and customary post-closing adjustments. The assets acquired in the Double Eagle Acquisition consisted of approximately 67,700 gross (40,000 net) acres, which are primarily located in the Midland Basin and approximately 407 gross (342 net) horizontal locations in primary development targets. The Company funded the cash portion of the Double Eagle Acquisition through a combination of proceeds from the issuance of the $1.2 billion aggregate principal amount of 5.550% Senior Notes due 2035 (the “2035 Notes”), proceeds from the 2025 Term Loan (as defined and discussed in Note 8—</w:t>
      </w:r>
      <w:hyperlink w:anchor="i72109fb793334acb85eafc0257cc53bf_64">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and borrowings under the Revolving Credit Facility. The Double Eagle Acquisition was accounted for as an asset acquisition in accordance with ASC Topic 805, “Business Combinations.”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i/>
          <w:color w:val="000000"/>
          <w:sz w:val="20"/>
        </w:rPr>
      </w:pPr>
      <w:bookmarkStart w:id="29" w:name="i4241a19be2904ff09a1b096ed734fbe5"/>
      <w:bookmarkEnd w:id="29"/>
      <w:r>
        <w:rPr>
          <w:rFonts w:ascii="Times New Roman;serif" w:hAnsi="Times New Roman;serif"/>
          <w:b/>
          <w:i/>
          <w:color w:val="000000"/>
          <w:sz w:val="20"/>
        </w:rPr>
        <w:t>Viper Acquisition</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0"/>
        </w:rPr>
      </w:pPr>
      <w:bookmarkStart w:id="30" w:name="id76d535174b64d51ac8165a059f3710b"/>
      <w:bookmarkEnd w:id="30"/>
      <w:r>
        <w:rPr>
          <w:rFonts w:ascii="Times New Roman;serif" w:hAnsi="Times New Roman;serif"/>
          <w:b w:val="false"/>
          <w:i/>
          <w:color w:val="000000"/>
          <w:sz w:val="20"/>
        </w:rPr>
        <w:t>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19, 2025, Viper completed a series of transactions in which New Viper acquired Sitio, Sitio Royalties Operating Partnership, LP (“Sitio OpCo”) and their respective subsidiaries, pursuant to the Agreement and Plan of Merger, dated June 2, 2025, by and among Former Viper, Viper LLC, Sitio, Sitio OpCo, New Viper, Cobra Merger Sub, Inc. and Scorpion Merger Sub, Inc. (the “Sitio Acquisition”). The Sitio Acquisition was an all-equity transaction valued at approximately $4.0 billion, including transaction costs and customary post-closing adjustments and the retirement of Sitio’s net debt of approximately $1.2 billion.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 See “</w:t>
      </w:r>
      <w:hyperlink w:anchor="i72109fb793334acb85eafc0257cc53bf_52">
        <w:r>
          <w:rPr>
            <w:rStyle w:val="InternetLink"/>
            <w:color w:val="0000FF"/>
            <w:u w:val="single"/>
          </w:rPr>
          <w:t>—</w:t>
        </w:r>
      </w:hyperlink>
      <w:hyperlink w:anchor="i72109fb793334acb85eafc0257cc53bf_52">
        <w:bookmarkStart w:id="31" w:name="i00b715f6e2124875a832f1f189b41eaf"/>
        <w:bookmarkEnd w:id="31"/>
        <w:r>
          <w:rPr>
            <w:rStyle w:val="InternetLink"/>
            <w:rFonts w:ascii="Times New Roman;serif" w:hAnsi="Times New Roman;serif"/>
            <w:b w:val="false"/>
            <w:i/>
            <w:color w:val="0000FF"/>
            <w:sz w:val="20"/>
            <w:u w:val="single"/>
          </w:rPr>
          <w:t>Viper Divestiture of Non-Permian Assets</w:t>
        </w:r>
      </w:hyperlink>
      <w:r>
        <w:rPr>
          <w:color w:val="000000"/>
        </w:rPr>
        <w:t xml:space="preserve">” </w:t>
      </w:r>
      <w:r>
        <w:rPr>
          <w:rFonts w:ascii="Times New Roman;serif" w:hAnsi="Times New Roman;serif"/>
          <w:b w:val="false"/>
          <w:color w:val="000000"/>
          <w:sz w:val="20"/>
        </w:rPr>
        <w:t>above for discussion of the divestiture of Viper’s non-Permian acreage in the first quarter of 2026. The Sitio Acquisition was accounted for as an asset acquisition in accordance with ASC Topic 805, “Business Combinations.”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32" w:name="i6bf53f3352584cba980caa034b1e190b"/>
      <w:bookmarkEnd w:id="32"/>
      <w:r>
        <w:rPr>
          <w:rFonts w:ascii="Times New Roman;serif" w:hAnsi="Times New Roman;serif"/>
          <w:b/>
          <w:color w:val="000000"/>
          <w:sz w:val="20"/>
        </w:rPr>
        <w:t>5.    PROPERTY AND EQUIPMENT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includes the following as of the dates indicated:</w:t>
      </w:r>
    </w:p>
    <w:p>
      <w:pPr>
        <w:pStyle w:val="TextBody"/>
        <w:bidi w:val="0"/>
        <w:spacing w:before="0" w:after="0"/>
        <w:ind w:left="0" w:right="0" w:firstLine="720"/>
        <w:jc w:val="both"/>
        <w:rPr/>
      </w:pPr>
      <w:r>
        <w:rPr/>
      </w:r>
    </w:p>
    <w:tbl>
      <w:tblPr>
        <w:tblW w:w="8103" w:type="dxa"/>
        <w:jc w:val="left"/>
        <w:tblInd w:w="0" w:type="dxa"/>
        <w:tblLayout w:type="fixed"/>
        <w:tblCellMar>
          <w:top w:w="28" w:type="dxa"/>
          <w:left w:w="28" w:type="dxa"/>
          <w:bottom w:w="28" w:type="dxa"/>
          <w:right w:w="28" w:type="dxa"/>
        </w:tblCellMar>
      </w:tblPr>
      <w:tblGrid>
        <w:gridCol w:w="2009"/>
        <w:gridCol w:w="1764"/>
        <w:gridCol w:w="1777"/>
        <w:gridCol w:w="211"/>
        <w:gridCol w:w="721"/>
        <w:gridCol w:w="109"/>
        <w:gridCol w:w="109"/>
        <w:gridCol w:w="109"/>
        <w:gridCol w:w="109"/>
        <w:gridCol w:w="230"/>
        <w:gridCol w:w="787"/>
        <w:gridCol w:w="168"/>
      </w:tblGrid>
      <w:tr>
        <w:trPr/>
        <w:tc>
          <w:tcPr>
            <w:tcW w:w="20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Unproved properties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oil and natural gas properties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95,529 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67,949 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amortization, accretion and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68,621 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(1)    </w:t>
      </w:r>
      <w:r>
        <w:rPr>
          <w:rFonts w:ascii="Times New Roman;serif" w:hAnsi="Times New Roman;serif"/>
          <w:b w:val="false"/>
          <w:color w:val="000000"/>
          <w:sz w:val="20"/>
        </w:rPr>
        <w:t>Unevaluated properties not subject to depletion under full cost accounting.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full cost method of accounting, the Company is required to perform a ceiling test each quarter which determines a limit, or ceiling, on the book value of proved oil and natural gas properties. No ceiling test impairment was recorded for the three months ended June 30, 2026. However, the Company recorded an impairment of approximately $1.4 billion during the six months ended June 30, 2026, which is included in the caption “Accumulated depletion, depreciation, amortization and impairment” on the condensed consolidated balance sheet. No impairment expense was recorded for the three and six months ended June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33" w:name="i69cd45d544b146d2bf77cb589e0dfeca"/>
      <w:bookmarkEnd w:id="33"/>
      <w:r>
        <w:rPr>
          <w:rFonts w:ascii="Times New Roman;serif" w:hAnsi="Times New Roman;serif"/>
          <w:b/>
          <w:color w:val="000000"/>
          <w:sz w:val="20"/>
        </w:rPr>
        <w:t>6.    ASSET RETIREMENT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describes the changes to the Company’s asset retirement obligations liability for the following periods:</w:t>
      </w:r>
    </w:p>
    <w:p>
      <w:pPr>
        <w:pStyle w:val="TextBody"/>
        <w:bidi w:val="0"/>
        <w:spacing w:before="0" w:after="0"/>
        <w:ind w:left="0" w:right="0" w:firstLine="720"/>
        <w:jc w:val="both"/>
        <w:rPr/>
      </w:pPr>
      <w:r>
        <w:rPr/>
      </w:r>
    </w:p>
    <w:tbl>
      <w:tblPr>
        <w:tblW w:w="6384" w:type="dxa"/>
        <w:jc w:val="left"/>
        <w:tblInd w:w="0" w:type="dxa"/>
        <w:tblLayout w:type="fixed"/>
        <w:tblCellMar>
          <w:top w:w="28" w:type="dxa"/>
          <w:left w:w="28" w:type="dxa"/>
          <w:bottom w:w="28" w:type="dxa"/>
          <w:right w:w="28" w:type="dxa"/>
        </w:tblCellMar>
      </w:tblPr>
      <w:tblGrid>
        <w:gridCol w:w="1489"/>
        <w:gridCol w:w="1309"/>
        <w:gridCol w:w="1312"/>
        <w:gridCol w:w="247"/>
        <w:gridCol w:w="546"/>
        <w:gridCol w:w="127"/>
        <w:gridCol w:w="127"/>
        <w:gridCol w:w="127"/>
        <w:gridCol w:w="127"/>
        <w:gridCol w:w="247"/>
        <w:gridCol w:w="546"/>
        <w:gridCol w:w="180"/>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 beginning of period</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liabilities incurred</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acquired</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settled and divested</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in estimated liabilities</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 end of period</w:t>
            </w:r>
          </w:p>
        </w:tc>
        <w:tc>
          <w:tcPr>
            <w:tcW w:w="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current portion</w:t>
            </w:r>
            <w:r>
              <w:rPr>
                <w:rFonts w:ascii="Times New Roman;serif" w:hAnsi="Times New Roman;serif"/>
                <w:b w:val="false"/>
                <w:color w:val="000000"/>
                <w:sz w:val="13"/>
              </w:rPr>
              <w:t>(1)</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Asset retirement obligations - long-term</w:t>
            </w:r>
            <w:r>
              <w:rPr>
                <w:rFonts w:ascii="Times New Roman;serif" w:hAnsi="Times New Roman;serif"/>
                <w:b w:val="false"/>
                <w:color w:val="000000"/>
                <w:sz w:val="13"/>
              </w:rPr>
              <w:t>(2)</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current portion of the asset retirement obligation is included in the caption “Other accrued liabilities” in the Company’s condensed consolidated balance sheets.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long-term portion of the asset retirement obligation is included in the caption “Other long-term liabilities” in the Company’s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34" w:name="i66988b84753a4c618fff69b394142475"/>
      <w:bookmarkEnd w:id="34"/>
      <w:r>
        <w:rPr>
          <w:rFonts w:ascii="Times New Roman;serif" w:hAnsi="Times New Roman;serif"/>
          <w:b/>
          <w:color w:val="000000"/>
          <w:sz w:val="20"/>
        </w:rPr>
        <w:t>7.    RELATED PARTY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35" w:name="i6f1b6173bd6345c887cc92e3fea8a641"/>
      <w:bookmarkEnd w:id="35"/>
      <w:r>
        <w:rPr>
          <w:rFonts w:ascii="Times New Roman;serif" w:hAnsi="Times New Roman;serif"/>
          <w:b/>
          <w:color w:val="000000"/>
          <w:sz w:val="20"/>
        </w:rPr>
        <w:t>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and Five Point Energy LLC have a joint venture, Deep Blue, in which the Company owned a 30% equity ownership interest as of June 30, 2026. The equity ownership interest is included in the caption “Other assets” on the Company’s condensed consolidated balance sheets. Additionally, the Company has other related party transactions with Deep Blue in the ordinary course of business, which result in (i) certain accounts receivable from Deep Blue, (ii) accrued capital expenditures and other accrued payables related to a commitment to fund certain capital expenditures on projects that were in process at the time of the Deep Blue transaction, and (iii) lease operating expenses and capitalized expenses related to fees paid to Deep Blue under a 15-year dedication for its produced water and supply water within a 12-county area of mutual interest in the Midland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further discussion on the additional transaction with Deep Blue, see Note 4—</w:t>
      </w:r>
      <w:hyperlink w:anchor="i72109fb793334acb85eafc0257cc53bf_52">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related party balances that pertain to Deep Blue which are included in the condensed consolidated balance sheets as of the dates indicated:</w:t>
      </w:r>
    </w:p>
    <w:p>
      <w:pPr>
        <w:pStyle w:val="TextBody"/>
        <w:bidi w:val="0"/>
        <w:spacing w:before="0" w:after="0"/>
        <w:ind w:left="0" w:right="0" w:firstLine="720"/>
        <w:jc w:val="both"/>
        <w:rPr/>
      </w:pPr>
      <w:r>
        <w:rPr/>
      </w:r>
    </w:p>
    <w:tbl>
      <w:tblPr>
        <w:tblW w:w="6588" w:type="dxa"/>
        <w:jc w:val="left"/>
        <w:tblInd w:w="0" w:type="dxa"/>
        <w:tblLayout w:type="fixed"/>
        <w:tblCellMar>
          <w:top w:w="28" w:type="dxa"/>
          <w:left w:w="28" w:type="dxa"/>
          <w:bottom w:w="28" w:type="dxa"/>
          <w:right w:w="28" w:type="dxa"/>
        </w:tblCellMar>
      </w:tblPr>
      <w:tblGrid>
        <w:gridCol w:w="1549"/>
        <w:gridCol w:w="1362"/>
        <w:gridCol w:w="1379"/>
        <w:gridCol w:w="211"/>
        <w:gridCol w:w="466"/>
        <w:gridCol w:w="109"/>
        <w:gridCol w:w="109"/>
        <w:gridCol w:w="109"/>
        <w:gridCol w:w="109"/>
        <w:gridCol w:w="300"/>
        <w:gridCol w:w="664"/>
        <w:gridCol w:w="221"/>
      </w:tblGrid>
      <w:tr>
        <w:trPr/>
        <w:tc>
          <w:tcPr>
            <w:tcW w:w="154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incurred costs for water services provided by Deep Blue of approximately $66 million and $25 million during the three months ended June 30, 2026 and 2025, respectively, and $133 million and $72 million during the six months ended June 30, 2026 and 2025, respectively, which were capitalized and are included in the caption “Proved properties”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related party transactions included in the condensed consolidated statements of operations for the periods indicated:</w:t>
      </w:r>
    </w:p>
    <w:p>
      <w:pPr>
        <w:pStyle w:val="TextBody"/>
        <w:bidi w:val="0"/>
        <w:spacing w:before="0" w:after="0"/>
        <w:ind w:left="0" w:right="0" w:firstLine="720"/>
        <w:jc w:val="both"/>
        <w:rPr/>
      </w:pPr>
      <w:r>
        <w:rPr/>
      </w:r>
    </w:p>
    <w:tbl>
      <w:tblPr>
        <w:tblW w:w="7233" w:type="dxa"/>
        <w:jc w:val="left"/>
        <w:tblInd w:w="0" w:type="dxa"/>
        <w:tblLayout w:type="fixed"/>
        <w:tblCellMar>
          <w:top w:w="28" w:type="dxa"/>
          <w:left w:w="28" w:type="dxa"/>
          <w:bottom w:w="28" w:type="dxa"/>
          <w:right w:w="28" w:type="dxa"/>
        </w:tblCellMar>
      </w:tblPr>
      <w:tblGrid>
        <w:gridCol w:w="792"/>
        <w:gridCol w:w="697"/>
        <w:gridCol w:w="700"/>
        <w:gridCol w:w="305"/>
        <w:gridCol w:w="522"/>
        <w:gridCol w:w="157"/>
        <w:gridCol w:w="157"/>
        <w:gridCol w:w="157"/>
        <w:gridCol w:w="157"/>
        <w:gridCol w:w="305"/>
        <w:gridCol w:w="522"/>
        <w:gridCol w:w="157"/>
        <w:gridCol w:w="109"/>
        <w:gridCol w:w="109"/>
        <w:gridCol w:w="109"/>
        <w:gridCol w:w="261"/>
        <w:gridCol w:w="578"/>
        <w:gridCol w:w="135"/>
        <w:gridCol w:w="135"/>
        <w:gridCol w:w="135"/>
        <w:gridCol w:w="135"/>
        <w:gridCol w:w="261"/>
        <w:gridCol w:w="447"/>
        <w:gridCol w:w="191"/>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36" w:name="iedfc95cb7180447e8359fa25ca1b1880"/>
      <w:bookmarkEnd w:id="36"/>
      <w:r>
        <w:rPr>
          <w:rFonts w:ascii="Times New Roman;serif" w:hAnsi="Times New Roman;serif"/>
          <w:b/>
          <w:color w:val="000000"/>
          <w:sz w:val="20"/>
        </w:rPr>
        <w:t>Viper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discussion on related party transactions with Viper, see Note 1—</w:t>
      </w:r>
      <w:hyperlink w:anchor="i72109fb793334acb85eafc0257cc53bf_43">
        <w:r>
          <w:rPr>
            <w:rStyle w:val="InternetLink"/>
            <w:rFonts w:ascii="Times New Roman;serif" w:hAnsi="Times New Roman;serif"/>
            <w:b w:val="false"/>
            <w:color w:val="0000FF"/>
            <w:sz w:val="20"/>
            <w:u w:val="single"/>
          </w:rPr>
          <w:t>Description of the Business and Basis of Presentation</w:t>
        </w:r>
      </w:hyperlink>
      <w:r>
        <w:rPr>
          <w:color w:val="000000"/>
        </w:rPr>
        <w:t xml:space="preserve"> </w:t>
      </w:r>
      <w:r>
        <w:rPr>
          <w:rFonts w:ascii="Times New Roman;serif" w:hAnsi="Times New Roman;serif"/>
          <w:b w:val="false"/>
          <w:color w:val="000000"/>
          <w:sz w:val="20"/>
        </w:rPr>
        <w:t>and Note 4—</w:t>
      </w:r>
      <w:hyperlink w:anchor="i72109fb793334acb85eafc0257cc53bf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- 2025 Drop Down.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37" w:name="ia4863b8761f7418a833e309b8eb612a4"/>
      <w:bookmarkEnd w:id="37"/>
      <w:r>
        <w:rPr>
          <w:rFonts w:ascii="Times New Roman;serif" w:hAnsi="Times New Roman;serif"/>
          <w:b/>
          <w:color w:val="000000"/>
          <w:sz w:val="20"/>
        </w:rPr>
        <w:t>SGF Common Stock Repurchases and Secondary Offering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2024, the Company completed the acquisition of 100% of the equity interests of Endeavor Parent, LLC (“Endeavor”) (the “Endeavor Acquisition”). As partial consideration for the Endeavor Acquisition, the Company issued 117.27 million shares, or 39.8% of its then-outstanding common stock to the former owners of Endeavor (the “Endeavor equityholders”), the majority of which are currently held by SGF FANG Holdings, LP (“SGF”). Additionally, pursuant to a stockholders agreement executed with the Endeavor equityholders, the Endeavor equityholders have the right to propose for nomination between one and four directors for election to the Company’s board of directors as long as certain established ownership thresholds are maintained. As a result, SGF is considered a related party of the Company under ASC Topic 850 “Related Party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November 28, 2025, the Company entered into a letter agreement with SGF, which provides SGF with the right, but not the obligation, to sell up to 3.0 million shares of the Company’s common stock to the Company per quarter through December 31, 2026 at the most recent Nasdaq closing price of such transaction. The Company did not repurchase any shares from SGF during the three months ended June 30, 2026. During the six months ended June 30, 2026, the Company repurchased 3.0 million shares from SGF for approximately $509 million, excluding excise taxes. Repurchases under the letter agreement are pursuant to the Company’s existing share repurchase program, and have been approved by the audit committee of the Company’s board of directors. For details on the Company’s existing share repurchase program, see Note 9—</w:t>
      </w:r>
      <w:hyperlink w:anchor="i72109fb793334acb85eafc0257cc53bf_67">
        <w:r>
          <w:rPr>
            <w:rStyle w:val="InternetLink"/>
            <w:rFonts w:ascii="Times New Roman;serif" w:hAnsi="Times New Roman;serif"/>
            <w:b w:val="false"/>
            <w:color w:val="0000FF"/>
            <w:sz w:val="20"/>
            <w:u w:val="single"/>
          </w:rPr>
          <w:t>Stockholders’ Equity and Earnings (Loss) Per Share</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2026, SGF completed a secondary public offering with Evercore Group L.L.C., Citigroup Global Markets Inc., and J.P. Morgan Securities LLC, as representatives of the several underwriters named therein (the “SGF Underwriters”), providing for the sale of 12.65 million shares of the Company’s common stock to the SGF Underwriters at $170.18875 per share.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Giving effect to the repurchases and secondary offering discussed above, as well as SGF’s sales of Company common stock to third-parties, as of June 30, 2026, the Endeavor equityholders held approximately 26.7% of the Company’s outstanding common stock.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38" w:name="ic776b582ba0f4deb80ae3cc44318ba93"/>
      <w:bookmarkEnd w:id="38"/>
      <w:r>
        <w:rPr>
          <w:rFonts w:ascii="Times New Roman;serif" w:hAnsi="Times New Roman;serif"/>
          <w:b/>
          <w:color w:val="000000"/>
          <w:sz w:val="20"/>
        </w:rPr>
        <w:t>8.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8853" w:type="dxa"/>
        <w:jc w:val="left"/>
        <w:tblInd w:w="0" w:type="dxa"/>
        <w:tblLayout w:type="fixed"/>
        <w:tblCellMar>
          <w:top w:w="28" w:type="dxa"/>
          <w:left w:w="28" w:type="dxa"/>
          <w:bottom w:w="28" w:type="dxa"/>
          <w:right w:w="28" w:type="dxa"/>
        </w:tblCellMar>
      </w:tblPr>
      <w:tblGrid>
        <w:gridCol w:w="2282"/>
        <w:gridCol w:w="2005"/>
        <w:gridCol w:w="2013"/>
        <w:gridCol w:w="211"/>
        <w:gridCol w:w="721"/>
        <w:gridCol w:w="109"/>
        <w:gridCol w:w="109"/>
        <w:gridCol w:w="109"/>
        <w:gridCol w:w="109"/>
        <w:gridCol w:w="230"/>
        <w:gridCol w:w="787"/>
        <w:gridCol w:w="168"/>
      </w:tblGrid>
      <w:tr>
        <w:trPr/>
        <w:tc>
          <w:tcPr>
            <w:tcW w:w="2282"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3.250% Senior Notes due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5.625% Senior Notes due 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5.200% Senior Notes due 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7.125% Medium-term Notes, Series B, due 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3.500% Senior Notes due 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5.150% Senior Notes due 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3.125% Senior Notes due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2033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5.400% Senior Notes due 2034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5.550% Senior Notes due 2035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4.400% Senior Notes due 2051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4.250% Senior Notes due 2052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2053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5.750% Senior Notes due 2054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5.900% Senior Notes due 2064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premium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basis adjustment of dedesignated interest rate swap agreements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4.900% Senior Notes due 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5.700% Senior Notes due 2035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2025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in this section to the Company shall mean Diamondback Energy, Inc. and Diamondback E&amp;P, collectively, unless otherwise specified.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39" w:name="i4b910c76eeb6480ebf93bdf93628ba90"/>
      <w:bookmarkEnd w:id="39"/>
      <w:r>
        <w:rPr>
          <w:rFonts w:ascii="Times New Roman;serif" w:hAnsi="Times New Roman;serif"/>
          <w:b/>
          <w:color w:val="000000"/>
          <w:sz w:val="20"/>
        </w:rPr>
        <w:t>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2026, Diamondback E&amp;P, as borrower, and Diamondback Energy, Inc., as parent guarantor, entered into a seventeenth amendment to the existing credit agreement (as amended, the “Credit Agreement”) with Wells Fargo, as the administrative agent, and the lenders party thereto, which, among other things, (i) extended the maturity date by one year to June 12, 2031, (ii) increased the total commitments provided by the credit facility under the Credit Agreement (such facility, the “Revolving Credit Facility”) from $2.5 billion to $3.0 billion, and (iii) decreased the interest rate applicable to loans and certain fees payable under the Credit Agreement. After giving effect to the amendment, outstanding borrowings under the Revolving Credit Facility bear interest at a per annum rate elected by Diamondback E&amp;P that is equal to (i) term SOFR or (ii) an alternate base rate (which is equal to the greatest of the prime rate, the Federal Funds effective rate plus 0.50% and 1-month term SOFR plus 1.0%, subject to a 1.0% floor), in each case plus the applicable margin. The applicable margin ranges from 0.000% to 0.625% per annum in the case of the alternate base rate and from 1.000% to 1.625% per annum in the case of term SOFR, in each case based on the pricing level. The pricing level depends on the Company’s long-term senior unsecured debt ratings.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June 30, 2026, the Company had no outstanding borrowings under the Revolving Credit Facility and approximately $3.0 billion available for future borrowings. The weighted average interest rates on borrowings under the Revolving Credit Facility during the three months ended June 30, 2026 and 2025, were 4.90% and 5.65%, respectively, and were 4.94% and 5.70% during the six months ended June 30, 2026 and 2025,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was in compliance with all financial maintenance covenants under the Credit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0" w:name="id459cc69dded433dbc1d40e312fbaae4"/>
      <w:bookmarkEnd w:id="40"/>
      <w:r>
        <w:rPr>
          <w:rFonts w:ascii="Times New Roman;serif" w:hAnsi="Times New Roman;serif"/>
          <w:b/>
          <w:color w:val="000000"/>
          <w:sz w:val="20"/>
        </w:rPr>
        <w:t>Viper’s Revolving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Viper Energy, Inc. as the parent guarantor, Former Viper, as guarantor, Viper Energy Partners LP, as borrower, Wells Fargo, as the administrative agent, and the lenders and other guarantors named therein, entered into the first amendment to Viper’s credit agreement, (as amended, the “Viper Revolving Credit Agreement”), which, among other things, (i) increased the total commitments provided by the credit facility under the Viper Revolving Credit Agreement (such facility, the “Viper Revolving Credit Facility”) from $1.5 billion to $2.0 billion, and (ii) extended the maturity date by one year to June 12, 2031. As of June 30, 2026, there were $95 million in outstanding borrowings and approximately $1.9 billion available for future borrowings under the Viper Revolving Credit Facility. The weighted average interest rates on the Viper Revolving Credit Facility were 5.12% and 6.33% during the three months ended June 30, 2026 and 2025, respectively, and were 5.16% and 6.42% during the six months ended June 30, 2026 and 2025,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Viper was in compliance with all financial maintenance covenants under the Viper Revolving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41" w:name="i197971e39f174bde8a006c950170738d"/>
      <w:bookmarkEnd w:id="41"/>
      <w:r>
        <w:rPr>
          <w:rFonts w:ascii="Times New Roman;serif" w:hAnsi="Times New Roman;serif"/>
          <w:b/>
          <w:color w:val="000000"/>
          <w:sz w:val="20"/>
        </w:rPr>
        <w:t>Term Loan Agreements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42" w:name="i1a2c859de9884bc8a726ed9b72d2fad6"/>
      <w:bookmarkEnd w:id="42"/>
      <w:r>
        <w:rPr>
          <w:rFonts w:ascii="Times New Roman;serif" w:hAnsi="Times New Roman;serif"/>
          <w:b/>
          <w:i/>
          <w:color w:val="000000"/>
          <w:sz w:val="20"/>
        </w:rPr>
        <w:t>Diamondback Term Loan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Double Eagle Acquisition, Diamondback Energy, Inc., as guarantor, entered into a $1.5 billion term loan credit agreement with Diamondback E&amp;P, as borrower, and Bank of America, N.A., as administrative agent (the “2025 Term Loan”) on March 21, 2025. On April 1, 2025, the date of closing of the Double Eagle Acquisition, the 2025 Term Loan was fully drawn in a single borrowing. On October 31, 2025 and December 31, 2025, the Company partially repaid the principal borrowings under the 2025 Term Loan by $500 million and $450 million, respectively. On April 22, 2026, the Company paid in full the remaining $550 million outstanding principal and terminated the 2025 Term Loan.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bookmarkStart w:id="43" w:name="ib5e6172c154d405f98fd360276d1ada1"/>
      <w:bookmarkEnd w:id="43"/>
      <w:r>
        <w:rPr>
          <w:rFonts w:ascii="Times New Roman;serif" w:hAnsi="Times New Roman;serif"/>
          <w:b/>
          <w:i/>
          <w:color w:val="000000"/>
          <w:sz w:val="20"/>
        </w:rPr>
        <w:t>Viper Term Loan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in connection with the Sitio Acquisition, Former Viper, as guarantor, entered into a $500 million term loan credit agreement with Viper LLC, as borrower, and Goldman Sachs Bank USA, as administrative agent (the “Viper 2025 Term Loan”). On August 19, 2025, the Viper 2025 Term Loan was fully drawn and New Viper became a co-guarantor of the Viper 2025 Term Loan. On February 13, 2026, Viper used the cash proceeds received from the Viper Non-Permian Divestiture to repay in full the $500 million remaining outstanding borrowings and terminate the Viper 2025 Term Loan.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4" w:name="icad2e8b9834c49cd87c43d760b6f5a9a"/>
      <w:bookmarkEnd w:id="44"/>
      <w:r>
        <w:rPr>
          <w:rFonts w:ascii="Times New Roman;serif" w:hAnsi="Times New Roman;serif"/>
          <w:b/>
          <w:color w:val="000000"/>
          <w:sz w:val="20"/>
        </w:rPr>
        <w:t>Retirement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2026, the Company opportunistically repurchased an aggregate principal amount of approximately $51 million of its 3.250% Senior Notes due 2026 for total cash consideration of $52 million, including accrued interest, at an average of 99.7% of par value. These repurchases resulted in an immaterial gain on extinguishment of debt during the three and six months ended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the Company completed a tender offer to repurchase an aggregate principal amount of $777 million of its senior notes, which consisted of $283 million of the 4.400% Senior Notes due 2051 and $494 million of the 4.250% Senior Notes due 2052 for total cash consideration, including accrued interest, of approximately $632 million, at an average of 81.1% of par value. These repurchases resulted in a gain on extinguishment of debt of approximately $135 million during the three and six months ended June 30,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the Company retired $14 million of its 5.625% Senior Notes due 2026 at maturity.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45" w:name="i610a8fbb12b14796827da63a4ff95e15"/>
      <w:bookmarkEnd w:id="45"/>
      <w:r>
        <w:rPr>
          <w:rFonts w:ascii="Times New Roman;serif" w:hAnsi="Times New Roman;serif"/>
          <w:b/>
          <w:color w:val="000000"/>
          <w:sz w:val="20"/>
        </w:rPr>
        <w:t>9.    STOCKHOLDERS’ EQUITY AND EARNINGS (LOSS) PER SHARE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6" w:name="ia37dd0711f2b4bac91a4eb9b33bb3ea8"/>
      <w:bookmarkEnd w:id="46"/>
      <w:r>
        <w:rPr>
          <w:rFonts w:ascii="Times New Roman;serif" w:hAnsi="Times New Roman;serif"/>
          <w:b/>
          <w:color w:val="000000"/>
          <w:sz w:val="20"/>
        </w:rPr>
        <w:t>Common Stock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June 30, 2026, the Company’s board of directors approved a common stock repurchase program to acquire up to $8.0 billion of the Company’s outstanding common stock, excluding excise tax. Purchases under the repurchase program may be made from time to time in open market or privately negotiated transactions and are subject to market conditions, applicable regulatory and legal requirements, contractual obligations and other factors. The repurchase program does not require the Company to acquire any specific number of shares and may be suspended from time to time, modified, extended or discontinued by the board of directors at any time. During the three months ended June 30, 2026, the Company repurchased approximately $141 million of common stock, excluding excise tax. During the six months ended June 30, 2026, the Company repurchased approximately $689 million, which included approximately $509 million for the repurchases from SGF, in each case, excluding excise tax. During the three and six months ended June 30, 2025, the Company repurchased approximately $398 million and $973 million of common stock under the repurchase program, respectively, excluding excise tax. For further discussion on the repurchases from SGF, see Note 7—</w:t>
      </w:r>
      <w:hyperlink w:anchor="i72109fb793334acb85eafc0257cc53bf_61">
        <w:r>
          <w:rPr>
            <w:rStyle w:val="InternetLink"/>
            <w:rFonts w:ascii="Times New Roman;serif" w:hAnsi="Times New Roman;serif"/>
            <w:b w:val="false"/>
            <w:color w:val="0000FF"/>
            <w:sz w:val="20"/>
            <w:u w:val="single"/>
          </w:rPr>
          <w:t>Related Party Transactions</w:t>
        </w:r>
      </w:hyperlink>
      <w:r>
        <w:rPr>
          <w:rFonts w:ascii="Times New Roman;serif" w:hAnsi="Times New Roman;serif"/>
          <w:b w:val="false"/>
          <w:color w:val="000000"/>
          <w:sz w:val="20"/>
        </w:rPr>
        <w:t>. As of June 30, 2026, approximately $2.0 billion remained available for future repurchases under the Company’s common stock repurchase program, excluding excise tax.</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See discussion of subsequent changes to the Company’s common stock repurchase program in Note </w:t>
      </w:r>
      <w:r>
        <w:rPr>
          <w:rFonts w:ascii="Times New Roman;serif" w:hAnsi="Times New Roman;serif"/>
          <w:b w:val="false"/>
          <w:color w:val="000000"/>
          <w:sz w:val="20"/>
        </w:rPr>
        <w:t>16</w:t>
      </w:r>
      <w:r>
        <w:rPr>
          <w:color w:val="000000"/>
          <w:shd w:fill="FFFFFF" w:val="clear"/>
        </w:rPr>
        <w:t>—</w:t>
      </w:r>
      <w:hyperlink w:anchor="i72109fb793334acb85eafc0257cc53bf_88">
        <w:r>
          <w:rPr>
            <w:rStyle w:val="InternetLink"/>
          </w:rPr>
          <w:t>Subseq</w:t>
        </w:r>
      </w:hyperlink>
      <w:hyperlink w:anchor="i72109fb793334acb85eafc0257cc53bf_88">
        <w:r>
          <w:rPr>
            <w:rStyle w:val="InternetLink"/>
          </w:rPr>
          <w:t>u</w:t>
        </w:r>
      </w:hyperlink>
      <w:hyperlink w:anchor="i72109fb793334acb85eafc0257cc53bf_88">
        <w:r>
          <w:rPr>
            <w:rStyle w:val="InternetLink"/>
          </w:rPr>
          <w:t>ent Events</w:t>
        </w:r>
      </w:hyperlink>
      <w:r>
        <w:rPr>
          <w:color w:val="000000"/>
        </w:rPr>
        <w:t>—</w:t>
      </w:r>
      <w:r>
        <w:rPr>
          <w:rFonts w:ascii="Times New Roman;serif" w:hAnsi="Times New Roman;serif"/>
          <w:b w:val="false"/>
          <w:color w:val="000000"/>
          <w:sz w:val="20"/>
        </w:rPr>
        <w:t>Increase in Stock Repurchase Program Authorization</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7" w:name="i2434aa1521504837ba2a818aa8c37a83"/>
      <w:bookmarkEnd w:id="47"/>
      <w:r>
        <w:rPr>
          <w:rFonts w:ascii="Times New Roman;serif" w:hAnsi="Times New Roman;serif"/>
          <w:b/>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Non-controlling interests in the accompanying condensed consolidated financial statements represent ownership interests in Viper, which are held by parties other than the Company and are presented as a component of equity. When the Company’s relative ownership interests in Viper change, adjustments to non-controlling interest and additional paid-in-capital, tax effected, will occur.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changes in the ownership interest in consolidated subsidiaries during the respective periods presented: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112"/>
        <w:gridCol w:w="1626"/>
        <w:gridCol w:w="1639"/>
        <w:gridCol w:w="230"/>
        <w:gridCol w:w="673"/>
        <w:gridCol w:w="119"/>
        <w:gridCol w:w="119"/>
        <w:gridCol w:w="119"/>
        <w:gridCol w:w="119"/>
        <w:gridCol w:w="230"/>
        <w:gridCol w:w="509"/>
        <w:gridCol w:w="119"/>
        <w:gridCol w:w="109"/>
        <w:gridCol w:w="109"/>
        <w:gridCol w:w="109"/>
        <w:gridCol w:w="212"/>
        <w:gridCol w:w="620"/>
        <w:gridCol w:w="109"/>
        <w:gridCol w:w="109"/>
        <w:gridCol w:w="109"/>
        <w:gridCol w:w="109"/>
        <w:gridCol w:w="212"/>
        <w:gridCol w:w="620"/>
        <w:gridCol w:w="164"/>
      </w:tblGrid>
      <w:tr>
        <w:trPr/>
        <w:tc>
          <w:tcPr>
            <w:tcW w:w="2112"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Company</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Transfers (to) from the non-controlling interests:</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additional paid-in-capital due to proceeds from the sale of Viper's common stock, net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transfers (to) from the non-controlling interests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from net income (loss) attributable to the Company’s stockholders and transfers with non-controlling interest</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48" w:name="i3fd53880cf9f48a58924aab7bbc85561"/>
      <w:bookmarkEnd w:id="48"/>
      <w:r>
        <w:rPr>
          <w:rFonts w:ascii="Times New Roman;serif" w:hAnsi="Times New Roman;serif"/>
          <w:b/>
          <w:color w:val="000000"/>
          <w:sz w:val="20"/>
        </w:rPr>
        <w:t>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following table presents dividends and dividend equivalent rights paid on the Company’s common stock during the</w:t>
      </w:r>
      <w:r>
        <w:rPr>
          <w:color w:val="000000"/>
          <w:shd w:fill="FFFFFF" w:val="clear"/>
        </w:rPr>
        <w:t xml:space="preserve"> </w:t>
      </w:r>
      <w:r>
        <w:rPr>
          <w:rFonts w:ascii="Times New Roman;serif" w:hAnsi="Times New Roman;serif"/>
          <w:b w:val="false"/>
          <w:color w:val="000000"/>
          <w:sz w:val="20"/>
          <w:shd w:fill="FFFFFF" w:val="clear"/>
        </w:rPr>
        <w:t>respective periods</w:t>
      </w:r>
      <w:r>
        <w:rPr>
          <w:rFonts w:ascii="Times New Roman;serif" w:hAnsi="Times New Roman;serif"/>
          <w:b w:val="false"/>
          <w:color w:val="000000"/>
          <w:sz w:val="20"/>
        </w:rPr>
        <w:t>:</w:t>
      </w:r>
    </w:p>
    <w:p>
      <w:pPr>
        <w:pStyle w:val="TextBody"/>
        <w:bidi w:val="0"/>
        <w:spacing w:before="0" w:after="0"/>
        <w:ind w:left="0" w:right="0" w:firstLine="720"/>
        <w:jc w:val="both"/>
        <w:rPr/>
      </w:pPr>
      <w:r>
        <w:rPr/>
      </w:r>
    </w:p>
    <w:tbl>
      <w:tblPr>
        <w:tblW w:w="5157" w:type="dxa"/>
        <w:jc w:val="left"/>
        <w:tblInd w:w="0" w:type="dxa"/>
        <w:tblLayout w:type="fixed"/>
        <w:tblCellMar>
          <w:top w:w="28" w:type="dxa"/>
          <w:left w:w="28" w:type="dxa"/>
          <w:bottom w:w="28" w:type="dxa"/>
          <w:right w:w="28" w:type="dxa"/>
        </w:tblCellMar>
      </w:tblPr>
      <w:tblGrid>
        <w:gridCol w:w="567"/>
        <w:gridCol w:w="499"/>
        <w:gridCol w:w="508"/>
        <w:gridCol w:w="109"/>
        <w:gridCol w:w="109"/>
        <w:gridCol w:w="109"/>
        <w:gridCol w:w="109"/>
        <w:gridCol w:w="464"/>
        <w:gridCol w:w="1126"/>
        <w:gridCol w:w="239"/>
        <w:gridCol w:w="124"/>
        <w:gridCol w:w="124"/>
        <w:gridCol w:w="124"/>
        <w:gridCol w:w="240"/>
        <w:gridCol w:w="531"/>
        <w:gridCol w:w="175"/>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Dividend Per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year-to-date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year-to-date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9" w:name="if97bb8ce9f98428da202fef287c43cf9"/>
      <w:bookmarkEnd w:id="49"/>
      <w:r>
        <w:rPr>
          <w:rFonts w:ascii="Times New Roman;serif" w:hAnsi="Times New Roman;serif"/>
          <w:b/>
          <w:color w:val="000000"/>
          <w:sz w:val="20"/>
        </w:rPr>
        <w:t>Earnings (Loss) Per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shares outstanding for the period, if any. Additionally, the per share earnings of Viper are included in the consolidated earnings per share computation based on the consolidated group’s holdings of the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the components of basic and diluted earnings (loss) per common share is presented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43"/>
        <w:gridCol w:w="1595"/>
        <w:gridCol w:w="1601"/>
        <w:gridCol w:w="235"/>
        <w:gridCol w:w="688"/>
        <w:gridCol w:w="121"/>
        <w:gridCol w:w="121"/>
        <w:gridCol w:w="121"/>
        <w:gridCol w:w="121"/>
        <w:gridCol w:w="246"/>
        <w:gridCol w:w="591"/>
        <w:gridCol w:w="121"/>
        <w:gridCol w:w="109"/>
        <w:gridCol w:w="109"/>
        <w:gridCol w:w="109"/>
        <w:gridCol w:w="213"/>
        <w:gridCol w:w="623"/>
        <w:gridCol w:w="109"/>
        <w:gridCol w:w="109"/>
        <w:gridCol w:w="109"/>
        <w:gridCol w:w="109"/>
        <w:gridCol w:w="213"/>
        <w:gridCol w:w="623"/>
        <w:gridCol w:w="166"/>
      </w:tblGrid>
      <w:tr>
        <w:trPr/>
        <w:tc>
          <w:tcPr>
            <w:tcW w:w="204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shares</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distributed and undistributed earnings allocated to participating securities</w:t>
            </w:r>
            <w:r>
              <w:rPr>
                <w:rFonts w:ascii="Times New Roman;serif" w:hAnsi="Times New Roman;serif"/>
                <w:b w:val="false"/>
                <w:color w:val="000000"/>
                <w:sz w:val="13"/>
              </w:rPr>
              <w:t>(1)</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281,202 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potential common shares issuable</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281,202 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292,135 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281,993 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290,880 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attributable to common shares</w:t>
            </w:r>
          </w:p>
        </w:tc>
        <w:tc>
          <w:tcPr>
            <w:tcW w:w="23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attributable to common shares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Unvested restricted stock units and performance-based restricted stock unit awards that contain non-forfeitable dividend equivalent rights are considered participating securities and therefore are included in the earnings per share calculation pursuant to the two-class method.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50" w:name="ibb11ef7ca57b47fbb0a401b4726bc277"/>
      <w:bookmarkEnd w:id="50"/>
      <w:r>
        <w:rPr>
          <w:rFonts w:ascii="Times New Roman;serif" w:hAnsi="Times New Roman;serif"/>
          <w:b/>
          <w:color w:val="000000"/>
          <w:sz w:val="20"/>
        </w:rPr>
        <w:t>10.    EQUITY-BASED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Equity Plan approved by the board of directors, the Company is authorized to issue up to 11.8 million shares of incentive and non-statutory stock options, restricted stock awards and restricted stock units (“RSUs”), performance-based restricted stock units (“PSUs”) and stock appreciation rights to eligible employees. At June 30, 2026, the Company had outstanding RSUs and PSUs and approximately 3.0 million shares of common stock remain available for future grants under the Equity Plan. The Company classifies its RSUs and PSUs as equity-based awards and estimates their fair values based on the closing price of the Company’s common stock on the grant date of the award, which is expensed over the applicable vesting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Equity Plan, Viper maintains its own long-term incentive plan, which is not significant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financial statement impacts of equity compensation plans and related costs on the Company’s financial statements: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84"/>
        <w:gridCol w:w="1831"/>
        <w:gridCol w:w="1835"/>
        <w:gridCol w:w="262"/>
        <w:gridCol w:w="448"/>
        <w:gridCol w:w="135"/>
        <w:gridCol w:w="135"/>
        <w:gridCol w:w="135"/>
        <w:gridCol w:w="135"/>
        <w:gridCol w:w="262"/>
        <w:gridCol w:w="448"/>
        <w:gridCol w:w="135"/>
        <w:gridCol w:w="109"/>
        <w:gridCol w:w="109"/>
        <w:gridCol w:w="109"/>
        <w:gridCol w:w="246"/>
        <w:gridCol w:w="422"/>
        <w:gridCol w:w="127"/>
        <w:gridCol w:w="127"/>
        <w:gridCol w:w="127"/>
        <w:gridCol w:w="127"/>
        <w:gridCol w:w="246"/>
        <w:gridCol w:w="422"/>
        <w:gridCol w:w="189"/>
      </w:tblGrid>
      <w:tr>
        <w:trPr/>
        <w:tc>
          <w:tcPr>
            <w:tcW w:w="2084"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capitalized pursuant to full cost method of accounting for oil and natural gas properties</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51" w:name="ib8ccf5a0d6f64d3abe987880155e6fc0"/>
      <w:bookmarkEnd w:id="51"/>
      <w:r>
        <w:rPr>
          <w:rFonts w:ascii="Times New Roman;serif" w:hAnsi="Times New Roman;serif"/>
          <w:b/>
          <w:color w:val="000000"/>
          <w:sz w:val="20"/>
        </w:rPr>
        <w:t>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RSU activity during the six months ended June 30, 2026, under the Equity Plan:</w:t>
      </w:r>
    </w:p>
    <w:p>
      <w:pPr>
        <w:pStyle w:val="TextBody"/>
        <w:bidi w:val="0"/>
        <w:spacing w:before="0" w:after="0"/>
        <w:ind w:left="0" w:right="0" w:firstLine="720"/>
        <w:jc w:val="both"/>
        <w:rPr/>
      </w:pPr>
      <w:r>
        <w:rPr/>
      </w:r>
    </w:p>
    <w:tbl>
      <w:tblPr>
        <w:tblW w:w="6952" w:type="dxa"/>
        <w:jc w:val="left"/>
        <w:tblInd w:w="0" w:type="dxa"/>
        <w:tblLayout w:type="fixed"/>
        <w:tblCellMar>
          <w:top w:w="28" w:type="dxa"/>
          <w:left w:w="28" w:type="dxa"/>
          <w:bottom w:w="28" w:type="dxa"/>
          <w:right w:w="28" w:type="dxa"/>
        </w:tblCellMar>
      </w:tblPr>
      <w:tblGrid>
        <w:gridCol w:w="978"/>
        <w:gridCol w:w="860"/>
        <w:gridCol w:w="862"/>
        <w:gridCol w:w="526"/>
        <w:gridCol w:w="454"/>
        <w:gridCol w:w="456"/>
        <w:gridCol w:w="109"/>
        <w:gridCol w:w="109"/>
        <w:gridCol w:w="109"/>
        <w:gridCol w:w="483"/>
        <w:gridCol w:w="1653"/>
        <w:gridCol w:w="35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Restricted Stock</w:t>
              <w:br/>
              <w: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Grant-Date</w:t>
              <w:br/>
              <w:t>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890,062 </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153.87 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554,510 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(136,547)</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162.63 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(40,909)</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9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1,267,116 </w:t>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163.53 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grant date fair value of restricted stock units that vested during the six months ended June 30, 2026, was $22 million. As of June 30, 2026, the Company’s unrecognized compensation cost related to unvested restricted stock units was $157 million, which is expected to be recognized over a weighted-average period of 2.2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52" w:name="i3588a6e7207149508cdb6beb19ccc562"/>
      <w:bookmarkEnd w:id="52"/>
      <w:r>
        <w:rPr>
          <w:rFonts w:ascii="Times New Roman;serif" w:hAnsi="Times New Roman;serif"/>
          <w:b/>
          <w:color w:val="000000"/>
          <w:sz w:val="20"/>
        </w:rPr>
        <w:t>Performance-Based 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PSU activity under the Equity Plan for the six months ended June 30, 2026:</w:t>
      </w:r>
    </w:p>
    <w:p>
      <w:pPr>
        <w:pStyle w:val="TextBody"/>
        <w:bidi w:val="0"/>
        <w:spacing w:before="0" w:after="0"/>
        <w:ind w:left="0" w:right="0" w:firstLine="720"/>
        <w:jc w:val="both"/>
        <w:rPr/>
      </w:pPr>
      <w:r>
        <w:rPr/>
      </w:r>
    </w:p>
    <w:tbl>
      <w:tblPr>
        <w:tblW w:w="9746" w:type="dxa"/>
        <w:jc w:val="left"/>
        <w:tblInd w:w="0" w:type="dxa"/>
        <w:tblLayout w:type="fixed"/>
        <w:tblCellMar>
          <w:top w:w="28" w:type="dxa"/>
          <w:left w:w="28" w:type="dxa"/>
          <w:bottom w:w="28" w:type="dxa"/>
          <w:right w:w="28" w:type="dxa"/>
        </w:tblCellMar>
      </w:tblPr>
      <w:tblGrid>
        <w:gridCol w:w="978"/>
        <w:gridCol w:w="860"/>
        <w:gridCol w:w="862"/>
        <w:gridCol w:w="1124"/>
        <w:gridCol w:w="1124"/>
        <w:gridCol w:w="1126"/>
        <w:gridCol w:w="109"/>
        <w:gridCol w:w="109"/>
        <w:gridCol w:w="109"/>
        <w:gridCol w:w="650"/>
        <w:gridCol w:w="2221"/>
        <w:gridCol w:w="47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22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327,931 </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254.50 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170,279 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235.63 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(16,072)</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206.97 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2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(7,191)</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258.56 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Unvested at June 30, 2026</w:t>
            </w:r>
            <w:r>
              <w:rPr>
                <w:rFonts w:ascii="Times New Roman;serif" w:hAnsi="Times New Roman;serif"/>
                <w:b w:val="false"/>
                <w:color w:val="000000"/>
                <w:sz w:val="13"/>
              </w:rPr>
              <w:t>(1)</w:t>
            </w:r>
          </w:p>
        </w:tc>
        <w:tc>
          <w:tcPr>
            <w:tcW w:w="22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474,947 </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249.28 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 maximum of 1,160,668 units could be awarded based upon the Company’s final TSR ranking.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unrecognized compensation cost related to unvested PSUs was $63 million, which is expected to be recognized over a weighted-average period of 1.7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2026, eligible employees received PSU awards totaling 170,279 units from which a minimum of 0% and a maximum of 200% of the units could be awarded based upon the measurement of TSR of the Company’s common stock as compared to a designated peer group during the three-year performance period of January 1, 2026, to December 31, 2028, and cliff vest at December 31, 2028, subject to continued employment. The initial payout of the March 2026 awards will be further adjusted by a TSR modifier that may reduce the payout or increase the payout up to a maximum of 250%.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each PSU issuance is estimated at the date of grant using a Monte Carlo simulation, which results in an expected percentage of units to be earned during the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grant-date fair values of PSUs granted and the related assumptions for the awards granted during the period presented:</w:t>
      </w:r>
    </w:p>
    <w:p>
      <w:pPr>
        <w:pStyle w:val="TextBody"/>
        <w:bidi w:val="0"/>
        <w:spacing w:before="0" w:after="0"/>
        <w:ind w:left="0" w:right="0" w:firstLine="720"/>
        <w:jc w:val="both"/>
        <w:rPr/>
      </w:pPr>
      <w:r>
        <w:rPr/>
      </w:r>
    </w:p>
    <w:tbl>
      <w:tblPr>
        <w:tblW w:w="3032" w:type="dxa"/>
        <w:jc w:val="left"/>
        <w:tblInd w:w="0" w:type="dxa"/>
        <w:tblLayout w:type="fixed"/>
        <w:tblCellMar>
          <w:top w:w="28" w:type="dxa"/>
          <w:left w:w="28" w:type="dxa"/>
          <w:bottom w:w="28" w:type="dxa"/>
          <w:right w:w="28" w:type="dxa"/>
        </w:tblCellMar>
      </w:tblPr>
      <w:tblGrid>
        <w:gridCol w:w="645"/>
        <w:gridCol w:w="569"/>
        <w:gridCol w:w="570"/>
        <w:gridCol w:w="211"/>
        <w:gridCol w:w="721"/>
        <w:gridCol w:w="316"/>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March 2026</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Grant-date fair value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235.63 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3" w:name="i4782073c3dec4997bfa6f3fd346be9ad"/>
      <w:bookmarkEnd w:id="53"/>
      <w:r>
        <w:rPr>
          <w:rFonts w:ascii="Times New Roman;serif" w:hAnsi="Times New Roman;serif"/>
          <w:b/>
          <w:color w:val="000000"/>
          <w:sz w:val="20"/>
        </w:rPr>
        <w:t>11.    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provision for (benefit from) income taxes and the effective income tax rate for the periods indicated:</w:t>
      </w:r>
    </w:p>
    <w:p>
      <w:pPr>
        <w:pStyle w:val="TextBody"/>
        <w:bidi w:val="0"/>
        <w:spacing w:before="0" w:after="0"/>
        <w:ind w:left="0" w:right="0" w:firstLine="720"/>
        <w:jc w:val="both"/>
        <w:rPr/>
      </w:pPr>
      <w:r>
        <w:rPr/>
      </w:r>
    </w:p>
    <w:tbl>
      <w:tblPr>
        <w:tblW w:w="8479" w:type="dxa"/>
        <w:jc w:val="left"/>
        <w:tblInd w:w="0" w:type="dxa"/>
        <w:tblLayout w:type="fixed"/>
        <w:tblCellMar>
          <w:top w:w="28" w:type="dxa"/>
          <w:left w:w="28" w:type="dxa"/>
          <w:bottom w:w="28" w:type="dxa"/>
          <w:right w:w="28" w:type="dxa"/>
        </w:tblCellMar>
      </w:tblPr>
      <w:tblGrid>
        <w:gridCol w:w="1243"/>
        <w:gridCol w:w="1094"/>
        <w:gridCol w:w="1098"/>
        <w:gridCol w:w="232"/>
        <w:gridCol w:w="512"/>
        <w:gridCol w:w="298"/>
        <w:gridCol w:w="119"/>
        <w:gridCol w:w="119"/>
        <w:gridCol w:w="119"/>
        <w:gridCol w:w="232"/>
        <w:gridCol w:w="512"/>
        <w:gridCol w:w="298"/>
        <w:gridCol w:w="109"/>
        <w:gridCol w:w="109"/>
        <w:gridCol w:w="109"/>
        <w:gridCol w:w="212"/>
        <w:gridCol w:w="468"/>
        <w:gridCol w:w="272"/>
        <w:gridCol w:w="109"/>
        <w:gridCol w:w="109"/>
        <w:gridCol w:w="109"/>
        <w:gridCol w:w="212"/>
        <w:gridCol w:w="468"/>
        <w:gridCol w:w="317"/>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for tax rate)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income tax expense from continuing operations for the three and six months ended June 30, 2026, differed from amounts computed by applying the U.S. federal statutory tax rate to pre-tax income primarily due to (i) state income taxes, net of federal benefit, (ii) the effect of research and development tax credits, (iii) changes in Viper’s estimated deferred taxes recognized in connection with the closing of the Sitio Acquisition, and (iv) other permanent differences between book and taxable income. For the three and six months ended June 30, 2025, total income tax expense from continuing operations differed from amounts computed by applying the U.S. federal statutory tax rate to pre-tax income primarily due to (i) state income taxes, net of federal benefit, (ii) the effect of research and development tax credits, (iii) limitations on the deduction of certain permanent items, and (iv) other permanent differences between book and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Secondary Offering, the Company recognized an $88 million increase in income taxes payable and a $26 million decrease in its liability for deferred income taxes through additional paid-in capital, as well as a $61 million increase in Viper’s deferred tax asset through non-controlling interest on the Company’s condensed consolidated balance sheet as of June 30,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4" w:name="i8c238dfce74443bfac08f0dfa17f7c30"/>
      <w:bookmarkEnd w:id="54"/>
      <w:r>
        <w:rPr>
          <w:rFonts w:ascii="Times New Roman;serif" w:hAnsi="Times New Roman;serif"/>
          <w:b/>
          <w:color w:val="000000"/>
          <w:sz w:val="20"/>
        </w:rPr>
        <w:t>12.    DERIVATIVES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only had commodity derivative contracts outstanding, which are recorded at fair value in the condensed consolidated balance sheet.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55" w:name="i97b567e65fe04b1ea4fdc4cada9e67d5"/>
      <w:bookmarkEnd w:id="55"/>
      <w:r>
        <w:rPr>
          <w:rFonts w:ascii="Times New Roman;serif" w:hAnsi="Times New Roman;serif"/>
          <w:b/>
          <w:color w:val="000000"/>
          <w:sz w:val="20"/>
        </w:rPr>
        <w:t>Commodity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the following outstanding commodity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00"/>
        <w:gridCol w:w="351"/>
        <w:gridCol w:w="352"/>
        <w:gridCol w:w="345"/>
        <w:gridCol w:w="345"/>
        <w:gridCol w:w="347"/>
        <w:gridCol w:w="372"/>
        <w:gridCol w:w="337"/>
        <w:gridCol w:w="339"/>
        <w:gridCol w:w="374"/>
        <w:gridCol w:w="356"/>
        <w:gridCol w:w="358"/>
        <w:gridCol w:w="353"/>
        <w:gridCol w:w="353"/>
        <w:gridCol w:w="359"/>
        <w:gridCol w:w="506"/>
        <w:gridCol w:w="506"/>
        <w:gridCol w:w="512"/>
        <w:gridCol w:w="109"/>
        <w:gridCol w:w="109"/>
        <w:gridCol w:w="157"/>
        <w:gridCol w:w="473"/>
        <w:gridCol w:w="473"/>
        <w:gridCol w:w="485"/>
        <w:gridCol w:w="444"/>
        <w:gridCol w:w="444"/>
        <w:gridCol w:w="646"/>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8" w:type="dxa"/>
            <w:gridSpan w:val="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Collars</w:t>
            </w:r>
          </w:p>
        </w:tc>
        <w:tc>
          <w:tcPr>
            <w:tcW w:w="1534" w:type="dxa"/>
            <w:gridSpan w:val="3"/>
            <w:tcBorders/>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Month</w:t>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Year</w:t>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Type of Contract</w:t>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Bbls/MMBtu Per Day</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Index</w:t>
            </w:r>
          </w:p>
        </w:tc>
        <w:tc>
          <w:tcPr>
            <w:tcW w:w="15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Weighted Average Floor Price</w:t>
            </w:r>
          </w:p>
        </w:tc>
        <w:tc>
          <w:tcPr>
            <w:tcW w:w="1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Weighted Average Ceiling Price</w:t>
            </w:r>
          </w:p>
        </w:tc>
      </w:tr>
      <w:tr>
        <w:trPr/>
        <w:tc>
          <w:tcPr>
            <w:tcW w:w="11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OIL</w:t>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Dec.</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85,000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Midland</w:t>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Dec.</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Roll Swap</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150,000</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1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Jan.-Jun.</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10,000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Midland</w:t>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88"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NATURAL GAS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650,000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Dec.</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Two-Way Collar</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840,000</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Henry Hub</w:t>
            </w:r>
          </w:p>
        </w:tc>
        <w:tc>
          <w:tcPr>
            <w:tcW w:w="1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$2.87</w:t>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$6.35</w:t>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Dec.</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100,000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HSC Hub</w:t>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650,000</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1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Two-Way Collar</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720,000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Henry Hub</w:t>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$2.88</w:t>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$6.37</w:t>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360,000</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1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300,000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HSC Hub</w:t>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HSC Hub</w:t>
            </w:r>
          </w:p>
        </w:tc>
        <w:tc>
          <w:tcPr>
            <w:tcW w:w="1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Company’s crude oil basis swaps fix the differential between the Argus WTI Midland price and the WTI Cushing price for the notional volumes covered by the contracts. The Company’s natural gas basis swaps fix the differential between the applicable Waha Hub or HSC Hub price and the Henry Hub price for the notional volumes covered by the contracts.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66"/>
        <w:gridCol w:w="409"/>
        <w:gridCol w:w="410"/>
        <w:gridCol w:w="392"/>
        <w:gridCol w:w="392"/>
        <w:gridCol w:w="394"/>
        <w:gridCol w:w="407"/>
        <w:gridCol w:w="407"/>
        <w:gridCol w:w="409"/>
        <w:gridCol w:w="349"/>
        <w:gridCol w:w="315"/>
        <w:gridCol w:w="301"/>
        <w:gridCol w:w="478"/>
        <w:gridCol w:w="450"/>
        <w:gridCol w:w="458"/>
        <w:gridCol w:w="314"/>
        <w:gridCol w:w="286"/>
        <w:gridCol w:w="288"/>
        <w:gridCol w:w="430"/>
        <w:gridCol w:w="430"/>
        <w:gridCol w:w="432"/>
        <w:gridCol w:w="297"/>
        <w:gridCol w:w="276"/>
        <w:gridCol w:w="278"/>
        <w:gridCol w:w="343"/>
        <w:gridCol w:w="322"/>
        <w:gridCol w:w="472"/>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Put Spread</w:t>
            </w:r>
          </w:p>
        </w:tc>
      </w:tr>
      <w:tr>
        <w:trPr/>
        <w:tc>
          <w:tcPr>
            <w:tcW w:w="1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Month</w:t>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Year</w:t>
            </w:r>
          </w:p>
        </w:tc>
        <w:tc>
          <w:tcPr>
            <w:tcW w:w="12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Type of Contract</w:t>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Bbls Per Day</w:t>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Index</w:t>
            </w:r>
          </w:p>
        </w:tc>
        <w:tc>
          <w:tcPr>
            <w:tcW w:w="8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Strike Price</w:t>
            </w:r>
          </w:p>
        </w:tc>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Deferred Premium</w:t>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Floor Price</w:t>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Short Put Price</w:t>
            </w:r>
          </w:p>
        </w:tc>
      </w:tr>
      <w:tr>
        <w:trPr/>
        <w:tc>
          <w:tcPr>
            <w:tcW w:w="12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OIL</w:t>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20,000</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Brent</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$52.50</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$1.60</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290,000</w:t>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 Brent</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$(42.76)</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$1.52</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95,000</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$50.53</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$1.43</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190,000</w:t>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$52.57</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$1.30</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 Spread</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15,000</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$55.00</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10,000</w:t>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Brent</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$55.00</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$1.33</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Basis 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290,000</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 Brent</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$(41.03)</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$1.44</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$50.83</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$1.33</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170,000</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$50.59</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$1.28</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Mar.</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Brent</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$55.00</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$1.40</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Mar.</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35,000</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$1.29</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Mar.</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90,000</w:t>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$1.34</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20,000</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$1.33</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$1.33</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20,000</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$1.39</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bookmarkStart w:id="56" w:name="if09d5cd3a1a14c04a6d4cc3d3e776b69"/>
      <w:bookmarkEnd w:id="56"/>
      <w:r>
        <w:rPr>
          <w:rFonts w:ascii="Times New Roman;serif" w:hAnsi="Times New Roman;serif"/>
          <w:b/>
          <w:color w:val="000000"/>
          <w:sz w:val="20"/>
        </w:rPr>
        <w:t>Interest Rate Swaps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two receive-fixed, pay-variable interest rate swap agreements for notional amounts of $150 million each, which were considered economic hedges of the Company’s 3.500% fixed rate senior notes due 2029. During the first quarter of 2026, the Company fully terminated and settled the remaining aggregate $300 million notional amount of interest rate swaps for cash payments of approximately $27 million. The loss on the termination of interest rate swaps is recognized in the caption “Gain (loss) on derivative instruments, net” on the condensed consolidated statement of operations for the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57" w:name="i4d01f8eaca9d4b5ebe72f2cbc9550ed3"/>
      <w:bookmarkEnd w:id="57"/>
      <w:r>
        <w:rPr>
          <w:rFonts w:ascii="Times New Roman;serif" w:hAnsi="Times New Roman;serif"/>
          <w:b/>
          <w:color w:val="000000"/>
          <w:sz w:val="20"/>
        </w:rPr>
        <w:t>Balance Sheet Offsetting of Derivative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13—</w:t>
      </w:r>
      <w:hyperlink w:anchor="i72109fb793334acb85eafc0257cc53bf_79">
        <w:r>
          <w:rPr>
            <w:rStyle w:val="InternetLink"/>
            <w:rFonts w:ascii="Times New Roman;serif" w:hAnsi="Times New Roman;serif"/>
            <w:b w:val="false"/>
            <w:color w:val="0000FF"/>
            <w:sz w:val="20"/>
            <w:u w:val="single"/>
          </w:rPr>
          <w:t>Fair Value Measurements</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58" w:name="ic87b53450bff41a9938264c23d98bb09"/>
      <w:bookmarkEnd w:id="58"/>
      <w:r>
        <w:rPr>
          <w:rFonts w:ascii="Times New Roman;serif" w:hAnsi="Times New Roman;serif"/>
          <w:b/>
          <w:color w:val="000000"/>
          <w:sz w:val="20"/>
        </w:rPr>
        <w:t>Gains and Losses on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included in the condensed consolidated statements of operations:</w:t>
      </w:r>
    </w:p>
    <w:p>
      <w:pPr>
        <w:pStyle w:val="TextBody"/>
        <w:bidi w:val="0"/>
        <w:spacing w:before="0" w:after="0"/>
        <w:ind w:left="0" w:right="0" w:firstLine="720"/>
        <w:jc w:val="both"/>
        <w:rPr/>
      </w:pPr>
      <w:r>
        <w:rPr/>
      </w:r>
    </w:p>
    <w:tbl>
      <w:tblPr>
        <w:tblW w:w="8554" w:type="dxa"/>
        <w:jc w:val="left"/>
        <w:tblInd w:w="0" w:type="dxa"/>
        <w:tblLayout w:type="fixed"/>
        <w:tblCellMar>
          <w:top w:w="28" w:type="dxa"/>
          <w:left w:w="28" w:type="dxa"/>
          <w:bottom w:w="28" w:type="dxa"/>
          <w:right w:w="28" w:type="dxa"/>
        </w:tblCellMar>
      </w:tblPr>
      <w:tblGrid>
        <w:gridCol w:w="1270"/>
        <w:gridCol w:w="1118"/>
        <w:gridCol w:w="1121"/>
        <w:gridCol w:w="261"/>
        <w:gridCol w:w="577"/>
        <w:gridCol w:w="135"/>
        <w:gridCol w:w="135"/>
        <w:gridCol w:w="135"/>
        <w:gridCol w:w="135"/>
        <w:gridCol w:w="261"/>
        <w:gridCol w:w="670"/>
        <w:gridCol w:w="135"/>
        <w:gridCol w:w="109"/>
        <w:gridCol w:w="109"/>
        <w:gridCol w:w="109"/>
        <w:gridCol w:w="247"/>
        <w:gridCol w:w="546"/>
        <w:gridCol w:w="127"/>
        <w:gridCol w:w="127"/>
        <w:gridCol w:w="127"/>
        <w:gridCol w:w="127"/>
        <w:gridCol w:w="247"/>
        <w:gridCol w:w="546"/>
        <w:gridCol w:w="180"/>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Commodity contracts</w:t>
            </w:r>
            <w:r>
              <w:rPr>
                <w:rFonts w:ascii="Times New Roman;serif" w:hAnsi="Times New Roman;serif"/>
                <w:b w:val="false"/>
                <w:color w:val="000000"/>
                <w:sz w:val="13"/>
              </w:rPr>
              <w:t>(1)</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received (paid) on settlements:</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Commodity contracts</w:t>
            </w:r>
            <w:r>
              <w:rPr>
                <w:rFonts w:ascii="Times New Roman;serif" w:hAnsi="Times New Roman;serif"/>
                <w:b w:val="false"/>
                <w:color w:val="000000"/>
                <w:sz w:val="13"/>
              </w:rPr>
              <w:t>(1)</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three and six months ended June 30, 2026 include cash received on commodity contracts terminated prior to their contractual maturity of $1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9" w:name="i8b05df45c82e4df3872621f016421f0d"/>
      <w:bookmarkEnd w:id="59"/>
      <w:r>
        <w:rPr>
          <w:rFonts w:ascii="Times New Roman;serif" w:hAnsi="Times New Roman;serif"/>
          <w:b/>
          <w:color w:val="000000"/>
          <w:sz w:val="20"/>
        </w:rPr>
        <w:t>13.    FAIR VALUE MEASUREMENTS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60" w:name="icea3b7e0040a49d99b9e8bd40d54d178"/>
      <w:bookmarkEnd w:id="60"/>
      <w:r>
        <w:rPr>
          <w:rFonts w:ascii="Times New Roman;serif" w:hAnsi="Times New Roman;serif"/>
          <w:b/>
          <w:color w:val="000000"/>
          <w:sz w:val="20"/>
        </w:rPr>
        <w:t>Assets and Liabilities Measured at Fair Value on a 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discussed in </w:t>
      </w:r>
      <w:r>
        <w:fldChar w:fldCharType="begin"/>
      </w:r>
      <w:r>
        <w:rPr>
          <w:rStyle w:val="InternetLink"/>
          <w:sz w:val="20"/>
          <w:u w:val="single"/>
          <w:b w:val="false"/>
          <w:rFonts w:ascii="Times New Roman;serif" w:hAnsi="Times New Roman;serif"/>
          <w:color w:val="0000FF"/>
        </w:rPr>
        <w:instrText xml:space="preserve"> HYPERLINK "https://www.sec.gov/ix?doc=/Archives/edgar/data/1539838/000153983826000010/fang-20251231.htm" \l "i27ba2a247b584e1aae74c0210baff60c_190"</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Note 13—Fair Value Measurements in the Company’s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 certain financial instruments of the Company are reported at fair value in the Company’s condensed consolidated balance sheets in the captions indicated in the table below</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net amounts of derivative instruments, including prior outstanding interest rate swaps, are classified as current or noncurrent based on their anticipated settlement dates. Additionally, the Company has an immaterial investment in the Class A common stock of Verde Clean Fuels, Inc., which is reported at fair value using observable, quoted stock prices and is included in “Other assets” on the Company’s condensed consolidated balance sheets at June 30, 2026, and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LLC completed multiple acquisitions during 2024 with Tumbleweed Royalty IV, LLC, TWR IV SellCo Parent, LLC, Tumbleweed-Q Royalties, LLC, MC TWR Royalties, LP and MC TWR Intermediate, LLC. The terms of these acquisitions included provisions for contingent cash consideration based on the average price of WTI sweet crude oil prompt month futures contracts for the calendar year 2025 (the “2026 WTI Contingent Liability”), which resulted in an aggregate payment of $20 million in January 2026. The 2026 WTI Contingent Liability was reported at fair value in the condensed consolidated balance sheet at December 31, 2025 in the caption “Other accrued liabilities” using observable market data inputs and a Monte Carlo pricing model, which are considered Level 2 inputs within the fair value hierarchy.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following table provides the fair value of financial instruments recorded in the condensed consolidated balance sheets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 and December 31, 2025:</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837"/>
        <w:gridCol w:w="590"/>
        <w:gridCol w:w="596"/>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299"/>
        <w:gridCol w:w="661"/>
        <w:gridCol w:w="154"/>
        <w:gridCol w:w="109"/>
        <w:gridCol w:w="109"/>
        <w:gridCol w:w="109"/>
        <w:gridCol w:w="381"/>
        <w:gridCol w:w="954"/>
        <w:gridCol w:w="197"/>
        <w:gridCol w:w="109"/>
        <w:gridCol w:w="109"/>
        <w:gridCol w:w="109"/>
        <w:gridCol w:w="452"/>
        <w:gridCol w:w="872"/>
        <w:gridCol w:w="339"/>
      </w:tblGrid>
      <w:tr>
        <w:trPr/>
        <w:tc>
          <w:tcPr>
            <w:tcW w:w="83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 Prepaid expenses and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59 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85"/>
        <w:gridCol w:w="549"/>
        <w:gridCol w:w="555"/>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305"/>
        <w:gridCol w:w="675"/>
        <w:gridCol w:w="158"/>
        <w:gridCol w:w="109"/>
        <w:gridCol w:w="109"/>
        <w:gridCol w:w="109"/>
        <w:gridCol w:w="394"/>
        <w:gridCol w:w="988"/>
        <w:gridCol w:w="203"/>
        <w:gridCol w:w="109"/>
        <w:gridCol w:w="109"/>
        <w:gridCol w:w="109"/>
        <w:gridCol w:w="434"/>
        <w:gridCol w:w="961"/>
        <w:gridCol w:w="325"/>
      </w:tblGrid>
      <w:tr>
        <w:trPr/>
        <w:tc>
          <w:tcPr>
            <w:tcW w:w="7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accrued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2026 WTI Contingent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61" w:name="iec663afa1eeb463785aeea19549affbc"/>
      <w:bookmarkEnd w:id="61"/>
      <w:r>
        <w:rPr>
          <w:rFonts w:ascii="Times New Roman;serif" w:hAnsi="Times New Roman;serif"/>
          <w:b/>
          <w:color w:val="000000"/>
          <w:sz w:val="20"/>
        </w:rPr>
        <w:t>Assets and Liabilities Not Recorded at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ind w:left="0" w:right="0" w:firstLine="720"/>
        <w:jc w:val="both"/>
        <w:rPr/>
      </w:pPr>
      <w:r>
        <w:rPr/>
      </w:r>
    </w:p>
    <w:tbl>
      <w:tblPr>
        <w:tblW w:w="6227" w:type="dxa"/>
        <w:jc w:val="left"/>
        <w:tblInd w:w="0" w:type="dxa"/>
        <w:tblLayout w:type="fixed"/>
        <w:tblCellMar>
          <w:top w:w="28" w:type="dxa"/>
          <w:left w:w="28" w:type="dxa"/>
          <w:bottom w:w="28" w:type="dxa"/>
          <w:right w:w="28" w:type="dxa"/>
        </w:tblCellMar>
      </w:tblPr>
      <w:tblGrid>
        <w:gridCol w:w="185"/>
        <w:gridCol w:w="162"/>
        <w:gridCol w:w="164"/>
        <w:gridCol w:w="264"/>
        <w:gridCol w:w="904"/>
        <w:gridCol w:w="136"/>
        <w:gridCol w:w="109"/>
        <w:gridCol w:w="109"/>
        <w:gridCol w:w="109"/>
        <w:gridCol w:w="211"/>
        <w:gridCol w:w="721"/>
        <w:gridCol w:w="109"/>
        <w:gridCol w:w="109"/>
        <w:gridCol w:w="109"/>
        <w:gridCol w:w="109"/>
        <w:gridCol w:w="264"/>
        <w:gridCol w:w="904"/>
        <w:gridCol w:w="136"/>
        <w:gridCol w:w="109"/>
        <w:gridCol w:w="109"/>
        <w:gridCol w:w="109"/>
        <w:gridCol w:w="211"/>
        <w:gridCol w:w="721"/>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borrowings under the Revolving Credit Facility, the Viper Revolving Credit Facility, the 2025 Term Loan (prior to repayment and termination) and Viper 2025 Term Loan (prior to repayment and termination) approximate their carrying values based on borrowing rates available to the Company for bank loans with similar terms and maturities and are classified as Level 2 in the fair value hierarchy. The fair values of the outstanding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62" w:name="i8c268a98cf0f496b8ae307681012ec50"/>
      <w:bookmarkEnd w:id="62"/>
      <w:r>
        <w:rPr>
          <w:rFonts w:ascii="Times New Roman;serif" w:hAnsi="Times New Roman;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natural gas properties, equity method investments, asset retirement obligations and other long-lived assets that are written down to fair value when impaired or held for sale. Refer to Note 4—</w:t>
      </w:r>
      <w:hyperlink w:anchor="i72109fb793334acb85eafc0257cc53bf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and Note 5—</w:t>
      </w:r>
      <w:hyperlink w:anchor="i72109fb793334acb85eafc0257cc53bf_55">
        <w:r>
          <w:rPr>
            <w:rStyle w:val="InternetLink"/>
            <w:rFonts w:ascii="Times New Roman;serif" w:hAnsi="Times New Roman;serif"/>
            <w:b w:val="false"/>
            <w:color w:val="0000FF"/>
            <w:sz w:val="20"/>
            <w:u w:val="single"/>
          </w:rPr>
          <w:t>Property and Equipment</w:t>
        </w:r>
      </w:hyperlink>
      <w:r>
        <w:rPr>
          <w:color w:val="000000"/>
        </w:rPr>
        <w:t xml:space="preserve"> </w:t>
      </w:r>
      <w:r>
        <w:rPr>
          <w:rFonts w:ascii="Times New Roman;serif" w:hAnsi="Times New Roman;serif"/>
          <w:b w:val="false"/>
          <w:color w:val="000000"/>
          <w:sz w:val="20"/>
        </w:rPr>
        <w:t>for additional discussion of nonrecurring fair value adjustments.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63" w:name="i5a62339d2bf442d18f7e722d85f21e3f"/>
      <w:bookmarkEnd w:id="63"/>
      <w:r>
        <w:rPr>
          <w:rFonts w:ascii="Times New Roman;serif" w:hAnsi="Times New Roman;serif"/>
          <w:b/>
          <w:color w:val="000000"/>
          <w:sz w:val="20"/>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 of cash and cash equivalents, accounts receivable, prepaid expenses and other current assets, accounts payable and accrued capital expenditures and other accrued liabilities approximate their fair value because of the short-term nature of the instruments.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64" w:name="i0ab05b24cca64bf5afe3898d6ba57e64"/>
      <w:bookmarkEnd w:id="64"/>
      <w:r>
        <w:rPr>
          <w:rFonts w:ascii="Times New Roman;serif" w:hAnsi="Times New Roman;serif"/>
          <w:b/>
          <w:color w:val="000000"/>
          <w:sz w:val="20"/>
        </w:rPr>
        <w:t>14.    SUPPLEMENTAL INFORMATION TO STATEMENTS OF CASH FLOWS</w:t>
      </w:r>
    </w:p>
    <w:p>
      <w:pPr>
        <w:pStyle w:val="TextBody"/>
        <w:bidi w:val="0"/>
        <w:spacing w:before="0" w:after="0"/>
        <w:ind w:left="0" w:right="0" w:firstLine="720"/>
        <w:jc w:val="both"/>
        <w:rPr/>
      </w:pPr>
      <w:r>
        <w:rPr/>
      </w:r>
    </w:p>
    <w:tbl>
      <w:tblPr>
        <w:tblW w:w="9039" w:type="dxa"/>
        <w:jc w:val="left"/>
        <w:tblInd w:w="0" w:type="dxa"/>
        <w:tblLayout w:type="fixed"/>
        <w:tblCellMar>
          <w:top w:w="28" w:type="dxa"/>
          <w:left w:w="28" w:type="dxa"/>
          <w:bottom w:w="28" w:type="dxa"/>
          <w:right w:w="28" w:type="dxa"/>
        </w:tblCellMar>
      </w:tblPr>
      <w:tblGrid>
        <w:gridCol w:w="2436"/>
        <w:gridCol w:w="2136"/>
        <w:gridCol w:w="2148"/>
        <w:gridCol w:w="211"/>
        <w:gridCol w:w="616"/>
        <w:gridCol w:w="109"/>
        <w:gridCol w:w="109"/>
        <w:gridCol w:w="109"/>
        <w:gridCol w:w="109"/>
        <w:gridCol w:w="211"/>
        <w:gridCol w:w="691"/>
        <w:gridCol w:w="154"/>
      </w:tblGrid>
      <w:tr>
        <w:trPr/>
        <w:tc>
          <w:tcPr>
            <w:tcW w:w="243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paid</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received for income taxes, net of refunds: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transactions: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 included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for acquisitions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LLC Units issued for acquisition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of capitalized interest of $258 million and $290 million for the six months ended June 30, 2026 and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65" w:name="ic69019242efc4a4cb9886260d2e8fffb"/>
      <w:bookmarkEnd w:id="65"/>
      <w:r>
        <w:rPr>
          <w:rFonts w:ascii="Times New Roman;serif" w:hAnsi="Times New Roman;serif"/>
          <w:b/>
          <w:color w:val="000000"/>
          <w:sz w:val="20"/>
        </w:rPr>
        <w:t>15.    COMMITMENTS AND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accrued liabilities for contingencies related to outstanding legal proceedings, disputes or claims when information available indicates that a loss is probable and the amount of the loss can be reasonably estimated.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66" w:name="i46abffb86e0c4fe48d5a4b296249a0ff"/>
      <w:bookmarkEnd w:id="66"/>
      <w:r>
        <w:rPr>
          <w:rFonts w:ascii="Times New Roman;serif" w:hAnsi="Times New Roman;serif"/>
          <w:b/>
          <w:color w:val="000000"/>
          <w:sz w:val="20"/>
        </w:rPr>
        <w:t>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fixed price contract for the purchase of electrical power from 2028 through 2034 during the three and six months ended June 30, 2026. As a result, we expect to incur additional future electrical power costs of approximately $28 million in 2028, $132 million cumulatively in the years from 2029 through 2030, and $359 million cumulatively in the years between 2031 and 2034.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67" w:name="i3401e297c277492d9d9776a3ce8ed628"/>
      <w:bookmarkEnd w:id="67"/>
      <w:r>
        <w:rPr>
          <w:rFonts w:ascii="Times New Roman;serif" w:hAnsi="Times New Roman;serif"/>
          <w:b/>
          <w:color w:val="000000"/>
          <w:sz w:val="20"/>
        </w:rPr>
        <w:t>Environmental Matters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Several coastal Louisiana parishes and the State of Louisiana have filed numerous lawsuits under Louisiana’s State and Local Coastal Resources Management Act (“SLCRMA”) against numerous oil and gas producers seeking damages for coastal erosion in or near oil fields located within Louisiana’s coastal zone. The Company is a defendant in five of these cases. The Company has exercised contractual indemnification rights where applicable. Plaintiffs’ SLCRMA theories are unprecedented and there remains significant uncertainty about the claims (both as to scope and damages). Although the Company cannot predict the ultimate outcome of these matters, the Company believes the claims lack merit and intends to continue vigorously defending these lawsuits.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68" w:name="icf1ab62694234204bd689e073b60c93a"/>
      <w:bookmarkEnd w:id="68"/>
      <w:r>
        <w:rPr>
          <w:rFonts w:ascii="Times New Roman;serif" w:hAnsi="Times New Roman;serif"/>
          <w:b/>
          <w:color w:val="000000"/>
          <w:sz w:val="20"/>
        </w:rPr>
        <w:t>16.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69" w:name="i930a9f9426364dd2bb4b133df45e9580"/>
      <w:bookmarkEnd w:id="69"/>
      <w:r>
        <w:rPr>
          <w:rFonts w:ascii="Times New Roman;serif" w:hAnsi="Times New Roman;serif"/>
          <w:b/>
          <w:color w:val="000000"/>
          <w:sz w:val="20"/>
        </w:rPr>
        <w:t>Pending 2026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3, 2026, the Company and related subsidiaries entered into a definitive purchase agreement with Viper Energy Partners LP to divest certain mineral and royalty interests in exchange for 3.65 million Viper LLC Units and an equivalent number of shares of Viper’s Class B common stock (the pending “2026 Drop Down”), subject to transaction costs and certain customary post-closing adjustments. The pending 2026 Drop Down will be accounted for as a transaction between entities under common control with the acquired properties recorded at Diamondback’s historical carrying value in the Company’s condensed consolidated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70" w:name="i6201931d7ae44b33895c4c68100de714"/>
      <w:bookmarkEnd w:id="70"/>
      <w:r>
        <w:rPr>
          <w:rFonts w:ascii="Times New Roman;serif" w:hAnsi="Times New Roman;serif"/>
          <w:b/>
          <w:color w:val="000000"/>
          <w:sz w:val="20"/>
        </w:rPr>
        <w:t>Second Quarter 2026 Dividend Declaration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the board of directors of the Company declared a base cash dividend for the second quarter of 2026 of $1.10 per share of common stock, payable on August 20, 2026, to its stockholders of record at the close of business on August 13, 2026. Future dividends are at the discretion of the Company’s board of directors.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71" w:name="ieaf9539adb494c0a97b709b8413880d5"/>
      <w:bookmarkEnd w:id="71"/>
      <w:r>
        <w:rPr>
          <w:rFonts w:ascii="Times New Roman;serif" w:hAnsi="Times New Roman;serif"/>
          <w:b/>
          <w:color w:val="000000"/>
          <w:sz w:val="20"/>
        </w:rPr>
        <w:t>Increase in Stock Repurchase Program Authorization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the board of directors of the Company approved an increase in the stock repurchase authorization under the Company’s existing stock repurchase program from $8.0 billion to $16.0 billion, excluding excise tax. As of July 31, 2026, approximately $9.9 billion remains available for future repurchases under such stock repurchase program, excluding excise tax. The stock repurchase program has no time limit and may be suspended, modified, or discontinued by the board of directors at any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72" w:name="ib0677072d23243c89000863a83578918"/>
      <w:bookmarkEnd w:id="72"/>
      <w:r>
        <w:rPr>
          <w:rFonts w:ascii="Times New Roman;serif" w:hAnsi="Times New Roman;serif"/>
          <w:b/>
          <w:color w:val="000000"/>
          <w:sz w:val="20"/>
        </w:rPr>
        <w:t>Viper Riverbend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 2026, Viper and Viper Energy Partners LP acquired all of the equity interests of Riverbend Oil &amp; Gas IX, L.L.C., an entity owning certain mineral and royalty interests, from Riverbend Oil &amp; Gas IX (AIV), L.L.C. and ROG IX, L.L.C. (collectively, “Riverbend”) for consideration consisting of approximately (i) $339 million in cash, including the release of funds held in escrow of approximately $25 million, which was reflected in the caption “Other assets” on the Company’s condensed consolidated balance sheet at June 30, 2026, and (ii) 3.69 million shares of Viper’s Class A common stock, in each case, subject to customary post-closing adjustments (the “Viper Riverbend Acquisition”).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73" w:name="if1f37c6572884ae6abb7155af1a384a2"/>
      <w:bookmarkEnd w:id="73"/>
      <w:r>
        <w:rPr>
          <w:rFonts w:ascii="Times New Roman;serif" w:hAnsi="Times New Roman;serif"/>
          <w:b/>
          <w:color w:val="000000"/>
          <w:sz w:val="20"/>
        </w:rPr>
        <w:t>17.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is managed on a consolidated basis as one operating segment and one reportable segment, the upstream segment, which is engaged in the acquisition, development, exploration and exploitation of unconventional, onshore oil and natural gas reserves primarily in the Permian Basin in West Texas. This singular operating and reportable segment is comprised of (i) the Company and its wholly owned subsidiaries, and (ii) Viper and its consolidated subsidiaries, which have been aggregated due to the similarity in their economic characteristics, products and services, processes, type of customers, method of distribution for their products and the regulatory environment in which they operate. The upstream segment derives its revenue from customers through the sale of oil and natural gas products as well as other immaterial service contracts. See Note 3—</w:t>
      </w:r>
      <w:hyperlink w:anchor="i72109fb793334acb85eafc0257cc53bf_49">
        <w:r>
          <w:rPr>
            <w:rStyle w:val="InternetLink"/>
            <w:rFonts w:ascii="Times New Roman;serif" w:hAnsi="Times New Roman;serif"/>
            <w:b w:val="false"/>
            <w:color w:val="0000FF"/>
            <w:sz w:val="20"/>
            <w:u w:val="single"/>
          </w:rPr>
          <w:t>Revenue from Contracts with Customers</w:t>
        </w:r>
      </w:hyperlink>
      <w:r>
        <w:rPr>
          <w:color w:val="000000"/>
        </w:rPr>
        <w:t xml:space="preserve"> </w:t>
      </w:r>
      <w:r>
        <w:rPr>
          <w:rFonts w:ascii="Times New Roman;serif" w:hAnsi="Times New Roman;serif"/>
          <w:b w:val="false"/>
          <w:color w:val="000000"/>
          <w:sz w:val="20"/>
        </w:rPr>
        <w:t>for further discussion of the Company’s sources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(“CODM”), a senior executive committee that is comprised of the Company’s Chief Executive Officer, Chief Financial Officer and Chief Operating Officer, uses the Company’s condensed consolidated financial results to make key operating decisions, assess performance and to allocate resources. The measures of segment profit or loss and total assets utilized by the CODM are net income and total assets as reported on the condensed consolidated statements of operations and the condensed consolidated balance sheets, respectively. The significant expense categories, their amounts and other segment items that are regularly provided to the CODM are those that are reported in the Company’s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consolidated net income as a measure of profitability to evaluate segment performance and to make capital allocation decisions such as reinvestment in the business or return of capital through the payment of dividends under the dividend policy or repurchases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bookmarkStart w:id="74" w:name="i4602b345b38e489c9d4bac0cb6dd04e1"/>
      <w:bookmarkEnd w:id="74"/>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5">
        <w:r>
          <w:rPr>
            <w:rStyle w:val="InternetLink"/>
            <w:rFonts w:ascii="Times New Roman;serif" w:hAnsi="Times New Roman;serif"/>
            <w:b w:val="false"/>
            <w:i/>
            <w:color w:val="0000FF"/>
            <w:sz w:val="20"/>
            <w:u w:val="single"/>
          </w:rPr>
          <w:t>Annual Report on Form 10-K</w:t>
        </w:r>
      </w:hyperlink>
      <w:r>
        <w:rPr>
          <w:color w:val="000000"/>
        </w:rPr>
        <w:t xml:space="preserve"> </w:t>
      </w:r>
      <w:r>
        <w:rPr>
          <w:rFonts w:ascii="Times New Roman;serif" w:hAnsi="Times New Roman;serif"/>
          <w:b w:val="false"/>
          <w:i/>
          <w:color w:val="000000"/>
          <w:sz w:val="20"/>
        </w:rPr>
        <w:t xml:space="preserve">for the year ended December 31, 2025.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i72109fb793334acb85eafc0257cc53bf_163">
        <w:r>
          <w:rPr>
            <w:rStyle w:val="InternetLink"/>
            <w:rFonts w:ascii="Times New Roman;serif" w:hAnsi="Times New Roman;serif"/>
            <w:b w:val="false"/>
            <w:i/>
            <w:color w:val="0000FF"/>
            <w:sz w:val="20"/>
            <w:u w:val="single"/>
          </w:rPr>
          <w:t>Part II. Item 1A. Risk Factors</w:t>
        </w:r>
      </w:hyperlink>
      <w:r>
        <w:rPr>
          <w:rFonts w:ascii="Times New Roman;serif" w:hAnsi="Times New Roman;serif"/>
          <w:b w:val="false"/>
          <w:i/>
          <w:color w:val="000000"/>
          <w:sz w:val="20"/>
        </w:rPr>
        <w:t xml:space="preserve">, </w:t>
      </w:r>
      <w:r>
        <w:fldChar w:fldCharType="begin"/>
      </w:r>
      <w:r>
        <w:rPr>
          <w:rStyle w:val="InternetLink"/>
          <w:sz w:val="20"/>
          <w:i/>
          <w:u w:val="single"/>
          <w:b w:val="false"/>
          <w:rFonts w:ascii="Times New Roman;serif" w:hAnsi="Times New Roman;serif"/>
          <w:color w:val="0000FF"/>
        </w:rPr>
        <w:instrText xml:space="preserve"> HYPERLINK "https://www.sec.gov/ix?doc=/Archives/edgar/data/1539838/000153983826000010/fang-20251231.htm" \l "i27ba2a247b584e1aae74c0210baff60c_46"</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Part I. Item 1A. Risk Factors of our Annual Report on Form 10-K for the year ended December 31, 2025</w:t>
      </w:r>
      <w:r>
        <w:rPr>
          <w:rStyle w:val="InternetLink"/>
          <w:sz w:val="20"/>
          <w:i/>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i/>
          <w:color w:val="000000"/>
          <w:sz w:val="20"/>
        </w:rPr>
        <w:t xml:space="preserve">and </w:t>
      </w:r>
      <w:hyperlink w:anchor="i72109fb793334acb85eafc0257cc53bf_19">
        <w:r>
          <w:rPr>
            <w:rStyle w:val="InternetLink"/>
            <w:rFonts w:ascii="Times New Roman;serif" w:hAnsi="Times New Roman;serif"/>
            <w:b w:val="false"/>
            <w:i/>
            <w:color w:val="0000FF"/>
            <w:sz w:val="20"/>
            <w:u w:val="single"/>
          </w:rPr>
          <w:t>Cautionary Statement Regarding Forward-Looking Statements</w:t>
        </w:r>
      </w:hyperlink>
      <w:r>
        <w:rPr>
          <w:rFonts w:ascii="Times New Roman;serif" w:hAnsi="Times New Roman;serif"/>
          <w:b w:val="false"/>
          <w:i/>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75" w:name="i28b0e1e5908d4e74ac4f4c059cfee64a"/>
      <w:bookmarkEnd w:id="75"/>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an independent oil and natural gas company currently focused on the acquisition, development, exploration and exploitation of unconventional, onshore oil and natural gas reserves in the Permian Basin in West Texas. As discussed in Note 1—</w:t>
      </w:r>
      <w:hyperlink w:anchor="i72109fb793334acb85eafc0257cc53bf_43">
        <w:r>
          <w:rPr>
            <w:rStyle w:val="InternetLink"/>
            <w:rFonts w:ascii="Times New Roman;serif" w:hAnsi="Times New Roman;serif"/>
            <w:b w:val="false"/>
            <w:color w:val="0000FF"/>
            <w:sz w:val="20"/>
            <w:u w:val="single"/>
          </w:rPr>
          <w:t>Description of the Business and Basis of Presentation</w:t>
        </w:r>
      </w:hyperlink>
      <w:r>
        <w:rPr>
          <w:color w:val="000000"/>
        </w:rPr>
        <w:t xml:space="preserve"> </w:t>
      </w:r>
      <w:r>
        <w:rPr>
          <w:rFonts w:ascii="Times New Roman;serif" w:hAnsi="Times New Roman;serif"/>
          <w:b w:val="false"/>
          <w:color w:val="000000"/>
          <w:sz w:val="20"/>
        </w:rPr>
        <w:t>and Note 17—</w:t>
      </w:r>
      <w:hyperlink w:anchor="i72109fb793334acb85eafc0257cc53bf_91">
        <w:r>
          <w:rPr>
            <w:rStyle w:val="InternetLink"/>
            <w:rFonts w:ascii="Times New Roman;serif" w:hAnsi="Times New Roman;serif"/>
            <w:b w:val="false"/>
            <w:color w:val="0000FF"/>
            <w:sz w:val="20"/>
            <w:u w:val="single"/>
          </w:rPr>
          <w:t>Segment Information</w:t>
        </w:r>
      </w:hyperlink>
      <w:r>
        <w:rPr>
          <w:color w:val="000000"/>
        </w:rPr>
        <w:t xml:space="preserve"> </w:t>
      </w:r>
      <w:r>
        <w:rPr>
          <w:rFonts w:ascii="Times New Roman;serif" w:hAnsi="Times New Roman;serif"/>
          <w:b w:val="false"/>
          <w:color w:val="000000"/>
          <w:sz w:val="20"/>
        </w:rPr>
        <w:t>of the notes to the condensed consolidated financial statements, as of June 30, 2026, we have one reportable segment, the upstream segment.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76" w:name="i940661159e284523af01201f6f49b151"/>
      <w:bookmarkEnd w:id="76"/>
      <w:r>
        <w:rPr>
          <w:rFonts w:ascii="Times New Roman;serif" w:hAnsi="Times New Roman;serif"/>
          <w:b/>
          <w:i/>
          <w:color w:val="000000"/>
          <w:sz w:val="20"/>
        </w:rPr>
        <w:t>Second Quarter 2026 Financial and Operating Highlights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Recorded net income of $1.9 billion.</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cash operating costs were $10.96 per BOE, including lease operating expenses of $5.96 per BOE, cash general and administrative expenses of $0.52 per BOE, production and ad valorem taxes of $3.26 per BOE and gathering, processing and transportation expenses of $1.22 per BOE.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Incurred cash capital expenditures, excluding acquisitions, of $996 million.</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Paid dividends to stockholders, including dividend equivalent rights, of $311 million, or $1.10 per share, during the second quarter of 2026 and declared a base cash dividend payable in the third quarter of 2026 of $1.10 per share of common stock.</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Repurchased $141 million of our common stock, excluding excise taxes.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Retired approximately $828 million in aggregate principal of our senior notes and $550 million in outstanding borrowings on our 2025 Term Loan, which was terminated upon repayment.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average production was 1,017.7 MBOE/d, surpassing the 1.0 million BOE/d milestone.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Drilled 97 gross horizontal wells in the Midland Basin and turned 168 gross operated horizontal wells in the Midland Basin to production.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77" w:name="i1192c56941eb4e82b59ee57110b58930"/>
      <w:bookmarkEnd w:id="77"/>
      <w:r>
        <w:rPr>
          <w:rFonts w:ascii="Times New Roman;serif" w:hAnsi="Times New Roman;serif"/>
          <w:b/>
          <w:i/>
          <w:color w:val="000000"/>
          <w:sz w:val="20"/>
        </w:rPr>
        <w:t>Transactions and 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78" w:name="icdf90a78f3ae4630925c181442b41040"/>
      <w:bookmarkEnd w:id="78"/>
      <w:r>
        <w:rPr>
          <w:rFonts w:ascii="Times New Roman;serif" w:hAnsi="Times New Roman;serif"/>
          <w:b w:val="false"/>
          <w:i/>
          <w:color w:val="000000"/>
          <w:sz w:val="20"/>
        </w:rPr>
        <w:t>Pending 2026 Drop Down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3, 2026, we entered into a definitive purchase agreement with Viper Energy Partners LP to divest certain mineral and royalty interests in exchange for 3.65 million Viper LLC Units and an equivalent number of shares of Viper’s Class B common stock (the pending “2026 Drop Down”), subject to transaction costs and certain customary post-closing adjustments. The pending 2026 Drop Down will be accounted for as a transaction between entities under common control with the acquired properties recorded at Diamondback’s historical carrying value in the Company’s condensed consolidated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79" w:name="ia583dc145c4f4546ab68b86a00f82982"/>
      <w:bookmarkEnd w:id="79"/>
      <w:r>
        <w:rPr>
          <w:rFonts w:ascii="Times New Roman;serif" w:hAnsi="Times New Roman;serif"/>
          <w:b w:val="false"/>
          <w:i/>
          <w:color w:val="000000"/>
          <w:sz w:val="20"/>
        </w:rPr>
        <w:t>Increase in Stock Repurchase Program Authorization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our board of directors approved an increase in stock repurchase authorization under the Company’s existing stock repurchase program from $8.0 billion to $16.0 billion, excluding excise tax.</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bookmarkStart w:id="80" w:name="ie1f17c1d85794fe5ba2ac8096886cbc2"/>
      <w:bookmarkEnd w:id="80"/>
      <w:r>
        <w:rPr>
          <w:rFonts w:ascii="Times New Roman;serif" w:hAnsi="Times New Roman;serif"/>
          <w:b w:val="false"/>
          <w:i/>
          <w:color w:val="000000"/>
          <w:sz w:val="20"/>
        </w:rPr>
        <w:t>Viper Riverbend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 2026, Viper and Viper Energy Partners LP acquired all of the equity interests of Riverbend for consideration consisting of approximately (i) $339 million in cash and (ii) 3.69 million shares of Viper’s Class A common stock, in each case, subject to customary post-closing adjustments.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81" w:name="i6864a045c48f4487a5128478d70963fe"/>
      <w:bookmarkEnd w:id="81"/>
      <w:r>
        <w:rPr>
          <w:rFonts w:ascii="Times New Roman;serif" w:hAnsi="Times New Roman;serif"/>
          <w:b/>
          <w:i/>
          <w:color w:val="000000"/>
          <w:sz w:val="20"/>
        </w:rPr>
        <w:t>Commodity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Prices for oil, natural gas and natural gas liquids are determined primarily by prevailing market conditions. Geopolitical global conflicts, tariffs or other trade barriers and any resulting trade tensions, regional and worldwide economic activity, changes in trade or other government policies or regulations, including with respect to U.S. energy and monetary policies, extreme weather conditions, changes in OPEC+ production levels and other substantially variable factors influence market conditions for these products. For example, as a result of the ongoing conflict in the Middle East, in 2026 the global crude oil market shifted from a supply-demand surplus to a deficit, materially reducing crude oil and refined products from the markets, and increasing benchmark crude oil prices. These factors are beyond our control and are difficult to predict. During the six months ended June 30, 2026 and 2025, WTI prices averaged $83.00 and $70.81 per Bbl, respectively, and Henry Hub prices averaged $3.20 and $3.69 per MMBtu,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natural gas price realizations were adversely affected by widening basis differentials between natural gas prices at Waha Hub and prices at Henry Hub. The unfavorable differentials were primarily driven by regional natural gas takeaway constraints in the Permian Basin, which resulted in periods of negative pricing at Waha Hub. The Company expects the impact of these constraints to be reduced later in 2026 as its secured takeaway capacity is meaningfully increased through the execution of new contracts and expanded infrastructure build out in the region. However, realized prices are expected to continue to be influenced by, and subject to, future supply, demand, transportation availability and other market factors.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bookmarkStart w:id="82" w:name="i4aa4f12fc8a649b88c26d20d1cddd7b1"/>
      <w:bookmarkEnd w:id="82"/>
      <w:r>
        <w:rPr>
          <w:rFonts w:ascii="Times New Roman;serif" w:hAnsi="Times New Roman;serif"/>
          <w:b/>
          <w:i/>
          <w:color w:val="000000"/>
          <w:sz w:val="20"/>
        </w:rPr>
        <w:t>Upstream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activities are primarily directed at the horizontal development of the Wolfcamp, Spraberry and Barnett formations in the Midland Basin and the Wolfcamp and Bone Spring formations in the Delaware Basin within the Permian Basin. Additionally, our publicly-traded subsidiary, Viper, is focused on owning and acquiring mineral interests and royalty interests in oil and natural gas properties primarily in the Permian Basin and derives royalty income and lease bonus income from such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approximately 902,005 net acres in the Permian Basin, which included approximately 808,401 net acres in the Midland Basin and 93,604 net acres in the Delaware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number of operated horizontal wells drilled and completed during the periods indicated:</w:t>
      </w:r>
    </w:p>
    <w:p>
      <w:pPr>
        <w:pStyle w:val="TextBody"/>
        <w:bidi w:val="0"/>
        <w:spacing w:before="0" w:after="0"/>
        <w:ind w:left="0" w:right="0" w:firstLine="720"/>
        <w:jc w:val="both"/>
        <w:rPr/>
      </w:pPr>
      <w:r>
        <w:rPr/>
      </w:r>
    </w:p>
    <w:tbl>
      <w:tblPr>
        <w:tblW w:w="8835" w:type="dxa"/>
        <w:jc w:val="left"/>
        <w:tblInd w:w="0" w:type="dxa"/>
        <w:tblLayout w:type="fixed"/>
        <w:tblCellMar>
          <w:top w:w="28" w:type="dxa"/>
          <w:left w:w="28" w:type="dxa"/>
          <w:bottom w:w="28" w:type="dxa"/>
          <w:right w:w="28" w:type="dxa"/>
        </w:tblCellMar>
      </w:tblPr>
      <w:tblGrid>
        <w:gridCol w:w="481"/>
        <w:gridCol w:w="425"/>
        <w:gridCol w:w="428"/>
        <w:gridCol w:w="185"/>
        <w:gridCol w:w="185"/>
        <w:gridCol w:w="186"/>
        <w:gridCol w:w="135"/>
        <w:gridCol w:w="135"/>
        <w:gridCol w:w="135"/>
        <w:gridCol w:w="182"/>
        <w:gridCol w:w="179"/>
        <w:gridCol w:w="135"/>
        <w:gridCol w:w="135"/>
        <w:gridCol w:w="135"/>
        <w:gridCol w:w="135"/>
        <w:gridCol w:w="243"/>
        <w:gridCol w:w="223"/>
        <w:gridCol w:w="181"/>
        <w:gridCol w:w="135"/>
        <w:gridCol w:w="135"/>
        <w:gridCol w:w="135"/>
        <w:gridCol w:w="235"/>
        <w:gridCol w:w="231"/>
        <w:gridCol w:w="135"/>
        <w:gridCol w:w="109"/>
        <w:gridCol w:w="109"/>
        <w:gridCol w:w="109"/>
        <w:gridCol w:w="233"/>
        <w:gridCol w:w="233"/>
        <w:gridCol w:w="186"/>
        <w:gridCol w:w="125"/>
        <w:gridCol w:w="125"/>
        <w:gridCol w:w="125"/>
        <w:gridCol w:w="233"/>
        <w:gridCol w:w="233"/>
        <w:gridCol w:w="126"/>
        <w:gridCol w:w="125"/>
        <w:gridCol w:w="125"/>
        <w:gridCol w:w="125"/>
        <w:gridCol w:w="243"/>
        <w:gridCol w:w="223"/>
        <w:gridCol w:w="181"/>
        <w:gridCol w:w="125"/>
        <w:gridCol w:w="125"/>
        <w:gridCol w:w="125"/>
        <w:gridCol w:w="233"/>
        <w:gridCol w:w="233"/>
        <w:gridCol w:w="177"/>
      </w:tblGrid>
      <w:tr>
        <w:trPr/>
        <w:tc>
          <w:tcPr>
            <w:tcW w:w="48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Drilled</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Completed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Drilled</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Completed</w:t>
            </w:r>
            <w:r>
              <w:rPr>
                <w:rFonts w:ascii="Times New Roman;serif" w:hAnsi="Times New Roman;serif"/>
                <w:b/>
                <w:color w:val="000000"/>
                <w:sz w:val="12"/>
              </w:rPr>
              <w:t>(2)</w:t>
            </w:r>
          </w:p>
        </w:tc>
      </w:tr>
      <w:tr>
        <w:trPr/>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Area:</w:t>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Midland Basin</w:t>
            </w:r>
          </w:p>
        </w:tc>
        <w:tc>
          <w:tcPr>
            <w:tcW w:w="3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average lateral length for the wells completed during the second quarter of 2026 was 11,983 feet. Operated completions during the second quarter of 2026 consisted of 41 Wolfcamp B wells, 38 Wolfcamp A wells, 31 Jo Mill wells, 31 Lower Spraberry wells, 13 Middle Spraberry wells, seven Wolfcamp D wells, five Dean wells, one Barnett well and one Upper Spraberry well.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average lateral length for the wells completed during the six months ended June 30, 2026 was 11,679 feet. Operated completions during the six months ended June 30, 2026 consisted of 71 Wolfcamp B wells, 69 Wolfcamp A wells, 63 Lower Spraberry wells, 62 Jo Mill wells, 20 Middle Spraberry wells, 15 Wolfcamp D wells, 11 Dean wells, three Upper Spraberry wells and one Barnett well.</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operated the following wells:</w:t>
      </w:r>
    </w:p>
    <w:p>
      <w:pPr>
        <w:pStyle w:val="TextBody"/>
        <w:bidi w:val="0"/>
        <w:spacing w:before="0" w:after="0"/>
        <w:ind w:left="0" w:right="0" w:firstLine="720"/>
        <w:jc w:val="both"/>
        <w:rPr/>
      </w:pPr>
      <w:r>
        <w:rPr/>
      </w:r>
    </w:p>
    <w:tbl>
      <w:tblPr>
        <w:tblW w:w="8026" w:type="dxa"/>
        <w:jc w:val="left"/>
        <w:tblInd w:w="0" w:type="dxa"/>
        <w:tblLayout w:type="fixed"/>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60"/>
        <w:gridCol w:w="361"/>
        <w:gridCol w:w="186"/>
        <w:gridCol w:w="109"/>
        <w:gridCol w:w="109"/>
        <w:gridCol w:w="109"/>
        <w:gridCol w:w="308"/>
        <w:gridCol w:w="308"/>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Vertical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Horizontal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Area:</w:t>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Midland Basin</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5,179 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9,547 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10,040 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9,478 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and Viper held interests in 44,314 gross (9,810 net) wells, including 1,909 gross (331 net) wells in which we have a non-operated working interest.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83" w:name="i72651a99bfd84b2d9dc32b41793d7da0"/>
      <w:bookmarkEnd w:id="83"/>
      <w:r>
        <w:rPr>
          <w:rFonts w:ascii="Times New Roman;serif" w:hAnsi="Times New Roman;serif"/>
          <w:b/>
          <w:i/>
          <w:color w:val="000000"/>
          <w:sz w:val="20"/>
        </w:rPr>
        <w:t>Outlook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increased our annual production guidance by 3% to approximately 1,000 MBOE/d based on our assessment of current market fundamentals, including global oil supply constraints that began in the first quarter of 2026 and their continuing impact on crude oil inventory levels. We expect to achieve this increase in part by continuing to convert portions of our drilled but uncompleted well balance and building upon our improved operational efficiencies.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84" w:name="i28c75022ba8345a2b81779a34095186b"/>
      <w:bookmarkEnd w:id="84"/>
      <w:r>
        <w:rPr>
          <w:rFonts w:ascii="Times New Roman;serif" w:hAnsi="Times New Roman;serif"/>
          <w:b/>
          <w:color w:val="000000"/>
          <w:sz w:val="20"/>
        </w:rPr>
        <w:t>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85" w:name="i44e380c4a45f49f59e539dec112c589a"/>
      <w:bookmarkEnd w:id="85"/>
      <w:r>
        <w:rPr>
          <w:rFonts w:ascii="Times New Roman;serif" w:hAnsi="Times New Roman;serif"/>
          <w:b/>
          <w:i/>
          <w:color w:val="000000"/>
          <w:sz w:val="20"/>
        </w:rPr>
        <w:t>Comparison of the Three Months Ended June 30, 2026, and March 31,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noted in “</w:t>
      </w:r>
      <w:r>
        <w:rPr>
          <w:color w:val="000000"/>
        </w:rPr>
        <w:t>—</w:t>
      </w:r>
      <w:hyperlink w:anchor="i72109fb793334acb85eafc0257cc53bf_106">
        <w:r>
          <w:rPr>
            <w:rStyle w:val="InternetLink"/>
            <w:rFonts w:ascii="Times New Roman;serif" w:hAnsi="Times New Roman;serif"/>
            <w:b w:val="false"/>
            <w:i/>
            <w:color w:val="0000FF"/>
            <w:sz w:val="20"/>
            <w:u w:val="single"/>
          </w:rPr>
          <w:t>Commodity Prices</w:t>
        </w:r>
      </w:hyperlink>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operating data for the periods indicated:</w:t>
      </w:r>
    </w:p>
    <w:p>
      <w:pPr>
        <w:pStyle w:val="TextBody"/>
        <w:bidi w:val="0"/>
        <w:spacing w:before="0" w:after="0"/>
        <w:ind w:left="0" w:right="0" w:firstLine="720"/>
        <w:jc w:val="both"/>
        <w:rPr/>
      </w:pPr>
      <w:r>
        <w:rPr/>
      </w:r>
    </w:p>
    <w:tbl>
      <w:tblPr>
        <w:tblW w:w="7195" w:type="dxa"/>
        <w:jc w:val="left"/>
        <w:tblInd w:w="0" w:type="dxa"/>
        <w:tblLayout w:type="fixed"/>
        <w:tblCellMar>
          <w:top w:w="28" w:type="dxa"/>
          <w:left w:w="28" w:type="dxa"/>
          <w:bottom w:w="28" w:type="dxa"/>
          <w:right w:w="28" w:type="dxa"/>
        </w:tblCellMar>
      </w:tblPr>
      <w:tblGrid>
        <w:gridCol w:w="1587"/>
        <w:gridCol w:w="1391"/>
        <w:gridCol w:w="1402"/>
        <w:gridCol w:w="260"/>
        <w:gridCol w:w="760"/>
        <w:gridCol w:w="134"/>
        <w:gridCol w:w="109"/>
        <w:gridCol w:w="109"/>
        <w:gridCol w:w="109"/>
        <w:gridCol w:w="287"/>
        <w:gridCol w:w="838"/>
        <w:gridCol w:w="209"/>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 (In millions):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natural gas and natural gas liquid revenues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118,402 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88,142 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oil volumes (BO/d)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520,989 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combined volumes (BOE/d)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1,017,659 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979,356 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Prices: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(2)</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(2)</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(2)</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(2)</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Data. </w:t>
      </w:r>
      <w:r>
        <w:rPr>
          <w:rFonts w:ascii="Times New Roman;serif" w:hAnsi="Times New Roman;serif"/>
          <w:b w:val="false"/>
          <w:color w:val="000000"/>
          <w:sz w:val="20"/>
        </w:rPr>
        <w:t>Substantially all of our revenues are generated through the sale of oil, natural gas and natural gas liquids production. The following tables provide information on the mix of our production for the periods indicated:</w:t>
      </w:r>
    </w:p>
    <w:p>
      <w:pPr>
        <w:pStyle w:val="TextBody"/>
        <w:bidi w:val="0"/>
        <w:spacing w:before="0" w:after="0"/>
        <w:ind w:left="0" w:right="0" w:firstLine="720"/>
        <w:jc w:val="both"/>
        <w:rPr/>
      </w:pPr>
      <w:r>
        <w:rPr/>
      </w:r>
    </w:p>
    <w:tbl>
      <w:tblPr>
        <w:tblW w:w="5295" w:type="dxa"/>
        <w:jc w:val="left"/>
        <w:tblInd w:w="0" w:type="dxa"/>
        <w:tblLayout w:type="fixed"/>
        <w:tblCellMar>
          <w:top w:w="28" w:type="dxa"/>
          <w:left w:w="28" w:type="dxa"/>
          <w:bottom w:w="28" w:type="dxa"/>
          <w:right w:w="28" w:type="dxa"/>
        </w:tblCellMar>
      </w:tblPr>
      <w:tblGrid>
        <w:gridCol w:w="857"/>
        <w:gridCol w:w="753"/>
        <w:gridCol w:w="760"/>
        <w:gridCol w:w="257"/>
        <w:gridCol w:w="257"/>
        <w:gridCol w:w="641"/>
        <w:gridCol w:w="145"/>
        <w:gridCol w:w="145"/>
        <w:gridCol w:w="145"/>
        <w:gridCol w:w="272"/>
        <w:gridCol w:w="272"/>
        <w:gridCol w:w="791"/>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5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tbl>
      <w:tblPr>
        <w:tblW w:w="10932" w:type="dxa"/>
        <w:jc w:val="left"/>
        <w:tblInd w:w="0" w:type="dxa"/>
        <w:tblLayout w:type="fixed"/>
        <w:tblCellMar>
          <w:top w:w="28" w:type="dxa"/>
          <w:left w:w="28" w:type="dxa"/>
          <w:bottom w:w="28" w:type="dxa"/>
          <w:right w:w="28" w:type="dxa"/>
        </w:tblCellMar>
      </w:tblPr>
      <w:tblGrid>
        <w:gridCol w:w="353"/>
        <w:gridCol w:w="311"/>
        <w:gridCol w:w="312"/>
        <w:gridCol w:w="414"/>
        <w:gridCol w:w="412"/>
        <w:gridCol w:w="256"/>
        <w:gridCol w:w="109"/>
        <w:gridCol w:w="109"/>
        <w:gridCol w:w="109"/>
        <w:gridCol w:w="434"/>
        <w:gridCol w:w="287"/>
        <w:gridCol w:w="276"/>
        <w:gridCol w:w="109"/>
        <w:gridCol w:w="109"/>
        <w:gridCol w:w="109"/>
        <w:gridCol w:w="233"/>
        <w:gridCol w:w="233"/>
        <w:gridCol w:w="186"/>
        <w:gridCol w:w="109"/>
        <w:gridCol w:w="109"/>
        <w:gridCol w:w="109"/>
        <w:gridCol w:w="412"/>
        <w:gridCol w:w="414"/>
        <w:gridCol w:w="171"/>
        <w:gridCol w:w="109"/>
        <w:gridCol w:w="109"/>
        <w:gridCol w:w="109"/>
        <w:gridCol w:w="414"/>
        <w:gridCol w:w="412"/>
        <w:gridCol w:w="256"/>
        <w:gridCol w:w="109"/>
        <w:gridCol w:w="109"/>
        <w:gridCol w:w="109"/>
        <w:gridCol w:w="434"/>
        <w:gridCol w:w="287"/>
        <w:gridCol w:w="276"/>
        <w:gridCol w:w="109"/>
        <w:gridCol w:w="109"/>
        <w:gridCol w:w="109"/>
        <w:gridCol w:w="308"/>
        <w:gridCol w:w="308"/>
        <w:gridCol w:w="186"/>
        <w:gridCol w:w="109"/>
        <w:gridCol w:w="109"/>
        <w:gridCol w:w="109"/>
        <w:gridCol w:w="412"/>
        <w:gridCol w:w="414"/>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118,402 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(MBOE)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88,142 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Oil, Natural Gas and Natural Gas Liquids Revenues.</w:t>
      </w:r>
      <w:r>
        <w:rPr>
          <w:color w:val="000000"/>
        </w:rPr>
        <w:t xml:space="preserve"> </w:t>
      </w:r>
      <w:r>
        <w:rPr>
          <w:rFonts w:ascii="Times New Roman;serif" w:hAnsi="Times New Roman;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oil, natural gas and natural gas liquids revenues for the second quarter of 2026 increased by $961 million to $4.8 billion compared to the first quarter of 2026. The increase consisted of an additional $861 million attributable largely to higher average prices received for our oil production and an additional $100 million attributable to higher oil and natural gas production volumes during the second quarter of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Net Sales of Purchased Oil</w:t>
      </w:r>
      <w:r>
        <w:rPr>
          <w:rFonts w:ascii="Times New Roman;serif" w:hAnsi="Times New Roman;serif"/>
          <w:b w:val="false"/>
          <w:color w:val="000000"/>
          <w:sz w:val="20"/>
        </w:rPr>
        <w:t>. We enter into purchase transactions and separate sales transactions with third parties to satisfy certain of our unused oil pipeline capacity commitments. The following table presents the net sales of purchased oil from third parties for the periods indicated:</w:t>
      </w:r>
    </w:p>
    <w:p>
      <w:pPr>
        <w:pStyle w:val="TextBody"/>
        <w:bidi w:val="0"/>
        <w:spacing w:before="0" w:after="0"/>
        <w:ind w:left="0" w:right="0" w:firstLine="720"/>
        <w:jc w:val="both"/>
        <w:rPr/>
      </w:pPr>
      <w:r>
        <w:rPr/>
      </w:r>
    </w:p>
    <w:tbl>
      <w:tblPr>
        <w:tblW w:w="5622" w:type="dxa"/>
        <w:jc w:val="left"/>
        <w:tblInd w:w="0" w:type="dxa"/>
        <w:tblLayout w:type="fixed"/>
        <w:tblCellMar>
          <w:top w:w="28" w:type="dxa"/>
          <w:left w:w="28" w:type="dxa"/>
          <w:bottom w:w="28" w:type="dxa"/>
          <w:right w:w="28" w:type="dxa"/>
        </w:tblCellMar>
      </w:tblPr>
      <w:tblGrid>
        <w:gridCol w:w="1016"/>
        <w:gridCol w:w="890"/>
        <w:gridCol w:w="899"/>
        <w:gridCol w:w="310"/>
        <w:gridCol w:w="685"/>
        <w:gridCol w:w="160"/>
        <w:gridCol w:w="109"/>
        <w:gridCol w:w="109"/>
        <w:gridCol w:w="109"/>
        <w:gridCol w:w="339"/>
        <w:gridCol w:w="749"/>
        <w:gridCol w:w="247"/>
      </w:tblGrid>
      <w:tr>
        <w:trPr/>
        <w:tc>
          <w:tcPr>
            <w:tcW w:w="101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oil</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oil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purchased oil sales (expense)</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Revenues.</w:t>
      </w:r>
      <w:r>
        <w:rPr>
          <w:color w:val="000000"/>
        </w:rPr>
        <w:t xml:space="preserve"> </w:t>
      </w:r>
      <w:r>
        <w:rPr>
          <w:rFonts w:ascii="Times New Roman;serif" w:hAnsi="Times New Roman;serif"/>
          <w:b w:val="false"/>
          <w:color w:val="000000"/>
          <w:sz w:val="20"/>
        </w:rPr>
        <w:t>The following table presents other insignificant revenue for the periods indicated:</w:t>
      </w:r>
    </w:p>
    <w:p>
      <w:pPr>
        <w:pStyle w:val="TextBody"/>
        <w:bidi w:val="0"/>
        <w:spacing w:before="0" w:after="0"/>
        <w:ind w:left="0" w:right="0" w:firstLine="720"/>
        <w:jc w:val="both"/>
        <w:rPr/>
      </w:pPr>
      <w:r>
        <w:rPr/>
      </w:r>
    </w:p>
    <w:tbl>
      <w:tblPr>
        <w:tblW w:w="4869" w:type="dxa"/>
        <w:jc w:val="left"/>
        <w:tblInd w:w="0" w:type="dxa"/>
        <w:tblLayout w:type="fixed"/>
        <w:tblCellMar>
          <w:top w:w="28" w:type="dxa"/>
          <w:left w:w="28" w:type="dxa"/>
          <w:bottom w:w="28" w:type="dxa"/>
          <w:right w:w="28" w:type="dxa"/>
        </w:tblCellMar>
      </w:tblPr>
      <w:tblGrid>
        <w:gridCol w:w="738"/>
        <w:gridCol w:w="648"/>
        <w:gridCol w:w="654"/>
        <w:gridCol w:w="358"/>
        <w:gridCol w:w="612"/>
        <w:gridCol w:w="185"/>
        <w:gridCol w:w="113"/>
        <w:gridCol w:w="113"/>
        <w:gridCol w:w="113"/>
        <w:gridCol w:w="389"/>
        <w:gridCol w:w="664"/>
        <w:gridCol w:w="282"/>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Lease Operating Expenses.</w:t>
      </w:r>
      <w:r>
        <w:rPr>
          <w:color w:val="000000"/>
        </w:rPr>
        <w:t xml:space="preserve"> </w:t>
      </w:r>
      <w:r>
        <w:rPr>
          <w:rFonts w:ascii="Times New Roman;serif" w:hAnsi="Times New Roman;serif"/>
          <w:b w:val="false"/>
          <w:color w:val="000000"/>
          <w:sz w:val="20"/>
        </w:rPr>
        <w:t>The following table shows lease operating expenses for the periods indicated:</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operating expenses increased for the second quarter of 2026 compared to the first quarter of 2026 primarily due to higher production volumes, which was largely offset by the benefit of the Company’s cost discipline initiatives and other individually insignificant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Production and Ad Valorem Tax Expense.</w:t>
      </w:r>
      <w:r>
        <w:rPr>
          <w:color w:val="000000"/>
        </w:rPr>
        <w:t xml:space="preserve"> </w:t>
      </w:r>
      <w:r>
        <w:rPr>
          <w:rFonts w:ascii="Times New Roman;serif" w:hAnsi="Times New Roman;serif"/>
          <w:b w:val="false"/>
          <w:color w:val="000000"/>
          <w:sz w:val="20"/>
        </w:rPr>
        <w:t>The following table shows production and ad valorem tax expense for the periods indicated: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Production taxes as a percentage of oil, natural gas and natural gas liquids revenue remained consistent from the first quarter of 2026 to the second quarter of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 valorem taxes are based, among other factors, on property values driven by prior year commodity prices. Ad valorem taxes as a percentage of oil, natural gas and natural gas liquids revenue decreased in the second quarter of 2026 due primarily to current valuations reflecting lower 2025 commodity prices.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Gathering, Processing and Transportation Expense.</w:t>
      </w:r>
      <w:r>
        <w:rPr>
          <w:color w:val="000000"/>
        </w:rPr>
        <w:t xml:space="preserve"> </w:t>
      </w:r>
      <w:r>
        <w:rPr>
          <w:rFonts w:ascii="Times New Roman;serif" w:hAnsi="Times New Roman;serif"/>
          <w:b w:val="false"/>
          <w:color w:val="000000"/>
          <w:sz w:val="20"/>
        </w:rPr>
        <w:t>The following table shows gathering, processing and transportation expenses for the periods indicated:</w:t>
      </w:r>
    </w:p>
    <w:p>
      <w:pPr>
        <w:pStyle w:val="TextBody"/>
        <w:bidi w:val="0"/>
        <w:spacing w:before="0" w:after="0"/>
        <w:ind w:left="0" w:right="0" w:firstLine="720"/>
        <w:jc w:val="both"/>
        <w:rPr/>
      </w:pPr>
      <w:r>
        <w:rPr/>
      </w:r>
    </w:p>
    <w:tbl>
      <w:tblPr>
        <w:tblW w:w="7680"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Depreciation, Depletion, Amortization and Accretion.</w:t>
      </w:r>
      <w:r>
        <w:rPr>
          <w:color w:val="000000"/>
        </w:rPr>
        <w:t xml:space="preserve"> </w:t>
      </w:r>
      <w:r>
        <w:rPr>
          <w:rFonts w:ascii="Times New Roman;serif" w:hAnsi="Times New Roman;serif"/>
          <w:b w:val="false"/>
          <w:color w:val="000000"/>
          <w:sz w:val="20"/>
        </w:rPr>
        <w:t>The following table provides the components of our depreciation, depletion, amortization and accretion expense for the periods indicated:</w:t>
      </w:r>
    </w:p>
    <w:p>
      <w:pPr>
        <w:pStyle w:val="TextBody"/>
        <w:bidi w:val="0"/>
        <w:spacing w:before="0" w:after="0"/>
        <w:ind w:left="0" w:right="0" w:firstLine="720"/>
        <w:jc w:val="both"/>
        <w:rPr/>
      </w:pPr>
      <w:r>
        <w:rPr/>
      </w:r>
    </w:p>
    <w:tbl>
      <w:tblPr>
        <w:tblW w:w="8080" w:type="dxa"/>
        <w:jc w:val="left"/>
        <w:tblInd w:w="0" w:type="dxa"/>
        <w:tblLayout w:type="fixed"/>
        <w:tblCellMar>
          <w:top w:w="28" w:type="dxa"/>
          <w:left w:w="28" w:type="dxa"/>
          <w:bottom w:w="28" w:type="dxa"/>
          <w:right w:w="28" w:type="dxa"/>
        </w:tblCellMar>
      </w:tblPr>
      <w:tblGrid>
        <w:gridCol w:w="1905"/>
        <w:gridCol w:w="1673"/>
        <w:gridCol w:w="1687"/>
        <w:gridCol w:w="260"/>
        <w:gridCol w:w="760"/>
        <w:gridCol w:w="134"/>
        <w:gridCol w:w="109"/>
        <w:gridCol w:w="109"/>
        <w:gridCol w:w="109"/>
        <w:gridCol w:w="287"/>
        <w:gridCol w:w="838"/>
        <w:gridCol w:w="209"/>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BOE amounts)</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of proved oil and natural gas properties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other property and equipment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accretion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depletion rate per BOE</w:t>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2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 per BOE</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depletion of proved oil and natural gas properties of $25 million for the second quarter of 2026 as compared to the first quarter of 2026 consists of an $89 million reduction attributable to the decline in depletion rate following the ceiling test impairment recorded in the first quarter of 2026, partially offset by a $64 million increase due to higher quarterly production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Impairment of Oil and Natural Gas Properties.</w:t>
      </w:r>
      <w:r>
        <w:rPr>
          <w:color w:val="000000"/>
        </w:rPr>
        <w:t xml:space="preserve"> </w:t>
      </w:r>
      <w:r>
        <w:rPr>
          <w:rFonts w:ascii="Times New Roman;serif" w:hAnsi="Times New Roman;serif"/>
          <w:b w:val="false"/>
          <w:color w:val="000000"/>
          <w:sz w:val="20"/>
        </w:rPr>
        <w:t>The following table shows impairment of oil and natural gas properties for the periods indicated:</w:t>
      </w:r>
    </w:p>
    <w:p>
      <w:pPr>
        <w:pStyle w:val="TextBody"/>
        <w:bidi w:val="0"/>
        <w:spacing w:before="0" w:after="0"/>
        <w:ind w:left="0" w:right="0" w:firstLine="720"/>
        <w:jc w:val="both"/>
        <w:rPr/>
      </w:pPr>
      <w:r>
        <w:rPr/>
      </w:r>
    </w:p>
    <w:tbl>
      <w:tblPr>
        <w:tblW w:w="6474" w:type="dxa"/>
        <w:jc w:val="left"/>
        <w:tblInd w:w="0" w:type="dxa"/>
        <w:tblLayout w:type="fixed"/>
        <w:tblCellMar>
          <w:top w:w="28" w:type="dxa"/>
          <w:left w:w="28" w:type="dxa"/>
          <w:bottom w:w="28" w:type="dxa"/>
          <w:right w:w="28" w:type="dxa"/>
        </w:tblCellMar>
      </w:tblPr>
      <w:tblGrid>
        <w:gridCol w:w="1324"/>
        <w:gridCol w:w="1162"/>
        <w:gridCol w:w="1173"/>
        <w:gridCol w:w="335"/>
        <w:gridCol w:w="646"/>
        <w:gridCol w:w="173"/>
        <w:gridCol w:w="109"/>
        <w:gridCol w:w="109"/>
        <w:gridCol w:w="109"/>
        <w:gridCol w:w="287"/>
        <w:gridCol w:w="838"/>
        <w:gridCol w:w="209"/>
      </w:tblGrid>
      <w:tr>
        <w:trPr/>
        <w:tc>
          <w:tcPr>
            <w:tcW w:w="132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oil and natural gas properties</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non-cash ceiling test impairment charge in the first quarter of 2026 primarily resulted from a decline in SEC Prices applicable to the period. Impairment charges affect our results of operations but do not reduce our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commodity prices, our production rates, levels of proved reserves, future development costs, transfers of unevaluated properties, income tax rate assumptions and other factors will determine our actual ceiling test calculation and impairment analysis in future periods. If the trailing 12-month commodity prices fall as compared to the commodity prices used in the current quarter, we may have material write-downs in subsequent quarters. Currently, we do not expect to record additional impairment of our assets in the third quarter of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The following table shows the cash and non-cash general and administrative expenses incurred in the periods indicated:</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Other Operating Expenses, Net.</w:t>
      </w:r>
      <w:r>
        <w:rPr>
          <w:color w:val="000000"/>
        </w:rPr>
        <w:t xml:space="preserve"> </w:t>
      </w:r>
      <w:r>
        <w:rPr>
          <w:rFonts w:ascii="Times New Roman;serif" w:hAnsi="Times New Roman;serif"/>
          <w:b w:val="false"/>
          <w:color w:val="000000"/>
          <w:sz w:val="20"/>
        </w:rPr>
        <w:t>The following table shows other insignificant operating expenses for the periods indicated:</w:t>
      </w:r>
    </w:p>
    <w:p>
      <w:pPr>
        <w:pStyle w:val="TextBody"/>
        <w:bidi w:val="0"/>
        <w:spacing w:before="0" w:after="0"/>
        <w:ind w:left="0" w:right="0" w:firstLine="720"/>
        <w:jc w:val="both"/>
        <w:rPr/>
      </w:pPr>
      <w:r>
        <w:rPr/>
      </w:r>
    </w:p>
    <w:tbl>
      <w:tblPr>
        <w:tblW w:w="5369" w:type="dxa"/>
        <w:jc w:val="left"/>
        <w:tblInd w:w="0" w:type="dxa"/>
        <w:tblLayout w:type="fixed"/>
        <w:tblCellMar>
          <w:top w:w="28" w:type="dxa"/>
          <w:left w:w="28" w:type="dxa"/>
          <w:bottom w:w="28" w:type="dxa"/>
          <w:right w:w="28" w:type="dxa"/>
        </w:tblCellMar>
      </w:tblPr>
      <w:tblGrid>
        <w:gridCol w:w="912"/>
        <w:gridCol w:w="800"/>
        <w:gridCol w:w="807"/>
        <w:gridCol w:w="423"/>
        <w:gridCol w:w="514"/>
        <w:gridCol w:w="218"/>
        <w:gridCol w:w="120"/>
        <w:gridCol w:w="120"/>
        <w:gridCol w:w="120"/>
        <w:gridCol w:w="388"/>
        <w:gridCol w:w="664"/>
        <w:gridCol w:w="283"/>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Derivative Instruments.</w:t>
      </w:r>
      <w:r>
        <w:rPr>
          <w:color w:val="000000"/>
        </w:rPr>
        <w:t xml:space="preserve"> </w:t>
      </w:r>
      <w:r>
        <w:rPr>
          <w:rFonts w:ascii="Times New Roman;serif" w:hAnsi="Times New Roman;serif"/>
          <w:b w:val="false"/>
          <w:color w:val="000000"/>
          <w:sz w:val="20"/>
        </w:rPr>
        <w:t>The following table shows the net gain (loss) on derivative instruments and the net cash receipts (payments) on settlements of derivative instruments for the periods indicated:</w:t>
      </w:r>
    </w:p>
    <w:p>
      <w:pPr>
        <w:pStyle w:val="TextBody"/>
        <w:bidi w:val="0"/>
        <w:spacing w:before="0" w:after="0"/>
        <w:ind w:left="0" w:right="0" w:firstLine="720"/>
        <w:jc w:val="both"/>
        <w:rPr/>
      </w:pPr>
      <w:r>
        <w:rPr/>
      </w:r>
    </w:p>
    <w:tbl>
      <w:tblPr>
        <w:tblW w:w="6431" w:type="dxa"/>
        <w:jc w:val="left"/>
        <w:tblInd w:w="0" w:type="dxa"/>
        <w:tblLayout w:type="fixed"/>
        <w:tblCellMar>
          <w:top w:w="28" w:type="dxa"/>
          <w:left w:w="28" w:type="dxa"/>
          <w:bottom w:w="28" w:type="dxa"/>
          <w:right w:w="28" w:type="dxa"/>
        </w:tblCellMar>
      </w:tblPr>
      <w:tblGrid>
        <w:gridCol w:w="1308"/>
        <w:gridCol w:w="1145"/>
        <w:gridCol w:w="1161"/>
        <w:gridCol w:w="310"/>
        <w:gridCol w:w="685"/>
        <w:gridCol w:w="160"/>
        <w:gridCol w:w="109"/>
        <w:gridCol w:w="109"/>
        <w:gridCol w:w="109"/>
        <w:gridCol w:w="339"/>
        <w:gridCol w:w="749"/>
        <w:gridCol w:w="247"/>
      </w:tblGrid>
      <w:tr>
        <w:trPr/>
        <w:tc>
          <w:tcPr>
            <w:tcW w:w="130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(loss) on derivative instruments, net</w:t>
            </w:r>
            <w:r>
              <w:rPr>
                <w:rFonts w:ascii="Times New Roman;serif" w:hAnsi="Times New Roman;serif"/>
                <w:b w:val="false"/>
                <w:color w:val="000000"/>
                <w:sz w:val="13"/>
              </w:rPr>
              <w:t>(1)</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cash received (paid) on settlements</w:t>
            </w:r>
            <w:r>
              <w:rPr>
                <w:rFonts w:ascii="Times New Roman;serif" w:hAnsi="Times New Roman;serif"/>
                <w:b w:val="false"/>
                <w:color w:val="000000"/>
                <w:sz w:val="13"/>
              </w:rPr>
              <w:t>(1)</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three months ended June 30, 2026 includes cash received to terminate commodity contracts prior to their contractual maturity of $1 million, and the three months ended March 31, 2026 includes cash paid on interest rate swaps terminated prior to their contractual maturity of $27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gain on derivative instruments for the second quarter of 2026 compared to the first quarter of 2026 primarily reflects (i) a net loss of $262 million attributable to our natural gas contracts, which was comprised of a $290 million decrease in the value of our unsettled natural gas contracts largely due to unfavorable basis differentials on our natural gas basis swap contracts, partially offset by a $28 million increase in cash received for the settlement of contracts, (ii) a net gain of $194 million attributable to our oil contracts, which was comprised of a $270 million increase in the value of our unsettled positions as market prices declined compared to our contract prices at June 30, 2026 compared to March 31, 2026, and a $76 million decrease in cash received for the settlement of contracts, and (iii) other insignificant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12—</w:t>
      </w:r>
      <w:hyperlink w:anchor="i72109fb793334acb85eafc0257cc53bf_76">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our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Income (Expense).</w:t>
      </w:r>
      <w:r>
        <w:rPr>
          <w:color w:val="000000"/>
        </w:rPr>
        <w:t xml:space="preserve"> </w:t>
      </w:r>
      <w:r>
        <w:rPr>
          <w:rFonts w:ascii="Times New Roman;serif" w:hAnsi="Times New Roman;serif"/>
          <w:b w:val="false"/>
          <w:color w:val="000000"/>
          <w:sz w:val="20"/>
        </w:rPr>
        <w:t>The following table shows other income and expenses for the periods indicated:</w:t>
      </w:r>
    </w:p>
    <w:p>
      <w:pPr>
        <w:pStyle w:val="TextBody"/>
        <w:bidi w:val="0"/>
        <w:spacing w:before="0" w:after="0"/>
        <w:ind w:left="0" w:right="0" w:firstLine="720"/>
        <w:jc w:val="both"/>
        <w:rPr/>
      </w:pPr>
      <w:r>
        <w:rPr/>
      </w:r>
    </w:p>
    <w:tbl>
      <w:tblPr>
        <w:tblW w:w="6340" w:type="dxa"/>
        <w:jc w:val="left"/>
        <w:tblInd w:w="0" w:type="dxa"/>
        <w:tblLayout w:type="fixed"/>
        <w:tblCellMar>
          <w:top w:w="28" w:type="dxa"/>
          <w:left w:w="28" w:type="dxa"/>
          <w:bottom w:w="28" w:type="dxa"/>
          <w:right w:w="28" w:type="dxa"/>
        </w:tblCellMar>
      </w:tblPr>
      <w:tblGrid>
        <w:gridCol w:w="1275"/>
        <w:gridCol w:w="1120"/>
        <w:gridCol w:w="1129"/>
        <w:gridCol w:w="310"/>
        <w:gridCol w:w="685"/>
        <w:gridCol w:w="160"/>
        <w:gridCol w:w="109"/>
        <w:gridCol w:w="109"/>
        <w:gridCol w:w="109"/>
        <w:gridCol w:w="351"/>
        <w:gridCol w:w="727"/>
        <w:gridCol w:w="256"/>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gain on extinguishment of debt, net for the second quarter of 2026 primarily relates to the tender offer in which we repurchased $777 million of aggregate principal value on our senior notes at an average of 81.1% of par value. See Note 8—</w:t>
      </w:r>
      <w:hyperlink w:anchor="i72109fb793334acb85eafc0257cc53bf_64">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for details regarding outstanding borrowings and retirements of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following table shows the provision for (benefit from) income taxes for the periods indicated:</w:t>
      </w:r>
    </w:p>
    <w:p>
      <w:pPr>
        <w:pStyle w:val="TextBody"/>
        <w:bidi w:val="0"/>
        <w:spacing w:before="0" w:after="0"/>
        <w:ind w:left="0" w:right="0" w:firstLine="720"/>
        <w:jc w:val="both"/>
        <w:rPr/>
      </w:pPr>
      <w:r>
        <w:rPr/>
      </w:r>
    </w:p>
    <w:tbl>
      <w:tblPr>
        <w:tblW w:w="6252" w:type="dxa"/>
        <w:jc w:val="left"/>
        <w:tblInd w:w="0" w:type="dxa"/>
        <w:tblLayout w:type="fixed"/>
        <w:tblCellMar>
          <w:top w:w="28" w:type="dxa"/>
          <w:left w:w="28" w:type="dxa"/>
          <w:bottom w:w="28" w:type="dxa"/>
          <w:right w:w="28" w:type="dxa"/>
        </w:tblCellMar>
      </w:tblPr>
      <w:tblGrid>
        <w:gridCol w:w="1243"/>
        <w:gridCol w:w="1091"/>
        <w:gridCol w:w="1101"/>
        <w:gridCol w:w="310"/>
        <w:gridCol w:w="685"/>
        <w:gridCol w:w="160"/>
        <w:gridCol w:w="109"/>
        <w:gridCol w:w="109"/>
        <w:gridCol w:w="109"/>
        <w:gridCol w:w="388"/>
        <w:gridCol w:w="664"/>
        <w:gridCol w:w="283"/>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increase in our provision for income taxes for the second quarter of 2026 compared to the first quarter of 2026 was primarily due to the increase in pre-tax income between periods, which resulted largely from the first quarter of 2026 including a non-cash ceiling test impairment charge and an increase in our oil, natural gas and natural gas liquids revenues in the second quarter of 2026 as discussed above. See Note 11—</w:t>
      </w:r>
      <w:hyperlink w:anchor="i72109fb793334acb85eafc0257cc53bf_73">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bookmarkStart w:id="86" w:name="ib17486c5e8574dc6ac58cf20250d39dd"/>
      <w:bookmarkEnd w:id="86"/>
      <w:r>
        <w:rPr>
          <w:rFonts w:ascii="Times New Roman;serif" w:hAnsi="Times New Roman;serif"/>
          <w:b/>
          <w:i/>
          <w:color w:val="000000"/>
          <w:sz w:val="20"/>
        </w:rPr>
        <w:t>Comparison of the Six Months Ended June 30, 2026, and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operating data for the periods indicated:</w:t>
      </w:r>
    </w:p>
    <w:p>
      <w:pPr>
        <w:pStyle w:val="TextBody"/>
        <w:bidi w:val="0"/>
        <w:spacing w:before="0" w:after="0"/>
        <w:ind w:left="0" w:right="0" w:firstLine="720"/>
        <w:jc w:val="both"/>
        <w:rPr/>
      </w:pPr>
      <w:r>
        <w:rPr/>
      </w:r>
    </w:p>
    <w:tbl>
      <w:tblPr>
        <w:tblW w:w="6656" w:type="dxa"/>
        <w:jc w:val="left"/>
        <w:tblInd w:w="0" w:type="dxa"/>
        <w:tblLayout w:type="fixed"/>
        <w:tblCellMar>
          <w:top w:w="28" w:type="dxa"/>
          <w:left w:w="28" w:type="dxa"/>
          <w:bottom w:w="28" w:type="dxa"/>
          <w:right w:w="28" w:type="dxa"/>
        </w:tblCellMar>
      </w:tblPr>
      <w:tblGrid>
        <w:gridCol w:w="1587"/>
        <w:gridCol w:w="1391"/>
        <w:gridCol w:w="1402"/>
        <w:gridCol w:w="214"/>
        <w:gridCol w:w="626"/>
        <w:gridCol w:w="110"/>
        <w:gridCol w:w="110"/>
        <w:gridCol w:w="110"/>
        <w:gridCol w:w="110"/>
        <w:gridCol w:w="214"/>
        <w:gridCol w:w="626"/>
        <w:gridCol w:w="156"/>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 (In millions):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natural gas and natural gas liquid revenues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246,681 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oil volumes (BO/d)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485,873 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combined volumes (BOE/d)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998,613 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885,459 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Prices: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(2)</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(2)</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(2)</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(2)</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Data. </w:t>
      </w:r>
      <w:r>
        <w:rPr>
          <w:rFonts w:ascii="Times New Roman;serif" w:hAnsi="Times New Roman;serif"/>
          <w:b w:val="false"/>
          <w:color w:val="000000"/>
          <w:sz w:val="20"/>
        </w:rPr>
        <w:t>Substantially all of our revenues are generated through the sale of oil, natural gas and natural gas liquids production. The following tables set forth the mix of our production data by product and basin for the periods indicated:</w:t>
      </w:r>
    </w:p>
    <w:p>
      <w:pPr>
        <w:pStyle w:val="TextBody"/>
        <w:bidi w:val="0"/>
        <w:spacing w:before="0" w:after="0"/>
        <w:ind w:left="0" w:right="0" w:firstLine="720"/>
        <w:jc w:val="both"/>
        <w:rPr/>
      </w:pPr>
      <w:r>
        <w:rPr/>
      </w:r>
    </w:p>
    <w:tbl>
      <w:tblPr>
        <w:tblW w:w="4844" w:type="dxa"/>
        <w:jc w:val="left"/>
        <w:tblInd w:w="0" w:type="dxa"/>
        <w:tblLayout w:type="fixed"/>
        <w:tblCellMar>
          <w:top w:w="28" w:type="dxa"/>
          <w:left w:w="28" w:type="dxa"/>
          <w:bottom w:w="28" w:type="dxa"/>
          <w:right w:w="28" w:type="dxa"/>
        </w:tblCellMar>
      </w:tblPr>
      <w:tblGrid>
        <w:gridCol w:w="857"/>
        <w:gridCol w:w="753"/>
        <w:gridCol w:w="760"/>
        <w:gridCol w:w="237"/>
        <w:gridCol w:w="229"/>
        <w:gridCol w:w="457"/>
        <w:gridCol w:w="184"/>
        <w:gridCol w:w="184"/>
        <w:gridCol w:w="184"/>
        <w:gridCol w:w="237"/>
        <w:gridCol w:w="229"/>
        <w:gridCol w:w="533"/>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tbl>
      <w:tblPr>
        <w:tblW w:w="10932" w:type="dxa"/>
        <w:jc w:val="left"/>
        <w:tblInd w:w="0" w:type="dxa"/>
        <w:tblLayout w:type="fixed"/>
        <w:tblCellMar>
          <w:top w:w="28" w:type="dxa"/>
          <w:left w:w="28" w:type="dxa"/>
          <w:bottom w:w="28" w:type="dxa"/>
          <w:right w:w="28" w:type="dxa"/>
        </w:tblCellMar>
      </w:tblPr>
      <w:tblGrid>
        <w:gridCol w:w="353"/>
        <w:gridCol w:w="311"/>
        <w:gridCol w:w="312"/>
        <w:gridCol w:w="414"/>
        <w:gridCol w:w="412"/>
        <w:gridCol w:w="256"/>
        <w:gridCol w:w="109"/>
        <w:gridCol w:w="109"/>
        <w:gridCol w:w="109"/>
        <w:gridCol w:w="434"/>
        <w:gridCol w:w="287"/>
        <w:gridCol w:w="276"/>
        <w:gridCol w:w="109"/>
        <w:gridCol w:w="109"/>
        <w:gridCol w:w="109"/>
        <w:gridCol w:w="308"/>
        <w:gridCol w:w="308"/>
        <w:gridCol w:w="186"/>
        <w:gridCol w:w="109"/>
        <w:gridCol w:w="109"/>
        <w:gridCol w:w="109"/>
        <w:gridCol w:w="412"/>
        <w:gridCol w:w="414"/>
        <w:gridCol w:w="171"/>
        <w:gridCol w:w="109"/>
        <w:gridCol w:w="109"/>
        <w:gridCol w:w="109"/>
        <w:gridCol w:w="414"/>
        <w:gridCol w:w="412"/>
        <w:gridCol w:w="256"/>
        <w:gridCol w:w="109"/>
        <w:gridCol w:w="109"/>
        <w:gridCol w:w="109"/>
        <w:gridCol w:w="434"/>
        <w:gridCol w:w="287"/>
        <w:gridCol w:w="276"/>
        <w:gridCol w:w="109"/>
        <w:gridCol w:w="109"/>
        <w:gridCol w:w="109"/>
        <w:gridCol w:w="233"/>
        <w:gridCol w:w="233"/>
        <w:gridCol w:w="186"/>
        <w:gridCol w:w="109"/>
        <w:gridCol w:w="109"/>
        <w:gridCol w:w="109"/>
        <w:gridCol w:w="412"/>
        <w:gridCol w:w="414"/>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87,943 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219,827 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246,681 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210,697 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37,209 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(MBOE)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160,268 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Oil, Natural Gas and Natural Gas Liquids Revenues.</w:t>
      </w:r>
      <w:r>
        <w:rPr>
          <w:color w:val="000000"/>
        </w:rPr>
        <w:t xml:space="preserve"> </w:t>
      </w:r>
      <w:r>
        <w:rPr>
          <w:rFonts w:ascii="Times New Roman;serif" w:hAnsi="Times New Roman;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oil, natural gas and natural gas liquids revenues for the six months ended June 30, 2026, increased by $1.6 billion, or 23%, to $8.6 billion from the same period in 2025. This net increase consisted of an additional $973 million from higher average prices received for our oil production, offset partially by lower natural gas and natural gas liquids prices received in 2026 and an additional $665 million from the 13% growth in our combined production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Approximately 33% of the increase in our combined production volumes was attributable to Viper’s Sitio Acquisition and 16% was attributable to the Double Eagle Acquisition. The remainder of production growth is largely attributable to new wells added between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Net Sales of Purchased Oil</w:t>
      </w:r>
      <w:r>
        <w:rPr>
          <w:rFonts w:ascii="Times New Roman;serif" w:hAnsi="Times New Roman;serif"/>
          <w:b w:val="false"/>
          <w:color w:val="000000"/>
          <w:sz w:val="20"/>
        </w:rPr>
        <w:t>. We enter into purchase transactions and separate sales transactions with third parties to satisfy certain of our unused oil pipeline capacity commitments. The following table presents the net sales of purchased oil from third parties for the periods indicated:</w:t>
      </w:r>
    </w:p>
    <w:p>
      <w:pPr>
        <w:pStyle w:val="TextBody"/>
        <w:bidi w:val="0"/>
        <w:spacing w:before="0" w:after="0"/>
        <w:ind w:left="0" w:right="0" w:firstLine="720"/>
        <w:jc w:val="both"/>
        <w:rPr/>
      </w:pPr>
      <w:r>
        <w:rPr/>
      </w:r>
    </w:p>
    <w:tbl>
      <w:tblPr>
        <w:tblW w:w="5080" w:type="dxa"/>
        <w:jc w:val="left"/>
        <w:tblInd w:w="0" w:type="dxa"/>
        <w:tblLayout w:type="fixed"/>
        <w:tblCellMar>
          <w:top w:w="28" w:type="dxa"/>
          <w:left w:w="28" w:type="dxa"/>
          <w:bottom w:w="28" w:type="dxa"/>
          <w:right w:w="28" w:type="dxa"/>
        </w:tblCellMar>
      </w:tblPr>
      <w:tblGrid>
        <w:gridCol w:w="1016"/>
        <w:gridCol w:w="890"/>
        <w:gridCol w:w="899"/>
        <w:gridCol w:w="229"/>
        <w:gridCol w:w="671"/>
        <w:gridCol w:w="118"/>
        <w:gridCol w:w="118"/>
        <w:gridCol w:w="118"/>
        <w:gridCol w:w="118"/>
        <w:gridCol w:w="229"/>
        <w:gridCol w:w="507"/>
        <w:gridCol w:w="167"/>
      </w:tblGrid>
      <w:tr>
        <w:trPr/>
        <w:tc>
          <w:tcPr>
            <w:tcW w:w="101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oil</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oil expense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purchased oil sales (expense)</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Revenues.</w:t>
      </w:r>
      <w:r>
        <w:rPr>
          <w:color w:val="000000"/>
        </w:rPr>
        <w:t xml:space="preserve"> </w:t>
      </w:r>
      <w:r>
        <w:rPr>
          <w:rFonts w:ascii="Times New Roman;serif" w:hAnsi="Times New Roman;serif"/>
          <w:b w:val="false"/>
          <w:color w:val="000000"/>
          <w:sz w:val="20"/>
        </w:rPr>
        <w:t>The following table shows other revenues for the periods indicated:</w:t>
      </w:r>
    </w:p>
    <w:p>
      <w:pPr>
        <w:pStyle w:val="TextBody"/>
        <w:bidi w:val="0"/>
        <w:spacing w:before="0" w:after="0"/>
        <w:ind w:left="0" w:right="0" w:firstLine="720"/>
        <w:jc w:val="both"/>
        <w:rPr/>
      </w:pPr>
      <w:r>
        <w:rPr/>
      </w:r>
    </w:p>
    <w:tbl>
      <w:tblPr>
        <w:tblW w:w="4316" w:type="dxa"/>
        <w:jc w:val="left"/>
        <w:tblInd w:w="0" w:type="dxa"/>
        <w:tblLayout w:type="fixed"/>
        <w:tblCellMar>
          <w:top w:w="28" w:type="dxa"/>
          <w:left w:w="28" w:type="dxa"/>
          <w:bottom w:w="28" w:type="dxa"/>
          <w:right w:w="28" w:type="dxa"/>
        </w:tblCellMar>
      </w:tblPr>
      <w:tblGrid>
        <w:gridCol w:w="738"/>
        <w:gridCol w:w="648"/>
        <w:gridCol w:w="654"/>
        <w:gridCol w:w="277"/>
        <w:gridCol w:w="474"/>
        <w:gridCol w:w="143"/>
        <w:gridCol w:w="143"/>
        <w:gridCol w:w="143"/>
        <w:gridCol w:w="143"/>
        <w:gridCol w:w="277"/>
        <w:gridCol w:w="474"/>
        <w:gridCol w:w="202"/>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operating income increased for the six months ended June 30, 2026, compared to the same period in 2025, primarily due to a $13 million increase in lease bonus income recorded by Viper following its Sitio Acquisition and the 2025 Drop Down, as well as other individually insignificant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Lease Operating Expenses.</w:t>
      </w:r>
      <w:r>
        <w:rPr>
          <w:color w:val="000000"/>
        </w:rPr>
        <w:t xml:space="preserve"> </w:t>
      </w:r>
      <w:r>
        <w:rPr>
          <w:rFonts w:ascii="Times New Roman;serif" w:hAnsi="Times New Roman;serif"/>
          <w:b w:val="false"/>
          <w:color w:val="000000"/>
          <w:sz w:val="20"/>
        </w:rPr>
        <w:t>The following table shows lease operating expenses for the periods indicated:</w:t>
      </w:r>
    </w:p>
    <w:p>
      <w:pPr>
        <w:pStyle w:val="TextBody"/>
        <w:bidi w:val="0"/>
        <w:spacing w:before="0" w:after="0"/>
        <w:ind w:left="0" w:right="0" w:firstLine="720"/>
        <w:jc w:val="both"/>
        <w:rPr/>
      </w:pPr>
      <w:r>
        <w:rPr/>
      </w:r>
    </w:p>
    <w:tbl>
      <w:tblPr>
        <w:tblW w:w="7484" w:type="dxa"/>
        <w:jc w:val="left"/>
        <w:tblInd w:w="0" w:type="dxa"/>
        <w:tblLayout w:type="fixed"/>
        <w:tblCellMar>
          <w:top w:w="28" w:type="dxa"/>
          <w:left w:w="28" w:type="dxa"/>
          <w:bottom w:w="28" w:type="dxa"/>
          <w:right w:w="28" w:type="dxa"/>
        </w:tblCellMar>
      </w:tblPr>
      <w:tblGrid>
        <w:gridCol w:w="1112"/>
        <w:gridCol w:w="977"/>
        <w:gridCol w:w="985"/>
        <w:gridCol w:w="211"/>
        <w:gridCol w:w="61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operating expenses increased for the six months ended June 30, 2026, compared to the same period in 2025, primarily due to (i) a $54 million increase in water disposal costs following the divestiture of the Company’s Environmental Disposal Systems, LLC subsidiary in the fourth quarter of 2025, (ii) recording a $43 million reduction in estimated prior period water related costs during the six months ended June 30, 2025, (iii) a $36 million increase to operate wells acquired in the Double Eagle Acquisition, (iv) a $35 million increase in workover and maintenance costs and (v) a $34 million increase attributable to higher production volumes during the six months ended June 30, 2026, (vi) a downward adjustment to initial cost estimates related to producing properties acquired in connection with the Endeavor Acquisition during the six months ended June 30, 2025, and (vii) other individually insignificant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Production and Ad Valorem Tax Expense.</w:t>
      </w:r>
      <w:r>
        <w:rPr>
          <w:color w:val="000000"/>
        </w:rPr>
        <w:t xml:space="preserve"> </w:t>
      </w:r>
      <w:r>
        <w:rPr>
          <w:rFonts w:ascii="Times New Roman;serif" w:hAnsi="Times New Roman;serif"/>
          <w:b w:val="false"/>
          <w:color w:val="000000"/>
          <w:sz w:val="20"/>
        </w:rPr>
        <w:t>The following table shows production and ad valorem tax expense for the periods indicated: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Production taxes as a percentage of revenue from sales of oil, natural gas and natural gas liquids remained consistent in the first half of 2026 compared to the first half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 valorem taxes are based, among other factors, on property values driven by prior year commodity prices. Ad valorem taxes remained relatively consistent per BOE and as a percentage of revenue from sales of oil, natural gas and natural gas liquids for the six months ended June 30, 2026, compared to the same period in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Gathering, Processing and Transportation Expense.</w:t>
      </w:r>
      <w:r>
        <w:rPr>
          <w:color w:val="000000"/>
        </w:rPr>
        <w:t xml:space="preserve"> </w:t>
      </w:r>
      <w:r>
        <w:rPr>
          <w:rFonts w:ascii="Times New Roman;serif" w:hAnsi="Times New Roman;serif"/>
          <w:b w:val="false"/>
          <w:color w:val="000000"/>
          <w:sz w:val="20"/>
        </w:rPr>
        <w:t>The following table shows gathering, processing and transportation expenses for the periods indicated:</w:t>
      </w:r>
    </w:p>
    <w:p>
      <w:pPr>
        <w:pStyle w:val="TextBody"/>
        <w:bidi w:val="0"/>
        <w:spacing w:before="0" w:after="0"/>
        <w:ind w:left="0" w:right="0" w:firstLine="720"/>
        <w:jc w:val="both"/>
        <w:rPr/>
      </w:pPr>
      <w:r>
        <w:rPr/>
      </w:r>
    </w:p>
    <w:tbl>
      <w:tblPr>
        <w:tblW w:w="7680"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gathering, processing and transportation expense for the six months ended June 30, 2026, compared to the same period in 2025 primarily relates to higher utilization of arrangements that require net presentation within related revenues in the second quarter of 2026, partially offset by an increase due to increased production volumes for the six months ended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Depreciation, Depletion, Amortization and Accretion.</w:t>
      </w:r>
      <w:r>
        <w:rPr>
          <w:color w:val="000000"/>
        </w:rPr>
        <w:t xml:space="preserve"> </w:t>
      </w:r>
      <w:r>
        <w:rPr>
          <w:rFonts w:ascii="Times New Roman;serif" w:hAnsi="Times New Roman;serif"/>
          <w:b w:val="false"/>
          <w:color w:val="000000"/>
          <w:sz w:val="20"/>
        </w:rPr>
        <w:t>The following table provides the components of our depreciation, depletion, amortization and accretion expense for the periods indicated:</w:t>
      </w:r>
    </w:p>
    <w:p>
      <w:pPr>
        <w:pStyle w:val="TextBody"/>
        <w:bidi w:val="0"/>
        <w:spacing w:before="0" w:after="0"/>
        <w:ind w:left="0" w:right="0" w:firstLine="720"/>
        <w:jc w:val="both"/>
        <w:rPr/>
      </w:pPr>
      <w:r>
        <w:rPr/>
      </w:r>
    </w:p>
    <w:tbl>
      <w:tblPr>
        <w:tblW w:w="7541" w:type="dxa"/>
        <w:jc w:val="left"/>
        <w:tblInd w:w="0" w:type="dxa"/>
        <w:tblLayout w:type="fixed"/>
        <w:tblCellMar>
          <w:top w:w="28" w:type="dxa"/>
          <w:left w:w="28" w:type="dxa"/>
          <w:bottom w:w="28" w:type="dxa"/>
          <w:right w:w="28" w:type="dxa"/>
        </w:tblCellMar>
      </w:tblPr>
      <w:tblGrid>
        <w:gridCol w:w="1905"/>
        <w:gridCol w:w="1673"/>
        <w:gridCol w:w="1687"/>
        <w:gridCol w:w="214"/>
        <w:gridCol w:w="626"/>
        <w:gridCol w:w="110"/>
        <w:gridCol w:w="110"/>
        <w:gridCol w:w="110"/>
        <w:gridCol w:w="110"/>
        <w:gridCol w:w="214"/>
        <w:gridCol w:w="626"/>
        <w:gridCol w:w="156"/>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BOE amounts)</w:t>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of proved oil and natural gas properties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other property and equipment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accretion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depletion rate per BOE</w:t>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 per BOE</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depletion of proved oil and natural gas properties of $214 million for the six months ended June 30, 2026, compared to the same period in 2025 consists of $293 million from growth in production volumes, which was partially offset by a $79 million reduction attributable to a decrease in the depletion rate. The depletion rate declined due to a reduction in the depletable asset base, which was caused by the ceiling test impairment recorded in the fourth quarter of 2025 and the first quarter of 2026 as discussed below. This reduction was partially offset by the addition of higher value leasehold costs and proved reserves to the depletable base from the Double Eagle Acquisition and, to a lesser extent, Viper’s Sitio Acquisition.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Impairment of Oil and Natural Gas Properties.</w:t>
      </w:r>
      <w:r>
        <w:rPr>
          <w:color w:val="000000"/>
        </w:rPr>
        <w:t xml:space="preserve"> </w:t>
      </w:r>
      <w:r>
        <w:rPr>
          <w:rFonts w:ascii="Times New Roman;serif" w:hAnsi="Times New Roman;serif"/>
          <w:b w:val="false"/>
          <w:color w:val="000000"/>
          <w:sz w:val="20"/>
        </w:rPr>
        <w:t>The following table shows impairment of oil and natural gas properties for the periods indicated:</w:t>
      </w:r>
    </w:p>
    <w:p>
      <w:pPr>
        <w:pStyle w:val="TextBody"/>
        <w:bidi w:val="0"/>
        <w:spacing w:before="0" w:after="0"/>
        <w:ind w:left="0" w:right="0" w:firstLine="720"/>
        <w:jc w:val="both"/>
        <w:rPr/>
      </w:pPr>
      <w:r>
        <w:rPr/>
      </w:r>
    </w:p>
    <w:tbl>
      <w:tblPr>
        <w:tblW w:w="5936" w:type="dxa"/>
        <w:jc w:val="left"/>
        <w:tblInd w:w="0" w:type="dxa"/>
        <w:tblLayout w:type="fixed"/>
        <w:tblCellMar>
          <w:top w:w="28" w:type="dxa"/>
          <w:left w:w="28" w:type="dxa"/>
          <w:bottom w:w="28" w:type="dxa"/>
          <w:right w:w="28" w:type="dxa"/>
        </w:tblCellMar>
      </w:tblPr>
      <w:tblGrid>
        <w:gridCol w:w="1324"/>
        <w:gridCol w:w="1162"/>
        <w:gridCol w:w="1173"/>
        <w:gridCol w:w="236"/>
        <w:gridCol w:w="690"/>
        <w:gridCol w:w="122"/>
        <w:gridCol w:w="122"/>
        <w:gridCol w:w="122"/>
        <w:gridCol w:w="122"/>
        <w:gridCol w:w="236"/>
        <w:gridCol w:w="455"/>
        <w:gridCol w:w="172"/>
      </w:tblGrid>
      <w:tr>
        <w:trPr/>
        <w:tc>
          <w:tcPr>
            <w:tcW w:w="132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oil and natural gas properties</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1,400 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non-cash ceiling test impairment charge of $1.4 billion for the six months ended June 30, 2026 primarily resulted from the decline in SEC Prices during the preceding twelve months.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The following table shows the cash and non-cash general and administrative expenses incurred in the periods indicated:</w:t>
      </w:r>
    </w:p>
    <w:p>
      <w:pPr>
        <w:pStyle w:val="TextBody"/>
        <w:bidi w:val="0"/>
        <w:spacing w:before="0" w:after="0"/>
        <w:ind w:left="0" w:right="0" w:firstLine="720"/>
        <w:jc w:val="both"/>
        <w:rPr/>
      </w:pPr>
      <w:r>
        <w:rPr/>
      </w:r>
    </w:p>
    <w:tbl>
      <w:tblPr>
        <w:tblW w:w="7800" w:type="dxa"/>
        <w:jc w:val="left"/>
        <w:tblInd w:w="0" w:type="dxa"/>
        <w:tblLayout w:type="fixed"/>
        <w:tblCellMar>
          <w:top w:w="28" w:type="dxa"/>
          <w:left w:w="28" w:type="dxa"/>
          <w:bottom w:w="28" w:type="dxa"/>
          <w:right w:w="28" w:type="dxa"/>
        </w:tblCellMar>
      </w:tblPr>
      <w:tblGrid>
        <w:gridCol w:w="1281"/>
        <w:gridCol w:w="1125"/>
        <w:gridCol w:w="1134"/>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Operating Expenses, Net.</w:t>
      </w:r>
      <w:r>
        <w:rPr>
          <w:color w:val="000000"/>
        </w:rPr>
        <w:t xml:space="preserve"> </w:t>
      </w:r>
      <w:r>
        <w:rPr>
          <w:rFonts w:ascii="Times New Roman;serif" w:hAnsi="Times New Roman;serif"/>
          <w:b w:val="false"/>
          <w:color w:val="000000"/>
          <w:sz w:val="20"/>
        </w:rPr>
        <w:t>The following table shows the other operating expenses for the periods indicated:</w:t>
      </w:r>
    </w:p>
    <w:p>
      <w:pPr>
        <w:pStyle w:val="TextBody"/>
        <w:bidi w:val="0"/>
        <w:spacing w:before="0" w:after="0"/>
        <w:ind w:left="0" w:right="0" w:firstLine="720"/>
        <w:jc w:val="both"/>
        <w:rPr/>
      </w:pPr>
      <w:r>
        <w:rPr/>
      </w:r>
    </w:p>
    <w:tbl>
      <w:tblPr>
        <w:tblW w:w="4797" w:type="dxa"/>
        <w:jc w:val="left"/>
        <w:tblInd w:w="0" w:type="dxa"/>
        <w:tblLayout w:type="fixed"/>
        <w:tblCellMar>
          <w:top w:w="28" w:type="dxa"/>
          <w:left w:w="28" w:type="dxa"/>
          <w:bottom w:w="28" w:type="dxa"/>
          <w:right w:w="28" w:type="dxa"/>
        </w:tblCellMar>
      </w:tblPr>
      <w:tblGrid>
        <w:gridCol w:w="912"/>
        <w:gridCol w:w="800"/>
        <w:gridCol w:w="807"/>
        <w:gridCol w:w="261"/>
        <w:gridCol w:w="447"/>
        <w:gridCol w:w="135"/>
        <w:gridCol w:w="135"/>
        <w:gridCol w:w="135"/>
        <w:gridCol w:w="135"/>
        <w:gridCol w:w="261"/>
        <w:gridCol w:w="578"/>
        <w:gridCol w:w="191"/>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other operating expenses for the six months ended June 30, 2026, compared to the same period in 2025 primarily resulted from (i) a $72 million reduction in merger and transaction costs due to the 2025 period, including costs incurred for the Endeavor Acquisition, the 2025 Drop Down and other individually insignificant transactions, and (ii) a $45 million decrease in midstream service expense following the divestiture of the Company’s Environmental Disposal Systems, LLC subsidiary in the fourth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Derivative Instruments.</w:t>
      </w:r>
      <w:r>
        <w:rPr>
          <w:color w:val="000000"/>
        </w:rPr>
        <w:t xml:space="preserve"> </w:t>
      </w:r>
      <w:r>
        <w:rPr>
          <w:rFonts w:ascii="Times New Roman;serif" w:hAnsi="Times New Roman;serif"/>
          <w:b w:val="false"/>
          <w:color w:val="000000"/>
          <w:sz w:val="20"/>
        </w:rPr>
        <w:t>The following table shows the net gain (loss) on derivative instruments and the net cash receipts (payments) on settlements of derivative instruments for the periods indicated:</w:t>
      </w:r>
    </w:p>
    <w:p>
      <w:pPr>
        <w:pStyle w:val="TextBody"/>
        <w:bidi w:val="0"/>
        <w:spacing w:before="0" w:after="0"/>
        <w:ind w:left="0" w:right="0" w:firstLine="720"/>
        <w:jc w:val="both"/>
        <w:rPr/>
      </w:pPr>
      <w:r>
        <w:rPr/>
      </w:r>
    </w:p>
    <w:tbl>
      <w:tblPr>
        <w:tblW w:w="5892" w:type="dxa"/>
        <w:jc w:val="left"/>
        <w:tblInd w:w="0" w:type="dxa"/>
        <w:tblLayout w:type="fixed"/>
        <w:tblCellMar>
          <w:top w:w="28" w:type="dxa"/>
          <w:left w:w="28" w:type="dxa"/>
          <w:bottom w:w="28" w:type="dxa"/>
          <w:right w:w="28" w:type="dxa"/>
        </w:tblCellMar>
      </w:tblPr>
      <w:tblGrid>
        <w:gridCol w:w="1308"/>
        <w:gridCol w:w="1145"/>
        <w:gridCol w:w="1161"/>
        <w:gridCol w:w="261"/>
        <w:gridCol w:w="578"/>
        <w:gridCol w:w="135"/>
        <w:gridCol w:w="135"/>
        <w:gridCol w:w="135"/>
        <w:gridCol w:w="135"/>
        <w:gridCol w:w="261"/>
        <w:gridCol w:w="447"/>
        <w:gridCol w:w="191"/>
      </w:tblGrid>
      <w:tr>
        <w:trPr/>
        <w:tc>
          <w:tcPr>
            <w:tcW w:w="130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(loss) on derivative instruments, net</w:t>
            </w:r>
            <w:r>
              <w:rPr>
                <w:rFonts w:ascii="Times New Roman;serif" w:hAnsi="Times New Roman;serif"/>
                <w:b w:val="false"/>
                <w:color w:val="000000"/>
                <w:sz w:val="13"/>
              </w:rPr>
              <w:t>(1)</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cash received (paid) on settlements</w:t>
            </w:r>
            <w:r>
              <w:rPr>
                <w:rFonts w:ascii="Times New Roman;serif" w:hAnsi="Times New Roman;serif"/>
                <w:b w:val="false"/>
                <w:color w:val="000000"/>
                <w:sz w:val="13"/>
              </w:rPr>
              <w:t>(1)</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six months ended June 30, 2026, includes cash paid on interest rate swaps terminated prior to their contractual maturity of $27 million and cash received for the early termination of commodity contracts of $1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gain on derivative instruments for the six months ended June 30, 2026, compared to the same period in 2025 primarily reflects (i) a $278 million gain attributable to our natural gas contracts, which was comprised of a $249 million increase in cash received upon settlement of contracts and a $29 million increase in the value of our unsettled natural gas costless collars and basis swaps, and (ii) other insignificant changes due to the termination of our interest rate swaps. These gains were partially offset by an additional loss of $124 million attributable to our oil contracts, which was comprised of (i) a $103 million decrease in the value of our unsettled contracts due primarily to basis puts and puts added between periods being in a liability position, (ii) an $85 million decrease in cash received for the settlement of contracts and (iii) a $64 million increase in the value of our unsettled roll swaps and basis swaps.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12—</w:t>
      </w:r>
      <w:hyperlink w:anchor="i72109fb793334acb85eafc0257cc53bf_76">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our derivative instruments.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Other Income (Expense).</w:t>
      </w:r>
      <w:r>
        <w:rPr>
          <w:color w:val="000000"/>
        </w:rPr>
        <w:t xml:space="preserve"> </w:t>
      </w:r>
      <w:r>
        <w:rPr>
          <w:rFonts w:ascii="Times New Roman;serif" w:hAnsi="Times New Roman;serif"/>
          <w:b w:val="false"/>
          <w:color w:val="000000"/>
          <w:sz w:val="20"/>
        </w:rPr>
        <w:t>The following table shows other income and expenses for the periods indicated:</w:t>
      </w:r>
    </w:p>
    <w:p>
      <w:pPr>
        <w:pStyle w:val="TextBody"/>
        <w:bidi w:val="0"/>
        <w:spacing w:before="0" w:after="0"/>
        <w:ind w:left="0" w:right="0" w:firstLine="720"/>
        <w:jc w:val="both"/>
        <w:rPr/>
      </w:pPr>
      <w:r>
        <w:rPr/>
      </w:r>
    </w:p>
    <w:tbl>
      <w:tblPr>
        <w:tblW w:w="5802" w:type="dxa"/>
        <w:jc w:val="left"/>
        <w:tblInd w:w="0" w:type="dxa"/>
        <w:tblLayout w:type="fixed"/>
        <w:tblCellMar>
          <w:top w:w="28" w:type="dxa"/>
          <w:left w:w="28" w:type="dxa"/>
          <w:bottom w:w="28" w:type="dxa"/>
          <w:right w:w="28" w:type="dxa"/>
        </w:tblCellMar>
      </w:tblPr>
      <w:tblGrid>
        <w:gridCol w:w="1275"/>
        <w:gridCol w:w="1120"/>
        <w:gridCol w:w="1129"/>
        <w:gridCol w:w="241"/>
        <w:gridCol w:w="620"/>
        <w:gridCol w:w="125"/>
        <w:gridCol w:w="125"/>
        <w:gridCol w:w="125"/>
        <w:gridCol w:w="125"/>
        <w:gridCol w:w="241"/>
        <w:gridCol w:w="500"/>
        <w:gridCol w:w="176"/>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$23 million for the six months ended June 30, 2026, compared to the same period in 2025. This increase primarily consisted of (i) a $32 million decrease in capitalized interest costs, which increased interest expense, (ii) a net increase of $18 million related to the issuance of Viper’s 4.900% Senior Notes due 2030 and 5.700% Senior Notes due 2035 and the redemption of its 5.375% Senior Notes due 2027 and 7.375% Senior Notes due 2031 in the third quarter of 2025, and (iii) a $15 million increase attributable to the 2035 Notes issued in April 2025. These increases were partially offset by a $50 million reduction in interest expense due to retirements of the Company’s debt during 2026 and 2025 and other individually insignificant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8—</w:t>
      </w:r>
      <w:hyperlink w:anchor="i72109fb793334acb85eafc0257cc53bf_64">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(expense), net for the six months ended June 30, 2026, decreased compared to the same period in 2025, primarily due to receiving a $42 million distribution from an equity method investee during the six months ended June 30, 2025, partially offset by a $10 million increase in income from equity method investees and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following table shows the provision for (benefit from) income taxes for the periods indicated:</w:t>
      </w:r>
    </w:p>
    <w:p>
      <w:pPr>
        <w:pStyle w:val="TextBody"/>
        <w:bidi w:val="0"/>
        <w:spacing w:before="0" w:after="0"/>
        <w:ind w:left="0" w:right="0" w:firstLine="720"/>
        <w:jc w:val="both"/>
        <w:rPr/>
      </w:pPr>
      <w:r>
        <w:rPr/>
      </w:r>
    </w:p>
    <w:tbl>
      <w:tblPr>
        <w:tblW w:w="5709" w:type="dxa"/>
        <w:jc w:val="left"/>
        <w:tblInd w:w="0" w:type="dxa"/>
        <w:tblLayout w:type="fixed"/>
        <w:tblCellMar>
          <w:top w:w="28" w:type="dxa"/>
          <w:left w:w="28" w:type="dxa"/>
          <w:bottom w:w="28" w:type="dxa"/>
          <w:right w:w="28" w:type="dxa"/>
        </w:tblCellMar>
      </w:tblPr>
      <w:tblGrid>
        <w:gridCol w:w="1243"/>
        <w:gridCol w:w="1091"/>
        <w:gridCol w:w="1101"/>
        <w:gridCol w:w="247"/>
        <w:gridCol w:w="546"/>
        <w:gridCol w:w="127"/>
        <w:gridCol w:w="127"/>
        <w:gridCol w:w="127"/>
        <w:gridCol w:w="127"/>
        <w:gridCol w:w="247"/>
        <w:gridCol w:w="546"/>
        <w:gridCol w:w="180"/>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11—</w:t>
      </w:r>
      <w:hyperlink w:anchor="i72109fb793334acb85eafc0257cc53bf_73">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87" w:name="if1b2e0c0b15b49c0a3217c6d5de6488b"/>
      <w:bookmarkEnd w:id="87"/>
      <w:r>
        <w:rPr>
          <w:rFonts w:ascii="Times New Roman;serif" w:hAnsi="Times New Roman;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88" w:name="iff798b813e614de594f4731dfe932c3f"/>
      <w:bookmarkEnd w:id="88"/>
      <w:r>
        <w:rPr>
          <w:rFonts w:ascii="Times New Roman;serif" w:hAnsi="Times New Roman;serif"/>
          <w:b/>
          <w:i/>
          <w:color w:val="000000"/>
          <w:sz w:val="20"/>
        </w:rPr>
        <w:t>Overview of Sources and Uses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our primary sources of liquidity have included cash flows from operations, proceeds from our public equity offerings, borrowings under the Revolving Credit Facility and term loan agreements, proceeds from the issuance of senior notes and sales of non-core assets. Our primary uses of capital have been for the acquisition, development and exploration of oil and natural gas properties, repayment of debt and returning capital to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we had approximately $3.4 billion of liquidity consisting of $385 million in standalone cash and cash equivalents and $3.0 billion available under our credit facility. At June 30, 2026, we had approximately $1.5 billion of senior notes maturing in the next 12 months.</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Future cash flows are subject to a number of variables, including the level of our oil and natural gas production and the volatility of commodity prices. In order to mitigate volatility in oil and natural gas prices, we enter into derivative contracts as discussed further in Note 12—</w:t>
      </w:r>
      <w:hyperlink w:anchor="i72109fb793334acb85eafc0257cc53bf_76">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of this report. The level of our hedging activity and duration of the financial instruments employed depend on our desired cash flow protection, available hedge prices, the magnitude of our capital program and our operating strategy.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bookmarkStart w:id="89" w:name="ie10dc19d1c6d43a6a9f83e33880d4133"/>
      <w:bookmarkEnd w:id="89"/>
      <w:r>
        <w:rPr>
          <w:rFonts w:ascii="Times New Roman;serif" w:hAnsi="Times New Roman;serif"/>
          <w:b/>
          <w:i/>
          <w:color w:val="000000"/>
          <w:sz w:val="20"/>
        </w:rPr>
        <w:t>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cash flows for the six months ended June 30, 2026, and 2025 are presented below:</w:t>
      </w:r>
    </w:p>
    <w:p>
      <w:pPr>
        <w:pStyle w:val="TextBody"/>
        <w:bidi w:val="0"/>
        <w:spacing w:before="0" w:after="0"/>
        <w:ind w:left="0" w:right="0" w:firstLine="720"/>
        <w:jc w:val="both"/>
        <w:rPr/>
      </w:pPr>
      <w:r>
        <w:rPr/>
      </w:r>
    </w:p>
    <w:tbl>
      <w:tblPr>
        <w:tblW w:w="6490" w:type="dxa"/>
        <w:jc w:val="left"/>
        <w:tblInd w:w="0" w:type="dxa"/>
        <w:tblLayout w:type="fixed"/>
        <w:tblCellMar>
          <w:top w:w="28" w:type="dxa"/>
          <w:left w:w="28" w:type="dxa"/>
          <w:bottom w:w="28" w:type="dxa"/>
          <w:right w:w="28" w:type="dxa"/>
        </w:tblCellMar>
      </w:tblPr>
      <w:tblGrid>
        <w:gridCol w:w="1524"/>
        <w:gridCol w:w="1340"/>
        <w:gridCol w:w="1350"/>
        <w:gridCol w:w="214"/>
        <w:gridCol w:w="626"/>
        <w:gridCol w:w="110"/>
        <w:gridCol w:w="110"/>
        <w:gridCol w:w="110"/>
        <w:gridCol w:w="110"/>
        <w:gridCol w:w="214"/>
        <w:gridCol w:w="626"/>
        <w:gridCol w:w="156"/>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0" w:name="ifd7821553db94340a9e1056298c52278"/>
      <w:bookmarkEnd w:id="90"/>
      <w:r>
        <w:rPr>
          <w:rFonts w:ascii="Times New Roman;serif" w:hAnsi="Times New Roman;serif"/>
          <w:b w:val="false"/>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increase in operating cash flows for the six months ended June 30, 2026, compared to the same period in 2025 primarily resulted from (i) $1.7 billion in additional revenues, excluding sales of purchased oil, (ii) an increase of $198 million in cash received on settlements of derivatives, and (iii) a decrease of $98 million in cash paid for taxes. These were partially offset by (i) changes in working capital accounts, excluding taxes payable, of $295 million due primarily to higher prices received for oil sales accrued at June 30, 2026 compared to June 30, 2025 and the timing of when payments are made or received, and (ii) higher cash operating expenses, excluding purchased oil expense, of approximately $241 million. See “</w:t>
      </w:r>
      <w:r>
        <w:rPr>
          <w:color w:val="000000"/>
        </w:rPr>
        <w:t>—</w:t>
      </w:r>
      <w:hyperlink w:anchor="i72109fb793334acb85eafc0257cc53bf_115">
        <w:r>
          <w:rPr>
            <w:rStyle w:val="InternetLink"/>
            <w:rFonts w:ascii="Times New Roman;serif" w:hAnsi="Times New Roman;serif"/>
            <w:b w:val="false"/>
            <w:i/>
            <w:color w:val="0000FF"/>
            <w:sz w:val="20"/>
            <w:u w:val="single"/>
          </w:rPr>
          <w:t>Results of Operations</w:t>
        </w:r>
      </w:hyperlink>
      <w:r>
        <w:rPr>
          <w:color w:val="000000"/>
        </w:rPr>
        <w:t xml:space="preserve">” </w:t>
      </w:r>
      <w:r>
        <w:rPr>
          <w:rFonts w:ascii="Times New Roman;serif" w:hAnsi="Times New Roman;serif"/>
          <w:b w:val="false"/>
          <w:color w:val="000000"/>
          <w:sz w:val="20"/>
        </w:rPr>
        <w:t>for discussion of significant changes in our revenues and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1" w:name="ifd1a273ce0ba419dabb486e064b615eb"/>
      <w:bookmarkEnd w:id="91"/>
      <w:r>
        <w:rPr>
          <w:rFonts w:ascii="Times New Roman;serif" w:hAnsi="Times New Roman;serif"/>
          <w:b w:val="false"/>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majority of our net cash used in investing activities during the six months ended June 30, 2026, was for drilling and completion costs incurred in conjunction with our development program as well as the acquisition of properties and equipment. These cash expenditures were partially offset by the proceeds from the Viper Non-Permian Divestiture. See Note 4—</w:t>
      </w:r>
      <w:hyperlink w:anchor="i72109fb793334acb85eafc0257cc53bf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for further discussion of the Viper Non-Permian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majority of our net cash used in investing activities during the six months ended June 30, 2025, was for drilling and completion costs incurred in conjunction with our development program as well as the acquisition of properties and equipment for the Double Eagle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2" w:name="i9e6e115b8ede400587bcad246a01d4ea"/>
      <w:bookmarkEnd w:id="92"/>
      <w:r>
        <w:rPr>
          <w:rFonts w:ascii="Times New Roman;serif" w:hAnsi="Times New Roman;serif"/>
          <w:b w:val="false"/>
          <w:i/>
          <w:color w:val="000000"/>
          <w:sz w:val="20"/>
        </w:rPr>
        <w:t>Capital Expenditure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capital expenditures excluding acquisitions and equity method investments (on a cash basis) were as follows for the specified period:</w:t>
      </w:r>
    </w:p>
    <w:p>
      <w:pPr>
        <w:pStyle w:val="TextBody"/>
        <w:bidi w:val="0"/>
        <w:spacing w:before="0" w:after="0"/>
        <w:ind w:left="0" w:right="0" w:firstLine="720"/>
        <w:jc w:val="both"/>
        <w:rPr/>
      </w:pPr>
      <w:r>
        <w:rPr/>
      </w:r>
    </w:p>
    <w:tbl>
      <w:tblPr>
        <w:tblW w:w="8813" w:type="dxa"/>
        <w:jc w:val="left"/>
        <w:tblInd w:w="0" w:type="dxa"/>
        <w:tblLayout w:type="fixed"/>
        <w:tblCellMar>
          <w:top w:w="28" w:type="dxa"/>
          <w:left w:w="28" w:type="dxa"/>
          <w:bottom w:w="28" w:type="dxa"/>
          <w:right w:w="28" w:type="dxa"/>
        </w:tblCellMar>
      </w:tblPr>
      <w:tblGrid>
        <w:gridCol w:w="2327"/>
        <w:gridCol w:w="2040"/>
        <w:gridCol w:w="2052"/>
        <w:gridCol w:w="211"/>
        <w:gridCol w:w="691"/>
        <w:gridCol w:w="109"/>
        <w:gridCol w:w="109"/>
        <w:gridCol w:w="109"/>
        <w:gridCol w:w="109"/>
        <w:gridCol w:w="211"/>
        <w:gridCol w:w="691"/>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Operated drilling and completion additions to oil and natural gas properties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Non-operated additions to oil and natural gas properties and 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t>(1) See “—</w:t>
      </w:r>
      <w:hyperlink w:anchor="i72109fb793334acb85eafc0257cc53bf_109">
        <w:r>
          <w:rPr>
            <w:rStyle w:val="InternetLink"/>
            <w:rFonts w:ascii="Times New Roman;serif" w:hAnsi="Times New Roman;serif"/>
            <w:b w:val="false"/>
            <w:i/>
            <w:color w:val="0000FF"/>
            <w:sz w:val="20"/>
            <w:u w:val="single"/>
          </w:rPr>
          <w:t>Transactions and Recent Developments—Upstream Operations</w:t>
        </w:r>
      </w:hyperlink>
      <w:r>
        <w:rPr>
          <w:color w:val="000000"/>
        </w:rPr>
        <w:t xml:space="preserve">” </w:t>
      </w:r>
      <w:r>
        <w:rPr>
          <w:rFonts w:ascii="Times New Roman;serif" w:hAnsi="Times New Roman;serif"/>
          <w:b w:val="false"/>
          <w:color w:val="000000"/>
          <w:sz w:val="20"/>
        </w:rPr>
        <w:t>above for additional detail on wells drilled and turned to production during the three and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3" w:name="i0a6dbfd560f64ac1adc15450aaa15baa"/>
      <w:bookmarkEnd w:id="93"/>
      <w:r>
        <w:rPr>
          <w:rFonts w:ascii="Times New Roman;serif" w:hAnsi="Times New Roman;serif"/>
          <w:b w:val="false"/>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financing activities was primarily attributable to (i) $1.1 billion for the repayment of our 2025 Term Loan and the Viper 2025 Term Loan, (ii) $917 million of repurchases as part of our and Viper’s share repurchase programs, (iii) $697 million in repurchases of senior notes, (iv) $609 million of dividends paid to stockholders, including dividend equivalent rights, (v) $279 million in dividends paid to non-controlling interest, (vi) $10 million in repayments on our credit facilities, net of borrowings, and (vii) various other individually insignificant costs. These cash outflows were partially offset by $589 million in proceeds from the Secondary Offering.</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provided by financing activities was primarily attributable to (i) $1.5 billion of proceeds from the 2025 Term Loan Agreement, (ii) $1.2 billion of proceeds from the issuance of the 5.550% senior notes due in 2035, (iii) $1.2 billion in proceeds from Viper’s public offering of Class A common stock, and (iv) $659 million in borrowings under our credit facilities, net of repayments. These cash inflows were partially offset by (i) $983 million of repurchases as part of our and Viper’s share repurchase programs, (ii) $900 million in repayments in borrowings on a previously outstanding term loan, (iii) $584 million of dividends paid to our stockholders, including dividend equivalent rights, (iv) $244 million in repurchases of senior notes, (v) $177 million in dividends paid to non-controlling interest, and (vi) various other individually insignificant costs.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94" w:name="i8d290382b2804e1d8f8268609bf7560d"/>
      <w:bookmarkEnd w:id="94"/>
      <w:r>
        <w:rPr>
          <w:rFonts w:ascii="Times New Roman;serif" w:hAnsi="Times New Roman;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working capital requirements are primarily supported by our cash and cash equivalents and available borrowings under the Revolving Credit Facility. We may draw on the Revolving Credit Facility to meet short-term cash requirements, or issue debt or equity securities as part of our longer-term liquidity and capital management program. Because of the alternatives available to us, we believe that our short-term and long-term liquidity are adequate to fund not only our current operations, but also our near-term and long-term funding requirements.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5" w:name="i6b62db17073544509a61b012947ae9cb"/>
      <w:bookmarkEnd w:id="95"/>
      <w:r>
        <w:rPr>
          <w:rFonts w:ascii="Times New Roman;serif" w:hAnsi="Times New Roman;serif"/>
          <w:b w:val="false"/>
          <w:i/>
          <w:color w:val="000000"/>
          <w:sz w:val="20"/>
        </w:rPr>
        <w:t>Revolving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6" w:name="i955e31b68688469eb2d4422b27c634f7"/>
      <w:bookmarkEnd w:id="96"/>
      <w:r>
        <w:rPr>
          <w:rFonts w:ascii="Times New Roman;serif" w:hAnsi="Times New Roman;serif"/>
          <w:b w:val="false"/>
          <w:i/>
          <w:color w:val="000000"/>
          <w:sz w:val="20"/>
        </w:rPr>
        <w:t>Diamondback’s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our Revolving Credit Facility, which matures on June 12, 2031, had a maximum credit amount of $3.0 billion, which was fully available for future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7" w:name="i1b2d9618841947e3ac185982d0959663"/>
      <w:bookmarkEnd w:id="97"/>
      <w:r>
        <w:rPr>
          <w:rFonts w:ascii="Times New Roman;serif" w:hAnsi="Times New Roman;serif"/>
          <w:b w:val="false"/>
          <w:i/>
          <w:color w:val="000000"/>
          <w:sz w:val="20"/>
        </w:rPr>
        <w:t>Viper’s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Viper Revolving Credit Facility, which matures on June 12, 2031, provides for a commitment amount of $2.0 billion. As of June 30, 2026, the Viper Revolving Credit Facility had $95 million in outstanding borrowings and approximately $1.9 billion available for future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additional discussion of our revolving credit facilities as of June 30, 2026, see Note 8—</w:t>
      </w:r>
      <w:hyperlink w:anchor="i72109fb793334acb85eafc0257cc53bf_64">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98" w:name="iabe555592c95433689b9edb733956a05"/>
      <w:bookmarkEnd w:id="98"/>
      <w:r>
        <w:rPr>
          <w:rFonts w:ascii="Times New Roman;serif" w:hAnsi="Times New Roman;serif"/>
          <w:b/>
          <w:i/>
          <w:color w:val="000000"/>
          <w:sz w:val="20"/>
        </w:rPr>
        <w:t>Capital Requirements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9" w:name="ie5383865e75d45048fafe7ec64e1bbd7"/>
      <w:bookmarkEnd w:id="99"/>
      <w:r>
        <w:rPr>
          <w:rFonts w:ascii="Times New Roman;serif" w:hAnsi="Times New Roman;serif"/>
          <w:b w:val="false"/>
          <w:i/>
          <w:color w:val="000000"/>
          <w:sz w:val="20"/>
        </w:rPr>
        <w:t>2026 Capital Spending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support of our long-term strategy, we expect to continue adjusting our development activity in response to market conditions, including converting a portion of our drilled but uncompleted well inventory into producing wells. We expect our inventory of development locations to enhance operational flexibility by providing the ability to adjust capital allocation, activity levels and development timing as market conditions evolve. As previously announced, in the second quarter of 2026, our board of directors approved increasing our 2026 capital budget guidance by 4% to approximately $3.90 billion, which includes $3.31 billion for operated horizontal drilling and completions.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17 drilling rigs and five completion crews. We will continue monitoring commodity prices and overall market conditions and can adjust our rig cadence and our capital expenditure budget in response to changes in commodity prices and overall market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100" w:name="ibf00bc95d6e34749b25412998b25f610"/>
      <w:bookmarkEnd w:id="100"/>
      <w:r>
        <w:rPr>
          <w:rFonts w:ascii="Times New Roman;serif" w:hAnsi="Times New Roman;serif"/>
          <w:b w:val="false"/>
          <w:i/>
          <w:color w:val="000000"/>
          <w:sz w:val="20"/>
        </w:rPr>
        <w:t>Debt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our debt, including the debt of Viper, consisted of approximately $12.7 billion in aggregate outstanding principal amount of senior notes and $95 million in aggregate outstanding borrowings under revolving credit facilities.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bookmarkStart w:id="101" w:name="ibe20ad7f100c426cbc97691857958da2"/>
      <w:bookmarkEnd w:id="101"/>
      <w:r>
        <w:rPr>
          <w:rFonts w:ascii="Times New Roman;serif" w:hAnsi="Times New Roman;serif"/>
          <w:b w:val="false"/>
          <w:i/>
          <w:color w:val="000000"/>
          <w:sz w:val="20"/>
        </w:rPr>
        <w:t>Other Contractual Obligations and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entered into a fixed price contract for the purchase of electrical power from 2028 through 2034 during the three and six months ended June 30, 2026. As a result, we expect to incur additional future electrical power costs of approximately $519 million in the aggregate through 2034. See Note 15—</w:t>
      </w:r>
      <w:hyperlink w:anchor="i72109fb793334acb85eafc0257cc53bf_85">
        <w:r>
          <w:rPr>
            <w:rStyle w:val="InternetLink"/>
            <w:rFonts w:ascii="Times New Roman;serif" w:hAnsi="Times New Roman;serif"/>
            <w:b w:val="false"/>
            <w:color w:val="0000FF"/>
            <w:sz w:val="20"/>
            <w:u w:val="single"/>
          </w:rPr>
          <w:t>Commitments and Contingencies</w:t>
        </w:r>
      </w:hyperlink>
      <w:r>
        <w:rPr>
          <w:color w:val="000000"/>
        </w:rPr>
        <w:t xml:space="preserve"> </w:t>
      </w:r>
      <w:r>
        <w:rPr>
          <w:rFonts w:ascii="Times New Roman;serif" w:hAnsi="Times New Roman;serif"/>
          <w:b w:val="false"/>
          <w:color w:val="000000"/>
          <w:sz w:val="20"/>
        </w:rPr>
        <w:t>of the notes to the condensed consolidated financial statements for further information regarding this commitment.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102" w:name="i2c4b0aad6d214e5d906bbfe9d8148f4d"/>
      <w:bookmarkEnd w:id="102"/>
      <w:r>
        <w:rPr>
          <w:rFonts w:ascii="Times New Roman;serif" w:hAnsi="Times New Roman;serif"/>
          <w:b w:val="false"/>
          <w:i/>
          <w:color w:val="000000"/>
          <w:sz w:val="20"/>
        </w:rPr>
        <w:t>Return of Capital Commitment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Beginning in the second quarter of 2026, our board of directors approved the removal of our minimum 50% return of capital quarterly commitment to allow the Company more discretion in the allocation of Free Cash Flow. Further, on July 30, 2026, our board of directors declared a base cash dividend for the second quarter of 2026 of $1.10 per share of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our board of directors approved an increase in our common stock repurchase program, from $8.0 billion to $16.0 billion, excluding the 1% U.S. federal excise tax on certain repurchases of stock by publicly traded U.S. corporations enacted as part of the IRA. Since the inception of the stock repurchase program through July 31, 2026, we have repurchased an aggregate of 43.0 million shares of our common stock for a total cost of $6.1 billion, which includes $814 million for the repurchase of 5.0 million shares from SGF, excluding excise tax, leaving approximately $9.9 billion for future repurchases under such stock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Subject to regulatory restrictions and other factors discussed elsewhere in this report,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however, the stock repurchase program is at the discretion of our board of directors and can be amended, terminated or suspended at any time. Repurchases may be executed in privately negotiated or open-market transactions, consistent with Rule 10b-18 under the Securities Exchange Act of 1934 and other applicable requirements. All shares repurchased will be retired. See Note 9—</w:t>
      </w:r>
      <w:hyperlink w:anchor="i72109fb793334acb85eafc0257cc53bf_67">
        <w:r>
          <w:rPr>
            <w:rStyle w:val="InternetLink"/>
            <w:rFonts w:ascii="Times New Roman;serif" w:hAnsi="Times New Roman;serif"/>
            <w:b w:val="false"/>
            <w:color w:val="0000FF"/>
            <w:sz w:val="20"/>
            <w:u w:val="single"/>
          </w:rPr>
          <w:t>Stockholders’ Equity and Earnings (Loss) Per Share</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our stock repurchase program.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103" w:name="ia5a3a1d3b143468f807dd432ea6350e7"/>
      <w:bookmarkEnd w:id="103"/>
      <w:r>
        <w:rPr>
          <w:rFonts w:ascii="Times New Roman;serif" w:hAnsi="Times New Roman;serif"/>
          <w:b/>
          <w:color w:val="000000"/>
          <w:sz w:val="20"/>
        </w:rPr>
        <w:t>Guarantor Financial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E&amp;P is the sole guarantor under the indentures governing the outstanding 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the Revolving Credit Facility and effectively subordinated to any of its existing and future secured indebtedness, to the extent of the value of the collateral securing such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01" w:type="dxa"/>
        <w:jc w:val="left"/>
        <w:tblInd w:w="0" w:type="dxa"/>
        <w:tblLayout w:type="fixed"/>
        <w:tblCellMar>
          <w:top w:w="28" w:type="dxa"/>
          <w:left w:w="28" w:type="dxa"/>
          <w:bottom w:w="28" w:type="dxa"/>
          <w:right w:w="28" w:type="dxa"/>
        </w:tblCellMar>
      </w:tblPr>
      <w:tblGrid>
        <w:gridCol w:w="1749"/>
        <w:gridCol w:w="1538"/>
        <w:gridCol w:w="1542"/>
        <w:gridCol w:w="234"/>
        <w:gridCol w:w="800"/>
        <w:gridCol w:w="121"/>
        <w:gridCol w:w="109"/>
        <w:gridCol w:w="109"/>
        <w:gridCol w:w="109"/>
        <w:gridCol w:w="309"/>
        <w:gridCol w:w="1056"/>
        <w:gridCol w:w="225"/>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Summarized Balance Sheets:</w:t>
            </w:r>
          </w:p>
        </w:tc>
        <w:tc>
          <w:tcPr>
            <w:tcW w:w="30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accounts payable, non-guarantor subsidiary</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78" w:type="dxa"/>
        <w:jc w:val="left"/>
        <w:tblInd w:w="0" w:type="dxa"/>
        <w:tblLayout w:type="fixed"/>
        <w:tblCellMar>
          <w:top w:w="28" w:type="dxa"/>
          <w:left w:w="28" w:type="dxa"/>
          <w:bottom w:w="28" w:type="dxa"/>
          <w:right w:w="28" w:type="dxa"/>
        </w:tblCellMar>
      </w:tblPr>
      <w:tblGrid>
        <w:gridCol w:w="1114"/>
        <w:gridCol w:w="979"/>
        <w:gridCol w:w="982"/>
        <w:gridCol w:w="595"/>
        <w:gridCol w:w="1738"/>
        <w:gridCol w:w="307"/>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Summarized Statement of Operations:</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Income (loss) from operations</w:t>
            </w:r>
            <w:r>
              <w:rPr>
                <w:rFonts w:ascii="Times New Roman;serif" w:hAnsi="Times New Roman;serif"/>
                <w:b w:val="false"/>
                <w:color w:val="000000"/>
                <w:sz w:val="13"/>
              </w:rPr>
              <w:t>(1)</w:t>
            </w:r>
          </w:p>
        </w:tc>
        <w:tc>
          <w:tcPr>
            <w:tcW w:w="5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5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(1)During the six months ended June 30, 2026, the Company recorded a non-cash impairment that is reflected in the summarized results of the guarantor group. This impairment is not indicative of cash flows available for debt service.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104" w:name="i5e8ac28bcb174d04a1430e01b3b43b79"/>
      <w:bookmarkEnd w:id="104"/>
      <w:r>
        <w:rPr>
          <w:rFonts w:ascii="Times New Roman;serif" w:hAnsi="Times New Roman;serif"/>
          <w:b/>
          <w:color w:val="000000"/>
          <w:sz w:val="20"/>
        </w:rPr>
        <w:t>Critical Accounting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There have been no changes in our critical accounting estimates from those disclosed in our </w:t>
      </w:r>
      <w:hyperlink r:id="rId6">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105" w:name="ic84b4b14aa334e2382f6275773f386f0"/>
      <w:bookmarkEnd w:id="105"/>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2—</w:t>
      </w:r>
      <w:hyperlink w:anchor="i72109fb793334acb85eafc0257cc53bf_46">
        <w:r>
          <w:rPr>
            <w:rStyle w:val="InternetLink"/>
            <w:rFonts w:ascii="Times New Roman;serif" w:hAnsi="Times New Roman;serif"/>
            <w:b w:val="false"/>
            <w:color w:val="0000FF"/>
            <w:sz w:val="20"/>
            <w:u w:val="single"/>
          </w:rPr>
          <w:t>Summary of Significant Accounting Policies</w:t>
        </w:r>
      </w:hyperlink>
      <w:r>
        <w:rPr>
          <w:color w:val="000000"/>
        </w:rPr>
        <w:t xml:space="preserve"> </w:t>
      </w:r>
      <w:r>
        <w:rPr>
          <w:rFonts w:ascii="Times New Roman;serif" w:hAnsi="Times New Roman;serif"/>
          <w:b w:val="false"/>
          <w:color w:val="000000"/>
          <w:sz w:val="20"/>
        </w:rPr>
        <w:t>of the notes to the condensed consolidated financial statements for recent accounting pronouncements not yet adopted, if 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06" w:name="ia56f55c9d30441559b16458f4ba31b1c"/>
      <w:bookmarkEnd w:id="106"/>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Other than the repayment and termination of the Viper 2025 Term Loan in the first quarter of 2026 and the repayment and termination of the 2025 Term Loan in the second quarter of 2026, information regarding market risks for the six months ended June 30, 2026 did not differ materially from that disclosed in </w:t>
      </w:r>
      <w:r>
        <w:fldChar w:fldCharType="begin"/>
      </w:r>
      <w:r>
        <w:rPr>
          <w:rStyle w:val="InternetLink"/>
          <w:sz w:val="20"/>
          <w:u w:val="single"/>
          <w:b w:val="false"/>
          <w:rFonts w:ascii="Times New Roman;serif" w:hAnsi="Times New Roman;serif"/>
          <w:color w:val="0000FF"/>
        </w:rPr>
        <w:instrText xml:space="preserve"> HYPERLINK "https://www.sec.gov/ix?doc=/Archives/edgar/data/1539838/000153983826000010/fang-20251231.htm" \l "i27ba2a247b584e1aae74c0210baff60c_121"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II. Item 7A. Quantitative and Qualitative Disclosures About Market Risk in our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07" w:name="ib34995b5649a4cba8bb9b065f8c93ed7"/>
      <w:bookmarkEnd w:id="107"/>
      <w:r>
        <w:rPr>
          <w:rFonts w:ascii="Times New Roman;serif" w:hAnsi="Times New Roman;serif"/>
          <w:b/>
          <w:color w:val="000000"/>
          <w:sz w:val="20"/>
        </w:rPr>
        <w:t>ITEM 4.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xml:space="preserve">. Under the direction of our Chief Executive Officer and Chief Financial Officer, we have established 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June 30, 2026,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Changes in Internal Control over Financial Reporting</w:t>
      </w:r>
      <w:r>
        <w:rPr>
          <w:rFonts w:ascii="Times New Roman;serif" w:hAnsi="Times New Roman;serif"/>
          <w:b w:val="false"/>
          <w:color w:val="000000"/>
          <w:sz w:val="20"/>
        </w:rPr>
        <w:t>. Viper is in the process of integrating the entities acquired in the Sitio Acquisition. As a result of these integration activities, certain controls will be evaluated and may be changed. Except as noted above, there have not been any changes in our internal control over financial reporting that occurred during the quarter ended June 30, 2026, that have materially affected, or are reasonably likely to materially affect, internal control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08" w:name="i487c4767d9454bebb96a5abd4372bbb6"/>
      <w:bookmarkEnd w:id="108"/>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09" w:name="i81e065dcfd0c43fa83868d7aa094607c"/>
      <w:bookmarkEnd w:id="109"/>
      <w:r>
        <w:rPr>
          <w:rFonts w:ascii="Times New Roman;serif" w:hAnsi="Times New Roman;serif"/>
          <w:b/>
          <w:color w:val="000000"/>
          <w:sz w:val="20"/>
        </w:rPr>
        <w:t>ITEM 1.    LEGAL PROCEEDINGS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Diamondback has elected to use a $1 million threshold for disclosing certain environmental proceedings to which a federal, state or local governmental authority is a party</w:t>
      </w:r>
      <w:r>
        <w:rPr>
          <w:rFonts w:ascii="Times New Roman;serif" w:hAnsi="Times New Roman;serif"/>
          <w:b/>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15—</w:t>
      </w:r>
      <w:hyperlink w:anchor="i72109fb793334acb85eafc0257cc53bf_85">
        <w:r>
          <w:rPr>
            <w:rStyle w:val="InternetLink"/>
            <w:rFonts w:ascii="Times New Roman;serif" w:hAnsi="Times New Roman;serif"/>
            <w:b w:val="false"/>
            <w:color w:val="0000FF"/>
            <w:sz w:val="20"/>
            <w:u w:val="single"/>
          </w:rPr>
          <w:t>Commitments and Contingencies</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10" w:name="i027ef4abafdf4a48bc3b6e3fecfd2134"/>
      <w:bookmarkEnd w:id="110"/>
      <w:r>
        <w:rPr>
          <w:rFonts w:ascii="Times New Roman;serif" w:hAnsi="Times New Roman;serif"/>
          <w:b/>
          <w:color w:val="000000"/>
          <w:sz w:val="20"/>
        </w:rPr>
        <w:t>ITEM 1A.    RISK FACTORS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of the date of this filing, we continue to be subject to the risk factors previously disclosed in </w:t>
      </w:r>
      <w:r>
        <w:fldChar w:fldCharType="begin"/>
      </w:r>
      <w:r>
        <w:rPr>
          <w:rStyle w:val="InternetLink"/>
          <w:sz w:val="20"/>
          <w:u w:val="single"/>
          <w:b w:val="false"/>
          <w:rFonts w:ascii="Times New Roman;serif" w:hAnsi="Times New Roman;serif"/>
          <w:color w:val="0000FF"/>
        </w:rPr>
        <w:instrText xml:space="preserve"> HYPERLINK "https://www.sec.gov/ix?doc=/Archives/edgar/data/1539838/000153983826000010/fang-20251231.htm" \l "i27ba2a247b584e1aae74c0210baff60c_46"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 Item 1A. Risk Factors in our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 xml:space="preserve">for the year ended December 31, 2025, filed with the SEC on February 25, 2026, and in subsequent filings we make with the SEC. There have been no material changes in our risk factors from those described in our </w:t>
      </w:r>
      <w:hyperlink r:id="rId7">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11" w:name="iec1070bcf5cb4ee9bbe3e61fa9a14f16"/>
      <w:bookmarkEnd w:id="111"/>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12" w:name="if9b42b2a478c491399466ffe7bc04db8"/>
      <w:bookmarkEnd w:id="112"/>
      <w:r>
        <w:rPr>
          <w:rFonts w:ascii="Times New Roman;serif" w:hAnsi="Times New Roman;serif"/>
          <w:b/>
          <w:color w:val="000000"/>
          <w:sz w:val="20"/>
        </w:rPr>
        <w:t>Unregistered Sales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13" w:name="ib815a581362a46d8a51bbd6d595fa997"/>
      <w:bookmarkEnd w:id="113"/>
      <w:r>
        <w:rPr>
          <w:rFonts w:ascii="Times New Roman;serif" w:hAnsi="Times New Roman;serif"/>
          <w:b/>
          <w:color w:val="000000"/>
          <w:sz w:val="20"/>
        </w:rPr>
        <w:t>Issuer Repurchases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repurchase activity for the three months ended June 30, 2026, and amounts that may yet be purchased as of June 30, 2026 were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11"/>
        <w:gridCol w:w="361"/>
        <w:gridCol w:w="367"/>
        <w:gridCol w:w="109"/>
        <w:gridCol w:w="109"/>
        <w:gridCol w:w="109"/>
        <w:gridCol w:w="495"/>
        <w:gridCol w:w="495"/>
        <w:gridCol w:w="496"/>
        <w:gridCol w:w="109"/>
        <w:gridCol w:w="109"/>
        <w:gridCol w:w="109"/>
        <w:gridCol w:w="295"/>
        <w:gridCol w:w="1011"/>
        <w:gridCol w:w="152"/>
        <w:gridCol w:w="109"/>
        <w:gridCol w:w="109"/>
        <w:gridCol w:w="109"/>
        <w:gridCol w:w="735"/>
        <w:gridCol w:w="735"/>
        <w:gridCol w:w="737"/>
        <w:gridCol w:w="109"/>
        <w:gridCol w:w="109"/>
        <w:gridCol w:w="109"/>
        <w:gridCol w:w="557"/>
        <w:gridCol w:w="1632"/>
        <w:gridCol w:w="418"/>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Approximate Dollar Value of Shares that May Yet Be Purchased Under the Plan</w:t>
            </w:r>
            <w:r>
              <w:rPr>
                <w:rFonts w:ascii="Times New Roman;serif" w:hAnsi="Times New Roman;serif"/>
                <w:b/>
                <w:color w:val="000000"/>
                <w:sz w:val="12"/>
              </w:rPr>
              <w:t>(3)(4)</w:t>
            </w:r>
          </w:p>
        </w:tc>
      </w:tr>
      <w:tr>
        <w:trPr/>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444 shares of common stock repurchased from executives in order to satisfy tax withholding requirements. Such shares are canceled and retired immediately upon repurchase.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(3)On July 30, 2026, our board of directors approved an increase in our common stock repurchase authorization from $8.0 billion to $16.0 billion, excluding excise tax. As of July 31, 2026, approximately $9.9 billion remains available for future repurchases under such stock repurchase program, excluding excise tax. The stock repurchase program has no time limit and may be suspended, modified, or discontinued by the board of directors at any time.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Inflation Reduction Act of 2022, which was enacted into law on August 16, 2022, imposed a nondeductible 1% excise tax on the net value of certain stock repurchases made after December 31, 2022. All dollar amounts presented exclude such excise taxes, as applicable.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bookmarkStart w:id="114" w:name="i20ac12a4f0c04d62bcb7075d8af1f6f8"/>
      <w:bookmarkEnd w:id="114"/>
      <w:r>
        <w:rPr>
          <w:rFonts w:ascii="Times New Roman;serif" w:hAnsi="Times New Roman;serif"/>
          <w:b/>
          <w:color w:val="000000"/>
          <w:sz w:val="20"/>
        </w:rPr>
        <w:t>ITEM 5.    OTHER INFORMATION</w:t>
      </w:r>
    </w:p>
    <w:p>
      <w:pPr>
        <w:pStyle w:val="TextBody"/>
        <w:bidi w:val="0"/>
        <w:spacing w:before="0" w:after="0"/>
        <w:ind w:left="0" w:right="0" w:firstLine="720"/>
        <w:jc w:val="both"/>
        <w:rPr/>
      </w:pPr>
      <w:r>
        <w:rPr/>
      </w:r>
    </w:p>
    <w:p>
      <w:pPr>
        <w:pStyle w:val="TextBody"/>
        <w:bidi w:val="0"/>
        <w:spacing w:lineRule="auto" w:line="288" w:before="0" w:after="0"/>
        <w:jc w:val="both"/>
        <w:rPr/>
      </w:pPr>
      <w:bookmarkStart w:id="115" w:name="ibc90187113344014a489f6e547dd87f2"/>
      <w:bookmarkEnd w:id="115"/>
      <w:r>
        <w:rPr>
          <w:rFonts w:ascii="Times New Roman;serif" w:hAnsi="Times New Roman;serif"/>
          <w:b/>
          <w:color w:val="000000"/>
          <w:sz w:val="20"/>
        </w:rPr>
        <w:t>Trading Arrangement</w:t>
      </w:r>
      <w:r>
        <w:rPr>
          <w:rFonts w:ascii="Times New Roman;serif" w:hAnsi="Times New Roman;serif"/>
          <w:b w:val="false"/>
          <w:color w:val="000000"/>
          <w:sz w:val="20"/>
        </w:rPr>
        <w: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or terminated a Rule 10b5-1 trading arrangement or a non-Rule 10b5-1 trading arrangement during the Company’s fiscal quarter ended June 30,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16" w:name="i6bdf0efc25ca4c5a99960a189d4704ee"/>
      <w:bookmarkEnd w:id="116"/>
      <w:r>
        <w:rPr>
          <w:rFonts w:ascii="Times New Roman;serif" w:hAnsi="Times New Roman;serif"/>
          <w:b/>
          <w:color w:val="000000"/>
          <w:sz w:val="20"/>
        </w:rPr>
        <w:t>Executive Retirement Policy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 2026, the compensation committee (the “Compensation Committee”) of the board of directors of the Company adopted the Diamondback Energy, Inc. Executive Retirement Policy (the “Executive Retirement Policy”), effective as of August 1, 2026, to provide for certain payments and benefits upon the qualifying retirement of an eligible employee of the Company, Diamondback E&amp;P LLC, or any other subsidiary or affiliate designated by the Compensation Committee, including the following named executive officers of the Company: Kaes Van’t Hof (Chief Executive Officer), Jere W. Thompson III (Chief Financial Officer), Teresa L. Dick (Executive Vice President of Accounting), Daniel Wesson (Chief Operating Officer) and Matt Zmigrosky (Chief Legal and Administrative Officer).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Executive Retirement Policy, a qualifying retirement generally occurs when a participant voluntarily retires from employment on or after the date on which (i) the participant has attained at least 55 years of age, (ii) the sum of the participant’s age and years of employment equals or exceeds 65, and (iii) the participant has completed at least 10 years of employment; in addition, the participant must provide at least six months’ advance written notice of his or her retirement.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a qualifying retirement, a participant will be entitled to:</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full accelerated vesting of all outstanding and unvested restricted stock units held by the participant that were granted on or after the effective date of the Executive Retirement Policy;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continued eligibility to vest in all outstanding performance stock units held by the participant, based on actual achievement of applicable performance goals, for up to 12 months following the participant’s retirement date (or 24 months for participants with at least 15 years of employment);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prorated target annual bonus for the year in which the retirement date occurs;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lump-sum cash payment equal to the participant’s monthly COBRA premium multiplied by the lesser of 18 and the number of months (including full and partial months) between the participant’s retirement date and the date on which the participant attains age 65.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qualifying retirement payments and benefits are subject to the participant’s execution of a general release of claims and continued compliance with applicable restrictive covenants.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Executive Retirement Policy does not purport to be complete and is qualified in its entirety by reference to the text of the Executive Retirement Policy, a copy of which is filed as an exhibit to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bookmarkStart w:id="117" w:name="i5f59d3b5345f4592b809d8ffe16fcd4d"/>
      <w:bookmarkEnd w:id="117"/>
      <w:r>
        <w:rPr>
          <w:rFonts w:ascii="Times New Roman;serif" w:hAnsi="Times New Roman;serif"/>
          <w:b/>
          <w:color w:val="000000"/>
          <w:sz w:val="20"/>
        </w:rPr>
        <w:t>ITEM 6.    EXHIBITS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84"/>
        <w:gridCol w:w="337"/>
        <w:gridCol w:w="339"/>
        <w:gridCol w:w="109"/>
        <w:gridCol w:w="109"/>
        <w:gridCol w:w="109"/>
        <w:gridCol w:w="2631"/>
        <w:gridCol w:w="2548"/>
        <w:gridCol w:w="3639"/>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pPr>
            <w:r>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8" w:type="dxa"/>
            <w:gridSpan w:val="3"/>
            <w:tcBorders/>
            <w:vAlign w:val="center"/>
          </w:tcPr>
          <w:p>
            <w:pPr>
              <w:pStyle w:val="TableContents"/>
              <w:bidi w:val="0"/>
              <w:spacing w:before="0" w:after="283"/>
              <w:jc w:val="left"/>
              <w:rPr>
                <w:sz w:val="4"/>
                <w:szCs w:val="4"/>
              </w:rPr>
            </w:pPr>
            <w:r>
              <w:rPr>
                <w:sz w:val="4"/>
                <w:szCs w:val="4"/>
              </w:rPr>
            </w:r>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8" w:type="dxa"/>
            <w:gridSpan w:val="3"/>
            <w:tcBorders/>
            <w:vAlign w:val="center"/>
          </w:tcPr>
          <w:p>
            <w:pPr>
              <w:pStyle w:val="TableContents"/>
              <w:bidi w:val="0"/>
              <w:spacing w:before="0" w:after="283"/>
              <w:jc w:val="left"/>
              <w:rPr>
                <w:sz w:val="4"/>
                <w:szCs w:val="4"/>
              </w:rPr>
            </w:pPr>
            <w:r>
              <w:rPr>
                <w:sz w:val="4"/>
                <w:szCs w:val="4"/>
              </w:rPr>
            </w:r>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8" w:type="dxa"/>
            <w:gridSpan w:val="3"/>
            <w:tcBorders/>
            <w:vAlign w:val="center"/>
          </w:tcPr>
          <w:p>
            <w:pPr>
              <w:pStyle w:val="TableContents"/>
              <w:bidi w:val="0"/>
              <w:spacing w:before="0" w:after="283"/>
              <w:jc w:val="left"/>
              <w:rPr>
                <w:sz w:val="4"/>
                <w:szCs w:val="4"/>
              </w:rPr>
            </w:pPr>
            <w:r>
              <w:rPr>
                <w:sz w:val="4"/>
                <w:szCs w:val="4"/>
              </w:rPr>
            </w:r>
          </w:p>
        </w:tc>
      </w:tr>
      <w:tr>
        <w:trPr/>
        <w:tc>
          <w:tcPr>
            <w:tcW w:w="10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Second Amended and Restated Certificate of Incorporation of the Company (incorporated by reference to Exhibit 3.1 to the Form 8-K, File No. 001-35700, filed by the Company with the SEC on June 14, 2023).</w:t>
              </w:r>
            </w:hyperlink>
          </w:p>
        </w:tc>
      </w:tr>
      <w:tr>
        <w:trPr/>
        <w:tc>
          <w:tcPr>
            <w:tcW w:w="1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Certificate of Amendment No. 1 to Second Amended and Restated Certificate of Incorporation of the Company (incorporated by reference to Exhibit 3.1 to the Form 8-K, File No. 001-35700, filed by the Company with the SEC on September 10, 2024).</w:t>
              </w:r>
            </w:hyperlink>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8" w:type="dxa"/>
            <w:gridSpan w:val="3"/>
            <w:tcBorders/>
            <w:vAlign w:val="center"/>
          </w:tcPr>
          <w:p>
            <w:pPr>
              <w:pStyle w:val="TableContents"/>
              <w:bidi w:val="0"/>
              <w:spacing w:before="0" w:after="283"/>
              <w:jc w:val="left"/>
              <w:rPr>
                <w:sz w:val="4"/>
                <w:szCs w:val="4"/>
              </w:rPr>
            </w:pPr>
            <w:r>
              <w:rPr>
                <w:sz w:val="4"/>
                <w:szCs w:val="4"/>
              </w:rPr>
            </w:r>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8" w:type="dxa"/>
            <w:gridSpan w:val="3"/>
            <w:tcBorders/>
            <w:vAlign w:val="center"/>
          </w:tcPr>
          <w:p>
            <w:pPr>
              <w:pStyle w:val="TableContents"/>
              <w:bidi w:val="0"/>
              <w:spacing w:before="0" w:after="283"/>
              <w:jc w:val="left"/>
              <w:rPr>
                <w:sz w:val="4"/>
                <w:szCs w:val="4"/>
              </w:rPr>
            </w:pPr>
            <w:r>
              <w:rPr>
                <w:sz w:val="4"/>
                <w:szCs w:val="4"/>
              </w:rPr>
            </w:r>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8" w:type="dxa"/>
            <w:gridSpan w:val="3"/>
            <w:tcBorders/>
            <w:vAlign w:val="center"/>
          </w:tcPr>
          <w:p>
            <w:pPr>
              <w:pStyle w:val="TableContents"/>
              <w:bidi w:val="0"/>
              <w:spacing w:before="0" w:after="283"/>
              <w:jc w:val="left"/>
              <w:rPr>
                <w:sz w:val="4"/>
                <w:szCs w:val="4"/>
              </w:rPr>
            </w:pPr>
            <w:r>
              <w:rPr>
                <w:sz w:val="4"/>
                <w:szCs w:val="4"/>
              </w:rPr>
            </w:r>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8" w:type="dxa"/>
            <w:gridSpan w:val="3"/>
            <w:tcBorders/>
            <w:vAlign w:val="center"/>
          </w:tcPr>
          <w:p>
            <w:pPr>
              <w:pStyle w:val="TableContents"/>
              <w:bidi w:val="0"/>
              <w:spacing w:before="0" w:after="283"/>
              <w:jc w:val="left"/>
              <w:rPr>
                <w:sz w:val="4"/>
                <w:szCs w:val="4"/>
              </w:rPr>
            </w:pPr>
            <w:r>
              <w:rPr>
                <w:sz w:val="4"/>
                <w:szCs w:val="4"/>
              </w:rPr>
            </w:r>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8" w:type="dxa"/>
            <w:gridSpan w:val="3"/>
            <w:tcBorders/>
            <w:vAlign w:val="center"/>
          </w:tcPr>
          <w:p>
            <w:pPr>
              <w:pStyle w:val="TableContents"/>
              <w:bidi w:val="0"/>
              <w:spacing w:before="0" w:after="283"/>
              <w:jc w:val="left"/>
              <w:rPr>
                <w:sz w:val="4"/>
                <w:szCs w:val="4"/>
              </w:rPr>
            </w:pPr>
            <w:r>
              <w:rPr>
                <w:sz w:val="4"/>
                <w:szCs w:val="4"/>
              </w:rPr>
            </w:r>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8" w:type="dxa"/>
            <w:gridSpan w:val="3"/>
            <w:tcBorders/>
            <w:vAlign w:val="center"/>
          </w:tcPr>
          <w:p>
            <w:pPr>
              <w:pStyle w:val="TableContents"/>
              <w:bidi w:val="0"/>
              <w:spacing w:before="0" w:after="283"/>
              <w:jc w:val="left"/>
              <w:rPr>
                <w:sz w:val="4"/>
                <w:szCs w:val="4"/>
              </w:rPr>
            </w:pPr>
            <w:r>
              <w:rPr>
                <w:sz w:val="4"/>
                <w:szCs w:val="4"/>
              </w:rPr>
            </w:r>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8" w:type="dxa"/>
            <w:gridSpan w:val="3"/>
            <w:tcBorders/>
            <w:vAlign w:val="center"/>
          </w:tcPr>
          <w:p>
            <w:pPr>
              <w:pStyle w:val="TableContents"/>
              <w:bidi w:val="0"/>
              <w:spacing w:before="0" w:after="283"/>
              <w:jc w:val="left"/>
              <w:rPr>
                <w:sz w:val="4"/>
                <w:szCs w:val="4"/>
              </w:rPr>
            </w:pPr>
            <w:r>
              <w:rPr>
                <w:sz w:val="4"/>
                <w:szCs w:val="4"/>
              </w:rPr>
            </w:r>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8" w:type="dxa"/>
            <w:gridSpan w:val="3"/>
            <w:tcBorders/>
            <w:vAlign w:val="center"/>
          </w:tcPr>
          <w:p>
            <w:pPr>
              <w:pStyle w:val="TableContents"/>
              <w:bidi w:val="0"/>
              <w:spacing w:before="0" w:after="283"/>
              <w:jc w:val="left"/>
              <w:rPr>
                <w:sz w:val="4"/>
                <w:szCs w:val="4"/>
              </w:rPr>
            </w:pPr>
            <w:r>
              <w:rPr>
                <w:sz w:val="4"/>
                <w:szCs w:val="4"/>
              </w:rPr>
            </w:r>
          </w:p>
        </w:tc>
      </w:tr>
      <w:tr>
        <w:trPr/>
        <w:tc>
          <w:tcPr>
            <w:tcW w:w="1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80"/>
                  <w:sz w:val="20"/>
                  <w:u w:val="single"/>
                </w:rPr>
                <w:t>Seventeenth</w:t>
              </w:r>
            </w:hyperlink>
            <w:hyperlink r:id="rId11">
              <w:r>
                <w:rPr>
                  <w:rStyle w:val="InternetLink"/>
                  <w:rFonts w:ascii="Times New Roman;serif" w:hAnsi="Times New Roman;serif"/>
                  <w:b w:val="false"/>
                  <w:color w:val="000080"/>
                  <w:sz w:val="20"/>
                  <w:u w:val="single"/>
                </w:rPr>
                <w:t xml:space="preserve"> Amendment to Second Amended and Restated Credit Agreement, dated as of June 12, 202</w:t>
              </w:r>
            </w:hyperlink>
            <w:hyperlink r:id="rId12">
              <w:r>
                <w:rPr>
                  <w:rStyle w:val="InternetLink"/>
                  <w:rFonts w:ascii="Times New Roman;serif" w:hAnsi="Times New Roman;serif"/>
                  <w:b w:val="false"/>
                  <w:color w:val="000080"/>
                  <w:sz w:val="20"/>
                  <w:u w:val="single"/>
                </w:rPr>
                <w:t>6</w:t>
              </w:r>
            </w:hyperlink>
            <w:hyperlink r:id="rId13">
              <w:r>
                <w:rPr>
                  <w:rStyle w:val="InternetLink"/>
                  <w:rFonts w:ascii="Times New Roman;serif" w:hAnsi="Times New Roman;serif"/>
                  <w:b w:val="false"/>
                  <w:color w:val="000080"/>
                  <w:sz w:val="20"/>
                  <w:u w:val="single"/>
                </w:rPr>
                <w:t>, by and among the Company, as borrower, the lenders and other parties party thereto, and Wells Fargo Bank, National Association, as administrative agent (incorporated by reference to Exhibit 10.1 to the Form 8-K, File No 001-35700, filed by the Company with the SEC on June 1</w:t>
              </w:r>
            </w:hyperlink>
            <w:hyperlink r:id="rId14">
              <w:r>
                <w:rPr>
                  <w:rStyle w:val="InternetLink"/>
                  <w:rFonts w:ascii="Times New Roman;serif" w:hAnsi="Times New Roman;serif"/>
                  <w:b w:val="false"/>
                  <w:color w:val="000080"/>
                  <w:sz w:val="20"/>
                  <w:u w:val="single"/>
                </w:rPr>
                <w:t>5</w:t>
              </w:r>
            </w:hyperlink>
            <w:hyperlink r:id="rId15">
              <w:r>
                <w:rPr>
                  <w:rStyle w:val="InternetLink"/>
                  <w:rFonts w:ascii="Times New Roman;serif" w:hAnsi="Times New Roman;serif"/>
                  <w:b w:val="false"/>
                  <w:color w:val="000080"/>
                  <w:sz w:val="20"/>
                  <w:u w:val="single"/>
                </w:rPr>
                <w:t>, 202</w:t>
              </w:r>
            </w:hyperlink>
            <w:hyperlink r:id="rId16">
              <w:r>
                <w:rPr>
                  <w:rStyle w:val="InternetLink"/>
                  <w:rFonts w:ascii="Times New Roman;serif" w:hAnsi="Times New Roman;serif"/>
                  <w:b w:val="false"/>
                  <w:color w:val="000080"/>
                  <w:sz w:val="20"/>
                  <w:u w:val="single"/>
                </w:rPr>
                <w:t>6</w:t>
              </w:r>
            </w:hyperlink>
            <w:hyperlink r:id="rId17">
              <w:r>
                <w:rPr>
                  <w:rStyle w:val="InternetLink"/>
                  <w:rFonts w:ascii="Times New Roman;serif" w:hAnsi="Times New Roman;serif"/>
                  <w:b w:val="false"/>
                  <w:color w:val="000080"/>
                  <w:sz w:val="20"/>
                  <w:u w:val="single"/>
                </w:rPr>
                <w:t>).</w:t>
              </w:r>
            </w:hyperlink>
          </w:p>
        </w:tc>
      </w:tr>
      <w:tr>
        <w:trPr/>
        <w:tc>
          <w:tcPr>
            <w:tcW w:w="1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First Amendment to Credit Agreement, dated as of June 12, 2026, by and among, New Viper, Former Viper, Viper Energy Partners LP, as borrower, the lenders and guarantors party thereto, and Wells Fargo Bank, National Association, as Administrative Agent (incorporated by reference to Exhibit 10.1 of New Viper’s Form 8-K (File No. 001-42807), filed on June 15, 2026).</w:t>
              </w:r>
            </w:hyperlink>
          </w:p>
        </w:tc>
      </w:tr>
      <w:tr>
        <w:trPr/>
        <w:tc>
          <w:tcPr>
            <w:tcW w:w="1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22026diamondback10-qxex103.htm">
              <w:r>
                <w:rPr>
                  <w:rStyle w:val="InternetLink"/>
                  <w:rFonts w:ascii="Times New Roman;serif" w:hAnsi="Times New Roman;serif"/>
                  <w:b w:val="false"/>
                  <w:color w:val="000080"/>
                  <w:sz w:val="20"/>
                  <w:u w:val="single"/>
                </w:rPr>
                <w:t>D</w:t>
              </w:r>
            </w:hyperlink>
            <w:hyperlink w:anchor="q22026diamondback10-qxex103.htm">
              <w:r>
                <w:rPr>
                  <w:rStyle w:val="InternetLink"/>
                  <w:rFonts w:ascii="Times New Roman;serif" w:hAnsi="Times New Roman;serif"/>
                  <w:b w:val="false"/>
                  <w:color w:val="000080"/>
                  <w:sz w:val="20"/>
                  <w:u w:val="single"/>
                </w:rPr>
                <w:t>iamondback Energy, Inc. Executive Retirement Policy</w:t>
              </w:r>
            </w:hyperlink>
          </w:p>
        </w:tc>
      </w:tr>
      <w:tr>
        <w:trPr/>
        <w:tc>
          <w:tcPr>
            <w:tcW w:w="1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List of Issuers and Subsidiary Guarantors (incorporated by reference to Exhibit 22.1 to the Form 10-Q, File No. 001-35700, filed by the Company with the SEC on August 5, 2021).</w:t>
              </w:r>
            </w:hyperlink>
          </w:p>
        </w:tc>
      </w:tr>
      <w:tr>
        <w:trPr/>
        <w:tc>
          <w:tcPr>
            <w:tcW w:w="1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22026diamondback10-qxex311.htm">
              <w:r>
                <w:rPr>
                  <w:rStyle w:val="InternetLink"/>
                  <w:rFonts w:ascii="Times New Roman;serif" w:hAnsi="Times New Roman;serif"/>
                  <w:b w:val="false"/>
                  <w:color w:val="0000FF"/>
                  <w:sz w:val="20"/>
                  <w:u w:val="single"/>
                </w:rPr>
                <w:t>Certification of Chief Executive Officer of the Registrant pursuant to Rule 13a-14(a) promulgated under the Securities Exchange Act of 1934, as amended.</w:t>
              </w:r>
            </w:hyperlink>
          </w:p>
        </w:tc>
      </w:tr>
      <w:tr>
        <w:trPr/>
        <w:tc>
          <w:tcPr>
            <w:tcW w:w="1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22026diamondback10-qxex312.htm">
              <w:r>
                <w:rPr>
                  <w:rStyle w:val="InternetLink"/>
                  <w:rFonts w:ascii="Times New Roman;serif" w:hAnsi="Times New Roman;serif"/>
                  <w:b w:val="false"/>
                  <w:color w:val="0000FF"/>
                  <w:sz w:val="20"/>
                  <w:u w:val="single"/>
                </w:rPr>
                <w:t>Certification of Chief Financial Officer of the Registrant pursuant to Rule 13a-14(a) promulgated under the Securities Exchange Act of 1934, as amended.</w:t>
              </w:r>
            </w:hyperlink>
          </w:p>
        </w:tc>
      </w:tr>
      <w:tr>
        <w:trPr/>
        <w:tc>
          <w:tcPr>
            <w:tcW w:w="1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22026diamondback10-qxex321.htm">
              <w:r>
                <w:rPr>
                  <w:rStyle w:val="InternetLink"/>
                  <w:rFonts w:ascii="Times New Roman;serif" w:hAnsi="Times New Roman;serif"/>
                  <w:b w:val="false"/>
                  <w:color w:val="0000FF"/>
                  <w:sz w:val="20"/>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1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22026diamondback10-qxex322.htm">
              <w:r>
                <w:rPr>
                  <w:rStyle w:val="InternetLink"/>
                  <w:rFonts w:ascii="Times New Roman;serif" w:hAnsi="Times New Roman;serif"/>
                  <w:b w:val="false"/>
                  <w:color w:val="0000FF"/>
                  <w:sz w:val="20"/>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1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quarter ended June 30, 2026, formatted in Inline XBRL: (i) Condensed Consolidated Balance Sheets, (ii) Condensed Consolidated Statements of Operations, (iii) Condensed Consolidated Statements of Stockholders’ Equity, (iv) Condensed Consolidated Statements of Cash Flows, and (v) Notes to the Condensed Consolidated Financial Statements.</w:t>
            </w:r>
          </w:p>
        </w:tc>
      </w:tr>
      <w:tr>
        <w:trPr/>
        <w:tc>
          <w:tcPr>
            <w:tcW w:w="1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192"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Schedules have been omitted pursuant to Item 601(a)(5) of Regulation S-K promulgated by the SEC. The Company agrees to furnish supplementally a copy of any omitted schedule or exhibit to the SEC upon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Management contract, compensatory plan or arrangement.</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2109fb793334acb85eafc0257cc53b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18" w:name="idc6cacabefb549bab4c57c2dbb9f7fd3"/>
      <w:bookmarkEnd w:id="118"/>
      <w:r>
        <w:rPr>
          <w:rFonts w:ascii="Times New Roman;serif" w:hAnsi="Times New Roman;serif"/>
          <w:b/>
          <w:color w:val="000000"/>
          <w:sz w:val="20"/>
        </w:rPr>
        <w:t>SIGNATURES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479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847"/>
        <w:gridCol w:w="847"/>
        <w:gridCol w:w="12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10.3</w:t>
      </w:r>
    </w:p>
    <w:tbl>
      <w:tblPr>
        <w:tblW w:w="4064" w:type="dxa"/>
        <w:jc w:val="left"/>
        <w:tblInd w:w="0" w:type="dxa"/>
        <w:tblLayout w:type="fixed"/>
        <w:tblCellMar>
          <w:top w:w="28" w:type="dxa"/>
          <w:left w:w="28" w:type="dxa"/>
          <w:bottom w:w="28" w:type="dxa"/>
          <w:right w:w="28" w:type="dxa"/>
        </w:tblCellMar>
      </w:tblPr>
      <w:tblGrid>
        <w:gridCol w:w="1300"/>
        <w:gridCol w:w="1143"/>
        <w:gridCol w:w="1621"/>
      </w:tblGrid>
      <w:tr>
        <w:trPr/>
        <w:tc>
          <w:tcPr>
            <w:tcW w:w="13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DIAMONDBACK ENERGY, INC.</w:t>
            </w:r>
          </w:p>
          <w:p>
            <w:pPr>
              <w:pStyle w:val="TableContents"/>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EXECUTIVE RETIREMENT POLICY</w:t>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1</w:t>
        <w:br/>
        <w:t>INTRODUCTION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Diamondback Energy,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established this Diamondback Energy, Inc. Executive Retirement Policy (as amended from time to time, the “</w:t>
      </w:r>
      <w:r>
        <w:rPr>
          <w:rFonts w:ascii="Times New Roman;serif" w:hAnsi="Times New Roman;serif"/>
          <w:b w:val="false"/>
          <w:color w:val="000000"/>
          <w:sz w:val="22"/>
          <w:u w:val="single"/>
        </w:rPr>
        <w:t>Retirement Policy</w:t>
      </w:r>
      <w:r>
        <w:rPr>
          <w:color w:val="000000"/>
        </w:rPr>
        <w:t>”</w:t>
      </w:r>
      <w:r>
        <w:rPr>
          <w:rFonts w:ascii="Times New Roman;serif" w:hAnsi="Times New Roman;serif"/>
          <w:b w:val="false"/>
          <w:color w:val="000000"/>
          <w:sz w:val="22"/>
        </w:rPr>
        <w:t>), effective as of August 1, 2026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xml:space="preserve">), to provide for certain payments and benefits to Participants upon a Qualifying Retirement.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2</w:t>
        <w:br/>
        <w:t>DEFINITIONS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Capitalized terms used but not otherwise defined in the Retirement Policy shall have their respective meanings specified below. </w:t>
      </w:r>
    </w:p>
    <w:p>
      <w:pPr>
        <w:pStyle w:val="TextBody"/>
        <w:bidi w:val="0"/>
        <w:spacing w:lineRule="auto" w:line="288" w:before="0" w:after="240"/>
        <w:ind w:left="0" w:right="0" w:firstLine="720"/>
        <w:jc w:val="both"/>
        <w:rPr/>
      </w:pPr>
      <w:r>
        <w:rPr>
          <w:rFonts w:ascii="Times New Roman;serif" w:hAnsi="Times New Roman;serif"/>
          <w:b w:val="false"/>
          <w:color w:val="000000"/>
          <w:sz w:val="22"/>
        </w:rPr>
        <w:t>2.1    “</w:t>
      </w:r>
      <w:r>
        <w:rPr>
          <w:rFonts w:ascii="Times New Roman;serif" w:hAnsi="Times New Roman;serif"/>
          <w:b w:val="false"/>
          <w:color w:val="000000"/>
          <w:sz w:val="22"/>
          <w:u w:val="single"/>
        </w:rPr>
        <w:t>Administrator</w:t>
      </w:r>
      <w:r>
        <w:rPr>
          <w:color w:val="000000"/>
        </w:rPr>
        <w:t xml:space="preserve">” </w:t>
      </w:r>
      <w:r>
        <w:rPr>
          <w:rFonts w:ascii="Times New Roman;serif" w:hAnsi="Times New Roman;serif"/>
          <w:b w:val="false"/>
          <w:color w:val="000000"/>
          <w:sz w:val="22"/>
        </w:rPr>
        <w:t>means the Committee, or its delegate, or such other committee or person appointed by the Board of Directors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2.2    “</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any parent corporation or subsidiary corporation of the Company, whether now or hereafter existing, as those terms are defined in Sections 424(e) and (f), respectively, of the Code, and any individual, partnership, corporation, limited liability company, association, joint stock company, trust, joint venture or unincorporated organization that directly, or indirectly through one or more intermediaries, controls, is controlled by, or is under common control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2.3    “</w:t>
      </w:r>
      <w:r>
        <w:rPr>
          <w:rFonts w:ascii="Times New Roman;serif" w:hAnsi="Times New Roman;serif"/>
          <w:b w:val="false"/>
          <w:color w:val="000000"/>
          <w:sz w:val="22"/>
          <w:u w:val="single"/>
        </w:rPr>
        <w:t>COBRA</w:t>
      </w:r>
      <w:r>
        <w:rPr>
          <w:color w:val="000000"/>
        </w:rPr>
        <w:t xml:space="preserve">” </w:t>
      </w:r>
      <w:r>
        <w:rPr>
          <w:rFonts w:ascii="Times New Roman;serif" w:hAnsi="Times New Roman;serif"/>
          <w:b w:val="false"/>
          <w:color w:val="000000"/>
          <w:sz w:val="22"/>
        </w:rPr>
        <w:t>means the group health plan continuation coverage provisions of the Consolidated Omnibus Budget Reconciliation Act of 1985, as amended.</w:t>
      </w:r>
    </w:p>
    <w:p>
      <w:pPr>
        <w:pStyle w:val="TextBody"/>
        <w:bidi w:val="0"/>
        <w:spacing w:lineRule="auto" w:line="288" w:before="0" w:after="240"/>
        <w:ind w:left="0" w:right="0" w:firstLine="720"/>
        <w:jc w:val="both"/>
        <w:rPr/>
      </w:pPr>
      <w:r>
        <w:rPr>
          <w:rFonts w:ascii="Times New Roman;serif" w:hAnsi="Times New Roman;serif"/>
          <w:b w:val="false"/>
          <w:color w:val="000000"/>
          <w:sz w:val="22"/>
        </w:rPr>
        <w:t>2.4    “</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Internal Revenue Code of 1986, as amended, and the regulations thereunder.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2.5    “</w:t>
      </w:r>
      <w:r>
        <w:rPr>
          <w:rFonts w:ascii="Times New Roman;serif" w:hAnsi="Times New Roman;serif"/>
          <w:b w:val="false"/>
          <w:color w:val="000000"/>
          <w:sz w:val="22"/>
          <w:u w:val="single"/>
        </w:rPr>
        <w:t>Committee</w:t>
      </w:r>
      <w:r>
        <w:rPr>
          <w:color w:val="000000"/>
        </w:rPr>
        <w:t xml:space="preserve">” </w:t>
      </w:r>
      <w:r>
        <w:rPr>
          <w:rFonts w:ascii="Times New Roman;serif" w:hAnsi="Times New Roman;serif"/>
          <w:b w:val="false"/>
          <w:color w:val="000000"/>
          <w:sz w:val="22"/>
        </w:rPr>
        <w:t>means the Compensation Committee of the Board of Directors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2.6    “</w:t>
      </w:r>
      <w:r>
        <w:rPr>
          <w:rFonts w:ascii="Times New Roman;serif" w:hAnsi="Times New Roman;serif"/>
          <w:b w:val="false"/>
          <w:color w:val="000000"/>
          <w:sz w:val="22"/>
          <w:u w:val="single"/>
        </w:rPr>
        <w:t>Employer</w:t>
      </w:r>
      <w:r>
        <w:rPr>
          <w:color w:val="000000"/>
        </w:rPr>
        <w:t xml:space="preserve">” </w:t>
      </w:r>
      <w:r>
        <w:rPr>
          <w:rFonts w:ascii="Times New Roman;serif" w:hAnsi="Times New Roman;serif"/>
          <w:b w:val="false"/>
          <w:color w:val="000000"/>
          <w:sz w:val="22"/>
        </w:rPr>
        <w:t>means the Company, Diamondback E&amp;P LLC or any other subsidiary or Affiliate that is designated by the Committee as an Employer under this Retirement Policy.</w:t>
      </w:r>
    </w:p>
    <w:p>
      <w:pPr>
        <w:pStyle w:val="TextBody"/>
        <w:bidi w:val="0"/>
        <w:spacing w:lineRule="auto" w:line="288" w:before="0" w:after="240"/>
        <w:ind w:left="0" w:right="0" w:firstLine="720"/>
        <w:jc w:val="both"/>
        <w:rPr/>
      </w:pPr>
      <w:r>
        <w:rPr>
          <w:rFonts w:ascii="Times New Roman;serif" w:hAnsi="Times New Roman;serif"/>
          <w:b w:val="false"/>
          <w:color w:val="000000"/>
          <w:sz w:val="22"/>
        </w:rPr>
        <w:t>2.7    “</w:t>
      </w:r>
      <w:r>
        <w:rPr>
          <w:rFonts w:ascii="Times New Roman;serif" w:hAnsi="Times New Roman;serif"/>
          <w:b w:val="false"/>
          <w:color w:val="000000"/>
          <w:sz w:val="22"/>
          <w:u w:val="single"/>
        </w:rPr>
        <w:t>LTI Award</w:t>
      </w:r>
      <w:r>
        <w:rPr>
          <w:color w:val="000000"/>
        </w:rPr>
        <w:t xml:space="preserve">” </w:t>
      </w:r>
      <w:r>
        <w:rPr>
          <w:rFonts w:ascii="Times New Roman;serif" w:hAnsi="Times New Roman;serif"/>
          <w:b w:val="false"/>
          <w:color w:val="000000"/>
          <w:sz w:val="22"/>
        </w:rPr>
        <w:t>means any long-term incentive award (including any award of restricted stock units (“</w:t>
      </w:r>
      <w:r>
        <w:rPr>
          <w:rFonts w:ascii="Times New Roman;serif" w:hAnsi="Times New Roman;serif"/>
          <w:b w:val="false"/>
          <w:color w:val="000000"/>
          <w:sz w:val="22"/>
          <w:u w:val="single"/>
        </w:rPr>
        <w:t>RSUs</w:t>
      </w:r>
      <w:r>
        <w:rPr>
          <w:color w:val="000000"/>
        </w:rPr>
        <w:t>”</w:t>
      </w:r>
      <w:r>
        <w:rPr>
          <w:rFonts w:ascii="Times New Roman;serif" w:hAnsi="Times New Roman;serif"/>
          <w:b w:val="false"/>
          <w:color w:val="000000"/>
          <w:sz w:val="22"/>
        </w:rPr>
        <w:t>) and performance stock units (“</w:t>
      </w:r>
      <w:r>
        <w:rPr>
          <w:rFonts w:ascii="Times New Roman;serif" w:hAnsi="Times New Roman;serif"/>
          <w:b w:val="false"/>
          <w:color w:val="000000"/>
          <w:sz w:val="22"/>
          <w:u w:val="single"/>
        </w:rPr>
        <w:t>PSUs</w:t>
      </w:r>
      <w:r>
        <w:rPr>
          <w:color w:val="000000"/>
        </w:rPr>
        <w:t>”</w:t>
      </w:r>
      <w:r>
        <w:rPr>
          <w:rFonts w:ascii="Times New Roman;serif" w:hAnsi="Times New Roman;serif"/>
          <w:b w:val="false"/>
          <w:color w:val="000000"/>
          <w:sz w:val="22"/>
        </w:rPr>
        <w:t>)) covering common stock of the Company or its Affiliates granted under (i) the Diamondback Energy, Inc. 2021 Amended and Restated Equity Incentive Plan, (ii) the Viper Energy, Inc. 2024 Amended and Restated Long Term Incentive Plan or (iii) the Viper Energy, Inc. Amended and Restated 2014 Long Term Incentive Plan (as amended), in each case, as may be amended and restated or any successor equity incentive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2.8    “</w:t>
      </w:r>
      <w:r>
        <w:rPr>
          <w:rFonts w:ascii="Times New Roman;serif" w:hAnsi="Times New Roman;serif"/>
          <w:b w:val="false"/>
          <w:color w:val="000000"/>
          <w:sz w:val="22"/>
          <w:u w:val="single"/>
        </w:rPr>
        <w:t>Officer</w:t>
      </w:r>
      <w:r>
        <w:rPr>
          <w:color w:val="000000"/>
        </w:rPr>
        <w:t xml:space="preserve">” </w:t>
      </w:r>
      <w:r>
        <w:rPr>
          <w:rFonts w:ascii="Times New Roman;serif" w:hAnsi="Times New Roman;serif"/>
          <w:b w:val="false"/>
          <w:color w:val="000000"/>
          <w:sz w:val="22"/>
        </w:rPr>
        <w:t>means any employee of an Employer who holds the title of Vice President, Senior Vice President, Executive Vice President, President or Chief Executive Officer of the Employer or Viper Energy, Inc.</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54" name="Frame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2.9    “</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 xml:space="preserve">means each Officer who, as of immediately prior to such Officer’s termination of employment, is employed by an Employer; </w:t>
      </w:r>
      <w:r>
        <w:rPr>
          <w:rFonts w:ascii="Times New Roman;serif" w:hAnsi="Times New Roman;serif"/>
          <w:b w:val="false"/>
          <w:i/>
          <w:color w:val="000000"/>
          <w:sz w:val="22"/>
        </w:rPr>
        <w:t>provided</w:t>
      </w:r>
      <w:r>
        <w:rPr>
          <w:rFonts w:ascii="Times New Roman;serif" w:hAnsi="Times New Roman;serif"/>
          <w:b w:val="false"/>
          <w:color w:val="000000"/>
          <w:sz w:val="22"/>
        </w:rPr>
        <w:t>, that “Participant” excludes any Officer who, at the time of his or her termination of employment, (a) is covered by an individual arrangement with the Company or an Affiliate thereof that provides for retirement payments and/or benefits, or (b) is participating in another retirement program sponsored or maintained by the Company or an Affiliate thereof that provides for retirement payments and/or benefits (other than a tax-qualified retirement program, such as a 401(k) plan, or a deferred compensation program that provides for payment in connection with a separation from service from the Company or its Affiliate).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2.10    “</w:t>
      </w:r>
      <w:r>
        <w:rPr>
          <w:rFonts w:ascii="Times New Roman;serif" w:hAnsi="Times New Roman;serif"/>
          <w:b w:val="false"/>
          <w:color w:val="000000"/>
          <w:sz w:val="22"/>
          <w:u w:val="single"/>
        </w:rPr>
        <w:t>Qualifying Retirement</w:t>
      </w:r>
      <w:r>
        <w:rPr>
          <w:color w:val="000000"/>
        </w:rPr>
        <w:t xml:space="preserve">” </w:t>
      </w:r>
      <w:r>
        <w:rPr>
          <w:rFonts w:ascii="Times New Roman;serif" w:hAnsi="Times New Roman;serif"/>
          <w:b w:val="false"/>
          <w:color w:val="000000"/>
          <w:sz w:val="22"/>
        </w:rPr>
        <w:t xml:space="preserve">means, with respect to any Participant, the Participant’s termination of employment due to a voluntary retirement from the Participant’s Employer on or after the date on which (i) the Participant has attained at least 55 years of age, (ii) the sum of the Participant’s age (measured in years) and Years of Employment equals or exceeds 65, and (iii) the Participant has completed at least 10 Years of Employment,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Participant has provided the Company with at least six months’ advance written notice of the Participant’s retirement (the “</w:t>
      </w:r>
      <w:r>
        <w:rPr>
          <w:rFonts w:ascii="Times New Roman;serif" w:hAnsi="Times New Roman;serif"/>
          <w:b w:val="false"/>
          <w:color w:val="000000"/>
          <w:sz w:val="22"/>
          <w:u w:val="single"/>
        </w:rPr>
        <w:t>Retirement Notice Period</w:t>
      </w:r>
      <w:r>
        <w:rPr>
          <w:color w:val="000000"/>
        </w:rPr>
        <w:t>”</w:t>
      </w:r>
      <w:r>
        <w:rPr>
          <w:rFonts w:ascii="Times New Roman;serif" w:hAnsi="Times New Roman;serif"/>
          <w:b w:val="false"/>
          <w:color w:val="000000"/>
          <w:sz w:val="22"/>
        </w:rPr>
        <w:t>). The Committee may, in its sole discretion, waive all or any portion of the Retirement Notice Period. Notwithstanding the foregoing, if the Participant incurs a termination of employment for any reason during such Retirement Notice Period (other than due to the Participant’s Qualifying Retirement), such termination of employment shall not be deemed to have occurred by reason of the Participant’s Qualifying Retirement for the purposes of this Retirement Policy. For the avoidance of doubt, in no event shall a Participant’s termination of employment by the Company for or without Cause, by such Participant for Good Reason or due to such Participant’s death or Disability (each capitalized term as defined in the Severance Plan) following the date on which the Retirement Notice is delivered to the Company constitute a Qualifying Retirement.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2.11    “</w:t>
      </w:r>
      <w:r>
        <w:rPr>
          <w:rFonts w:ascii="Times New Roman;serif" w:hAnsi="Times New Roman;serif"/>
          <w:b w:val="false"/>
          <w:color w:val="000000"/>
          <w:sz w:val="22"/>
          <w:u w:val="single"/>
        </w:rPr>
        <w:t>Retirement Date</w:t>
      </w:r>
      <w:r>
        <w:rPr>
          <w:color w:val="000000"/>
        </w:rPr>
        <w:t xml:space="preserve">” </w:t>
      </w:r>
      <w:r>
        <w:rPr>
          <w:rFonts w:ascii="Times New Roman;serif" w:hAnsi="Times New Roman;serif"/>
          <w:b w:val="false"/>
          <w:color w:val="000000"/>
          <w:sz w:val="22"/>
        </w:rPr>
        <w:t>means the date on which a Participant’s employment with an Employer terminates due to his or her Qualifying Retirement.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2.12    “</w:t>
      </w:r>
      <w:r>
        <w:rPr>
          <w:rFonts w:ascii="Times New Roman;serif" w:hAnsi="Times New Roman;serif"/>
          <w:b w:val="false"/>
          <w:color w:val="000000"/>
          <w:sz w:val="22"/>
          <w:u w:val="single"/>
        </w:rPr>
        <w:t>Severance Plan</w:t>
      </w:r>
      <w:r>
        <w:rPr>
          <w:color w:val="000000"/>
        </w:rPr>
        <w:t xml:space="preserve">” </w:t>
      </w:r>
      <w:r>
        <w:rPr>
          <w:rFonts w:ascii="Times New Roman;serif" w:hAnsi="Times New Roman;serif"/>
          <w:b w:val="false"/>
          <w:color w:val="000000"/>
          <w:sz w:val="22"/>
        </w:rPr>
        <w:t>means the Diamondback Energy, Inc. Amended and Restated Senior Management Severance Plan, as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2.13    “</w:t>
      </w:r>
      <w:r>
        <w:rPr>
          <w:rFonts w:ascii="Times New Roman;serif" w:hAnsi="Times New Roman;serif"/>
          <w:b w:val="false"/>
          <w:color w:val="000000"/>
          <w:sz w:val="22"/>
          <w:u w:val="single"/>
        </w:rPr>
        <w:t>Target Annual Award</w:t>
      </w:r>
      <w:r>
        <w:rPr>
          <w:color w:val="000000"/>
        </w:rPr>
        <w:t xml:space="preserve">” </w:t>
      </w:r>
      <w:r>
        <w:rPr>
          <w:rFonts w:ascii="Times New Roman;serif" w:hAnsi="Times New Roman;serif"/>
          <w:b w:val="false"/>
          <w:color w:val="000000"/>
          <w:sz w:val="22"/>
        </w:rPr>
        <w:t xml:space="preserve">means, with respect to any Participant, such Participant’s target annual bonus award under the Diamondback Energy, Inc. Executive Annual Incentive Compensation Plan (or any successor thereto), if any, for the calendar year in which the Retirement Date occurs. </w:t>
      </w:r>
    </w:p>
    <w:p>
      <w:pPr>
        <w:pStyle w:val="TextBody"/>
        <w:bidi w:val="0"/>
        <w:spacing w:lineRule="auto" w:line="288" w:before="0" w:after="240"/>
        <w:ind w:left="0" w:right="0" w:firstLine="720"/>
        <w:jc w:val="both"/>
        <w:rPr/>
      </w:pPr>
      <w:r>
        <w:rPr>
          <w:rFonts w:ascii="Times New Roman;serif" w:hAnsi="Times New Roman;serif"/>
          <w:b w:val="false"/>
          <w:color w:val="000000"/>
          <w:sz w:val="22"/>
        </w:rPr>
        <w:t>2.14    “</w:t>
      </w:r>
      <w:r>
        <w:rPr>
          <w:rFonts w:ascii="Times New Roman;serif" w:hAnsi="Times New Roman;serif"/>
          <w:b w:val="false"/>
          <w:color w:val="000000"/>
          <w:sz w:val="22"/>
          <w:u w:val="single"/>
        </w:rPr>
        <w:t>Years of Employment</w:t>
      </w:r>
      <w:r>
        <w:rPr>
          <w:color w:val="000000"/>
        </w:rPr>
        <w:t xml:space="preserve">” </w:t>
      </w:r>
      <w:r>
        <w:rPr>
          <w:rFonts w:ascii="Times New Roman;serif" w:hAnsi="Times New Roman;serif"/>
          <w:b w:val="false"/>
          <w:color w:val="000000"/>
          <w:sz w:val="22"/>
        </w:rPr>
        <w:t>means the aggregate period of time, expressed as a number of whole years and fractions thereof, during which the Participant served as an employee of the Company, an Employer, any Affiliate or any predecessor thereof. Employment need not be continuous.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3</w:t>
        <w:br/>
        <w:t>EFFECT OF A QUALIFYING RETIREMENT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3.1    </w:t>
      </w:r>
      <w:r>
        <w:rPr>
          <w:rFonts w:ascii="Times New Roman;serif" w:hAnsi="Times New Roman;serif"/>
          <w:b/>
          <w:color w:val="000000"/>
          <w:sz w:val="22"/>
          <w:u w:val="single"/>
        </w:rPr>
        <w:t>Effect of a Qualifying Retirement</w:t>
      </w:r>
      <w:r>
        <w:rPr>
          <w:rFonts w:ascii="Times New Roman;serif" w:hAnsi="Times New Roman;serif"/>
          <w:b w:val="false"/>
          <w:color w:val="000000"/>
          <w:sz w:val="22"/>
        </w:rPr>
        <w:t>. If a Participant experiences a Qualifying Retirement, then, subject to the satisfaction of the requirements in Section 3.2, the Participant shall be entitled to the Accrued Obligations and Prior Year Bonus, each as described in Sections 2.1(a) and (b) of the Severance Plan, respectively, as well as the following payments and benefits (collectively, the “</w:t>
      </w:r>
      <w:r>
        <w:rPr>
          <w:rFonts w:ascii="Times New Roman;serif" w:hAnsi="Times New Roman;serif"/>
          <w:b w:val="false"/>
          <w:color w:val="000000"/>
          <w:sz w:val="22"/>
          <w:u w:val="single"/>
        </w:rPr>
        <w:t>Retirement Benefits</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i/>
          <w:color w:val="000000"/>
          <w:sz w:val="22"/>
        </w:rPr>
        <w:t>LTI Awards</w:t>
      </w:r>
      <w:r>
        <w:rPr>
          <w:rFonts w:ascii="Times New Roman;serif" w:hAnsi="Times New Roman;serif"/>
          <w:b w:val="false"/>
          <w:color w:val="000000"/>
          <w:sz w:val="22"/>
        </w:rPr>
        <w:t>. All outstanding and unvested RSUs held by the Participant as of the Retirement Date that were granted on or after the Effective Date shall accelerate and become fully vested as of the Retirement Date. All outstanding PSUs held by the Participant as of the Retirement Date shall remain outstanding for up to the 12 months following the Retirement Date (or, for a Participant with 15 or more Years of Employment as of the Retirement Date, for up to 24 months following the Retirement Date), and shall remain eligible to vest based on the actual achievement of the applicable performance goals for the applicable performance period(s) ending during such 12-month or 24-month period (as applicable). Any portion of a PSU award that does not vest within the applicable period due to failure to achieve applicable performance goals shall be canceled and forfeited without any consideration therefor as of the last day of the applicable performance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i/>
          <w:color w:val="000000"/>
          <w:sz w:val="22"/>
        </w:rPr>
        <w:t>Prorated Target Annual Award</w:t>
      </w:r>
      <w:r>
        <w:rPr>
          <w:rFonts w:ascii="Times New Roman;serif" w:hAnsi="Times New Roman;serif"/>
          <w:b w:val="false"/>
          <w:color w:val="000000"/>
          <w:sz w:val="22"/>
        </w:rPr>
        <w:t>. To the extent not paid or payable under the terms of the Diamondback Energy, Inc. Executive Annual Incentive Compensation Plan, or any successor thereto, the Employer shall pay to the Participant a lump sum amount in cash equal to the Participant’s target annual bonus for the year that includes the Retirement Date, prorated to reflect the number of days that the Participant was employed by an Employer or an Affiliate during such calendar year. Such prorated target annual bonus amount shall be paid on the first regularly scheduled payroll date following the day that the Release becomes effective and irrevocable in accordance with its terms and in any event no later than March 15 of the calendar year following the calendar year in which the Retirement Date occurs. Notwithstanding the foregoing, if the Participant’s Retirement Date occurs on December 31 of any calendar year, the Participant shall instead receive an annual bonus payment for such calendar year based on actual Company performance, payable at the same time and on the same terms as annual bonuses are paid to other similarly situated employees of the Employer.</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i/>
          <w:color w:val="000000"/>
          <w:sz w:val="22"/>
        </w:rPr>
        <w:t>COBRA Payment</w:t>
      </w:r>
      <w:r>
        <w:rPr>
          <w:rFonts w:ascii="Times New Roman;serif" w:hAnsi="Times New Roman;serif"/>
          <w:b w:val="false"/>
          <w:color w:val="000000"/>
          <w:sz w:val="22"/>
        </w:rPr>
        <w:t>. Provided that the Participant is eligible for group health plan continuation coverage under COBRA for the Participant and/or the Participant’s eligible dependents under an Employer’s or an Affiliate’s group health plans, the Employer shall pay to the Participant a single lump-sum cash payment equal to the monthly COBRA premium (at the coverage level in effect for the Participant immediately prior to the Retirement Date) as of the Retirement Date, multiplied by the lesser of (i) 18 and (ii) the number of months (including full and partial months) between the Participant’s Retirement Date and the date on which the Participant attains age 65; provided, however, that COBRA premiums for any health flexible spending accounts or health reimbursement arrangements shall be disregarded for purposes of this calculation. Such payment shall be made no later than 74 days following the Retirement Date and shall be subject to applicable tax withholding.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3.2    </w:t>
      </w:r>
      <w:r>
        <w:rPr>
          <w:rFonts w:ascii="Times New Roman;serif" w:hAnsi="Times New Roman;serif"/>
          <w:b/>
          <w:color w:val="000000"/>
          <w:sz w:val="22"/>
          <w:u w:val="single"/>
        </w:rPr>
        <w:t>Conditions to Qualifying Retirement Treatment</w:t>
      </w:r>
      <w:r>
        <w:rPr>
          <w:rFonts w:ascii="Times New Roman;serif" w:hAnsi="Times New Roman;serif"/>
          <w:b w:val="false"/>
          <w:color w:val="000000"/>
          <w:sz w:val="22"/>
        </w:rPr>
        <w:t>. As a condition to any Participant’s eligibility for the Retirement Benefits, (i) such Participant must execute, within 45 days following receipt of a waiver and general release of claims in a form prescribed by the Company (the “</w:t>
      </w:r>
      <w:r>
        <w:rPr>
          <w:rFonts w:ascii="Times New Roman;serif" w:hAnsi="Times New Roman;serif"/>
          <w:b w:val="false"/>
          <w:color w:val="000000"/>
          <w:sz w:val="22"/>
          <w:u w:val="single"/>
        </w:rPr>
        <w:t>Release</w:t>
      </w:r>
      <w:r>
        <w:rPr>
          <w:color w:val="000000"/>
        </w:rPr>
        <w:t>”</w:t>
      </w:r>
      <w:r>
        <w:rPr>
          <w:rFonts w:ascii="Times New Roman;serif" w:hAnsi="Times New Roman;serif"/>
          <w:b w:val="false"/>
          <w:color w:val="000000"/>
          <w:sz w:val="22"/>
        </w:rPr>
        <w:t xml:space="preserve">) (or such shorter period as set forth in the Release), and the Release must become effective and irrevocable in accordance with its terms within 60 days following such Participant’s Retirement Date, and (ii) the Participant must continue to comply with the restrictive covenants under Article 3 of the Severance Plan, which restrictive covenants are incorporated herein by reference as if set forth in full herein,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4</w:t>
        <w:br/>
        <w:t xml:space="preserve">ADMINISTRATION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Administrator shall administer the Retirement Policy, and as such is authorized to take all actions and make all determinations contemplated by the Retirement Policy and to adopt, amend and repeal such administrative rules, guidelines and practices relating to the Retirement Policy as it shall deem advisable. The Administrator shall make all determinations and interpretations under the Retirement Policy in its sole discretion. No member of the Administrator (or person acting on behalf of the Administrator) shall be liable for any action or determination or interpretation made in good faith with respect to the Retirement Policy and/or any Retirement Benefits.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5</w:t>
        <w:b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2"/>
        </w:rPr>
        <w:t>5.1    </w:t>
      </w:r>
      <w:r>
        <w:rPr>
          <w:rFonts w:ascii="Times New Roman;serif" w:hAnsi="Times New Roman;serif"/>
          <w:b/>
          <w:color w:val="000000"/>
          <w:sz w:val="22"/>
          <w:u w:val="single"/>
        </w:rPr>
        <w:t>Authority to Amend and Terminate</w:t>
      </w:r>
      <w:r>
        <w:rPr>
          <w:rFonts w:ascii="Times New Roman;serif" w:hAnsi="Times New Roman;serif"/>
          <w:b w:val="false"/>
          <w:color w:val="000000"/>
          <w:sz w:val="22"/>
        </w:rPr>
        <w:t xml:space="preserve">. The Retirement Policy may be wholly or partially amended or otherwise modified, suspended or terminated at any time and from time to time by the Committee in its sole discretion; </w:t>
      </w:r>
      <w:r>
        <w:rPr>
          <w:rFonts w:ascii="Times New Roman;serif" w:hAnsi="Times New Roman;serif"/>
          <w:b w:val="false"/>
          <w:i/>
          <w:color w:val="000000"/>
          <w:sz w:val="22"/>
        </w:rPr>
        <w:t>provided</w:t>
      </w:r>
      <w:r>
        <w:rPr>
          <w:rFonts w:ascii="Times New Roman;serif" w:hAnsi="Times New Roman;serif"/>
          <w:b w:val="false"/>
          <w:color w:val="000000"/>
          <w:sz w:val="22"/>
        </w:rPr>
        <w:t>, that no such amendment, modification, suspension or termination shall, without the express written consent of the affected Participant, materially impair the rights of any Participant who has experienced a Qualifying Retirement on or prior to such amendment, modification, suspension or termination. Notwithstanding the foregoing, from and after the consummation of a Change in Control (as defined in the Severance Plan), this Retirement Policy may not be amended, modified, suspended or terminated except with the express written consent of each Participant who would be adversely affected by any such amendment, modification, suspension or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5.2    </w:t>
      </w:r>
      <w:r>
        <w:rPr>
          <w:rFonts w:ascii="Times New Roman;serif" w:hAnsi="Times New Roman;serif"/>
          <w:b/>
          <w:color w:val="000000"/>
          <w:sz w:val="22"/>
          <w:u w:val="single"/>
        </w:rPr>
        <w:t>Participants Bound; Limited Applicability</w:t>
      </w:r>
      <w:r>
        <w:rPr>
          <w:rFonts w:ascii="Times New Roman;serif" w:hAnsi="Times New Roman;serif"/>
          <w:b w:val="false"/>
          <w:color w:val="000000"/>
          <w:sz w:val="22"/>
        </w:rPr>
        <w:t>. Any determination or other action taken by the Administrator with respect to the Retirement Policy, or any action authorized by or taken at the direction of the Administrator, in any case, in good faith, shall be binding and conclusive upon all Participants and all other interested parties under the Retirement Policy. Unless otherwise expressly provided herein or in a written agreement between the Company and any Participant, in no event shall this Retirement Policy apply to any right other than the Retirement Benefits, including without limitation, any severance right or other LTI Award or other award not subject to the Retirement Policy.</w:t>
      </w:r>
    </w:p>
    <w:p>
      <w:pPr>
        <w:pStyle w:val="TextBody"/>
        <w:bidi w:val="0"/>
        <w:spacing w:lineRule="auto" w:line="288" w:before="0" w:after="240"/>
        <w:ind w:left="0" w:right="0" w:firstLine="720"/>
        <w:jc w:val="both"/>
        <w:rPr/>
      </w:pPr>
      <w:r>
        <w:rPr>
          <w:rFonts w:ascii="Times New Roman;serif" w:hAnsi="Times New Roman;serif"/>
          <w:b w:val="false"/>
          <w:color w:val="000000"/>
          <w:sz w:val="22"/>
        </w:rPr>
        <w:t>5.3    </w:t>
      </w:r>
      <w:r>
        <w:rPr>
          <w:rFonts w:ascii="Times New Roman;serif" w:hAnsi="Times New Roman;serif"/>
          <w:b/>
          <w:color w:val="000000"/>
          <w:sz w:val="22"/>
          <w:u w:val="single"/>
        </w:rPr>
        <w:t>Governing Law; Severability</w:t>
      </w:r>
      <w:r>
        <w:rPr>
          <w:rFonts w:ascii="Times New Roman;serif" w:hAnsi="Times New Roman;serif"/>
          <w:b w:val="false"/>
          <w:color w:val="000000"/>
          <w:sz w:val="22"/>
        </w:rPr>
        <w:t>. The Retirement Policy shall be administered, interpreted and enforced under the internal laws of the State of Delaware without regard to conflicts of laws thereof or of any other jurisdiction. If any provision is held by a court of competent jurisdiction to be invalid or unenforceable for any reason, said illegality or invalidity shall not affect the remaining provisions hereof; instead, each provision shall be fully severable and the Retirement Policy shall be construed and enforced as if said illegal or invalid provision had never been included 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5.4    </w:t>
      </w:r>
      <w:r>
        <w:rPr>
          <w:rFonts w:ascii="Times New Roman;serif" w:hAnsi="Times New Roman;serif"/>
          <w:b/>
          <w:color w:val="000000"/>
          <w:sz w:val="22"/>
          <w:u w:val="single"/>
        </w:rPr>
        <w:t>Jurisdiction and Venue</w:t>
      </w:r>
      <w:r>
        <w:rPr>
          <w:rFonts w:ascii="Times New Roman;serif" w:hAnsi="Times New Roman;serif"/>
          <w:b w:val="false"/>
          <w:color w:val="000000"/>
          <w:sz w:val="22"/>
        </w:rPr>
        <w:t xml:space="preserve">. Exclusive jurisdiction and venue of all disputes arising out of or relating to this Retirement Policy shall be in any court of appropriate jurisdiction in Midland, Texas, or if such courts do not have jurisdiction or shall not accept jurisdiction, in any court of general jurisdiction in the State of Texas. All Participants hereby irrevocably consent to the exclusive jurisdiction by any such court with respect to any such proceeding and hereby irrevocably waive, and agree not to assert, by way of motion, as a defense, counterclaim or otherwise (a) any claim that such Participant is not personally subject to the jurisdiction of the above-named courts for any reason other than by failure to lawfully serve process, (b) that such Participant or such Participant’s property is exempt or immune from the jurisdiction of any such court or from any legal process commenced in such courts, and (c) to the fullest extent permitted by applicable law, that (i) the action or proceeding is brought in an inconvenient forum, (ii)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venue of such action or proceeding is improper and (iii) this Retirement Policy or the subject matter thereof may not be enforced in or by such courts. The provisions of this Section 5.4 shall survive and remain in effect until all obligations are satisfied, notwithstanding any termination of this Retirement Policy.</w:t>
      </w:r>
    </w:p>
    <w:p>
      <w:pPr>
        <w:pStyle w:val="TextBody"/>
        <w:bidi w:val="0"/>
        <w:spacing w:lineRule="auto" w:line="288" w:before="0" w:after="240"/>
        <w:ind w:left="0" w:right="0" w:firstLine="720"/>
        <w:jc w:val="both"/>
        <w:rPr/>
      </w:pPr>
      <w:r>
        <w:rPr>
          <w:rFonts w:ascii="Times New Roman;serif" w:hAnsi="Times New Roman;serif"/>
          <w:b w:val="false"/>
          <w:color w:val="000000"/>
          <w:sz w:val="22"/>
        </w:rPr>
        <w:t>5.5    </w:t>
      </w:r>
      <w:r>
        <w:rPr>
          <w:rFonts w:ascii="Times New Roman;serif" w:hAnsi="Times New Roman;serif"/>
          <w:b/>
          <w:color w:val="000000"/>
          <w:sz w:val="22"/>
          <w:u w:val="single"/>
        </w:rPr>
        <w:t>Waiver of Trial by Jury</w:t>
      </w:r>
      <w:r>
        <w:rPr>
          <w:rFonts w:ascii="Times New Roman;serif" w:hAnsi="Times New Roman;serif"/>
          <w:b w:val="false"/>
          <w:color w:val="000000"/>
          <w:sz w:val="22"/>
        </w:rPr>
        <w:t>. To the extent not prohibited by applicable law, each Participant under this Retirement Policy hereby waives, and covenants that such Participant shall not assert (whether as plaintiff, defendant or otherwise), their respective right to a jury trial of any permitted claim or cause of action arising out of this Retirement Policy or any dealings between any of the parties hereto relating to the subject matter of this Retirement Policy. This waiver and covenant is irrevocable and shall apply to any subsequent amendments, supplements or other modifications to this Retirement Policy.</w:t>
      </w:r>
    </w:p>
    <w:p>
      <w:pPr>
        <w:pStyle w:val="TextBody"/>
        <w:bidi w:val="0"/>
        <w:spacing w:lineRule="auto" w:line="288" w:before="0" w:after="240"/>
        <w:ind w:left="0" w:right="0" w:firstLine="720"/>
        <w:jc w:val="both"/>
        <w:rPr/>
      </w:pPr>
      <w:r>
        <w:rPr>
          <w:rFonts w:ascii="Times New Roman;serif" w:hAnsi="Times New Roman;serif"/>
          <w:b w:val="false"/>
          <w:color w:val="000000"/>
          <w:sz w:val="22"/>
        </w:rPr>
        <w:t>5.6    </w:t>
      </w:r>
      <w:r>
        <w:rPr>
          <w:rFonts w:ascii="Times New Roman;serif" w:hAnsi="Times New Roman;serif"/>
          <w:b/>
          <w:color w:val="000000"/>
          <w:sz w:val="22"/>
          <w:u w:val="single"/>
        </w:rPr>
        <w:t>Section 409A</w:t>
      </w:r>
      <w:r>
        <w:rPr>
          <w:rFonts w:ascii="Times New Roman;serif" w:hAnsi="Times New Roman;serif"/>
          <w:b w:val="false"/>
          <w:color w:val="000000"/>
          <w:sz w:val="22"/>
        </w:rPr>
        <w:t>. To the extent applicable, the Retirement Policy shall be interpreted and applied consistent and in accordance with Code Section 409A and Department of Treasury regulations and other interpretive guidance issued thereunder (collectively, “</w:t>
      </w:r>
      <w:r>
        <w:rPr>
          <w:rFonts w:ascii="Times New Roman;serif" w:hAnsi="Times New Roman;serif"/>
          <w:b w:val="false"/>
          <w:color w:val="000000"/>
          <w:sz w:val="22"/>
          <w:u w:val="single"/>
        </w:rPr>
        <w:t>Section 409A</w:t>
      </w:r>
      <w:r>
        <w:rPr>
          <w:color w:val="000000"/>
        </w:rPr>
        <w:t>”</w:t>
      </w:r>
      <w:r>
        <w:rPr>
          <w:rFonts w:ascii="Times New Roman;serif" w:hAnsi="Times New Roman;serif"/>
          <w:b w:val="false"/>
          <w:color w:val="000000"/>
          <w:sz w:val="22"/>
        </w:rPr>
        <w:t xml:space="preserve">). In addition, to the extent that the Administrator determines that any payments or benefits under the Retirement Policy may not be either compliant with or exempt from Section 409A, the Administrator may in its sole discretion adopt such amendments to the Retirement Policy or take such other actions that the Administrator determines are necessary or appropriate to (a) exempt the compensation and benefits payable under the Retirement Policy from Section 409A and/or preserve the intended tax treatment of such compensation and benefits, or (b) comply with the requirements of Section 409A and related Department of Treasury guidance; provided, however, that this Section 5.6 shall not create any obligation on the part of the Administrator to adopt any such amendment or take any other action, nor shall the Company have any liability for failing to do so. For purposes of Section 409A, each payment under this Retirement Policy (including the right to receive any installment payments) will be treated as a separate payment. With respect to any provision of the Retirement Policy providing for the payment of any amounts or benefits that constitute “nonqualified deferred compensation” under Section 409A, references to a “termination,” “termination of employment” or like terms shall mean “separation from service”. Notwithstanding anything to the contrary in this Retirement Policy, to the extent delayed commencement of any portion of the payments or benefits to be made to the Participant under this Retirement Policy is required to avoid a prohibited payment under Section 409A(a)(2)(B)(i) of the Code, such portion of the payments and benefits shall be delayed and paid on the first business day after the earlier of (i) the date that is six months following the Participant’s “separation from service” with the Company, the Employer or their Affiliates (within the meaning of Section 409A) or (ii) the Participant’s death. Further notwithstanding anything in the Retirement Policy to the contrary, any payments or benefits subject to Section 409A that are subject to execution of a Release which may be executed and/or revoked in a calendar year following the calendar year in which the termination of employment occurs shall commence payment only in the calendar year in which the consideration period or, if applicable, release revocation period ends, as necessary to comply with Section 409A. </w:t>
      </w:r>
    </w:p>
    <w:p>
      <w:pPr>
        <w:pStyle w:val="TextBody"/>
        <w:bidi w:val="0"/>
        <w:spacing w:lineRule="auto" w:line="288" w:before="0" w:after="240"/>
        <w:ind w:left="0" w:right="0" w:firstLine="720"/>
        <w:jc w:val="both"/>
        <w:rPr/>
      </w:pPr>
      <w:r>
        <w:rPr>
          <w:rFonts w:ascii="Times New Roman;serif" w:hAnsi="Times New Roman;serif"/>
          <w:b w:val="false"/>
          <w:color w:val="000000"/>
          <w:sz w:val="22"/>
        </w:rPr>
        <w:t>5.7    </w:t>
      </w:r>
      <w:r>
        <w:rPr>
          <w:rFonts w:ascii="Times New Roman;serif" w:hAnsi="Times New Roman;serif"/>
          <w:b/>
          <w:color w:val="000000"/>
          <w:sz w:val="22"/>
          <w:u w:val="single"/>
        </w:rPr>
        <w:t>Withholding</w:t>
      </w:r>
      <w:r>
        <w:rPr>
          <w:rFonts w:ascii="Times New Roman;serif" w:hAnsi="Times New Roman;serif"/>
          <w:b w:val="false"/>
          <w:color w:val="000000"/>
          <w:sz w:val="22"/>
        </w:rPr>
        <w:t xml:space="preserve">. The Company, the Employer and their Affiliates shall have the authority and the right to deduct and withhold an amount sufficient to satisfy federal, state, local and foreign taxes required by law to be withheld with respect to any Retirement Benefits payable or provided under the Retirement Policy.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5.8    </w:t>
      </w:r>
      <w:r>
        <w:rPr>
          <w:rFonts w:ascii="Times New Roman;serif" w:hAnsi="Times New Roman;serif"/>
          <w:b/>
          <w:color w:val="000000"/>
          <w:sz w:val="22"/>
          <w:u w:val="single"/>
        </w:rPr>
        <w:t>Unfunded Status</w:t>
      </w:r>
      <w:r>
        <w:rPr>
          <w:rFonts w:ascii="Times New Roman;serif" w:hAnsi="Times New Roman;serif"/>
          <w:b w:val="false"/>
          <w:color w:val="000000"/>
          <w:sz w:val="22"/>
        </w:rPr>
        <w:t>. The Retirement Policy is intended to be an “unfunded” plan for incentive compensation. With respect to any Retirement Benefits not yet paid or provided to a Participant, nothing contained in the Retirement Policy shall give the Participant any rights that are greater than those of a general creditor of the Company, the Employer or any other Affiliate.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5.9    </w:t>
      </w:r>
      <w:r>
        <w:rPr>
          <w:rFonts w:ascii="Times New Roman;serif" w:hAnsi="Times New Roman;serif"/>
          <w:b/>
          <w:color w:val="000000"/>
          <w:sz w:val="22"/>
          <w:u w:val="single"/>
        </w:rPr>
        <w:t>Benefits Not Assignable</w:t>
      </w:r>
      <w:r>
        <w:rPr>
          <w:rFonts w:ascii="Times New Roman;serif" w:hAnsi="Times New Roman;serif"/>
          <w:b w:val="false"/>
          <w:color w:val="000000"/>
          <w:sz w:val="22"/>
        </w:rPr>
        <w:t>. Except as otherwise provided herein or by law, no right or interest of any Participant under the Retirement Policy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the Retirement Policy shall be liable for, or subject to, any obligation or liability of such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5.10    </w:t>
      </w:r>
      <w:r>
        <w:rPr>
          <w:rFonts w:ascii="Times New Roman;serif" w:hAnsi="Times New Roman;serif"/>
          <w:b/>
          <w:color w:val="000000"/>
          <w:sz w:val="22"/>
          <w:u w:val="single"/>
        </w:rPr>
        <w:t>Retirement Benefits Obligations</w:t>
      </w:r>
      <w:r>
        <w:rPr>
          <w:rFonts w:ascii="Times New Roman;serif" w:hAnsi="Times New Roman;serif"/>
          <w:b w:val="false"/>
          <w:color w:val="000000"/>
          <w:sz w:val="22"/>
        </w:rPr>
        <w:t>. Notwithstanding anything contained herein, Retirement Benefits paid or provided under the Retirement Policy may be paid or provided by the Company or the Employer,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5.11    </w:t>
      </w:r>
      <w:r>
        <w:rPr>
          <w:rFonts w:ascii="Times New Roman;serif" w:hAnsi="Times New Roman;serif"/>
          <w:b/>
          <w:color w:val="000000"/>
          <w:sz w:val="22"/>
          <w:u w:val="single"/>
        </w:rPr>
        <w:t>Company Successors</w:t>
      </w:r>
      <w:r>
        <w:rPr>
          <w:rFonts w:ascii="Times New Roman;serif" w:hAnsi="Times New Roman;serif"/>
          <w:b w:val="false"/>
          <w:color w:val="000000"/>
          <w:sz w:val="22"/>
        </w:rPr>
        <w:t>. The Retirement Policy shall inure to the benefit of and shall be binding upon the Company, the Employer and their successors and assigns. Any successor (whether direct or indirect and whether by purchase, lease, merger, consolidation, liquidation or otherwise) to all or substantially all of the Company’s or the Employer’s business and/or assets shall assume and agree to perform the obligations of the Company or the Employer under the Retirement Policy.</w:t>
      </w:r>
    </w:p>
    <w:p>
      <w:pPr>
        <w:pStyle w:val="TextBody"/>
        <w:bidi w:val="0"/>
        <w:spacing w:lineRule="auto" w:line="288" w:before="0" w:after="240"/>
        <w:ind w:left="0" w:right="0" w:firstLine="720"/>
        <w:jc w:val="both"/>
        <w:rPr/>
      </w:pPr>
      <w:r>
        <w:rPr>
          <w:rFonts w:ascii="Times New Roman;serif" w:hAnsi="Times New Roman;serif"/>
          <w:b w:val="false"/>
          <w:color w:val="000000"/>
          <w:sz w:val="22"/>
        </w:rPr>
        <w:t>5.12    </w:t>
      </w:r>
      <w:r>
        <w:rPr>
          <w:rFonts w:ascii="Times New Roman;serif" w:hAnsi="Times New Roman;serif"/>
          <w:b/>
          <w:color w:val="000000"/>
          <w:sz w:val="22"/>
          <w:u w:val="single"/>
        </w:rPr>
        <w:t>No Contract</w:t>
      </w:r>
      <w:r>
        <w:rPr>
          <w:rFonts w:ascii="Times New Roman;serif" w:hAnsi="Times New Roman;serif"/>
          <w:b w:val="false"/>
          <w:color w:val="000000"/>
          <w:sz w:val="22"/>
        </w:rPr>
        <w:t>. The adoption and maintenance of this Retirement Policy shall not be deemed to be a contract between the Company (or any Affiliate thereof) and any Participant or other person or to be consideration for the employment of or service of any person. Nothing herein contained shall be deemed to give any Participant or other person the right to be an employee or other service provider of the Company or its Affiliates or to restrict the right of the Company or its Affiliates to terminate the employment or service of such Participant or other person at any time, with or without cause, nor shall this Retirement Policy be deemed to give the Company or any of its Affiliates the right to require any Participant or other person to remain as an employee or other service provider of the Company or any of its Affiliates or to restrict any Participant or other person’s right to resign at any time.</w:t>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Kaes Van't Hof,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Diamondback Energy, Inc. (the "registrant");</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344"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05"/>
        <w:gridCol w:w="605"/>
        <w:gridCol w:w="859"/>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Jere W. Thompson III,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Diamondback Energy, Inc. (the "registrant");</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389"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19"/>
        <w:gridCol w:w="619"/>
        <w:gridCol w:w="87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 REPORT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Diamondback Energy, Inc. (the "Company"), as filed with the Securities and Exchange Commission on the date hereof (the "Report"), I, the undersigned, Kaes Van't Hof, Chief Executive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(15 U.S.C. 78m or 78o(d)); and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344"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05"/>
        <w:gridCol w:w="605"/>
        <w:gridCol w:w="859"/>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 REPORT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Diamondback Energy, Inc. (the "Company"), as filed with the Securities and Exchange Commission on the date hereof (the "Report"), I, the undersigned, Jere W. Thompson III, Chief Financial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(15 U.S.C. 78m or 78o(d)); and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389"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19"/>
        <w:gridCol w:w="619"/>
        <w:gridCol w:w="87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3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539838/000153983826000010/fang-20251231.htm" TargetMode="External"/><Relationship Id="rId3" Type="http://schemas.openxmlformats.org/officeDocument/2006/relationships/hyperlink" Target="https://www.sec.gov/ix?doc=/Archives/edgar/data/0001539838/000153983826000010/fang-20251231.htm" TargetMode="External"/><Relationship Id="rId4" Type="http://schemas.openxmlformats.org/officeDocument/2006/relationships/hyperlink" Target="https://www.sec.gov/ix?doc=/Archives/edgar/data/1539838/000153983826000010/fang-20251231.htm" TargetMode="External"/><Relationship Id="rId5" Type="http://schemas.openxmlformats.org/officeDocument/2006/relationships/hyperlink" Target="https://www.sec.gov/ix?doc=/Archives/edgar/data/0001539838/000153983826000010/fang-20251231.htm" TargetMode="External"/><Relationship Id="rId6" Type="http://schemas.openxmlformats.org/officeDocument/2006/relationships/hyperlink" Target="https://www.sec.gov/ix?doc=/Archives/edgar/data/0001539838/000153983826000010/fang-20251231.htm" TargetMode="External"/><Relationship Id="rId7" Type="http://schemas.openxmlformats.org/officeDocument/2006/relationships/hyperlink" Target="https://www.sec.gov/ix?doc=/Archives/edgar/data/0001539838/000153983826000010/fang-20251231.htm" TargetMode="External"/><Relationship Id="rId8" Type="http://schemas.openxmlformats.org/officeDocument/2006/relationships/hyperlink" Target="https://www.sec.gov/Archives/edgar/data/1539838/000153983823000086/diamondbackex31-6x14x23.htm" TargetMode="External"/><Relationship Id="rId9" Type="http://schemas.openxmlformats.org/officeDocument/2006/relationships/hyperlink" Target="https://www.sec.gov/Archives/edgar/data/1539838/000114036124040726/ef20035628_ex3-1.htm" TargetMode="External"/><Relationship Id="rId10" Type="http://schemas.openxmlformats.org/officeDocument/2006/relationships/hyperlink" Target="https://www.sec.gov/Archives/edgar/data/1539838/000110465926074049/tm2617786d1_ex10-1.htm" TargetMode="External"/><Relationship Id="rId11" Type="http://schemas.openxmlformats.org/officeDocument/2006/relationships/hyperlink" Target="https://www.sec.gov/Archives/edgar/data/1539838/000110465926074049/tm2617786d1_ex10-1.htm" TargetMode="External"/><Relationship Id="rId12" Type="http://schemas.openxmlformats.org/officeDocument/2006/relationships/hyperlink" Target="https://www.sec.gov/Archives/edgar/data/1539838/000110465926074049/tm2617786d1_ex10-1.htm" TargetMode="External"/><Relationship Id="rId13" Type="http://schemas.openxmlformats.org/officeDocument/2006/relationships/hyperlink" Target="https://www.sec.gov/Archives/edgar/data/1539838/000110465926074049/tm2617786d1_ex10-1.htm" TargetMode="External"/><Relationship Id="rId14" Type="http://schemas.openxmlformats.org/officeDocument/2006/relationships/hyperlink" Target="https://www.sec.gov/Archives/edgar/data/1539838/000110465926074049/tm2617786d1_ex10-1.htm" TargetMode="External"/><Relationship Id="rId15" Type="http://schemas.openxmlformats.org/officeDocument/2006/relationships/hyperlink" Target="https://www.sec.gov/Archives/edgar/data/1539838/000110465926074049/tm2617786d1_ex10-1.htm" TargetMode="External"/><Relationship Id="rId16" Type="http://schemas.openxmlformats.org/officeDocument/2006/relationships/hyperlink" Target="https://www.sec.gov/Archives/edgar/data/1539838/000110465926074049/tm2617786d1_ex10-1.htm" TargetMode="External"/><Relationship Id="rId17" Type="http://schemas.openxmlformats.org/officeDocument/2006/relationships/hyperlink" Target="https://www.sec.gov/Archives/edgar/data/1539838/000110465926074049/tm2617786d1_ex10-1.htm" TargetMode="External"/><Relationship Id="rId18" Type="http://schemas.openxmlformats.org/officeDocument/2006/relationships/hyperlink" Target="https://www.sec.gov/Archives/edgar/data/2074176/000110465926074042/tm2617785d1_ex10-1.htm" TargetMode="External"/><Relationship Id="rId19" Type="http://schemas.openxmlformats.org/officeDocument/2006/relationships/hyperlink" Target="https://www.sec.gov/Archives/edgar/data/1539838/000153983821000117/diamondback-ex211x82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29154</Words>
  <Characters>158856</Characters>
  <CharactersWithSpaces>185855</CharactersWithSpaces>
  <Paragraphs>4011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