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452120</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358140</wp:posOffset>
            </wp:positionV>
            <wp:extent cx="68865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-199390</wp:posOffset>
            </wp:positionV>
            <wp:extent cx="2632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108585</wp:posOffset>
            </wp:positionV>
            <wp:extent cx="2632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UNDER SECTION 13 OR 15(d) OF THE SECURITIES EXCHANGE ACT OF 1934</w:t>
      </w:r>
    </w:p>
    <w:p>
      <w:pPr>
        <w:spacing w:after="0" w:line="63" w:lineRule="exact"/>
        <w:rPr>
          <w:rFonts w:ascii="MS PGothic" w:cs="MS PGothic" w:eastAsia="MS PGothic" w:hAnsi="MS PGothic"/>
          <w:sz w:val="22"/>
          <w:szCs w:val="22"/>
          <w:color w:val="auto"/>
        </w:rPr>
      </w:pPr>
    </w:p>
    <w:p>
      <w:pPr>
        <w:ind w:left="43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December 31, 2017</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UNDER SECTION 13 OR 15(d) OF SECURITIES EXCHANGE ACT OF 1934</w:t>
      </w:r>
    </w:p>
    <w:p>
      <w:pPr>
        <w:spacing w:after="0" w:line="63" w:lineRule="exact"/>
        <w:rPr>
          <w:rFonts w:ascii="MS PGothic" w:cs="MS PGothic" w:eastAsia="MS PGothic" w:hAnsi="MS PGothic"/>
          <w:sz w:val="22"/>
          <w:szCs w:val="22"/>
          <w:color w:val="auto"/>
        </w:rPr>
      </w:pPr>
    </w:p>
    <w:p>
      <w:pPr>
        <w:ind w:left="43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001-35700</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427"/>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40" w:type="dxa"/>
            <w:vAlign w:val="bottom"/>
            <w:tcBorders>
              <w:top w:val="single" w:sz="8" w:color="auto"/>
            </w:tcBorders>
            <w:gridSpan w:val="3"/>
          </w:tcPr>
          <w:p>
            <w:pPr>
              <w:jc w:val="center"/>
              <w:spacing w:after="0" w:line="427" w:lineRule="exact"/>
              <w:rPr>
                <w:sz w:val="20"/>
                <w:szCs w:val="20"/>
                <w:color w:val="auto"/>
              </w:rPr>
            </w:pPr>
            <w:r>
              <w:rPr>
                <w:rFonts w:ascii="Arial" w:cs="Arial" w:eastAsia="Arial" w:hAnsi="Arial"/>
                <w:sz w:val="38"/>
                <w:szCs w:val="38"/>
                <w:b w:val="1"/>
                <w:bCs w:val="1"/>
                <w:color w:val="auto"/>
                <w:w w:val="87"/>
              </w:rPr>
              <w:t>Diamondback Energy, Inc.</w:t>
            </w: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860" w:type="dxa"/>
            <w:vAlign w:val="bottom"/>
            <w:gridSpan w:val="6"/>
          </w:tcPr>
          <w:p>
            <w:pPr>
              <w:jc w:val="center"/>
              <w:ind w:right="190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108"/>
        </w:trPr>
        <w:tc>
          <w:tcPr>
            <w:tcW w:w="1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493"/>
        </w:trPr>
        <w:tc>
          <w:tcPr>
            <w:tcW w:w="1540" w:type="dxa"/>
            <w:vAlign w:val="bottom"/>
          </w:tcPr>
          <w:p>
            <w:pPr>
              <w:spacing w:after="0"/>
              <w:rPr>
                <w:sz w:val="24"/>
                <w:szCs w:val="24"/>
                <w:color w:val="auto"/>
              </w:rPr>
            </w:pPr>
          </w:p>
        </w:tc>
        <w:tc>
          <w:tcPr>
            <w:tcW w:w="5360" w:type="dxa"/>
            <w:vAlign w:val="bottom"/>
            <w:gridSpan w:val="3"/>
          </w:tcPr>
          <w:p>
            <w:pPr>
              <w:jc w:val="center"/>
              <w:ind w:right="405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45-4502447</w:t>
            </w:r>
          </w:p>
        </w:tc>
        <w:tc>
          <w:tcPr>
            <w:tcW w:w="80" w:type="dxa"/>
            <w:vAlign w:val="bottom"/>
          </w:tcPr>
          <w:p>
            <w:pPr>
              <w:spacing w:after="0"/>
              <w:rPr>
                <w:sz w:val="24"/>
                <w:szCs w:val="24"/>
                <w:color w:val="auto"/>
              </w:rPr>
            </w:pPr>
          </w:p>
        </w:tc>
      </w:tr>
      <w:tr>
        <w:trPr>
          <w:trHeight w:val="180"/>
        </w:trPr>
        <w:tc>
          <w:tcPr>
            <w:tcW w:w="6900" w:type="dxa"/>
            <w:vAlign w:val="bottom"/>
            <w:gridSpan w:val="4"/>
          </w:tcPr>
          <w:p>
            <w:pPr>
              <w:jc w:val="center"/>
              <w:ind w:right="2531"/>
              <w:spacing w:after="0"/>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6900" w:type="dxa"/>
            <w:vAlign w:val="bottom"/>
            <w:gridSpan w:val="4"/>
          </w:tcPr>
          <w:p>
            <w:pPr>
              <w:jc w:val="center"/>
              <w:ind w:right="2531"/>
              <w:spacing w:after="0"/>
              <w:rPr>
                <w:sz w:val="20"/>
                <w:szCs w:val="20"/>
                <w:color w:val="auto"/>
              </w:rPr>
            </w:pPr>
            <w:r>
              <w:rPr>
                <w:rFonts w:ascii="Arial" w:cs="Arial" w:eastAsia="Arial" w:hAnsi="Arial"/>
                <w:sz w:val="14"/>
                <w:szCs w:val="14"/>
                <w:b w:val="1"/>
                <w:bCs w:val="1"/>
                <w:color w:val="auto"/>
                <w:w w:val="95"/>
              </w:rPr>
              <w:t>Incorporation or Organization)</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95"/>
              </w:rPr>
              <w:t>Identification Number)</w:t>
            </w:r>
          </w:p>
        </w:tc>
      </w:tr>
      <w:tr>
        <w:trPr>
          <w:trHeight w:val="358"/>
        </w:trPr>
        <w:tc>
          <w:tcPr>
            <w:tcW w:w="6900" w:type="dxa"/>
            <w:vAlign w:val="bottom"/>
            <w:gridSpan w:val="4"/>
          </w:tcPr>
          <w:p>
            <w:pPr>
              <w:jc w:val="center"/>
              <w:ind w:right="2531"/>
              <w:spacing w:after="0"/>
              <w:rPr>
                <w:sz w:val="20"/>
                <w:szCs w:val="20"/>
                <w:color w:val="auto"/>
              </w:rPr>
            </w:pPr>
            <w:r>
              <w:rPr>
                <w:rFonts w:ascii="Arial" w:cs="Arial" w:eastAsia="Arial" w:hAnsi="Arial"/>
                <w:sz w:val="18"/>
                <w:szCs w:val="18"/>
                <w:b w:val="1"/>
                <w:bCs w:val="1"/>
                <w:color w:val="auto"/>
                <w:w w:val="88"/>
              </w:rPr>
              <w:t>500 West Texas, Suite 1200</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900" w:type="dxa"/>
            <w:vAlign w:val="bottom"/>
            <w:gridSpan w:val="4"/>
          </w:tcPr>
          <w:p>
            <w:pPr>
              <w:jc w:val="center"/>
              <w:ind w:right="2531"/>
              <w:spacing w:after="0"/>
              <w:rPr>
                <w:sz w:val="20"/>
                <w:szCs w:val="20"/>
                <w:color w:val="auto"/>
              </w:rPr>
            </w:pPr>
            <w:r>
              <w:rPr>
                <w:rFonts w:ascii="Arial" w:cs="Arial" w:eastAsia="Arial" w:hAnsi="Arial"/>
                <w:sz w:val="18"/>
                <w:szCs w:val="18"/>
                <w:b w:val="1"/>
                <w:bCs w:val="1"/>
                <w:color w:val="auto"/>
                <w:w w:val="91"/>
              </w:rPr>
              <w:t>Midland, Texas</w:t>
            </w:r>
          </w:p>
        </w:tc>
        <w:tc>
          <w:tcPr>
            <w:tcW w:w="3120" w:type="dxa"/>
            <w:vAlign w:val="bottom"/>
            <w:gridSpan w:val="3"/>
          </w:tcPr>
          <w:p>
            <w:pPr>
              <w:jc w:val="right"/>
              <w:ind w:right="328"/>
              <w:spacing w:after="0"/>
              <w:rPr>
                <w:sz w:val="20"/>
                <w:szCs w:val="20"/>
                <w:color w:val="auto"/>
              </w:rPr>
            </w:pPr>
            <w:r>
              <w:rPr>
                <w:rFonts w:ascii="Arial" w:cs="Arial" w:eastAsia="Arial" w:hAnsi="Arial"/>
                <w:sz w:val="18"/>
                <w:szCs w:val="18"/>
                <w:b w:val="1"/>
                <w:bCs w:val="1"/>
                <w:color w:val="auto"/>
              </w:rPr>
              <w:t>79701</w:t>
            </w:r>
          </w:p>
        </w:tc>
        <w:tc>
          <w:tcPr>
            <w:tcW w:w="80" w:type="dxa"/>
            <w:vAlign w:val="bottom"/>
          </w:tcPr>
          <w:p>
            <w:pPr>
              <w:spacing w:after="0"/>
              <w:rPr>
                <w:sz w:val="20"/>
                <w:szCs w:val="20"/>
                <w:color w:val="auto"/>
              </w:rPr>
            </w:pPr>
          </w:p>
        </w:tc>
      </w:tr>
      <w:tr>
        <w:trPr>
          <w:trHeight w:val="245"/>
        </w:trPr>
        <w:tc>
          <w:tcPr>
            <w:tcW w:w="6900" w:type="dxa"/>
            <w:vAlign w:val="bottom"/>
            <w:gridSpan w:val="4"/>
          </w:tcPr>
          <w:p>
            <w:pPr>
              <w:jc w:val="center"/>
              <w:ind w:right="253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1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860" w:type="dxa"/>
            <w:vAlign w:val="bottom"/>
            <w:gridSpan w:val="6"/>
          </w:tcPr>
          <w:p>
            <w:pPr>
              <w:jc w:val="center"/>
              <w:ind w:right="1920"/>
              <w:spacing w:after="0"/>
              <w:rPr>
                <w:sz w:val="20"/>
                <w:szCs w:val="20"/>
                <w:color w:val="auto"/>
              </w:rPr>
            </w:pPr>
            <w:r>
              <w:rPr>
                <w:rFonts w:ascii="Arial" w:cs="Arial" w:eastAsia="Arial" w:hAnsi="Arial"/>
                <w:sz w:val="14"/>
                <w:szCs w:val="14"/>
                <w:b w:val="1"/>
                <w:bCs w:val="1"/>
                <w:color w:val="auto"/>
                <w:w w:val="92"/>
              </w:rPr>
              <w:t xml:space="preserve">(Registrant Telephone Number, Including Area Code): </w:t>
            </w:r>
            <w:r>
              <w:rPr>
                <w:rFonts w:ascii="Arial" w:cs="Arial" w:eastAsia="Arial" w:hAnsi="Arial"/>
                <w:sz w:val="18"/>
                <w:szCs w:val="18"/>
                <w:b w:val="1"/>
                <w:bCs w:val="1"/>
                <w:color w:val="auto"/>
                <w:w w:val="92"/>
              </w:rPr>
              <w:t>(432) 221-7400</w:t>
            </w:r>
          </w:p>
        </w:tc>
      </w:tr>
      <w:tr>
        <w:trPr>
          <w:trHeight w:val="380"/>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6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65"/>
        </w:trPr>
        <w:tc>
          <w:tcPr>
            <w:tcW w:w="1540" w:type="dxa"/>
            <w:vAlign w:val="bottom"/>
          </w:tcPr>
          <w:p>
            <w:pPr>
              <w:spacing w:after="0"/>
              <w:rPr>
                <w:sz w:val="14"/>
                <w:szCs w:val="14"/>
                <w:color w:val="auto"/>
              </w:rPr>
            </w:pPr>
          </w:p>
        </w:tc>
        <w:tc>
          <w:tcPr>
            <w:tcW w:w="5360" w:type="dxa"/>
            <w:vAlign w:val="bottom"/>
            <w:gridSpan w:val="3"/>
          </w:tcPr>
          <w:p>
            <w:pPr>
              <w:jc w:val="center"/>
              <w:ind w:right="3491"/>
              <w:spacing w:after="0"/>
              <w:rPr>
                <w:sz w:val="20"/>
                <w:szCs w:val="20"/>
                <w:color w:val="auto"/>
              </w:rPr>
            </w:pPr>
            <w:r>
              <w:rPr>
                <w:rFonts w:ascii="Arial" w:cs="Arial" w:eastAsia="Arial" w:hAnsi="Arial"/>
                <w:sz w:val="14"/>
                <w:szCs w:val="14"/>
                <w:b w:val="1"/>
                <w:bCs w:val="1"/>
                <w:color w:val="auto"/>
                <w:w w:val="93"/>
              </w:rPr>
              <w:t>Title of Each Class</w:t>
            </w:r>
          </w:p>
        </w:tc>
        <w:tc>
          <w:tcPr>
            <w:tcW w:w="640" w:type="dxa"/>
            <w:vAlign w:val="bottom"/>
          </w:tcPr>
          <w:p>
            <w:pPr>
              <w:spacing w:after="0"/>
              <w:rPr>
                <w:sz w:val="14"/>
                <w:szCs w:val="14"/>
                <w:color w:val="auto"/>
              </w:rPr>
            </w:pPr>
          </w:p>
        </w:tc>
        <w:tc>
          <w:tcPr>
            <w:tcW w:w="2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Name of Each Exchange on Which</w:t>
            </w:r>
          </w:p>
        </w:tc>
      </w:tr>
      <w:tr>
        <w:trPr>
          <w:trHeight w:val="192"/>
        </w:trPr>
        <w:tc>
          <w:tcPr>
            <w:tcW w:w="15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8"/>
              </w:rPr>
              <w:t>Registered</w:t>
            </w:r>
          </w:p>
        </w:tc>
        <w:tc>
          <w:tcPr>
            <w:tcW w:w="80" w:type="dxa"/>
            <w:vAlign w:val="bottom"/>
          </w:tcPr>
          <w:p>
            <w:pPr>
              <w:spacing w:after="0"/>
              <w:rPr>
                <w:sz w:val="16"/>
                <w:szCs w:val="16"/>
                <w:color w:val="auto"/>
              </w:rPr>
            </w:pPr>
          </w:p>
        </w:tc>
      </w:tr>
      <w:tr>
        <w:trPr>
          <w:trHeight w:val="156"/>
        </w:trPr>
        <w:tc>
          <w:tcPr>
            <w:tcW w:w="1540" w:type="dxa"/>
            <w:vAlign w:val="bottom"/>
          </w:tcPr>
          <w:p>
            <w:pPr>
              <w:spacing w:after="0"/>
              <w:rPr>
                <w:sz w:val="13"/>
                <w:szCs w:val="13"/>
                <w:color w:val="auto"/>
              </w:rPr>
            </w:pPr>
          </w:p>
        </w:tc>
        <w:tc>
          <w:tcPr>
            <w:tcW w:w="5360" w:type="dxa"/>
            <w:vAlign w:val="bottom"/>
            <w:gridSpan w:val="3"/>
          </w:tcPr>
          <w:p>
            <w:pPr>
              <w:jc w:val="center"/>
              <w:ind w:right="3511"/>
              <w:spacing w:after="0" w:line="157" w:lineRule="exact"/>
              <w:rPr>
                <w:sz w:val="20"/>
                <w:szCs w:val="20"/>
                <w:color w:val="auto"/>
              </w:rPr>
            </w:pPr>
            <w:r>
              <w:rPr>
                <w:rFonts w:ascii="Arial" w:cs="Arial" w:eastAsia="Arial" w:hAnsi="Arial"/>
                <w:sz w:val="14"/>
                <w:szCs w:val="14"/>
                <w:color w:val="auto"/>
                <w:w w:val="93"/>
              </w:rPr>
              <w:t>Common Stock, par value</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1540" w:type="dxa"/>
            <w:vAlign w:val="bottom"/>
          </w:tcPr>
          <w:p>
            <w:pPr>
              <w:spacing w:after="0"/>
              <w:rPr>
                <w:sz w:val="15"/>
                <w:szCs w:val="15"/>
                <w:color w:val="auto"/>
              </w:rPr>
            </w:pPr>
          </w:p>
        </w:tc>
        <w:tc>
          <w:tcPr>
            <w:tcW w:w="5360" w:type="dxa"/>
            <w:vAlign w:val="bottom"/>
            <w:gridSpan w:val="3"/>
          </w:tcPr>
          <w:p>
            <w:pPr>
              <w:jc w:val="center"/>
              <w:ind w:right="3491"/>
              <w:spacing w:after="0"/>
              <w:rPr>
                <w:sz w:val="20"/>
                <w:szCs w:val="20"/>
                <w:color w:val="auto"/>
              </w:rPr>
            </w:pPr>
            <w:r>
              <w:rPr>
                <w:rFonts w:ascii="Arial" w:cs="Arial" w:eastAsia="Arial" w:hAnsi="Arial"/>
                <w:sz w:val="14"/>
                <w:szCs w:val="14"/>
                <w:color w:val="auto"/>
                <w:w w:val="89"/>
              </w:rPr>
              <w:t>$0.01 per share</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The Nasdaq Stock Market LLC</w:t>
            </w:r>
          </w:p>
        </w:tc>
      </w:tr>
      <w:tr>
        <w:trPr>
          <w:trHeight w:val="203"/>
        </w:trPr>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6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r>
        <w:trPr>
          <w:trHeight w:val="80"/>
        </w:trPr>
        <w:tc>
          <w:tcPr>
            <w:tcW w:w="1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660" w:type="dxa"/>
            <w:vAlign w:val="bottom"/>
            <w:tcBorders>
              <w:bottom w:val="single" w:sz="8" w:color="auto"/>
            </w:tcBorders>
            <w:gridSpan w:val="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80" w:type="dxa"/>
            <w:vAlign w:val="bottom"/>
            <w:gridSpan w:val="2"/>
          </w:tcPr>
          <w:p>
            <w:pPr>
              <w:spacing w:after="0"/>
              <w:rPr>
                <w:sz w:val="6"/>
                <w:szCs w:val="6"/>
                <w:color w:val="auto"/>
              </w:rPr>
            </w:pPr>
          </w:p>
        </w:tc>
        <w:tc>
          <w:tcPr>
            <w:tcW w:w="80" w:type="dxa"/>
            <w:vAlign w:val="bottom"/>
          </w:tcPr>
          <w:p>
            <w:pPr>
              <w:spacing w:after="0"/>
              <w:rPr>
                <w:sz w:val="6"/>
                <w:szCs w:val="6"/>
                <w:color w:val="auto"/>
              </w:rPr>
            </w:pPr>
          </w:p>
        </w:tc>
      </w:tr>
      <w:tr>
        <w:trPr>
          <w:trHeight w:val="312"/>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320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3200" w:type="dxa"/>
            <w:vAlign w:val="bottom"/>
            <w:gridSpan w:val="4"/>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 w:lineRule="exact"/>
        <w:rPr>
          <w:sz w:val="24"/>
          <w:szCs w:val="24"/>
          <w:color w:val="auto"/>
        </w:rPr>
      </w:pPr>
    </w:p>
    <w:p>
      <w:pPr>
        <w:ind w:right="10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w:t>
      </w:r>
    </w:p>
    <w:tbl>
      <w:tblPr>
        <w:tblLayout w:type="fixed"/>
        <w:tblInd w:w="0" w:type="dxa"/>
        <w:tblCellMar>
          <w:top w:w="0" w:type="dxa"/>
          <w:left w:w="0" w:type="dxa"/>
          <w:bottom w:w="0" w:type="dxa"/>
          <w:right w:w="0" w:type="dxa"/>
        </w:tblCellMar>
      </w:tblPr>
      <w:tr>
        <w:trPr>
          <w:trHeight w:val="196"/>
        </w:trPr>
        <w:tc>
          <w:tcPr>
            <w:tcW w:w="10840" w:type="dxa"/>
            <w:vAlign w:val="bottom"/>
            <w:gridSpan w:val="3"/>
          </w:tcPr>
          <w:p>
            <w:pPr>
              <w:spacing w:after="0" w:line="161" w:lineRule="exact"/>
              <w:rPr>
                <w:sz w:val="20"/>
                <w:szCs w:val="20"/>
                <w:color w:val="auto"/>
              </w:rPr>
            </w:pPr>
            <w:r>
              <w:rPr>
                <w:rFonts w:ascii="Arial" w:cs="Arial" w:eastAsia="Arial" w:hAnsi="Arial"/>
                <w:sz w:val="14"/>
                <w:szCs w:val="14"/>
                <w:color w:val="auto"/>
                <w:w w:val="95"/>
              </w:rPr>
              <w:t xml:space="preserve">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w w:val="95"/>
              </w:rPr>
              <w:t>☒</w:t>
            </w:r>
          </w:p>
        </w:tc>
        <w:tc>
          <w:tcPr>
            <w:tcW w:w="4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140"/>
        </w:trPr>
        <w:tc>
          <w:tcPr>
            <w:tcW w:w="10840" w:type="dxa"/>
            <w:vAlign w:val="bottom"/>
            <w:gridSpan w:val="3"/>
          </w:tcPr>
          <w:p>
            <w:pPr>
              <w:spacing w:after="0" w:line="141" w:lineRule="exact"/>
              <w:rPr>
                <w:sz w:val="20"/>
                <w:szCs w:val="20"/>
                <w:color w:val="auto"/>
              </w:rPr>
            </w:pPr>
            <w:r>
              <w:rPr>
                <w:rFonts w:ascii="Arial" w:cs="Arial" w:eastAsia="Arial" w:hAnsi="Arial"/>
                <w:sz w:val="14"/>
                <w:szCs w:val="14"/>
                <w:color w:val="auto"/>
                <w:w w:val="94"/>
              </w:rPr>
              <w:t>Indicate by check mark if disclosure of delinquent filers pursuant to Item 405 of Regulation S-K (§ 229.405 of this chapter) is not contained herein, and will not be contained, to the best of</w:t>
            </w:r>
          </w:p>
        </w:tc>
        <w:tc>
          <w:tcPr>
            <w:tcW w:w="400" w:type="dxa"/>
            <w:vAlign w:val="bottom"/>
          </w:tcPr>
          <w:p>
            <w:pPr>
              <w:spacing w:after="0"/>
              <w:rPr>
                <w:sz w:val="12"/>
                <w:szCs w:val="12"/>
                <w:color w:val="auto"/>
              </w:rPr>
            </w:pPr>
          </w:p>
        </w:tc>
      </w:tr>
      <w:tr>
        <w:trPr>
          <w:trHeight w:val="197"/>
        </w:trPr>
        <w:tc>
          <w:tcPr>
            <w:tcW w:w="1084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tc>
        <w:tc>
          <w:tcPr>
            <w:tcW w:w="400" w:type="dxa"/>
            <w:vAlign w:val="bottom"/>
          </w:tcPr>
          <w:p>
            <w:pPr>
              <w:spacing w:after="0"/>
              <w:rPr>
                <w:sz w:val="17"/>
                <w:szCs w:val="17"/>
                <w:color w:val="auto"/>
              </w:rPr>
            </w:pPr>
          </w:p>
        </w:tc>
      </w:tr>
      <w:tr>
        <w:trPr>
          <w:trHeight w:val="140"/>
        </w:trPr>
        <w:tc>
          <w:tcPr>
            <w:tcW w:w="10840" w:type="dxa"/>
            <w:vAlign w:val="bottom"/>
            <w:gridSpan w:val="3"/>
          </w:tcPr>
          <w:p>
            <w:pPr>
              <w:spacing w:after="0" w:line="141" w:lineRule="exact"/>
              <w:rPr>
                <w:sz w:val="20"/>
                <w:szCs w:val="20"/>
                <w:color w:val="auto"/>
              </w:rPr>
            </w:pPr>
            <w:r>
              <w:rPr>
                <w:rFonts w:ascii="Arial" w:cs="Arial" w:eastAsia="Arial" w:hAnsi="Arial"/>
                <w:sz w:val="14"/>
                <w:szCs w:val="14"/>
                <w:color w:val="auto"/>
                <w:w w:val="92"/>
              </w:rPr>
              <w:t>Indicate by check mark whether the registrant is a large accelerated filer, an accelerated filer, a non-accelerated filer, a smaller reporting company, or an emerging growth company. See the</w:t>
            </w:r>
          </w:p>
        </w:tc>
        <w:tc>
          <w:tcPr>
            <w:tcW w:w="400" w:type="dxa"/>
            <w:vAlign w:val="bottom"/>
          </w:tcPr>
          <w:p>
            <w:pPr>
              <w:spacing w:after="0"/>
              <w:rPr>
                <w:sz w:val="12"/>
                <w:szCs w:val="12"/>
                <w:color w:val="auto"/>
              </w:rPr>
            </w:pPr>
          </w:p>
        </w:tc>
      </w:tr>
      <w:tr>
        <w:trPr>
          <w:trHeight w:val="182"/>
        </w:trPr>
        <w:tc>
          <w:tcPr>
            <w:tcW w:w="7820" w:type="dxa"/>
            <w:vAlign w:val="bottom"/>
            <w:gridSpan w:val="2"/>
          </w:tcPr>
          <w:p>
            <w:pPr>
              <w:spacing w:after="0"/>
              <w:rPr>
                <w:sz w:val="20"/>
                <w:szCs w:val="20"/>
                <w:color w:val="auto"/>
              </w:rPr>
            </w:pPr>
            <w:r>
              <w:rPr>
                <w:rFonts w:ascii="Arial" w:cs="Arial" w:eastAsia="Arial" w:hAnsi="Arial"/>
                <w:sz w:val="14"/>
                <w:szCs w:val="14"/>
                <w:color w:val="auto"/>
              </w:rPr>
              <w:t>definitions of “large accelerated filer,” “accelerated filer” and “smaller reporting company” in Rule 12b-2 of the Exchange Act.</w:t>
            </w:r>
          </w:p>
        </w:tc>
        <w:tc>
          <w:tcPr>
            <w:tcW w:w="30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75"/>
        </w:trPr>
        <w:tc>
          <w:tcPr>
            <w:tcW w:w="202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8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50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02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8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50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268"/>
        </w:trPr>
        <w:tc>
          <w:tcPr>
            <w:tcW w:w="202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3020" w:type="dxa"/>
            <w:vAlign w:val="bottom"/>
          </w:tcPr>
          <w:p>
            <w:pPr>
              <w:ind w:left="50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180"/>
              <w:spacing w:after="0"/>
              <w:rPr>
                <w:sz w:val="20"/>
                <w:szCs w:val="20"/>
                <w:color w:val="auto"/>
              </w:rPr>
            </w:pPr>
            <w:r>
              <w:rPr>
                <w:rFonts w:ascii="Arial" w:cs="Arial" w:eastAsia="Arial" w:hAnsi="Arial"/>
                <w:sz w:val="14"/>
                <w:szCs w:val="14"/>
                <w:color w:val="auto"/>
              </w:rPr>
              <w:t>o</w:t>
            </w:r>
          </w:p>
        </w:tc>
      </w:tr>
    </w:tbl>
    <w:p>
      <w:pPr>
        <w:spacing w:after="0" w:line="128" w:lineRule="exact"/>
        <w:rPr>
          <w:sz w:val="24"/>
          <w:szCs w:val="24"/>
          <w:color w:val="auto"/>
        </w:rPr>
      </w:pPr>
    </w:p>
    <w:p>
      <w:pPr>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Aggregate market value of the voting and non-voting common equity held by non-affiliates of registrant as of June 30, 2017 was approximately $7,801,460,276.</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7, 2018, 98,167,289 shares of the registrant’s common stock were outstanding.</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Portions of Diamondback Energy, Inc.’s Proxy Statement for the 2018 Annual Meeting of Stockholders are incorporated by reference in Items 10, 11, 12, 13 and 14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302895</wp:posOffset>
            </wp:positionV>
            <wp:extent cx="6886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208280</wp:posOffset>
            </wp:positionV>
            <wp:extent cx="68865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gridSpan w:val="6"/>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2"/>
            <w:shd w:val="clear" w:color="auto" w:fill="CCEEFF"/>
          </w:tcPr>
          <w:p>
            <w:pPr>
              <w:spacing w:after="0" w:line="163"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Oil and Natural Gas Terms</w:t>
              </w:r>
            </w:hyperlink>
          </w:p>
        </w:tc>
        <w:tc>
          <w:tcPr>
            <w:tcW w:w="7880" w:type="dxa"/>
            <w:vAlign w:val="bottom"/>
            <w:tcBorders>
              <w:bottom w:val="single" w:sz="8" w:color="CCEEFF"/>
            </w:tcBorders>
            <w:gridSpan w:val="18"/>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c>
          <w:tcPr>
            <w:tcW w:w="28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5"/>
          </w:tcPr>
          <w:p>
            <w:pPr>
              <w:jc w:val="center"/>
              <w:ind w:right="300"/>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5"/>
            <w:shd w:val="clear" w:color="auto" w:fill="CCEEFF"/>
          </w:tcPr>
          <w:p>
            <w:pPr>
              <w:jc w:val="center"/>
              <w:ind w:right="260"/>
              <w:spacing w:after="0" w:line="202"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vi</w:t>
              </w:r>
            </w:hyperlink>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320" w:type="dxa"/>
            <w:vAlign w:val="bottom"/>
            <w:gridSpan w:val="9"/>
            <w:shd w:val="clear" w:color="auto" w:fill="CCEEFF"/>
          </w:tcPr>
          <w:p>
            <w:pPr>
              <w:jc w:val="center"/>
              <w:ind w:right="4740"/>
              <w:spacing w:after="0" w:line="202" w:lineRule="exact"/>
              <w:rPr>
                <w:sz w:val="20"/>
                <w:szCs w:val="20"/>
                <w:color w:val="auto"/>
              </w:rPr>
            </w:pPr>
            <w:r>
              <w:rPr>
                <w:rFonts w:ascii="Arial" w:cs="Arial" w:eastAsia="Arial" w:hAnsi="Arial"/>
                <w:sz w:val="18"/>
                <w:szCs w:val="18"/>
                <w:b w:val="1"/>
                <w:bCs w:val="1"/>
                <w:color w:val="auto"/>
                <w:w w:val="98"/>
              </w:rPr>
              <w:t>PART I</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380" w:type="dxa"/>
            <w:vAlign w:val="bottom"/>
            <w:tcBorders>
              <w:top w:val="single" w:sz="8" w:color="CCEEFF"/>
            </w:tcBorders>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Items 1 and 2. Business and Properties</w:t>
              </w:r>
            </w:hyperlink>
          </w:p>
        </w:tc>
        <w:tc>
          <w:tcPr>
            <w:tcW w:w="580" w:type="dxa"/>
            <w:vAlign w:val="bottom"/>
            <w:tcBorders>
              <w:top w:val="single" w:sz="8" w:color="auto"/>
            </w:tcBorders>
          </w:tcPr>
          <w:p>
            <w:pPr>
              <w:spacing w:after="0"/>
              <w:rPr>
                <w:sz w:val="17"/>
                <w:szCs w:val="17"/>
                <w:color w:val="auto"/>
              </w:rPr>
            </w:pPr>
          </w:p>
        </w:tc>
        <w:tc>
          <w:tcPr>
            <w:tcW w:w="4740" w:type="dxa"/>
            <w:vAlign w:val="bottom"/>
            <w:tcBorders>
              <w:top w:val="single" w:sz="8" w:color="CCEEFF"/>
            </w:tcBorders>
            <w:gridSpan w:val="8"/>
          </w:tcPr>
          <w:p>
            <w:pPr>
              <w:spacing w:after="0"/>
              <w:rPr>
                <w:sz w:val="17"/>
                <w:szCs w:val="17"/>
                <w:color w:val="auto"/>
              </w:rPr>
            </w:pPr>
          </w:p>
        </w:tc>
        <w:tc>
          <w:tcPr>
            <w:tcW w:w="400" w:type="dxa"/>
            <w:vAlign w:val="bottom"/>
            <w:tcBorders>
              <w:top w:val="single" w:sz="8" w:color="CCEEFF"/>
            </w:tcBorders>
            <w:gridSpan w:val="3"/>
          </w:tcPr>
          <w:p>
            <w:pPr>
              <w:jc w:val="center"/>
              <w:ind w:left="19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1B. Unresolved Staff Comments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3. Legal Proceedings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4. Mine Safety Disclosures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gridSpan w:val="11"/>
          </w:tcPr>
          <w:p>
            <w:pPr>
              <w:jc w:val="center"/>
              <w:ind w:right="4680"/>
              <w:spacing w:after="0" w:line="202" w:lineRule="exact"/>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5. Market for Registrant's Common Equity, Related Stockholder Matters and Issuer Purchases of Equity Securities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46</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600" w:type="dxa"/>
            <w:vAlign w:val="bottom"/>
            <w:gridSpan w:val="29"/>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6. Selected Financial Data</w:t>
              </w:r>
            </w:hyperlink>
          </w:p>
        </w:tc>
        <w:tc>
          <w:tcPr>
            <w:tcW w:w="2100" w:type="dxa"/>
            <w:vAlign w:val="bottom"/>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47</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000" w:type="dxa"/>
            <w:vAlign w:val="bottom"/>
            <w:gridSpan w:val="26"/>
            <w:shd w:val="clear" w:color="auto" w:fill="CCEEFF"/>
          </w:tcPr>
          <w:p>
            <w:pPr>
              <w:spacing w:after="0" w:line="202"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7. Management's Discussion and Analysis of Financial Condition and Results of Operations</w:t>
              </w:r>
            </w:hyperlink>
          </w:p>
        </w:tc>
        <w:tc>
          <w:tcPr>
            <w:tcW w:w="3700" w:type="dxa"/>
            <w:vAlign w:val="bottom"/>
            <w:gridSpan w:val="4"/>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49</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000" w:type="dxa"/>
            <w:vAlign w:val="bottom"/>
            <w:gridSpan w:val="26"/>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Item 7A. Quantitative and Qualitative Disclosures about Market Risk</w:t>
              </w:r>
            </w:hyperlink>
          </w:p>
        </w:tc>
        <w:tc>
          <w:tcPr>
            <w:tcW w:w="3700" w:type="dxa"/>
            <w:vAlign w:val="bottom"/>
            <w:gridSpan w:val="4"/>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70</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80" w:type="dxa"/>
            <w:vAlign w:val="bottom"/>
            <w:gridSpan w:val="15"/>
            <w:shd w:val="clear" w:color="auto" w:fill="CCEEFF"/>
          </w:tcPr>
          <w:p>
            <w:pPr>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Item 8. Financial Statements and Supplementary Data</w:t>
              </w:r>
            </w:hyperlink>
          </w:p>
        </w:tc>
        <w:tc>
          <w:tcPr>
            <w:tcW w:w="6820" w:type="dxa"/>
            <w:vAlign w:val="bottom"/>
            <w:gridSpan w:val="15"/>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Item 9. Changes in and Disagreements with Accountants on Accounting and Financial Disclosure</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71</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Item 9A. Controls and Procedures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40" w:type="dxa"/>
            <w:vAlign w:val="bottom"/>
            <w:gridSpan w:val="9"/>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9B. Other Information</w:t>
              </w:r>
            </w:hyperlink>
          </w:p>
        </w:tc>
        <w:tc>
          <w:tcPr>
            <w:tcW w:w="8260" w:type="dxa"/>
            <w:vAlign w:val="bottom"/>
            <w:gridSpan w:val="21"/>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74</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20" w:type="dxa"/>
            <w:vAlign w:val="bottom"/>
            <w:gridSpan w:val="12"/>
          </w:tcPr>
          <w:p>
            <w:pPr>
              <w:jc w:val="center"/>
              <w:ind w:right="4320"/>
              <w:spacing w:after="0" w:line="202" w:lineRule="exact"/>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740" w:type="dxa"/>
            <w:vAlign w:val="bottom"/>
            <w:gridSpan w:val="17"/>
            <w:shd w:val="clear" w:color="auto" w:fill="CCEEFF"/>
          </w:tcPr>
          <w:p>
            <w:pPr>
              <w:spacing w:after="0" w:line="202"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Item 10. Directors, Executive Officers and Corporate Governance</w:t>
              </w:r>
            </w:hyperlink>
          </w:p>
        </w:tc>
        <w:tc>
          <w:tcPr>
            <w:tcW w:w="5960" w:type="dxa"/>
            <w:vAlign w:val="bottom"/>
            <w:gridSpan w:val="13"/>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74</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740" w:type="dxa"/>
            <w:vAlign w:val="bottom"/>
            <w:gridSpan w:val="17"/>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11. Executive Compensation</w:t>
              </w:r>
            </w:hyperlink>
          </w:p>
        </w:tc>
        <w:tc>
          <w:tcPr>
            <w:tcW w:w="5960" w:type="dxa"/>
            <w:vAlign w:val="bottom"/>
            <w:gridSpan w:val="13"/>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74</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940" w:type="dxa"/>
            <w:vAlign w:val="bottom"/>
            <w:gridSpan w:val="28"/>
            <w:shd w:val="clear" w:color="auto" w:fill="CCEEFF"/>
          </w:tcPr>
          <w:p>
            <w:pPr>
              <w:spacing w:after="0" w:line="202"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Item 12. Security Ownership of Certain Beneficial Owners and Management and Related Stockholder Matters</w:t>
              </w:r>
            </w:hyperlink>
          </w:p>
        </w:tc>
        <w:tc>
          <w:tcPr>
            <w:tcW w:w="2760" w:type="dxa"/>
            <w:vAlign w:val="bottom"/>
            <w:gridSpan w:val="2"/>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74</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940" w:type="dxa"/>
            <w:vAlign w:val="bottom"/>
            <w:gridSpan w:val="28"/>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13. Certain Relationships and Related Transactions, and Director Independence</w:t>
              </w:r>
            </w:hyperlink>
          </w:p>
        </w:tc>
        <w:tc>
          <w:tcPr>
            <w:tcW w:w="2760" w:type="dxa"/>
            <w:vAlign w:val="bottom"/>
            <w:gridSpan w:val="2"/>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74</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14. Principal Accountant Fees and Services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74</w:t>
              </w:r>
            </w:hyperlink>
          </w:p>
        </w:tc>
        <w:tc>
          <w:tcPr>
            <w:tcW w:w="2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PART IV</w:t>
            </w:r>
          </w:p>
        </w:tc>
        <w:tc>
          <w:tcPr>
            <w:tcW w:w="4660" w:type="dxa"/>
            <w:vAlign w:val="bottom"/>
            <w:tcBorders>
              <w:bottom w:val="single" w:sz="8" w:color="CCEEFF"/>
            </w:tcBorders>
            <w:gridSpan w:val="6"/>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15. Exhibits and Financial Statement Schedules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74</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Item 16. Form 10-K Summary</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80</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line="202" w:lineRule="exact"/>
              <w:rPr>
                <w:rFonts w:ascii="Arial" w:cs="Arial" w:eastAsia="Arial" w:hAnsi="Arial"/>
                <w:sz w:val="18"/>
                <w:szCs w:val="18"/>
                <w:color w:val="0000EE"/>
                <w:w w:val="85"/>
              </w:rPr>
            </w:pPr>
            <w:hyperlink w:anchor="page88">
              <w:r>
                <w:rPr>
                  <w:rFonts w:ascii="Arial" w:cs="Arial" w:eastAsia="Arial" w:hAnsi="Arial"/>
                  <w:sz w:val="18"/>
                  <w:szCs w:val="18"/>
                  <w:color w:val="0000EE"/>
                  <w:w w:val="85"/>
                </w:rPr>
                <w:t>Signatures</w:t>
              </w:r>
            </w:hyperlink>
          </w:p>
        </w:tc>
        <w:tc>
          <w:tcPr>
            <w:tcW w:w="1420" w:type="dxa"/>
            <w:vAlign w:val="bottom"/>
            <w:gridSpan w:val="4"/>
          </w:tcPr>
          <w:p>
            <w:pPr>
              <w:spacing w:after="0"/>
              <w:rPr>
                <w:sz w:val="17"/>
                <w:szCs w:val="17"/>
                <w:color w:val="auto"/>
              </w:rPr>
            </w:pPr>
          </w:p>
        </w:tc>
        <w:tc>
          <w:tcPr>
            <w:tcW w:w="8520" w:type="dxa"/>
            <w:vAlign w:val="bottom"/>
            <w:gridSpan w:val="25"/>
          </w:tcPr>
          <w:p>
            <w:pPr>
              <w:spacing w:after="0"/>
              <w:rPr>
                <w:sz w:val="17"/>
                <w:szCs w:val="17"/>
                <w:color w:val="auto"/>
              </w:rPr>
            </w:pPr>
          </w:p>
        </w:tc>
        <w:tc>
          <w:tcPr>
            <w:tcW w:w="680" w:type="dxa"/>
            <w:vAlign w:val="bottom"/>
            <w:gridSpan w:val="6"/>
          </w:tcPr>
          <w:p>
            <w:pPr>
              <w:jc w:val="center"/>
              <w:spacing w:after="0" w:line="202" w:lineRule="exact"/>
              <w:rPr>
                <w:rFonts w:ascii="Arial" w:cs="Arial" w:eastAsia="Arial" w:hAnsi="Arial"/>
                <w:sz w:val="18"/>
                <w:szCs w:val="18"/>
                <w:color w:val="0000EE"/>
                <w:w w:val="85"/>
              </w:rPr>
            </w:pPr>
            <w:hyperlink w:anchor="page88">
              <w:r>
                <w:rPr>
                  <w:rFonts w:ascii="Arial" w:cs="Arial" w:eastAsia="Arial" w:hAnsi="Arial"/>
                  <w:sz w:val="18"/>
                  <w:szCs w:val="18"/>
                  <w:color w:val="0000EE"/>
                  <w:w w:val="85"/>
                </w:rPr>
                <w:t>S-1</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420"/>
          </w:cols>
          <w:pgMar w:left="240" w:top="67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spacing w:after="0"/>
              <w:rPr>
                <w:sz w:val="24"/>
                <w:szCs w:val="24"/>
                <w:color w:val="auto"/>
              </w:rPr>
            </w:pPr>
          </w:p>
        </w:tc>
        <w:tc>
          <w:tcPr>
            <w:tcW w:w="8420" w:type="dxa"/>
            <w:vAlign w:val="bottom"/>
          </w:tcPr>
          <w:p>
            <w:pPr>
              <w:ind w:left="240"/>
              <w:spacing w:after="0"/>
              <w:rPr>
                <w:sz w:val="20"/>
                <w:szCs w:val="20"/>
                <w:color w:val="auto"/>
              </w:rPr>
            </w:pPr>
            <w:r>
              <w:rPr>
                <w:rFonts w:ascii="Arial" w:cs="Arial" w:eastAsia="Arial" w:hAnsi="Arial"/>
                <w:sz w:val="22"/>
                <w:szCs w:val="22"/>
                <w:b w:val="1"/>
                <w:bCs w:val="1"/>
                <w:color w:val="auto"/>
              </w:rPr>
              <w:t>GLOSSARY OF OIL AND NATURAL GAS TERMS</w:t>
            </w:r>
          </w:p>
        </w:tc>
        <w:tc>
          <w:tcPr>
            <w:tcW w:w="0" w:type="dxa"/>
            <w:vAlign w:val="bottom"/>
          </w:tcPr>
          <w:p>
            <w:pPr>
              <w:spacing w:after="0"/>
              <w:rPr>
                <w:sz w:val="1"/>
                <w:szCs w:val="1"/>
                <w:color w:val="auto"/>
              </w:rPr>
            </w:pPr>
          </w:p>
        </w:tc>
      </w:tr>
      <w:tr>
        <w:trPr>
          <w:trHeight w:val="382"/>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oil and natural gas industry terms used in this report:</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3-D seismic</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Geophysical data that depict the subsurface strata in three dimensions. 3-D seismic typically provides a more</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detailed and accurate interpretation of the subsurface strata than 2-D, or two-dimensional, seismic.</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Basin</w:t>
            </w:r>
          </w:p>
        </w:tc>
        <w:tc>
          <w:tcPr>
            <w:tcW w:w="8420" w:type="dxa"/>
            <w:vAlign w:val="bottom"/>
          </w:tcPr>
          <w:p>
            <w:pPr>
              <w:ind w:left="46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Bbl</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hydrocarbons.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Bbls/d</w:t>
            </w:r>
          </w:p>
        </w:tc>
        <w:tc>
          <w:tcPr>
            <w:tcW w:w="8420" w:type="dxa"/>
            <w:vAlign w:val="bottom"/>
          </w:tcPr>
          <w:p>
            <w:pPr>
              <w:ind w:left="460"/>
              <w:spacing w:after="0"/>
              <w:rPr>
                <w:sz w:val="20"/>
                <w:szCs w:val="20"/>
                <w:color w:val="auto"/>
              </w:rPr>
            </w:pPr>
            <w:r>
              <w:rPr>
                <w:rFonts w:ascii="Arial" w:cs="Arial" w:eastAsia="Arial" w:hAnsi="Arial"/>
                <w:sz w:val="18"/>
                <w:szCs w:val="18"/>
                <w:color w:val="auto"/>
              </w:rPr>
              <w:t>Barrels per day.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6"/>
              </w:rPr>
              <w:t>Barrels of oil equivalent, with six thousand cubic feet of natural gas being equivalent to one barrel of oil.</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BOE/d</w:t>
            </w:r>
          </w:p>
        </w:tc>
        <w:tc>
          <w:tcPr>
            <w:tcW w:w="8420" w:type="dxa"/>
            <w:vAlign w:val="bottom"/>
          </w:tcPr>
          <w:p>
            <w:pPr>
              <w:ind w:left="460"/>
              <w:spacing w:after="0"/>
              <w:rPr>
                <w:sz w:val="20"/>
                <w:szCs w:val="20"/>
                <w:color w:val="auto"/>
              </w:rPr>
            </w:pPr>
            <w:r>
              <w:rPr>
                <w:rFonts w:ascii="Arial" w:cs="Arial" w:eastAsia="Arial" w:hAnsi="Arial"/>
                <w:sz w:val="18"/>
                <w:szCs w:val="18"/>
                <w:color w:val="auto"/>
              </w:rPr>
              <w:t>Barrels of oil equivalent per day.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w:t>
            </w:r>
          </w:p>
        </w:tc>
        <w:tc>
          <w:tcPr>
            <w:tcW w:w="842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Brent sweet light crude oil.</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shd w:val="clear" w:color="auto" w:fill="CCEEFF"/>
          </w:tcPr>
          <w:p>
            <w:pPr>
              <w:spacing w:after="0"/>
              <w:rPr>
                <w:sz w:val="15"/>
                <w:szCs w:val="15"/>
                <w:color w:val="auto"/>
              </w:rPr>
            </w:pPr>
          </w:p>
        </w:tc>
        <w:tc>
          <w:tcPr>
            <w:tcW w:w="84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British Thermal Unit or BTU</w:t>
            </w:r>
          </w:p>
        </w:tc>
        <w:tc>
          <w:tcPr>
            <w:tcW w:w="8420" w:type="dxa"/>
            <w:vAlign w:val="bottom"/>
          </w:tcPr>
          <w:p>
            <w:pPr>
              <w:ind w:left="460"/>
              <w:spacing w:after="0"/>
              <w:rPr>
                <w:sz w:val="20"/>
                <w:szCs w:val="20"/>
                <w:color w:val="auto"/>
              </w:rPr>
            </w:pPr>
            <w:r>
              <w:rPr>
                <w:rFonts w:ascii="Arial" w:cs="Arial" w:eastAsia="Arial" w:hAnsi="Arial"/>
                <w:sz w:val="18"/>
                <w:szCs w:val="18"/>
                <w:color w:val="auto"/>
                <w:w w:val="96"/>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Completion</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The process of treating a drilled well followed by the installation of permanent equipment for the production</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5"/>
              </w:rPr>
              <w:t>of natural gas or oil, or in the case of a dry hole, the reporting of abandonment to the appropriate agency.</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Condensate</w:t>
            </w:r>
          </w:p>
        </w:tc>
        <w:tc>
          <w:tcPr>
            <w:tcW w:w="8420" w:type="dxa"/>
            <w:vAlign w:val="bottom"/>
          </w:tcPr>
          <w:p>
            <w:pPr>
              <w:ind w:left="460"/>
              <w:spacing w:after="0"/>
              <w:rPr>
                <w:sz w:val="20"/>
                <w:szCs w:val="20"/>
                <w:color w:val="auto"/>
              </w:rPr>
            </w:pPr>
            <w:r>
              <w:rPr>
                <w:rFonts w:ascii="Arial" w:cs="Arial" w:eastAsia="Arial" w:hAnsi="Arial"/>
                <w:sz w:val="18"/>
                <w:szCs w:val="18"/>
                <w:color w:val="auto"/>
              </w:rPr>
              <w:t>Liquid hydrocarbons associated with the production that is primarily natural gas.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9"/>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Developed acreage</w:t>
            </w:r>
          </w:p>
        </w:tc>
        <w:tc>
          <w:tcPr>
            <w:tcW w:w="8420" w:type="dxa"/>
            <w:vAlign w:val="bottom"/>
          </w:tcPr>
          <w:p>
            <w:pPr>
              <w:ind w:left="460"/>
              <w:spacing w:after="0"/>
              <w:rPr>
                <w:sz w:val="20"/>
                <w:szCs w:val="20"/>
                <w:color w:val="auto"/>
              </w:rPr>
            </w:pPr>
            <w:r>
              <w:rPr>
                <w:rFonts w:ascii="Arial" w:cs="Arial" w:eastAsia="Arial" w:hAnsi="Arial"/>
                <w:sz w:val="18"/>
                <w:szCs w:val="18"/>
                <w:color w:val="auto"/>
              </w:rPr>
              <w:t>Acreage assignable to productive wells.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Differential</w:t>
            </w:r>
          </w:p>
        </w:tc>
        <w:tc>
          <w:tcPr>
            <w:tcW w:w="8420" w:type="dxa"/>
            <w:vAlign w:val="bottom"/>
          </w:tcPr>
          <w:p>
            <w:pPr>
              <w:ind w:left="460"/>
              <w:spacing w:after="0"/>
              <w:rPr>
                <w:sz w:val="20"/>
                <w:szCs w:val="20"/>
                <w:color w:val="auto"/>
              </w:rPr>
            </w:pPr>
            <w:r>
              <w:rPr>
                <w:rFonts w:ascii="Arial" w:cs="Arial" w:eastAsia="Arial" w:hAnsi="Arial"/>
                <w:sz w:val="18"/>
                <w:szCs w:val="18"/>
                <w:color w:val="auto"/>
                <w:w w:val="92"/>
              </w:rPr>
              <w:t>An adjustment to the price of oil or natural gas from an established spot market price to reflect differences in</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the quality and/or location of oil or natural gas.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Dry hole or dry well</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A well found to be incapable of producing hydrocarbons in sufficient quantities such that proceeds from the</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 of such production exceed production expenses and taxes.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w w:val="99"/>
              </w:rPr>
              <w:t>Estimated Ultimate Recovery or EUR</w:t>
            </w:r>
          </w:p>
        </w:tc>
        <w:tc>
          <w:tcPr>
            <w:tcW w:w="8420" w:type="dxa"/>
            <w:vAlign w:val="bottom"/>
          </w:tcPr>
          <w:p>
            <w:pPr>
              <w:ind w:left="460"/>
              <w:spacing w:after="0"/>
              <w:rPr>
                <w:sz w:val="20"/>
                <w:szCs w:val="20"/>
                <w:color w:val="auto"/>
              </w:rPr>
            </w:pPr>
            <w:r>
              <w:rPr>
                <w:rFonts w:ascii="Arial" w:cs="Arial" w:eastAsia="Arial" w:hAnsi="Arial"/>
                <w:sz w:val="18"/>
                <w:szCs w:val="18"/>
                <w:color w:val="auto"/>
                <w:w w:val="90"/>
              </w:rPr>
              <w:t>Estimated ultimate recovery is the sum of reserves remaining as of a given date and cumulative production as</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of that date.</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Exploitation</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A development or other project which may target proven or unproven reserves (such as probable or possible</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reserves), but which generally has a lower risk than that associated with exploration projects.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Field</w:t>
            </w:r>
          </w:p>
        </w:tc>
        <w:tc>
          <w:tcPr>
            <w:tcW w:w="8420" w:type="dxa"/>
            <w:vAlign w:val="bottom"/>
          </w:tcPr>
          <w:p>
            <w:pPr>
              <w:ind w:left="460"/>
              <w:spacing w:after="0"/>
              <w:rPr>
                <w:sz w:val="20"/>
                <w:szCs w:val="20"/>
                <w:color w:val="auto"/>
              </w:rPr>
            </w:pPr>
            <w:r>
              <w:rPr>
                <w:rFonts w:ascii="Arial" w:cs="Arial" w:eastAsia="Arial" w:hAnsi="Arial"/>
                <w:sz w:val="18"/>
                <w:szCs w:val="18"/>
                <w:color w:val="auto"/>
                <w:w w:val="94"/>
              </w:rPr>
              <w:t>An area consisting of either a single reservoir or multiple reservoirs, all grouped on or related to the same</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individual geological structural feature and/or stratigraphic condition.</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Finding and development costs</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divided by proved reserve additions and revisions to proved reserves.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Fracturing</w:t>
            </w:r>
          </w:p>
        </w:tc>
        <w:tc>
          <w:tcPr>
            <w:tcW w:w="8420" w:type="dxa"/>
            <w:vAlign w:val="bottom"/>
          </w:tcPr>
          <w:p>
            <w:pPr>
              <w:ind w:left="460"/>
              <w:spacing w:after="0"/>
              <w:rPr>
                <w:sz w:val="20"/>
                <w:szCs w:val="20"/>
                <w:color w:val="auto"/>
              </w:rPr>
            </w:pPr>
            <w:r>
              <w:rPr>
                <w:rFonts w:ascii="Arial" w:cs="Arial" w:eastAsia="Arial" w:hAnsi="Arial"/>
                <w:sz w:val="18"/>
                <w:szCs w:val="18"/>
                <w:color w:val="auto"/>
                <w:w w:val="97"/>
              </w:rPr>
              <w:t>The process of creating and preserving a fracture or system of fractures in a reservoir rock typically by</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injecting a fluid under pressure through a wellbore and into the targeted formation.</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420" w:type="dxa"/>
            <w:vAlign w:val="bottom"/>
          </w:tcPr>
          <w:p>
            <w:pPr>
              <w:ind w:left="460"/>
              <w:spacing w:after="0"/>
              <w:rPr>
                <w:sz w:val="20"/>
                <w:szCs w:val="20"/>
                <w:color w:val="auto"/>
              </w:rPr>
            </w:pPr>
            <w:r>
              <w:rPr>
                <w:rFonts w:ascii="Arial" w:cs="Arial" w:eastAsia="Arial" w:hAnsi="Arial"/>
                <w:sz w:val="18"/>
                <w:szCs w:val="18"/>
                <w:color w:val="auto"/>
                <w:w w:val="95"/>
              </w:rPr>
              <w:t>A drilling technique used in certain formations where a well is drilled vertically to a certain depth and then</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drilled at a right angle with a specified interval.</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vertical drilling mechanisms.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MBbls</w:t>
            </w:r>
          </w:p>
        </w:tc>
        <w:tc>
          <w:tcPr>
            <w:tcW w:w="8420" w:type="dxa"/>
            <w:vAlign w:val="bottom"/>
          </w:tcPr>
          <w:p>
            <w:pPr>
              <w:ind w:left="460"/>
              <w:spacing w:after="0"/>
              <w:rPr>
                <w:sz w:val="20"/>
                <w:szCs w:val="20"/>
                <w:color w:val="auto"/>
              </w:rPr>
            </w:pPr>
            <w:r>
              <w:rPr>
                <w:rFonts w:ascii="Arial" w:cs="Arial" w:eastAsia="Arial" w:hAnsi="Arial"/>
                <w:sz w:val="18"/>
                <w:szCs w:val="18"/>
                <w:color w:val="auto"/>
              </w:rPr>
              <w:t>Thousand barrels of crude oil or other liquid hydrocarbons.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MBOE</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One thousand barrels of crude oil equivalent, determined using a ratio of six Mcf of natural gas to one Bbl of</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crude oil, condensate or natural gas liquids.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Mcf</w:t>
            </w:r>
          </w:p>
        </w:tc>
        <w:tc>
          <w:tcPr>
            <w:tcW w:w="8420" w:type="dxa"/>
            <w:vAlign w:val="bottom"/>
          </w:tcPr>
          <w:p>
            <w:pPr>
              <w:ind w:left="460"/>
              <w:spacing w:after="0"/>
              <w:rPr>
                <w:sz w:val="20"/>
                <w:szCs w:val="20"/>
                <w:color w:val="auto"/>
              </w:rPr>
            </w:pPr>
            <w:r>
              <w:rPr>
                <w:rFonts w:ascii="Arial" w:cs="Arial" w:eastAsia="Arial" w:hAnsi="Arial"/>
                <w:sz w:val="18"/>
                <w:szCs w:val="18"/>
                <w:color w:val="auto"/>
              </w:rPr>
              <w:t>Thousand cubic feet of natural gas.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Mcf/d</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Thousand cubic feet of natural gas per day.</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Mineral interests</w:t>
            </w:r>
          </w:p>
        </w:tc>
        <w:tc>
          <w:tcPr>
            <w:tcW w:w="8420" w:type="dxa"/>
            <w:vAlign w:val="bottom"/>
          </w:tcPr>
          <w:p>
            <w:pPr>
              <w:ind w:left="460"/>
              <w:spacing w:after="0"/>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extracted resources.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MMBtu</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MMcf</w:t>
            </w:r>
          </w:p>
        </w:tc>
        <w:tc>
          <w:tcPr>
            <w:tcW w:w="8420" w:type="dxa"/>
            <w:vAlign w:val="bottom"/>
          </w:tcPr>
          <w:p>
            <w:pPr>
              <w:ind w:left="460"/>
              <w:spacing w:after="0"/>
              <w:rPr>
                <w:sz w:val="20"/>
                <w:szCs w:val="20"/>
                <w:color w:val="auto"/>
              </w:rPr>
            </w:pPr>
            <w:r>
              <w:rPr>
                <w:rFonts w:ascii="Arial" w:cs="Arial" w:eastAsia="Arial" w:hAnsi="Arial"/>
                <w:sz w:val="18"/>
                <w:szCs w:val="18"/>
                <w:color w:val="auto"/>
              </w:rPr>
              <w:t>Million cubic feet of natural gas.</w:t>
            </w:r>
          </w:p>
        </w:tc>
        <w:tc>
          <w:tcPr>
            <w:tcW w:w="0" w:type="dxa"/>
            <w:vAlign w:val="bottom"/>
          </w:tcPr>
          <w:p>
            <w:pPr>
              <w:spacing w:after="0"/>
              <w:rPr>
                <w:sz w:val="1"/>
                <w:szCs w:val="1"/>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8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acres or net wells</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The sum of the fractional working interest owned in gross acres.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Net revenue interest</w:t>
            </w:r>
          </w:p>
        </w:tc>
        <w:tc>
          <w:tcPr>
            <w:tcW w:w="8600" w:type="dxa"/>
            <w:vAlign w:val="bottom"/>
          </w:tcPr>
          <w:p>
            <w:pPr>
              <w:ind w:left="640"/>
              <w:spacing w:after="0"/>
              <w:rPr>
                <w:sz w:val="20"/>
                <w:szCs w:val="20"/>
                <w:color w:val="auto"/>
              </w:rPr>
            </w:pPr>
            <w:r>
              <w:rPr>
                <w:rFonts w:ascii="Arial" w:cs="Arial" w:eastAsia="Arial" w:hAnsi="Arial"/>
                <w:sz w:val="18"/>
                <w:szCs w:val="18"/>
                <w:color w:val="auto"/>
                <w:w w:val="95"/>
              </w:rPr>
              <w:t>An owner’s interest in the revenues of a well after deducting proceeds allocated to royalty and overriding</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royalty acres</w:t>
            </w: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Gross acreage multiplied by the average royalty interest.</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Oil and natural gas properties</w:t>
            </w:r>
          </w:p>
        </w:tc>
        <w:tc>
          <w:tcPr>
            <w:tcW w:w="8600" w:type="dxa"/>
            <w:vAlign w:val="bottom"/>
          </w:tcPr>
          <w:p>
            <w:pPr>
              <w:ind w:left="64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Operator</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Play</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A set of discovered or prospective oil and/or natural gas accumulations sharing similar geologic, geographic</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and  temporal  properties,  such  as  source  rock,  reservoir  structure,  timing,  trapping  mechanism  and</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hydrocarbon type.</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Plugging and abandonment</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Refers to the sealing off of fluids in the strata penetrated by a well so that the fluids from one stratum will not</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PUD</w:t>
            </w:r>
          </w:p>
        </w:tc>
        <w:tc>
          <w:tcPr>
            <w:tcW w:w="8600" w:type="dxa"/>
            <w:vAlign w:val="bottom"/>
          </w:tcPr>
          <w:p>
            <w:pPr>
              <w:ind w:left="640"/>
              <w:spacing w:after="0"/>
              <w:rPr>
                <w:sz w:val="20"/>
                <w:szCs w:val="20"/>
                <w:color w:val="auto"/>
              </w:rPr>
            </w:pPr>
            <w:r>
              <w:rPr>
                <w:rFonts w:ascii="Arial" w:cs="Arial" w:eastAsia="Arial" w:hAnsi="Arial"/>
                <w:sz w:val="18"/>
                <w:szCs w:val="18"/>
                <w:color w:val="auto"/>
              </w:rPr>
              <w:t>Proved undeveloped.</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Productive well</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 well that is found to be capable of producing hydrocarbons in sufficient quantities such that proceeds from</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the sale of the production exceed production expenses and taxes.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Prospect</w:t>
            </w:r>
          </w:p>
        </w:tc>
        <w:tc>
          <w:tcPr>
            <w:tcW w:w="8600" w:type="dxa"/>
            <w:vAlign w:val="bottom"/>
          </w:tcPr>
          <w:p>
            <w:pPr>
              <w:ind w:left="640"/>
              <w:spacing w:after="0"/>
              <w:rPr>
                <w:sz w:val="20"/>
                <w:szCs w:val="20"/>
                <w:color w:val="auto"/>
              </w:rPr>
            </w:pPr>
            <w:r>
              <w:rPr>
                <w:rFonts w:ascii="Arial" w:cs="Arial" w:eastAsia="Arial" w:hAnsi="Arial"/>
                <w:sz w:val="18"/>
                <w:szCs w:val="18"/>
                <w:color w:val="auto"/>
                <w:w w:val="98"/>
              </w:rPr>
              <w:t>A specific geographic area which, based on supporting geological, geophysical or other data and also</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1"/>
              </w:rPr>
              <w:t>preliminary economic analysis using reasonably anticipated prices and costs, is deemed to have potential for</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the discovery of commercial hydrocarbons.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developed reserves</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Reserves that can be expected to be recovered through existing wells with existing equipment and operating</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methods.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Proved reserves</w:t>
            </w:r>
          </w:p>
        </w:tc>
        <w:tc>
          <w:tcPr>
            <w:tcW w:w="8600" w:type="dxa"/>
            <w:vAlign w:val="bottom"/>
          </w:tcPr>
          <w:p>
            <w:pPr>
              <w:ind w:left="640"/>
              <w:spacing w:after="0"/>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demonstrate with reasonable certainty to be commercially recoverable in future years from known reservoirs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under existing economic and operating conditions.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undeveloped reserves</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Proved reserves that are expected to be recovered from new wells on undrilled acreage or from existing wells</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where a relatively major expenditure is required for recompletion.</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Recompletion</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The process of re-entering an existing wellbore that is either producing or not producing and completing new</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reservoirs in an attempt to establish or increase existing production.</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Reserves</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Reserves are estimated remaining quantities of oil and natural gas and related substances anticipated to be</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economically producible, as of a given date, by application of development projects to known accumulations.</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In addition, there must exist, or there must be a reasonable expectation that there will exist, the legal right to</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produce or a revenue interest in the production, installed means of delivering oil and natural gas or related</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substances to the market and all permits and financing required to implement the project. Reserves should not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be assigned to adjacent reservoirs isolated by major, potentially sealing, faults until those reservoirs are</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penetrated and evaluated as economically producible. Reserves should not be assigned to areas that are</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clearly separated from a known accumulation by a non-productive reservoir (i.e., absence of reservoir,</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structurally low reservoir or negative test results). Such areas may contain prospective resources (i.e.,</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potentially recoverable resources from undiscovered accumulations).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Reservoir</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7"/>
              </w:rPr>
              <w:t>and/or oil that is confined by impermeable rock or water barriers and is separate from other reservoirs.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Resource play</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 set of discovered or prospective oil and/or natural gas accumulations sharing similar geologic, geographic</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and  temporal  properties,  such  as  source  rock,  reservoir  structure,  timing,  trapping  mechanism  and</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hydrocarbon type.</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Royalty interest</w:t>
            </w:r>
          </w:p>
        </w:tc>
        <w:tc>
          <w:tcPr>
            <w:tcW w:w="8600" w:type="dxa"/>
            <w:vAlign w:val="bottom"/>
          </w:tcPr>
          <w:p>
            <w:pPr>
              <w:ind w:left="640"/>
              <w:spacing w:after="0"/>
              <w:rPr>
                <w:sz w:val="20"/>
                <w:szCs w:val="20"/>
                <w:color w:val="auto"/>
              </w:rPr>
            </w:pPr>
            <w:r>
              <w:rPr>
                <w:rFonts w:ascii="Arial" w:cs="Arial" w:eastAsia="Arial" w:hAnsi="Arial"/>
                <w:sz w:val="18"/>
                <w:szCs w:val="18"/>
                <w:color w:val="auto"/>
                <w:w w:val="93"/>
              </w:rPr>
              <w:t>An interest that gives an owner the right to receive a portion of the resources or revenues without having to</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carry any costs of development or operations.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Spacing</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The distance between wells producing from the same reservoir. Spacing is often expressed in terms of acres</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(e.g., 40-acre spacing) and is often established by regulatory agencies.</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Stratigraphic play</w:t>
            </w:r>
          </w:p>
        </w:tc>
        <w:tc>
          <w:tcPr>
            <w:tcW w:w="8600" w:type="dxa"/>
            <w:vAlign w:val="bottom"/>
            <w:vMerge w:val="restart"/>
          </w:tcPr>
          <w:p>
            <w:pPr>
              <w:ind w:left="640"/>
              <w:spacing w:after="0"/>
              <w:rPr>
                <w:sz w:val="20"/>
                <w:szCs w:val="20"/>
                <w:color w:val="auto"/>
              </w:rPr>
            </w:pPr>
            <w:r>
              <w:rPr>
                <w:rFonts w:ascii="Arial" w:cs="Arial" w:eastAsia="Arial" w:hAnsi="Arial"/>
                <w:sz w:val="18"/>
                <w:szCs w:val="18"/>
                <w:color w:val="auto"/>
                <w:w w:val="98"/>
              </w:rPr>
              <w:t>An oil or natural gas formation contained within an area created by permeability and porosity changes</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8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characteristic of the alternating rock layer that result from the sedimentation process.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Structural play</w:t>
            </w:r>
          </w:p>
        </w:tc>
        <w:tc>
          <w:tcPr>
            <w:tcW w:w="860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w w:val="93"/>
              </w:rPr>
              <w:t>An oil or natural gas formation contained within an area created by earth movements that deform or rupture</w:t>
            </w:r>
          </w:p>
        </w:tc>
        <w:tc>
          <w:tcPr>
            <w:tcW w:w="0" w:type="dxa"/>
            <w:vAlign w:val="bottom"/>
          </w:tcPr>
          <w:p>
            <w:pPr>
              <w:spacing w:after="0"/>
              <w:rPr>
                <w:sz w:val="1"/>
                <w:szCs w:val="1"/>
                <w:color w:val="auto"/>
              </w:rPr>
            </w:pPr>
          </w:p>
        </w:tc>
      </w:tr>
      <w:tr>
        <w:trPr>
          <w:trHeight w:val="161"/>
        </w:trPr>
        <w:tc>
          <w:tcPr>
            <w:tcW w:w="2820" w:type="dxa"/>
            <w:vAlign w:val="bottom"/>
            <w:shd w:val="clear" w:color="auto" w:fill="CCEEFF"/>
          </w:tcPr>
          <w:p>
            <w:pPr>
              <w:spacing w:after="0"/>
              <w:rPr>
                <w:sz w:val="14"/>
                <w:szCs w:val="14"/>
                <w:color w:val="auto"/>
              </w:rPr>
            </w:pPr>
          </w:p>
        </w:tc>
        <w:tc>
          <w:tcPr>
            <w:tcW w:w="8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(such as folding or faulting) rock strata.</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Tight formation</w:t>
            </w:r>
          </w:p>
        </w:tc>
        <w:tc>
          <w:tcPr>
            <w:tcW w:w="8600" w:type="dxa"/>
            <w:vAlign w:val="bottom"/>
          </w:tcPr>
          <w:p>
            <w:pPr>
              <w:ind w:left="640"/>
              <w:spacing w:after="0"/>
              <w:rPr>
                <w:sz w:val="20"/>
                <w:szCs w:val="20"/>
                <w:color w:val="auto"/>
              </w:rPr>
            </w:pPr>
            <w:r>
              <w:rPr>
                <w:rFonts w:ascii="Arial" w:cs="Arial" w:eastAsia="Arial" w:hAnsi="Arial"/>
                <w:sz w:val="18"/>
                <w:szCs w:val="18"/>
                <w:color w:val="auto"/>
                <w:w w:val="97"/>
              </w:rPr>
              <w:t>A formation with low permeability that produces natural gas with very low flow rates for long periods of</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time.</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820" w:type="dxa"/>
            <w:vAlign w:val="bottom"/>
          </w:tcPr>
          <w:p>
            <w:pPr>
              <w:spacing w:after="0"/>
              <w:rPr>
                <w:sz w:val="24"/>
                <w:szCs w:val="24"/>
                <w:color w:val="auto"/>
              </w:rPr>
            </w:pPr>
          </w:p>
        </w:tc>
        <w:tc>
          <w:tcPr>
            <w:tcW w:w="8600" w:type="dxa"/>
            <w:vAlign w:val="bottom"/>
          </w:tcPr>
          <w:p>
            <w:pPr>
              <w:ind w:left="28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73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Undeveloped acreage</w:t>
            </w:r>
          </w:p>
        </w:tc>
        <w:tc>
          <w:tcPr>
            <w:tcW w:w="890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2"/>
              </w:rPr>
              <w:t>Lease acreage on which wells have not been drilled or completed to a point that would permit the production</w:t>
            </w:r>
          </w:p>
        </w:tc>
      </w:tr>
      <w:tr>
        <w:trPr>
          <w:trHeight w:val="237"/>
        </w:trPr>
        <w:tc>
          <w:tcPr>
            <w:tcW w:w="2520" w:type="dxa"/>
            <w:vAlign w:val="bottom"/>
            <w:tcBorders>
              <w:bottom w:val="single" w:sz="8" w:color="CCEEFF"/>
            </w:tcBorders>
            <w:shd w:val="clear" w:color="auto" w:fill="CCEEFF"/>
          </w:tcPr>
          <w:p>
            <w:pPr>
              <w:spacing w:after="0"/>
              <w:rPr>
                <w:sz w:val="20"/>
                <w:szCs w:val="20"/>
                <w:color w:val="auto"/>
              </w:rPr>
            </w:pPr>
          </w:p>
        </w:tc>
        <w:tc>
          <w:tcPr>
            <w:tcW w:w="89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3"/>
              </w:rPr>
              <w:t>of economic quantities of oil and natural gas regardless of whether such acreage contains proved reserves.</w:t>
            </w: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Working interest</w:t>
            </w:r>
          </w:p>
        </w:tc>
        <w:tc>
          <w:tcPr>
            <w:tcW w:w="8900" w:type="dxa"/>
            <w:vAlign w:val="bottom"/>
          </w:tcPr>
          <w:p>
            <w:pPr>
              <w:ind w:left="940"/>
              <w:spacing w:after="0"/>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216"/>
        </w:trPr>
        <w:tc>
          <w:tcPr>
            <w:tcW w:w="2520" w:type="dxa"/>
            <w:vAlign w:val="bottom"/>
          </w:tcPr>
          <w:p>
            <w:pPr>
              <w:spacing w:after="0"/>
              <w:rPr>
                <w:sz w:val="18"/>
                <w:szCs w:val="18"/>
                <w:color w:val="auto"/>
              </w:rPr>
            </w:pPr>
          </w:p>
        </w:tc>
        <w:tc>
          <w:tcPr>
            <w:tcW w:w="8900" w:type="dxa"/>
            <w:vAlign w:val="bottom"/>
          </w:tcPr>
          <w:p>
            <w:pPr>
              <w:ind w:left="940"/>
              <w:spacing w:after="0"/>
              <w:rPr>
                <w:sz w:val="20"/>
                <w:szCs w:val="20"/>
                <w:color w:val="auto"/>
              </w:rPr>
            </w:pPr>
            <w:r>
              <w:rPr>
                <w:rFonts w:ascii="Arial" w:cs="Arial" w:eastAsia="Arial" w:hAnsi="Arial"/>
                <w:sz w:val="18"/>
                <w:szCs w:val="18"/>
                <w:color w:val="auto"/>
                <w:w w:val="92"/>
              </w:rPr>
              <w:t>property and receive a share of production and requires the owner to pay a share of the costs of drilling and</w:t>
            </w:r>
          </w:p>
        </w:tc>
      </w:tr>
      <w:tr>
        <w:trPr>
          <w:trHeight w:val="230"/>
        </w:trPr>
        <w:tc>
          <w:tcPr>
            <w:tcW w:w="2520" w:type="dxa"/>
            <w:vAlign w:val="bottom"/>
          </w:tcPr>
          <w:p>
            <w:pPr>
              <w:spacing w:after="0"/>
              <w:rPr>
                <w:sz w:val="20"/>
                <w:szCs w:val="20"/>
                <w:color w:val="auto"/>
              </w:rPr>
            </w:pPr>
          </w:p>
        </w:tc>
        <w:tc>
          <w:tcPr>
            <w:tcW w:w="8900" w:type="dxa"/>
            <w:vAlign w:val="bottom"/>
          </w:tcPr>
          <w:p>
            <w:pPr>
              <w:ind w:left="940"/>
              <w:spacing w:after="0"/>
              <w:rPr>
                <w:sz w:val="20"/>
                <w:szCs w:val="20"/>
                <w:color w:val="auto"/>
              </w:rPr>
            </w:pPr>
            <w:r>
              <w:rPr>
                <w:rFonts w:ascii="Arial" w:cs="Arial" w:eastAsia="Arial" w:hAnsi="Arial"/>
                <w:sz w:val="18"/>
                <w:szCs w:val="18"/>
                <w:color w:val="auto"/>
              </w:rPr>
              <w:t>production operations.</w:t>
            </w:r>
          </w:p>
        </w:tc>
      </w:tr>
      <w:tr>
        <w:trPr>
          <w:trHeight w:val="27"/>
        </w:trPr>
        <w:tc>
          <w:tcPr>
            <w:tcW w:w="2520" w:type="dxa"/>
            <w:vAlign w:val="bottom"/>
          </w:tcPr>
          <w:p>
            <w:pPr>
              <w:spacing w:after="0"/>
              <w:rPr>
                <w:sz w:val="2"/>
                <w:szCs w:val="2"/>
                <w:color w:val="auto"/>
              </w:rPr>
            </w:pPr>
          </w:p>
        </w:tc>
        <w:tc>
          <w:tcPr>
            <w:tcW w:w="8900" w:type="dxa"/>
            <w:vAlign w:val="bottom"/>
          </w:tcPr>
          <w:p>
            <w:pPr>
              <w:spacing w:after="0"/>
              <w:rPr>
                <w:sz w:val="2"/>
                <w:szCs w:val="2"/>
                <w:color w:val="auto"/>
              </w:rPr>
            </w:pPr>
          </w:p>
        </w:tc>
      </w:tr>
      <w:tr>
        <w:trPr>
          <w:trHeight w:val="275"/>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w:t>
            </w:r>
          </w:p>
        </w:tc>
        <w:tc>
          <w:tcPr>
            <w:tcW w:w="89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West Texas Intermediate.</w:t>
            </w:r>
          </w:p>
        </w:tc>
      </w:tr>
      <w:tr>
        <w:trPr>
          <w:trHeight w:val="790"/>
        </w:trPr>
        <w:tc>
          <w:tcPr>
            <w:tcW w:w="2520" w:type="dxa"/>
            <w:vAlign w:val="bottom"/>
            <w:tcBorders>
              <w:top w:val="single" w:sz="8" w:color="auto"/>
            </w:tcBorders>
          </w:tcPr>
          <w:p>
            <w:pPr>
              <w:spacing w:after="0"/>
              <w:rPr>
                <w:sz w:val="24"/>
                <w:szCs w:val="24"/>
                <w:color w:val="auto"/>
              </w:rPr>
            </w:pPr>
          </w:p>
        </w:tc>
        <w:tc>
          <w:tcPr>
            <w:tcW w:w="8900" w:type="dxa"/>
            <w:vAlign w:val="bottom"/>
            <w:tcBorders>
              <w:top w:val="single" w:sz="8" w:color="auto"/>
            </w:tcBorders>
          </w:tcPr>
          <w:p>
            <w:pPr>
              <w:ind w:left="312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420"/>
          </w:cols>
          <w:pgMar w:left="240" w:top="73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40" w:type="dxa"/>
            <w:vAlign w:val="bottom"/>
          </w:tcPr>
          <w:p>
            <w:pPr>
              <w:spacing w:after="0"/>
              <w:rPr>
                <w:sz w:val="24"/>
                <w:szCs w:val="24"/>
                <w:color w:val="auto"/>
              </w:rPr>
            </w:pPr>
          </w:p>
        </w:tc>
        <w:tc>
          <w:tcPr>
            <w:tcW w:w="9380" w:type="dxa"/>
            <w:vAlign w:val="bottom"/>
          </w:tcPr>
          <w:p>
            <w:pPr>
              <w:ind w:left="1560"/>
              <w:spacing w:after="0"/>
              <w:rPr>
                <w:sz w:val="20"/>
                <w:szCs w:val="20"/>
                <w:color w:val="auto"/>
              </w:rPr>
            </w:pPr>
            <w:r>
              <w:rPr>
                <w:rFonts w:ascii="Arial" w:cs="Arial" w:eastAsia="Arial" w:hAnsi="Arial"/>
                <w:sz w:val="22"/>
                <w:szCs w:val="22"/>
                <w:b w:val="1"/>
                <w:bCs w:val="1"/>
                <w:color w:val="auto"/>
              </w:rPr>
              <w:t>GLOSSARY OF CERTAIN OTHER TERMS</w:t>
            </w:r>
          </w:p>
        </w:tc>
      </w:tr>
      <w:tr>
        <w:trPr>
          <w:trHeight w:val="36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040" w:type="dxa"/>
            <w:vAlign w:val="bottom"/>
            <w:tcBorders>
              <w:bottom w:val="single" w:sz="8" w:color="auto"/>
            </w:tcBorders>
          </w:tcPr>
          <w:p>
            <w:pPr>
              <w:spacing w:after="0"/>
              <w:rPr>
                <w:sz w:val="11"/>
                <w:szCs w:val="11"/>
                <w:color w:val="auto"/>
              </w:rPr>
            </w:pPr>
          </w:p>
        </w:tc>
        <w:tc>
          <w:tcPr>
            <w:tcW w:w="9380" w:type="dxa"/>
            <w:vAlign w:val="bottom"/>
            <w:tcBorders>
              <w:bottom w:val="single" w:sz="8" w:color="auto"/>
            </w:tcBorders>
          </w:tcPr>
          <w:p>
            <w:pPr>
              <w:spacing w:after="0"/>
              <w:rPr>
                <w:sz w:val="11"/>
                <w:szCs w:val="11"/>
                <w:color w:val="auto"/>
              </w:rPr>
            </w:pPr>
          </w:p>
        </w:tc>
      </w:tr>
      <w:tr>
        <w:trPr>
          <w:trHeight w:val="244"/>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 Plan</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Company’s 2012 Equity Incentive Plan.</w:t>
            </w: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Bison</w:t>
            </w:r>
          </w:p>
        </w:tc>
        <w:tc>
          <w:tcPr>
            <w:tcW w:w="9380" w:type="dxa"/>
            <w:vAlign w:val="bottom"/>
          </w:tcPr>
          <w:p>
            <w:pPr>
              <w:ind w:left="400"/>
              <w:spacing w:after="0"/>
              <w:rPr>
                <w:sz w:val="20"/>
                <w:szCs w:val="20"/>
                <w:color w:val="auto"/>
              </w:rPr>
            </w:pPr>
            <w:r>
              <w:rPr>
                <w:rFonts w:ascii="Arial" w:cs="Arial" w:eastAsia="Arial" w:hAnsi="Arial"/>
                <w:sz w:val="18"/>
                <w:szCs w:val="18"/>
                <w:color w:val="auto"/>
              </w:rPr>
              <w:t>Bison Drilling and Field Services, LLC.</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Diamondback Energy, Inc., a Delaware corporation, together with its subsidiaries.</w:t>
            </w: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EPA</w:t>
            </w:r>
          </w:p>
        </w:tc>
        <w:tc>
          <w:tcPr>
            <w:tcW w:w="9380" w:type="dxa"/>
            <w:vAlign w:val="bottom"/>
          </w:tcPr>
          <w:p>
            <w:pPr>
              <w:ind w:left="400"/>
              <w:spacing w:after="0"/>
              <w:rPr>
                <w:sz w:val="20"/>
                <w:szCs w:val="20"/>
                <w:color w:val="auto"/>
              </w:rPr>
            </w:pPr>
            <w:r>
              <w:rPr>
                <w:rFonts w:ascii="Arial" w:cs="Arial" w:eastAsia="Arial" w:hAnsi="Arial"/>
                <w:sz w:val="18"/>
                <w:szCs w:val="18"/>
                <w:color w:val="auto"/>
              </w:rPr>
              <w:t>U.S. Environmental Protection Agency.</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FERC</w:t>
            </w:r>
          </w:p>
        </w:tc>
        <w:tc>
          <w:tcPr>
            <w:tcW w:w="9380" w:type="dxa"/>
            <w:vAlign w:val="bottom"/>
          </w:tcPr>
          <w:p>
            <w:pPr>
              <w:ind w:left="400"/>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9380" w:type="dxa"/>
            <w:vAlign w:val="bottom"/>
          </w:tcPr>
          <w:p>
            <w:pPr>
              <w:ind w:left="400"/>
              <w:spacing w:after="0"/>
              <w:rPr>
                <w:sz w:val="20"/>
                <w:szCs w:val="20"/>
                <w:color w:val="auto"/>
              </w:rPr>
            </w:pPr>
            <w:r>
              <w:rPr>
                <w:rFonts w:ascii="Arial" w:cs="Arial" w:eastAsia="Arial" w:hAnsi="Arial"/>
                <w:sz w:val="18"/>
                <w:szCs w:val="18"/>
                <w:color w:val="auto"/>
              </w:rPr>
              <w:t>Viper Energy Partners GP LLC, a Delaware limited liability company and the General Partner of the Partnership.</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22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 Indenture</w:t>
            </w:r>
          </w:p>
        </w:tc>
        <w:tc>
          <w:tcPr>
            <w:tcW w:w="93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The indenture relating to the 2024 Senior Notes, dated as of October 28, 2016, among the Company, the subsidiary</w:t>
            </w:r>
          </w:p>
        </w:tc>
      </w:tr>
      <w:tr>
        <w:trPr>
          <w:trHeight w:val="237"/>
        </w:trPr>
        <w:tc>
          <w:tcPr>
            <w:tcW w:w="2040" w:type="dxa"/>
            <w:vAlign w:val="bottom"/>
            <w:tcBorders>
              <w:bottom w:val="single" w:sz="8" w:color="CCEEFF"/>
            </w:tcBorders>
            <w:shd w:val="clear" w:color="auto" w:fill="CCEEFF"/>
          </w:tcPr>
          <w:p>
            <w:pPr>
              <w:spacing w:after="0"/>
              <w:rPr>
                <w:sz w:val="20"/>
                <w:szCs w:val="20"/>
                <w:color w:val="auto"/>
              </w:rPr>
            </w:pP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guarantors party thereto and Wells Fargo, as the trustee, as supplemented.</w:t>
            </w:r>
          </w:p>
        </w:tc>
      </w:tr>
      <w:tr>
        <w:trPr>
          <w:trHeight w:val="229"/>
        </w:trPr>
        <w:tc>
          <w:tcPr>
            <w:tcW w:w="2040" w:type="dxa"/>
            <w:vAlign w:val="bottom"/>
          </w:tcPr>
          <w:p>
            <w:pPr>
              <w:ind w:left="40"/>
              <w:spacing w:after="0"/>
              <w:rPr>
                <w:sz w:val="20"/>
                <w:szCs w:val="20"/>
                <w:color w:val="auto"/>
              </w:rPr>
            </w:pPr>
            <w:r>
              <w:rPr>
                <w:rFonts w:ascii="Arial" w:cs="Arial" w:eastAsia="Arial" w:hAnsi="Arial"/>
                <w:sz w:val="18"/>
                <w:szCs w:val="18"/>
                <w:color w:val="auto"/>
              </w:rPr>
              <w:t>2025 Indenture</w:t>
            </w:r>
          </w:p>
        </w:tc>
        <w:tc>
          <w:tcPr>
            <w:tcW w:w="9380" w:type="dxa"/>
            <w:vAlign w:val="bottom"/>
          </w:tcPr>
          <w:p>
            <w:pPr>
              <w:ind w:left="400"/>
              <w:spacing w:after="0"/>
              <w:rPr>
                <w:sz w:val="20"/>
                <w:szCs w:val="20"/>
                <w:color w:val="auto"/>
              </w:rPr>
            </w:pPr>
            <w:r>
              <w:rPr>
                <w:rFonts w:ascii="Arial" w:cs="Arial" w:eastAsia="Arial" w:hAnsi="Arial"/>
                <w:sz w:val="18"/>
                <w:szCs w:val="18"/>
                <w:color w:val="auto"/>
                <w:w w:val="95"/>
              </w:rPr>
              <w:t>The indenture relating to the 2025 Senior Notes, dated as of December 20, 2016, among the Company, the subsidiary</w:t>
            </w:r>
          </w:p>
        </w:tc>
      </w:tr>
      <w:tr>
        <w:trPr>
          <w:trHeight w:val="230"/>
        </w:trPr>
        <w:tc>
          <w:tcPr>
            <w:tcW w:w="2040" w:type="dxa"/>
            <w:vAlign w:val="bottom"/>
          </w:tcPr>
          <w:p>
            <w:pPr>
              <w:spacing w:after="0"/>
              <w:rPr>
                <w:sz w:val="20"/>
                <w:szCs w:val="20"/>
                <w:color w:val="auto"/>
              </w:rPr>
            </w:pPr>
          </w:p>
        </w:tc>
        <w:tc>
          <w:tcPr>
            <w:tcW w:w="9380" w:type="dxa"/>
            <w:vAlign w:val="bottom"/>
          </w:tcPr>
          <w:p>
            <w:pPr>
              <w:ind w:left="400"/>
              <w:spacing w:after="0"/>
              <w:rPr>
                <w:sz w:val="20"/>
                <w:szCs w:val="20"/>
                <w:color w:val="auto"/>
              </w:rPr>
            </w:pPr>
            <w:r>
              <w:rPr>
                <w:rFonts w:ascii="Arial" w:cs="Arial" w:eastAsia="Arial" w:hAnsi="Arial"/>
                <w:sz w:val="18"/>
                <w:szCs w:val="18"/>
                <w:color w:val="auto"/>
              </w:rPr>
              <w:t>guarantors party thereto and Wells Fargo, as the trustee, as supplemented.</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New York Mercantile Exchange.</w:t>
            </w: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OSHA</w:t>
            </w:r>
          </w:p>
        </w:tc>
        <w:tc>
          <w:tcPr>
            <w:tcW w:w="9380" w:type="dxa"/>
            <w:vAlign w:val="bottom"/>
          </w:tcPr>
          <w:p>
            <w:pPr>
              <w:ind w:left="400"/>
              <w:spacing w:after="0"/>
              <w:rPr>
                <w:sz w:val="20"/>
                <w:szCs w:val="20"/>
                <w:color w:val="auto"/>
              </w:rPr>
            </w:pPr>
            <w:r>
              <w:rPr>
                <w:rFonts w:ascii="Arial" w:cs="Arial" w:eastAsia="Arial" w:hAnsi="Arial"/>
                <w:sz w:val="18"/>
                <w:szCs w:val="18"/>
                <w:color w:val="auto"/>
              </w:rPr>
              <w:t>Federal Occupational Safety and Health Act.</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04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9380" w:type="dxa"/>
            <w:vAlign w:val="bottom"/>
          </w:tcPr>
          <w:p>
            <w:pPr>
              <w:ind w:left="400"/>
              <w:spacing w:after="0"/>
              <w:rPr>
                <w:sz w:val="20"/>
                <w:szCs w:val="20"/>
                <w:color w:val="auto"/>
              </w:rPr>
            </w:pPr>
            <w:r>
              <w:rPr>
                <w:rFonts w:ascii="Arial" w:cs="Arial" w:eastAsia="Arial" w:hAnsi="Arial"/>
                <w:sz w:val="18"/>
                <w:szCs w:val="18"/>
                <w:color w:val="auto"/>
                <w:w w:val="93"/>
              </w:rPr>
              <w:t>The first amended and restated agreement of limited partnership, dated as of June 23, 2014, entered into by the General</w:t>
            </w:r>
          </w:p>
        </w:tc>
      </w:tr>
      <w:tr>
        <w:trPr>
          <w:trHeight w:val="230"/>
        </w:trPr>
        <w:tc>
          <w:tcPr>
            <w:tcW w:w="2040" w:type="dxa"/>
            <w:vAlign w:val="bottom"/>
          </w:tcPr>
          <w:p>
            <w:pPr>
              <w:spacing w:after="0"/>
              <w:rPr>
                <w:sz w:val="20"/>
                <w:szCs w:val="20"/>
                <w:color w:val="auto"/>
              </w:rPr>
            </w:pPr>
          </w:p>
        </w:tc>
        <w:tc>
          <w:tcPr>
            <w:tcW w:w="9380" w:type="dxa"/>
            <w:vAlign w:val="bottom"/>
          </w:tcPr>
          <w:p>
            <w:pPr>
              <w:ind w:left="400"/>
              <w:spacing w:after="0"/>
              <w:rPr>
                <w:sz w:val="20"/>
                <w:szCs w:val="20"/>
                <w:color w:val="auto"/>
              </w:rPr>
            </w:pPr>
            <w:r>
              <w:rPr>
                <w:rFonts w:ascii="Arial" w:cs="Arial" w:eastAsia="Arial" w:hAnsi="Arial"/>
                <w:sz w:val="18"/>
                <w:szCs w:val="18"/>
                <w:color w:val="auto"/>
              </w:rPr>
              <w:t>Partner and Diamondback in connection with the closing of the Viper Offering.</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Ryder Scott</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Ryder Scott Company, L.P.</w:t>
            </w: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SEC</w:t>
            </w:r>
          </w:p>
        </w:tc>
        <w:tc>
          <w:tcPr>
            <w:tcW w:w="9380" w:type="dxa"/>
            <w:vAlign w:val="bottom"/>
          </w:tcPr>
          <w:p>
            <w:pPr>
              <w:ind w:left="40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Act</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Securities Act of 1933, as amended.</w:t>
            </w: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2024 Senior Notes</w:t>
            </w:r>
          </w:p>
        </w:tc>
        <w:tc>
          <w:tcPr>
            <w:tcW w:w="9380" w:type="dxa"/>
            <w:vAlign w:val="bottom"/>
          </w:tcPr>
          <w:p>
            <w:pPr>
              <w:ind w:left="400"/>
              <w:spacing w:after="0"/>
              <w:rPr>
                <w:sz w:val="20"/>
                <w:szCs w:val="20"/>
                <w:color w:val="auto"/>
              </w:rPr>
            </w:pPr>
            <w:r>
              <w:rPr>
                <w:rFonts w:ascii="Arial" w:cs="Arial" w:eastAsia="Arial" w:hAnsi="Arial"/>
                <w:sz w:val="18"/>
                <w:szCs w:val="18"/>
                <w:color w:val="auto"/>
              </w:rPr>
              <w:t>The Company’s 4.750% senior unsecured notes due 2024 in the aggregate principal amount of $500 million.</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Senior Notes</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Company’s 5.375% senior unsecured notes due 2025 in the aggregate principal amount of $500 million.</w:t>
            </w: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9380" w:type="dxa"/>
            <w:vAlign w:val="bottom"/>
          </w:tcPr>
          <w:p>
            <w:pPr>
              <w:ind w:left="400"/>
              <w:spacing w:after="0"/>
              <w:rPr>
                <w:sz w:val="20"/>
                <w:szCs w:val="20"/>
                <w:color w:val="auto"/>
              </w:rPr>
            </w:pPr>
            <w:r>
              <w:rPr>
                <w:rFonts w:ascii="Arial" w:cs="Arial" w:eastAsia="Arial" w:hAnsi="Arial"/>
                <w:sz w:val="18"/>
                <w:szCs w:val="18"/>
                <w:color w:val="auto"/>
              </w:rPr>
              <w:t>The 2024 Senior Notes and the 2025 Senior Notes.</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Viper Energy Partners L.P.</w:t>
            </w: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Viper LTIP</w:t>
            </w:r>
          </w:p>
        </w:tc>
        <w:tc>
          <w:tcPr>
            <w:tcW w:w="9380" w:type="dxa"/>
            <w:vAlign w:val="bottom"/>
          </w:tcPr>
          <w:p>
            <w:pPr>
              <w:ind w:left="400"/>
              <w:spacing w:after="0"/>
              <w:rPr>
                <w:sz w:val="20"/>
                <w:szCs w:val="20"/>
                <w:color w:val="auto"/>
              </w:rPr>
            </w:pPr>
            <w:r>
              <w:rPr>
                <w:rFonts w:ascii="Arial" w:cs="Arial" w:eastAsia="Arial" w:hAnsi="Arial"/>
                <w:sz w:val="18"/>
                <w:szCs w:val="18"/>
                <w:color w:val="auto"/>
              </w:rPr>
              <w:t>Viper Energy Partners L.P. Long Term Incentive Plan.</w:t>
            </w: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Offering</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Partnerships’ initial public offering.</w:t>
            </w: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Wells Fargo</w:t>
            </w:r>
          </w:p>
        </w:tc>
        <w:tc>
          <w:tcPr>
            <w:tcW w:w="9380" w:type="dxa"/>
            <w:vAlign w:val="bottom"/>
          </w:tcPr>
          <w:p>
            <w:pPr>
              <w:ind w:left="400"/>
              <w:spacing w:after="0"/>
              <w:rPr>
                <w:sz w:val="20"/>
                <w:szCs w:val="20"/>
                <w:color w:val="auto"/>
              </w:rPr>
            </w:pPr>
            <w:r>
              <w:rPr>
                <w:rFonts w:ascii="Arial" w:cs="Arial" w:eastAsia="Arial" w:hAnsi="Arial"/>
                <w:sz w:val="18"/>
                <w:szCs w:val="18"/>
                <w:color w:val="auto"/>
              </w:rPr>
              <w:t>Wells Fargo Bank, National Association.</w:t>
            </w:r>
          </w:p>
        </w:tc>
      </w:tr>
      <w:tr>
        <w:trPr>
          <w:trHeight w:val="27"/>
        </w:trPr>
        <w:tc>
          <w:tcPr>
            <w:tcW w:w="2040" w:type="dxa"/>
            <w:vAlign w:val="bottom"/>
            <w:tcBorders>
              <w:bottom w:val="single" w:sz="8" w:color="auto"/>
            </w:tcBorders>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74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Securities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Annual Report on Form 10–K, including under </w:t>
      </w:r>
      <w:r>
        <w:rPr>
          <w:rFonts w:ascii="Arial" w:cs="Arial" w:eastAsia="Arial" w:hAnsi="Arial"/>
          <w:sz w:val="17"/>
          <w:szCs w:val="17"/>
          <w:i w:val="1"/>
          <w:iCs w:val="1"/>
          <w:color w:val="auto"/>
        </w:rPr>
        <w:t>Part I, Item 1A.</w:t>
      </w:r>
      <w:r>
        <w:rPr>
          <w:rFonts w:ascii="Arial" w:cs="Arial" w:eastAsia="Arial" w:hAnsi="Arial"/>
          <w:sz w:val="17"/>
          <w:szCs w:val="17"/>
          <w:color w:val="auto"/>
        </w:rPr>
        <w:t xml:space="preserve"> “Risk Factors” in this report,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39"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58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Except as noted, in this Annual Report on Form 10-K, we refer to Diamondback, together with its consolidated subsidiaries, as “we,” “us,” “our,” or “the Company”. This report includes certain terms commonly used in the oil and gas industry, which are defined above in the “Glossary of Oil and Natural Gas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AND PROPERTIES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began operations in December 2007 with our acquisition of 4,174 net acres in the Permian Basin. At December 31, 2017, our total acreage position in the Permian Basin was approximately 246,012 gross (206,660 net) acres. In addition, we, through our subsidiary Viper Energy Partners LP, or Viper, own mineral interests underlying approximately 247,602 gross acres, 43,843 net acres and 9,570 net royalty acres primarily in Midland County, Texas in the Permian Basin. Approximately 36% of these net royalty acres are operated by us. We own Viper Energy Partners GP LLC, the general partner of Viper, which we refer to as the general partner, and we own approximately 64% of the limited partner interest in Viper.</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 Permian Basin is characterized by high oil and liquids rich natural gas, multiple vertical and horizontal target horizons, extensive production history, long-lived reserves and high drilling success rates.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2017, our estimated proved oil and natural gas reserves were 335,352 MBOE (which includes estimated reserves of 38,246 MBOE attributable to the mineral interests owned by Viper), based on reserve reports prepared by Ryder Scott Company, L.P., or Ryder Scott, our independent reserve engineers. Of these reserves, approximately 62.2% are classified as proved developed producing. Proved undeveloped, or PUD, reserves included in this estimate are from 168 gross (142 net) horizontal well locations in which we have a working interest, and nine horizontal wells in which we own only a mineral interest through our subsidiary, Viper. As of December 31, 2017, our estimated proved reserves were approximately 70% oil, 14% natural gas liquids and 16% natural gas.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on our evaluation of applicable geologic and engineering data, we currently have approximately 3,800 gross (2,750 net) identified economic potential horizontal drilling locations in multiple horizons on our acreage at an assumed price of approximately $60.00 per Bbl WTI. We intend to continue to develop our reserves and increase production through development drilling and exploitation and exploration activities on this multi-year project inventory of identified potential drilling locations and through additional acquisitions that meet our strategic and financial objectives, targeting oil-weighted reserves.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challenging commodity price environment that we experienced in 2016 continued in 2017. Commodity prices improved during 2017, but continued to be volatile. Nevertheless, we believe we remain well-positioned in this environment. During 2017, we again demonstrated our operational focus on achieving best-in-class execution, low-cost operations and a conservative balance sheet as we continued to reduce drilling days, well costs and operating expenses while maintaining what we believe to be a peer leading leverage ratio. We intend to continue our operational focus in 2018, emphasizing full cycle economics and financial discipline. We are operating ten rigs now and currently intend to operate between ten and twelve rigs in 2018, depending on market conditions. We will continue monitoring the ongoing commodity price environment and expect to retain the financial flexibility to adjust our drilling and completion plans in response to market conditions. We are prepared to decelerate our drilling program if commodity prices deteriorate and continue to accelerate our drilling program should commodity prices remain constant or further improve. We have the option to release up to eight of our current ten rigs in 2018 should commodity prices deteriorate. See Item 7. “Management’s Discussion and Analysis of Financial Condition and Results of Operations-Liquidity and Capital Resources.”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is to continue to profitably grow our business through the following:</w:t>
      </w:r>
    </w:p>
    <w:p>
      <w:pPr>
        <w:spacing w:after="0" w:line="221" w:lineRule="exact"/>
        <w:rPr>
          <w:sz w:val="20"/>
          <w:szCs w:val="20"/>
          <w:color w:val="auto"/>
        </w:rPr>
      </w:pPr>
    </w:p>
    <w:p>
      <w:pPr>
        <w:jc w:val="both"/>
        <w:ind w:left="980" w:hanging="324"/>
        <w:spacing w:after="0" w:line="266"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production and reserves by developing our oil-rich resource base. </w:t>
      </w:r>
      <w:r>
        <w:rPr>
          <w:rFonts w:ascii="Arial" w:cs="Arial" w:eastAsia="Arial" w:hAnsi="Arial"/>
          <w:sz w:val="18"/>
          <w:szCs w:val="18"/>
          <w:color w:val="auto"/>
        </w:rPr>
        <w:t>We intend to drill and develop our acreage base in an effort to</w:t>
      </w:r>
      <w:r>
        <w:rPr>
          <w:rFonts w:ascii="Arial" w:cs="Arial" w:eastAsia="Arial" w:hAnsi="Arial"/>
          <w:sz w:val="18"/>
          <w:szCs w:val="18"/>
          <w:b w:val="1"/>
          <w:bCs w:val="1"/>
          <w:color w:val="auto"/>
        </w:rPr>
        <w:t xml:space="preserve"> </w:t>
      </w:r>
      <w:r>
        <w:rPr>
          <w:rFonts w:ascii="Arial" w:cs="Arial" w:eastAsia="Arial" w:hAnsi="Arial"/>
          <w:sz w:val="18"/>
          <w:szCs w:val="18"/>
          <w:color w:val="auto"/>
        </w:rPr>
        <w:t>maximize its value and resource potential. Through the conversion of our undeveloped reserves to developed reserves, we will seek to increase our production, reserves and cash flow while generating favorable returns on invested capital.</w:t>
      </w:r>
    </w:p>
    <w:p>
      <w:pPr>
        <w:spacing w:after="0" w:line="189" w:lineRule="exact"/>
        <w:rPr>
          <w:rFonts w:ascii="Arial" w:cs="Arial" w:eastAsia="Arial" w:hAnsi="Arial"/>
          <w:sz w:val="18"/>
          <w:szCs w:val="18"/>
          <w:b w:val="1"/>
          <w:bCs w:val="1"/>
          <w:color w:val="auto"/>
        </w:rPr>
      </w:pPr>
    </w:p>
    <w:p>
      <w:pPr>
        <w:jc w:val="both"/>
        <w:ind w:left="980" w:hanging="324"/>
        <w:spacing w:after="0" w:line="302" w:lineRule="auto"/>
        <w:tabs>
          <w:tab w:leader="none" w:pos="9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Focus on increasing hydrocarbon recovery through horizontal drilling and increased well density. </w:t>
      </w:r>
      <w:r>
        <w:rPr>
          <w:rFonts w:ascii="Arial" w:cs="Arial" w:eastAsia="Arial" w:hAnsi="Arial"/>
          <w:sz w:val="16"/>
          <w:szCs w:val="16"/>
          <w:color w:val="auto"/>
        </w:rPr>
        <w:t>We have targeted various intervals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Midland Basin through horizontal drilling and believe that there are opportunities to target additional intervals throughout the stratigraphic column. Our initial horizontal focus had been on the Wolfcamp B interval</w:t>
      </w:r>
      <w:r>
        <w:rPr>
          <w:rFonts w:ascii="Arial" w:cs="Arial" w:eastAsia="Arial" w:hAnsi="Arial"/>
          <w:sz w:val="17"/>
          <w:szCs w:val="17"/>
          <w:color w:val="auto"/>
        </w:rPr>
        <w:t>,</w:t>
      </w:r>
      <w:r>
        <w:rPr>
          <w:rFonts w:ascii="Arial" w:cs="Arial" w:eastAsia="Arial" w:hAnsi="Arial"/>
          <w:sz w:val="16"/>
          <w:szCs w:val="16"/>
          <w:color w:val="auto"/>
        </w:rPr>
        <w:t xml:space="preserve"> but our recent focus has included the Lower Spraberry, Middle Spraberry and Wolfcamp A intervals. Our first two horizontal wells were completed in 2012 and had lateral lengths of less than 4,000 feet. As of December 31, 2017, we had drilled 412 horizontal wells as operator and had participated in 61 additional horizontal wells as a non-operator, including two in which we own only a minor wellbore interest. We also acquired interest in 76 horizontal wells on properties we purchased. Of these 549 total horizontal wells, 466 had been completed and were on production. Of the 466 horizontal wells on production, 152 are in the Wolfcamp B interval, 122 are in the Wolfcamp A interval, 163 are in the Lower Spraberry interval, nine are in the Middle Spraberry interval, three are in the Cline interval, three are in the Clearfork interval, seven are in the Bone Spring interval and seven are in various other intervals. These wells have lateral lengths ranging from approximately 2,100 feet to 13,000 feet. In 2018, we expect that our average lateral length will be about 9,300 feet, although the actual length will vary depending on the layout of our acreage and other factors. As technology continues to improve, we expect that our average lateral length will increase, resulting in higher per well recoveries and lower development costs per BOE. During the year ended December 31, 2017, we were able to drill our horizontal wells in the Midland Basin with approximately 7,500 foot lateral lengths to total depth, or TD, in an average of 12.2 days and we drilled approximately 10,000 foot lateral wells in 14.5 days. Further advances in drilling and completion technology may result in economic development of zones that are not currently viable.</w:t>
      </w:r>
    </w:p>
    <w:p>
      <w:pPr>
        <w:spacing w:after="0" w:line="159" w:lineRule="exact"/>
        <w:rPr>
          <w:rFonts w:ascii="Arial" w:cs="Arial" w:eastAsia="Arial" w:hAnsi="Arial"/>
          <w:sz w:val="16"/>
          <w:szCs w:val="16"/>
          <w:b w:val="1"/>
          <w:bCs w:val="1"/>
          <w:color w:val="auto"/>
        </w:rPr>
      </w:pPr>
    </w:p>
    <w:p>
      <w:pPr>
        <w:jc w:val="both"/>
        <w:ind w:left="980" w:hanging="324"/>
        <w:spacing w:after="0" w:line="271"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experience operating in the Permian Basin. </w:t>
      </w:r>
      <w:r>
        <w:rPr>
          <w:rFonts w:ascii="Arial" w:cs="Arial" w:eastAsia="Arial" w:hAnsi="Arial"/>
          <w:sz w:val="17"/>
          <w:szCs w:val="17"/>
          <w:color w:val="auto"/>
        </w:rPr>
        <w:t>Our executive team, which has an average of over 25 years of industry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per person and significant experience in the Permian Basin, intends to continue to seek ways to maximize hydrocarbon recovery by refining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174"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Enhance returns through our low cost development strategy of resource conversion, capital allocation and continued improvements in operational and cost efficiencies. </w:t>
      </w:r>
      <w:r>
        <w:rPr>
          <w:rFonts w:ascii="Arial" w:cs="Arial" w:eastAsia="Arial" w:hAnsi="Arial"/>
          <w:sz w:val="18"/>
          <w:szCs w:val="18"/>
          <w:color w:val="auto"/>
        </w:rPr>
        <w:t>Our acreage position in the Wolfberry play is generally in contiguous blocks which allows us to develop this</w:t>
      </w:r>
      <w:r>
        <w:rPr>
          <w:rFonts w:ascii="Arial" w:cs="Arial" w:eastAsia="Arial" w:hAnsi="Arial"/>
          <w:sz w:val="18"/>
          <w:szCs w:val="18"/>
          <w:b w:val="1"/>
          <w:bCs w:val="1"/>
          <w:color w:val="auto"/>
        </w:rPr>
        <w:t xml:space="preserve"> </w:t>
      </w:r>
      <w:r>
        <w:rPr>
          <w:rFonts w:ascii="Arial" w:cs="Arial" w:eastAsia="Arial" w:hAnsi="Arial"/>
          <w:sz w:val="18"/>
          <w:szCs w:val="18"/>
          <w:color w:val="auto"/>
        </w:rPr>
        <w:t>acreage efficiently with a “manufacturing” strategy that takes advantage of economies of scale and uses centralized production and fluid handling facilities. We are the operator of approximately 84% of our acreage. This operational control allows us to manage more efficiently the pace of development activities and the gathering and marketing of our production and control operating costs and technical applications, including horizontal development. Our average 84% working interest in our acreage allows us to realize the majority of the benefits of these activities and cost efficiencies.</w:t>
      </w:r>
    </w:p>
    <w:p>
      <w:pPr>
        <w:spacing w:after="0" w:line="189" w:lineRule="exact"/>
        <w:rPr>
          <w:rFonts w:ascii="Arial" w:cs="Arial" w:eastAsia="Arial" w:hAnsi="Arial"/>
          <w:sz w:val="18"/>
          <w:szCs w:val="18"/>
          <w:b w:val="1"/>
          <w:bCs w:val="1"/>
          <w:color w:val="auto"/>
        </w:rPr>
      </w:pPr>
    </w:p>
    <w:p>
      <w:pPr>
        <w:jc w:val="both"/>
        <w:ind w:left="980" w:hanging="324"/>
        <w:spacing w:after="0" w:line="256"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Pursue strategic acquisitions with substantial resource potential. </w:t>
      </w:r>
      <w:r>
        <w:rPr>
          <w:rFonts w:ascii="Arial" w:cs="Arial" w:eastAsia="Arial" w:hAnsi="Arial"/>
          <w:sz w:val="18"/>
          <w:szCs w:val="18"/>
          <w:color w:val="auto"/>
        </w:rPr>
        <w:t>We have a proven history of acquiring leasehold positions in the Permian</w:t>
      </w:r>
      <w:r>
        <w:rPr>
          <w:rFonts w:ascii="Arial" w:cs="Arial" w:eastAsia="Arial" w:hAnsi="Arial"/>
          <w:sz w:val="18"/>
          <w:szCs w:val="18"/>
          <w:b w:val="1"/>
          <w:bCs w:val="1"/>
          <w:color w:val="auto"/>
        </w:rPr>
        <w:t xml:space="preserve"> </w:t>
      </w:r>
      <w:r>
        <w:rPr>
          <w:rFonts w:ascii="Arial" w:cs="Arial" w:eastAsia="Arial" w:hAnsi="Arial"/>
          <w:sz w:val="18"/>
          <w:szCs w:val="18"/>
          <w:color w:val="auto"/>
        </w:rPr>
        <w:t>Basin that have substantial oil-weighted resource potential. Our executive team, with its extensive experience in the Permian Basin, has what we believe is a competitive advantage in identifying acquisition targets and a proven ability to evaluate resource potential. We regularly review acquisition opportunities and intend to pursue acquisitions that meet our strategic and financial targets. During the year ended December 31, 2017, we acquired approximately 99,830 gross (84,468 net) leasehold acres primarily in Pecos and Reeves counties in the Southern Delaware Basin.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9" w:name="page10"/>
    <w:bookmarkEnd w:id="9"/>
    <w:p>
      <w:pPr>
        <w:jc w:val="both"/>
        <w:ind w:left="980" w:hanging="324"/>
        <w:spacing w:after="0" w:line="281" w:lineRule="auto"/>
        <w:tabs>
          <w:tab w:leader="none" w:pos="9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Maintain financial flexibility. </w:t>
      </w:r>
      <w:r>
        <w:rPr>
          <w:rFonts w:ascii="Arial" w:cs="Arial" w:eastAsia="Arial" w:hAnsi="Arial"/>
          <w:sz w:val="17"/>
          <w:szCs w:val="17"/>
          <w:color w:val="auto"/>
        </w:rPr>
        <w:t>We seek to maintain a conservative financial position. In connection with our fall 2017 borrowing base</w:t>
      </w:r>
      <w:r>
        <w:rPr>
          <w:rFonts w:ascii="Arial" w:cs="Arial" w:eastAsia="Arial" w:hAnsi="Arial"/>
          <w:sz w:val="17"/>
          <w:szCs w:val="17"/>
          <w:b w:val="1"/>
          <w:bCs w:val="1"/>
          <w:color w:val="auto"/>
        </w:rPr>
        <w:t xml:space="preserve"> </w:t>
      </w:r>
      <w:r>
        <w:rPr>
          <w:rFonts w:ascii="Arial" w:cs="Arial" w:eastAsia="Arial" w:hAnsi="Arial"/>
          <w:sz w:val="17"/>
          <w:szCs w:val="17"/>
          <w:color w:val="auto"/>
        </w:rPr>
        <w:t>redetermination, the agent lender under our revolving credit agreement recommended a borrowing base of $1.8 billion. We elected a commitment amount of $1.0 billion, of which $603.0 million was available for borrowing as of December 31, 2017. As of December 31, 2017, Viper had $93.5 million in outstanding borrowings, and $306.5 million available for borrowing, under its revolving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221" w:lineRule="exact"/>
        <w:rPr>
          <w:sz w:val="20"/>
          <w:szCs w:val="20"/>
          <w:color w:val="auto"/>
        </w:rPr>
      </w:pPr>
    </w:p>
    <w:p>
      <w:pPr>
        <w:jc w:val="both"/>
        <w:ind w:left="980" w:hanging="324"/>
        <w:spacing w:after="0" w:line="258" w:lineRule="auto"/>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Oil rich resource base in one of North America’s leading resource plays. </w:t>
      </w:r>
      <w:r>
        <w:rPr>
          <w:rFonts w:ascii="Arial" w:cs="Arial" w:eastAsia="Arial" w:hAnsi="Arial"/>
          <w:sz w:val="18"/>
          <w:szCs w:val="18"/>
          <w:color w:val="auto"/>
        </w:rPr>
        <w:t>All of our leasehold acreage is located in one of the most prolific</w:t>
      </w:r>
      <w:r>
        <w:rPr>
          <w:rFonts w:ascii="Arial" w:cs="Arial" w:eastAsia="Arial" w:hAnsi="Arial"/>
          <w:sz w:val="18"/>
          <w:szCs w:val="18"/>
          <w:b w:val="1"/>
          <w:bCs w:val="1"/>
          <w:color w:val="auto"/>
        </w:rPr>
        <w:t xml:space="preserve"> </w:t>
      </w:r>
      <w:r>
        <w:rPr>
          <w:rFonts w:ascii="Arial" w:cs="Arial" w:eastAsia="Arial" w:hAnsi="Arial"/>
          <w:sz w:val="18"/>
          <w:szCs w:val="18"/>
          <w:color w:val="auto"/>
        </w:rPr>
        <w:t>oil plays in North America, the Permian Basin in West Texas. The majority of our current properties are well positioned in the core of the Permian Basin. Our production for the year ended December 31, 2017 was approximately 74% oil, 14% natural gas liquids and 12% natural gas. As of December 31, 2017, our estimated net proved reserves were comprised of approximately 70% oil, 14% natural gas liquids and 16% natural gas.</w:t>
      </w:r>
    </w:p>
    <w:p>
      <w:pPr>
        <w:spacing w:after="0" w:line="183" w:lineRule="exact"/>
        <w:rPr>
          <w:rFonts w:ascii="Arial" w:cs="Arial" w:eastAsia="Arial" w:hAnsi="Arial"/>
          <w:sz w:val="18"/>
          <w:szCs w:val="18"/>
          <w:b w:val="1"/>
          <w:bCs w:val="1"/>
          <w:color w:val="auto"/>
        </w:rPr>
      </w:pPr>
    </w:p>
    <w:p>
      <w:pPr>
        <w:jc w:val="both"/>
        <w:ind w:left="980" w:hanging="324"/>
        <w:spacing w:after="0" w:line="267"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Multi-year drilling inventory in one of North America’s leading oil resource plays. </w:t>
      </w:r>
      <w:r>
        <w:rPr>
          <w:rFonts w:ascii="Arial" w:cs="Arial" w:eastAsia="Arial" w:hAnsi="Arial"/>
          <w:sz w:val="17"/>
          <w:szCs w:val="17"/>
          <w:color w:val="auto"/>
        </w:rPr>
        <w:t>We have identified a multi-year inventory of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drilling locations for our oil-weighted reserves that we believe provides attractive growth and return opportunities. At an assumed price of approximately $60.00 per Bbl WTI, we currently have approximately 3,800 gross (2,750 net) identified economic potential horizontal drilling locations on our acreage based on our evaluation of applicable geologic and engineering data. These gross identified economic potential horizontal locations have an average lateral length of approximately 8,400 feet, with the actual length depending on lease geometry and other considerations. These locations exist across most of our acreage blocks and in multiple horizons. Of these 3,800 locations, 2,100 are in the Midland Basin and 1,700 are in the Delaware Basin. In the Midland Basin, 860 are in the Lower Spraberry or Wolfcamp B horizons where we have drilled a large number of wells, 825 are in the Wolfcamp A or Middle Spraberry horizons where we have drilled a limited number of wells and 415 are in the Clearfork or Cline horizons where we have drilled very few wells. Our current location count for the Lower Spraberry horizon is based on 660 foot spacing in f Midland, southwest Martin, northeast Andrews, Howard and Glasscock counties, and 880 foot spacing in all other counties. For the Wolfcamp B horizon, the horizontal location count is based on 660 foot spacing between wells in Midland, Martin, northeast Andrews, Howard, and Glasscock counties, and 880 foot spacing in all other counties. In the Wolfcamp A horizon, the horizontal location count in based on 660 foot spacing in Midland, Howard and Glasscock counties, 880 foot spacing in southwest Martin county and 1,320 foot spacing in other counties. The horizontal location count for the Middle Spraberry is based on 880 foot spacing in Midland, Martin and northeast Andrews counties and 1,320 foot spacing in other counties. In the Cline and Clearfork horizons, the horizontal location count is based on 1,320 foot spacing except for the Clearfork in central Andrews County which is based on 660 foot spacing. In the Delaware Basin, 1,240 locations are in the Wolfcamp A or Wolfcamp B horizons, and 460 locations are in the 2nd Bone Spring or 3rd Bone Spring horizon. The horizontal location counts are based on 880 foot spacing in the Wolfcamp A and Wolfcamp B horizons, and 1,320 foot spacing in the Bone Spring horizons. The ultimate inter-well spacing may vary from these distances due to different factors, which would result in a higher or lower location count. The two-stream gross estimated ultimate recoveries, or EURs, from our future PUD horizontal wells, as estimated by Ryder Scott as of December 31, 2017, range from 528 MBOE per well, consisting of 413 MBbls of oil and 687 MMcf of natural gas, to 1,665 MBOE per well, consisting of 1,307 MBbls of oil and 2,150 MMcf of natural gas, for wells ranging in lateral length from approximately 5,000 feet to approximately 12,500 feet, in intervals including the Middle Spraberry, Lower Spraberry, Wolfcamp A, and Wolfcamp B. Ryder Scott has estimated gross EURs of 910 MBOE for our Lower Spraberry wells in Midland County and 1,071 MBOE for our Wolfcamp A wells in Pecos County, which constitute 36% of our remaining PUD horizontal wells, in each case based on 7,500 foot lateral lengths. In addition, we have approximately 1,837 square miles of proprietary 3-D seismic data covering our acreage. This data facilitates the evaluation of our existing drilling inventory and provides insight into future development activity, including additional horizontal drilling opportunities and strategic leasehold acquisitions.</w:t>
      </w:r>
    </w:p>
    <w:p>
      <w:pPr>
        <w:spacing w:after="0" w:line="177" w:lineRule="exact"/>
        <w:rPr>
          <w:rFonts w:ascii="Arial" w:cs="Arial" w:eastAsia="Arial" w:hAnsi="Arial"/>
          <w:sz w:val="17"/>
          <w:szCs w:val="17"/>
          <w:color w:val="auto"/>
        </w:rPr>
      </w:pPr>
    </w:p>
    <w:p>
      <w:pPr>
        <w:jc w:val="both"/>
        <w:ind w:left="980" w:hanging="324"/>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Experienced, incentivized and proven management team. </w:t>
      </w:r>
      <w:r>
        <w:rPr>
          <w:rFonts w:ascii="Arial" w:cs="Arial" w:eastAsia="Arial" w:hAnsi="Arial"/>
          <w:sz w:val="18"/>
          <w:szCs w:val="18"/>
          <w:color w:val="auto"/>
        </w:rPr>
        <w:t>Our executive team has an average of over 25 years of industry experience per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in addition to horizontal well reservoir and geologic expertise, which is of strategic importance as we expand our horizontal drilling activity. Prior to joining us, our Chief Executive Officer held management positions at Apache Corporation, Laredo Petroleum Holdings, Inc. and Burlington Resources.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10" w:name="page11"/>
    <w:bookmarkEnd w:id="10"/>
    <w:p>
      <w:pPr>
        <w:jc w:val="both"/>
        <w:ind w:left="980" w:hanging="324"/>
        <w:spacing w:after="0" w:line="261" w:lineRule="auto"/>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Favorable operating environment. </w:t>
      </w:r>
      <w:r>
        <w:rPr>
          <w:rFonts w:ascii="Arial" w:cs="Arial" w:eastAsia="Arial" w:hAnsi="Arial"/>
          <w:sz w:val="18"/>
          <w:szCs w:val="18"/>
          <w:color w:val="auto"/>
        </w:rPr>
        <w:t>We have focused our drilling and development operations in the Permian Basin, one of the longest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hydrocarbon basins in the United States, with a long and well-established production history and developed infrastructure. We believe that the geological and regulatory environment of the Permian Basin is more stable and predictable, and that we are faced with less operational risks in the Permian Basin as compared to emerging hydrocarbon basins.</w:t>
      </w:r>
    </w:p>
    <w:p>
      <w:pPr>
        <w:spacing w:after="0" w:line="180" w:lineRule="exact"/>
        <w:rPr>
          <w:rFonts w:ascii="Arial" w:cs="Arial" w:eastAsia="Arial" w:hAnsi="Arial"/>
          <w:sz w:val="18"/>
          <w:szCs w:val="18"/>
          <w:b w:val="1"/>
          <w:bCs w:val="1"/>
          <w:color w:val="auto"/>
        </w:rPr>
      </w:pPr>
    </w:p>
    <w:p>
      <w:pPr>
        <w:jc w:val="both"/>
        <w:ind w:left="980" w:hanging="324"/>
        <w:spacing w:after="0" w:line="298"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High degree of operational control. </w:t>
      </w:r>
      <w:r>
        <w:rPr>
          <w:rFonts w:ascii="Arial" w:cs="Arial" w:eastAsia="Arial" w:hAnsi="Arial"/>
          <w:sz w:val="16"/>
          <w:szCs w:val="16"/>
          <w:color w:val="auto"/>
        </w:rPr>
        <w:t>We are the operator of approximately 84% of our Permian Basin acreage. This operating control allows us</w:t>
      </w:r>
      <w:r>
        <w:rPr>
          <w:rFonts w:ascii="Arial" w:cs="Arial" w:eastAsia="Arial" w:hAnsi="Arial"/>
          <w:sz w:val="16"/>
          <w:szCs w:val="16"/>
          <w:b w:val="1"/>
          <w:bCs w:val="1"/>
          <w:color w:val="auto"/>
        </w:rPr>
        <w:t xml:space="preserve"> </w:t>
      </w:r>
      <w:r>
        <w:rPr>
          <w:rFonts w:ascii="Arial" w:cs="Arial" w:eastAsia="Arial" w:hAnsi="Arial"/>
          <w:sz w:val="16"/>
          <w:szCs w:val="16"/>
          <w:color w:val="auto"/>
        </w:rPr>
        <w:t>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increase or decrease our capital expenditure program based on commodity price outlooks. This operating control also enables us to obtain data needed for efficient exploration of horizontal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total acreage position in the Permian Basin was approximately 246,012 gross (206,660 net) acres at December 31, 2017. We are the operator of approximately 84% of this Permian Basin acreage. In addition, we, through our subsidiary Viper, own mineral interests underlying approximately 247,602 gross acres, 43,843 net acres and 9,570 net royalty acres primarily in the Permian Basin. Approximately 36% of these net royalty acres are operated by us. Since our initial acquisition in the Permian Basin through December 31, 2017, we drilled or participated in the drilling of 753 gross (608 net) wells on our leasehold acreage in this area, primarily targeting the Wolfberry play. The Permian Basin area covers a significant portion of western Texas and eastern New Mexico and is considered one of the major producing basins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 History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proved reserves are located in the Permian Basin of West Texas, in particular in the Clearfork, Spraberry, Bone Spring, Wolfcamp, Cline, Strawn and Atoka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late 1990s, Atlantic Richfield Company, or Arco, began a drilling program targeting the base of the Spraberry formation at 10,000 feet, with an additional 200 to 300 feet drilled to produce from the upper portion of the Wolfcamp formation. Henry Petroleum, a private firm, owned interests in the Pegasus field in Midland and Upton counties. While drilling in the same area as the Arco project, Henry Petroleum decided to drill completely through the Wolfcamp section. Henry Petroleum mapped the trend and began acquiring acreage and drilling wells using multiple slick-water fracturing treatments across the entire Wolfcamp interval. In 2005, former members of Henry Petroleum’s Wolfcamp team formed their own private company, ExL Petroleum, and began replicating Henry Petroleum’s program. After ExL had drilled 32 productive Wolfcamp/Spraberry wells through late 2007, they monetized a portion of their acreage position, which led to the acquisition that enabled us to begin our participation in this play. Recent advancements in enhanced recovery techniques and horizontal drilling continue to make this play attractive to the oil and gas industry. By mid-2010, approximately half of the rigs active in the Permian Basin were drilling wells in the Wolfberry play. As of December 31, 2017, we held working interests in 1,166 gross (937 net) producing wells and royalty interests in 64 additional wells.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Permian Basin formed as an area of rapid Pennsylvanian-Permian subsidence in response to dynamic structural influence. It is one of the largest sedimentary basins in the U.S., with established oil and gas production from several reservoirs from Permian through Ordovician in age. The term “Wolfberry” was coined initially to indicate commingled production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the Permian Spraberry, Dean and Wolfcamp formations. Time equivalent in the Delaware Basin, the “Wolfbone” play describes vertically commingled production from the Permian Bone Spring and Wolfcamp formations.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Spraberry/Bone Spring was deposited as siliciclastic turbidites in a deep water submarine fan environment, while the Wolfcamp reservoirs consist of debris-flow and grain-flow sediments, which were also deposited in a submarine fan setting. The best carbonate reservoirs within the Wolfcamp are generally found in proximity to the Central Basin Platform, while the shale reservoirs within the Wolfcamp thicken basinward away from the Central Basin Platform. Both the Spraberry/Bone Spring and Wolfcamp contain organic-rich mudstones and shales which, when buried to sufficient depth for maturation, became the source of the hydrocarbons found both within the shales themselves and in the more conventional clastic and carbonate reservoirs between the shales. The Wolfberry and Wolfbone are unconventional “basin-centered oil” resource plays, in the sense that there is no regional downdip oil/water contact.</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successfully developed several shale intervals within the Clearfork, Spraberry/Bone Spring and Wolfcamp formations since we began horizontal drilling in 2012. The shales exhibit low permeabilities which necessitate the need for hydraulic fracture stimulation to unlock the vast storage of hydrocarbons in these targets.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possess, or are in the process of acquiring, 3-D seismic data over substantially all of our major asset areas. Our extensive geophysical database currently includes approximately 1,837 square miles of 3-D data. This data will continue to be utilized in the development of our horizontal drilling program and identification of additional resource to be exploited.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Status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2017, net production from our Permian Basin acreage was 28,917 MBOE, or an average of 79,224 BOE/d, of which approximately 74% was oil, 14% was natural gas liquids and 12% was natural gas.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oil and natural gas processing facilities are typical of those found in the Permian Basin. Our facilities located at well locations include storage tank batteries, oil/natural gas/water separation equipment and pumping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Activity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2018, we expect to complete an estimated 170 to 190 gross (146 to 163 net) horizontal wells on our acreage. We currently estimate that our capital expenditures in 2018 for drilling and infrastructure will be between $1.3 billion and $1.5 billion, consisting of $1.175 billion to $1.325 billion for horizontal drilling and completions including non-operated activity and $125.0 million to $175.0 million for infrastructure and other expenditures, but excluding the cost of any leasehold and mineral rights acquisitions. During the year ended December 31, 2017, we drilled 150 gross (130 net) and completed 123 gross (105 net) horizontal wells, including five drilled but uncompleted wells we acquired. We participated in the drilling of 16 gross (two net) non-operated horizontal wells in the Permian Basin. During the year ended December 31, 2017, our capital expenditures for drilling, completing and equipping wells were $719.3 million. In addition, we spent $124.0 million for oil and gas infrastructure, $17.4 million for non-operated properties and $2.4 billion for leasehold and mineral rights acquisitions.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operating ten rigs now and currently intend to operate between ten and twelve rigs in 2018, depending on market conditions. We will continue monitoring the ongoing commodity price environment and expect to retain the financial flexibility to adjust our drilling and completion plans in response to market conditions. We are prepared to decelerate our drilling program if commodity prices deteriorate and continue to accelerate our drilling program should commodity prices remain constant or further improve. We have the option to release up to eight of our current ten rigs in 2018 should commodity prices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Review of Reserves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historical reserve estimates as of December 31, 2017, 2016 and 2015 were prepared by Ryder Scott with respect to our assets and those of Viper. Ryder Scott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48"/>
        <w:spacing w:after="0" w:line="283" w:lineRule="auto"/>
        <w:rPr>
          <w:sz w:val="20"/>
          <w:szCs w:val="20"/>
          <w:color w:val="auto"/>
        </w:rPr>
      </w:pPr>
      <w:r>
        <w:rPr>
          <w:rFonts w:ascii="Arial" w:cs="Arial" w:eastAsia="Arial" w:hAnsi="Arial"/>
          <w:sz w:val="16"/>
          <w:szCs w:val="16"/>
          <w:color w:val="auto"/>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2017 were estimated using a deterministic method. 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established under SEC rules. The process of estimating the quantities of recoverable oil and gas reserves relies on the use of certain generally accepted analytical procedures. These analytical procedures fall into three broad categories or methods:</w:t>
      </w:r>
    </w:p>
    <w:p>
      <w:pPr>
        <w:spacing w:after="0" w:line="7" w:lineRule="exact"/>
        <w:rPr>
          <w:sz w:val="20"/>
          <w:szCs w:val="20"/>
          <w:color w:val="auto"/>
        </w:rPr>
      </w:pPr>
    </w:p>
    <w:p>
      <w:pPr>
        <w:jc w:val="both"/>
        <w:ind w:firstLine="8"/>
        <w:spacing w:after="0" w:line="268" w:lineRule="auto"/>
        <w:tabs>
          <w:tab w:leader="none" w:pos="277"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performance-based methods, (2) volumetric-based methods and (3) analogy. These methods may be used singularly or in combination by the reserve evaluator in the process of estimating the quantities of reserves. The proved reserves for our properties were estimated by performance methods, analogy or a combination of both methods. Approximately 83%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17%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an internal staff of petroleum engineers and geoscience professionals who worked closely with our 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reports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Our Executive Vice President–Reservoir Engineering is primarily responsible for overseeing the preparation of all of our reserve estimates. Our Executive Vice President–Reservoir Engineering is a petroleum engineer with over 30 years of reservoir and operations experience and our geoscience staff has an average of approximately 24 years of industry experience per person. Our technical staff uses historical information for our properties such as ownership interest, oil and gas production, well test data, commodity prices and operating and development costs.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of reserve estimates by our Executive Vice President–Reservoir Engineering or under his direct supervision;</w:t>
      </w:r>
    </w:p>
    <w:p>
      <w:pPr>
        <w:spacing w:after="0" w:line="23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by our Executive Vice President–Reservoir Engineering of all of our reported proved reserves at the close of each quarter, including the review of all significant reserve changes and all new proved undeveloped reserves additions;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reporting responsibilities by our Executive Vice President–Reservoir Engineering to our Chief Executive Officer;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14" w:right="239" w:bottom="1440" w:gutter="0" w:footer="0" w:header="0"/>
        </w:sectPr>
      </w:pPr>
    </w:p>
    <w:bookmarkStart w:id="13" w:name="page14"/>
    <w:bookmarkEnd w:id="13"/>
    <w:p>
      <w:pPr>
        <w:jc w:val="both"/>
        <w:ind w:firstLine="648"/>
        <w:spacing w:after="0" w:line="264"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2017, 2016 and 2015 (including those attributable to Viper), based on the reserve reports prepared by Ryder Scott. Each reserve report has been prepared in accordance with the rules and regulations of the SEC. All of our proved reserves included in the reserve reports are located in the continental United States.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64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proved developed reserves: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141,246</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79,457</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60,569</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190,740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105,399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96,871</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35,412</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15,418</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208,447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119,104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92,132</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Estimated proved undeveloped reserves: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91,935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59,717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45,409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94,629</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69,497</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52,632</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19,198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15,054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10,586</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Total (MBOE)</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126,905</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86,354</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64,767</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Net Proved Reserves: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233,181</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139,174</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105,979</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285,369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174,896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149,503</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54,610</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37,134</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26,004</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(MBOE)</w:t>
            </w:r>
            <w:r>
              <w:rPr>
                <w:rFonts w:ascii="Arial" w:cs="Arial" w:eastAsia="Arial" w:hAnsi="Arial"/>
                <w:sz w:val="25"/>
                <w:szCs w:val="25"/>
                <w:color w:val="auto"/>
                <w:vertAlign w:val="superscript"/>
              </w:rPr>
              <w:t>(1)</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335,352</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205,458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156,899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Percent proved developed</w:t>
            </w:r>
          </w:p>
        </w:tc>
        <w:tc>
          <w:tcPr>
            <w:tcW w:w="164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58.7%</w:t>
            </w:r>
          </w:p>
        </w:tc>
      </w:tr>
    </w:tbl>
    <w:p>
      <w:pPr>
        <w:spacing w:after="0" w:line="13" w:lineRule="exact"/>
        <w:rPr>
          <w:sz w:val="20"/>
          <w:szCs w:val="20"/>
          <w:color w:val="auto"/>
        </w:rPr>
      </w:pPr>
    </w:p>
    <w:p>
      <w:pPr>
        <w:jc w:val="both"/>
        <w:ind w:left="340" w:hanging="332"/>
        <w:spacing w:after="0" w:line="29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Estimates of reserves as of December 31, 2017, 2016 and 2015 were prepared using an average price equal to the unweighted arithmetic average of hydrocarbon prices received on a field-by-field basis on the first day of each month within the 12-month periods ended December 31, 2017, 2016 and 2015, respectively, in accordance with SEC guidelines applicable to reserves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foregoing reserves are all located within the continental United States. Reserve engineering is a subjective process of estimating volumes of economically recoverable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reserve estimates often differ from the quantities of oil and natural gas that are ultimately recovered. Estimates of economically recoverable oil and natural gas and of future net revenues are based on a number of variables and assumptions, all of which may vary from actual results, including geologic interpretation, prices and future production rates and costs. See Item 1A.“Risk Factors.” We have not filed any estimates of total, proved net oil or natural gas reserves with any federal authority or agency other than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2017, our proved undeveloped reserves totaled 91,935 MBbls of oil, 94,629 MMcf of natural gas and 19,198 MBbls of natural gas liquids, for a total of 126,905 MBOE. PUDs will be converted from undeveloped to developed as the applicable wells begin production.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color w:val="auto"/>
              </w:rPr>
              <w:t>The following table includes the changes in PUD reserves for 2017:</w:t>
            </w:r>
          </w:p>
        </w:tc>
        <w:tc>
          <w:tcPr>
            <w:tcW w:w="1700" w:type="dxa"/>
            <w:vAlign w:val="bottom"/>
          </w:tcPr>
          <w:p>
            <w:pPr>
              <w:spacing w:after="0"/>
              <w:rPr>
                <w:sz w:val="20"/>
                <w:szCs w:val="20"/>
                <w:color w:val="auto"/>
              </w:rPr>
            </w:pPr>
          </w:p>
        </w:tc>
      </w:tr>
      <w:tr>
        <w:trPr>
          <w:trHeight w:val="378"/>
        </w:trPr>
        <w:tc>
          <w:tcPr>
            <w:tcW w:w="9720" w:type="dxa"/>
            <w:vAlign w:val="bottom"/>
          </w:tcPr>
          <w:p>
            <w:pPr>
              <w:spacing w:after="0"/>
              <w:rPr>
                <w:sz w:val="24"/>
                <w:szCs w:val="24"/>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(MBOE)</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proved undeveloped reserves at December 31, 2016</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86,354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Undeveloped reserves transferred to developed</w:t>
            </w:r>
          </w:p>
        </w:tc>
        <w:tc>
          <w:tcPr>
            <w:tcW w:w="1700" w:type="dxa"/>
            <w:vAlign w:val="bottom"/>
          </w:tcPr>
          <w:p>
            <w:pPr>
              <w:jc w:val="right"/>
              <w:spacing w:after="0"/>
              <w:rPr>
                <w:sz w:val="20"/>
                <w:szCs w:val="20"/>
                <w:color w:val="auto"/>
              </w:rPr>
            </w:pPr>
            <w:r>
              <w:rPr>
                <w:rFonts w:ascii="Arial" w:cs="Arial" w:eastAsia="Arial" w:hAnsi="Arial"/>
                <w:sz w:val="18"/>
                <w:szCs w:val="18"/>
                <w:color w:val="auto"/>
              </w:rPr>
              <w:t>(31,666)</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purchases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6,246</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70,680</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Ending proved undeveloped reserves at December 31, 2017</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126,904</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proved undeveloped reserves was primarily attributable to extensions of 67,676 MBOE from 87 gross (75 net) wells in which we have a working interest and 3,004 MBOE from 40 gross wells in which Viper owns royalty interests. Of the 87 gross wells, 26 were in the Delaware Basin. Transfers of 31,666 MBOE were the result of drilling or participating in 44 gross (37 net) horizontal wells in which we have a working interest and 27 gross wells in which we have a royalty interest or mineral interest through Viper. We own a working interest in 23 of the 27 gross Viper wells. Net purchases of 6,246 MBOE were primarily from our purchase in Pecos and Reeves counties. Downward revisions of 4,710 MBOE resulted from reclassification of seven locations and technical revisions.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Costs incurred relating to the development of PUDs were approximately $145.4 million during 2017. Estimated future development costs relating to the development of PUDs are projected to be approximately $595.4 million in 2018, $205.6 million in 2019, $171.2 million in 2020 and $58.3 million in 2021. Since our current executive team assumed management control in 2011, our average drilling costs and drilling times have been reduced. As we continue to develop our properties and have more well production and completion data, we believe we will continue to realize cost savings and experience lower relative drilling and completion costs as we convert PUDs into proved developed reserves in upcoming years.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2017, all of our proved undeveloped reserves are scheduled to be developed within five years from the date they were initially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none of our total proved reserves were classified as proved developed non-producing.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our net production of oil, natural gas and natural gas liquids, all of which is from the Permian Basin in West Texas, and certain price and cost information for each of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Production Data:</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(MBbls)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Natural gas (MMcf)</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liquids (MBbls)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Combined volumes (MBOE)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Daily combined volumes (BOE/d)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33,098</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Prices: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Oil (per Bbl)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(per Mcf)</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Natural gas liquids (per Bbl)</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Combined (per BOE)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70"/>
        </w:trPr>
        <w:tc>
          <w:tcPr>
            <w:tcW w:w="6980" w:type="dxa"/>
            <w:vAlign w:val="bottom"/>
          </w:tcPr>
          <w:p>
            <w:pPr>
              <w:ind w:left="38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0"/>
        </w:trPr>
        <w:tc>
          <w:tcPr>
            <w:tcW w:w="6980" w:type="dxa"/>
            <w:vAlign w:val="bottom"/>
          </w:tcPr>
          <w:p>
            <w:pPr>
              <w:ind w:left="38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operating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Production and ad valorem taxes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Gathering and transportation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General and administrative - cash component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 - cash</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50"/>
        </w:trPr>
        <w:tc>
          <w:tcPr>
            <w:tcW w:w="698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8890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 w:lineRule="exact"/>
        <w:rPr>
          <w:sz w:val="20"/>
          <w:szCs w:val="20"/>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-302260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2017, we owned an average unweighted 80% working interest in 1,166 gross (937 net) productive wells and an average 2.7% royalty interest in 64 additional wells. Through our subsidiary Viper, we own an average unweighted 9.2% royalty or mineral interest in 1,287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Acreage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900" w:type="dxa"/>
            <w:vAlign w:val="bottom"/>
            <w:gridSpan w:val="8"/>
          </w:tcPr>
          <w:p>
            <w:pPr>
              <w:ind w:left="580"/>
              <w:spacing w:after="0"/>
              <w:rPr>
                <w:sz w:val="20"/>
                <w:szCs w:val="20"/>
                <w:color w:val="auto"/>
              </w:rPr>
            </w:pPr>
            <w:r>
              <w:rPr>
                <w:rFonts w:ascii="Arial" w:cs="Arial" w:eastAsia="Arial" w:hAnsi="Arial"/>
                <w:sz w:val="18"/>
                <w:szCs w:val="18"/>
                <w:color w:val="auto"/>
                <w:w w:val="90"/>
              </w:rPr>
              <w:t>The following table sets forth information as of December 31, 2017 relating to our leasehold acreage:</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3540" w:type="dxa"/>
            <w:vAlign w:val="bottom"/>
          </w:tcPr>
          <w:p>
            <w:pPr>
              <w:spacing w:after="0"/>
              <w:rPr>
                <w:sz w:val="24"/>
                <w:szCs w:val="24"/>
                <w:color w:val="auto"/>
              </w:rPr>
            </w:pPr>
          </w:p>
        </w:tc>
        <w:tc>
          <w:tcPr>
            <w:tcW w:w="2780" w:type="dxa"/>
            <w:vAlign w:val="bottom"/>
            <w:gridSpan w:val="4"/>
          </w:tcPr>
          <w:p>
            <w:pPr>
              <w:ind w:left="440"/>
              <w:spacing w:after="0"/>
              <w:rPr>
                <w:sz w:val="20"/>
                <w:szCs w:val="20"/>
                <w:color w:val="auto"/>
              </w:rPr>
            </w:pPr>
            <w:r>
              <w:rPr>
                <w:rFonts w:ascii="Arial" w:cs="Arial" w:eastAsia="Arial" w:hAnsi="Arial"/>
                <w:sz w:val="18"/>
                <w:szCs w:val="18"/>
                <w:b w:val="1"/>
                <w:bCs w:val="1"/>
                <w:color w:val="auto"/>
              </w:rPr>
              <w:t>Developed Acreage</w:t>
            </w:r>
            <w:r>
              <w:rPr>
                <w:rFonts w:ascii="Arial" w:cs="Arial" w:eastAsia="Arial" w:hAnsi="Arial"/>
                <w:sz w:val="25"/>
                <w:szCs w:val="25"/>
                <w:b w:val="1"/>
                <w:bCs w:val="1"/>
                <w:color w:val="auto"/>
                <w:vertAlign w:val="superscript"/>
              </w:rPr>
              <w:t>(1)</w:t>
            </w:r>
          </w:p>
        </w:tc>
        <w:tc>
          <w:tcPr>
            <w:tcW w:w="2720" w:type="dxa"/>
            <w:vAlign w:val="bottom"/>
            <w:gridSpan w:val="5"/>
          </w:tcPr>
          <w:p>
            <w:pPr>
              <w:ind w:left="300"/>
              <w:spacing w:after="0"/>
              <w:rPr>
                <w:sz w:val="20"/>
                <w:szCs w:val="20"/>
                <w:color w:val="auto"/>
              </w:rPr>
            </w:pPr>
            <w:r>
              <w:rPr>
                <w:rFonts w:ascii="Arial" w:cs="Arial" w:eastAsia="Arial" w:hAnsi="Arial"/>
                <w:sz w:val="18"/>
                <w:szCs w:val="18"/>
                <w:b w:val="1"/>
                <w:bCs w:val="1"/>
                <w:color w:val="auto"/>
              </w:rPr>
              <w:t>Undeveloped Acreage</w:t>
            </w:r>
            <w:r>
              <w:rPr>
                <w:rFonts w:ascii="Arial" w:cs="Arial" w:eastAsia="Arial" w:hAnsi="Arial"/>
                <w:sz w:val="25"/>
                <w:szCs w:val="25"/>
                <w:b w:val="1"/>
                <w:bCs w:val="1"/>
                <w:color w:val="auto"/>
                <w:vertAlign w:val="superscript"/>
              </w:rPr>
              <w:t>(2)</w:t>
            </w:r>
          </w:p>
        </w:tc>
        <w:tc>
          <w:tcPr>
            <w:tcW w:w="23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Total Acreage</w:t>
            </w:r>
            <w:r>
              <w:rPr>
                <w:rFonts w:ascii="Arial" w:cs="Arial" w:eastAsia="Arial" w:hAnsi="Arial"/>
                <w:sz w:val="25"/>
                <w:szCs w:val="25"/>
                <w:b w:val="1"/>
                <w:bCs w:val="1"/>
                <w:color w:val="auto"/>
                <w:vertAlign w:val="superscript"/>
              </w:rPr>
              <w:t>(3)</w:t>
            </w:r>
          </w:p>
        </w:tc>
      </w:tr>
      <w:tr>
        <w:trPr>
          <w:trHeight w:val="26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Basin</w:t>
            </w:r>
          </w:p>
        </w:tc>
        <w:tc>
          <w:tcPr>
            <w:tcW w:w="1280" w:type="dxa"/>
            <w:vAlign w:val="bottom"/>
            <w:gridSpan w:val="2"/>
          </w:tcPr>
          <w:p>
            <w:pPr>
              <w:ind w:left="30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500" w:type="dxa"/>
            <w:vAlign w:val="bottom"/>
            <w:gridSpan w:val="2"/>
          </w:tcPr>
          <w:p>
            <w:pPr>
              <w:ind w:left="38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c>
          <w:tcPr>
            <w:tcW w:w="1580" w:type="dxa"/>
            <w:vAlign w:val="bottom"/>
            <w:gridSpan w:val="3"/>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140" w:type="dxa"/>
            <w:vAlign w:val="bottom"/>
            <w:gridSpan w:val="2"/>
          </w:tcPr>
          <w:p>
            <w:pPr>
              <w:ind w:left="4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c>
          <w:tcPr>
            <w:tcW w:w="124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140" w:type="dxa"/>
            <w:vAlign w:val="bottom"/>
          </w:tcPr>
          <w:p>
            <w:pPr>
              <w:jc w:val="right"/>
              <w:ind w:right="27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49,919</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104,719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Midland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84,325</w:t>
            </w:r>
          </w:p>
        </w:tc>
        <w:tc>
          <w:tcPr>
            <w:tcW w:w="1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69,641</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32,300</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117,586</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101,941</w:t>
            </w:r>
          </w:p>
        </w:tc>
      </w:tr>
      <w:tr>
        <w:trPr>
          <w:trHeight w:val="27"/>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142,769</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119,560</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103,243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87,100</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246,012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206,660</w:t>
            </w:r>
          </w:p>
        </w:tc>
      </w:tr>
      <w:tr>
        <w:trPr>
          <w:trHeight w:val="20"/>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jc w:val="both"/>
        <w:ind w:left="340" w:hanging="332"/>
        <w:spacing w:after="0" w:line="28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Developed acres are acres spaced or assigned to productive wells and do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Undeveloped acres are acres on which wells have not been drilled or completed to a point that would permit the production of commercial quantities of oil or natural gas, regardless of whether such acreage contains proved reserves.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Viper’s mineral interests but does include leasehold acres that we own underlying our mineral interests.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gross acre is an acre in which a working interest is owned. The number of gross acres is the total number of acres in which a working interest is owned.</w:t>
      </w:r>
    </w:p>
    <w:p>
      <w:pPr>
        <w:spacing w:after="0" w:line="32"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leases comprising the undeveloped acreage set forth in the table above will expire at the end of their respective primary terms unless production from the leasehold acreage has been established prior to such date, in which event the lease will remain in effect until the cessation of production. The following table sets forth the gross and net undeveloped acreage, as of December 31, 2017, that will expire over the next five years unless production is established within the spacing units covering the acreage or the lease is renewed or extended under continuous drilling provisions prior to the primary term expiration dates.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Basin</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82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Gross</w:t>
            </w: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Gross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Gross</w:t>
            </w: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rPr>
              <w:t>Net</w:t>
            </w:r>
          </w:p>
        </w:tc>
      </w:tr>
      <w:tr>
        <w:trPr>
          <w:trHeight w:val="27"/>
        </w:trPr>
        <w:tc>
          <w:tcPr>
            <w:tcW w:w="1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19,415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Midland</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908</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19,678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18,933</w:t>
            </w:r>
          </w:p>
        </w:tc>
        <w:tc>
          <w:tcPr>
            <w:tcW w:w="120" w:type="dxa"/>
            <w:vAlign w:val="bottom"/>
          </w:tcPr>
          <w:p>
            <w:pPr>
              <w:spacing w:after="0"/>
              <w:rPr>
                <w:sz w:val="21"/>
                <w:szCs w:val="21"/>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1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22,913</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31,999</w:t>
            </w:r>
          </w:p>
        </w:tc>
        <w:tc>
          <w:tcPr>
            <w:tcW w:w="1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19,670</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32,775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20,219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information with respect to the number of wells completed during the periods indicated.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94"/>
              </w:rPr>
              <w:t>2017</w:t>
            </w:r>
          </w:p>
        </w:tc>
        <w:tc>
          <w:tcPr>
            <w:tcW w:w="15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5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Net</w:t>
            </w:r>
          </w:p>
        </w:tc>
        <w:tc>
          <w:tcPr>
            <w:tcW w:w="460" w:type="dxa"/>
            <w:vAlign w:val="bottom"/>
          </w:tcPr>
          <w:p>
            <w:pPr>
              <w:spacing w:after="0"/>
              <w:rPr>
                <w:sz w:val="20"/>
                <w:szCs w:val="20"/>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Gross</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Net</w:t>
            </w:r>
          </w:p>
        </w:tc>
      </w:tr>
      <w:tr>
        <w:trPr>
          <w:trHeight w:val="27"/>
        </w:trPr>
        <w:tc>
          <w:tcPr>
            <w:tcW w:w="50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Exploratory:</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Productive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Dry</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107</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we had 83 gross (66 net) wells in the process of drilling, completing or dewatering or shut in awaiting infrastructure that are not reflected in the above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is customary in the oil and natural gas industry, we initially conduct only a cursory review of the title to our properties. At such time as we determine to conduct drilling operations on those properties, we conduct a thorough title examination and perform curative work with respect to significant defects prior to commencement of drilling operations. To the extent title opinions or other investigations reflect title defects on those properties, 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obtain an updated title review or opinion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typically sell production to a relatively small number of customers, as is customary in the exploration, development and production business. For the year ended December 31, 2017, three purchasers each accounted for more than 10% of our revenue: Shell Trading (US) Company (31%); Koch Supply &amp; Trading LP (19%); and Enterprise Crude Oil LLC (11%). For the year ended December 31, 2016, three purchasers each accounted for more than 10% of our revenue: Shell Trading (US) Company (45%); Koch Supply &amp; Trading LP (15%); and Enterprise Crude Oil LLC (13%). For the year ended December 31, 2015, two purchasers each accounted for more than 10% of our revenue: Shell Trading (US) Company (59%); and Enterprise Crude Oil LLC (15%). No other customer accounted for more than 10% of our revenue during these periods. If a major customer decided to stop purchasing oil and natural gas from us, revenue could decline and our operating results and financial condition could be harmed.</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entered into an oil purchase agreement with Shell Trading (US) Company in which we agreed to sell specified quantities of oil to Shell Trading (US) Company. Our agreement with Shell Trading (US) Company has an initial term of five years ending September 30, 2018. The agreement may also be terminated by Shell Trading (US) Company by written notice to us in the event that Shell Trading (US) Company’s contract for transportation on the pipeline is terminated. Our maximum delivery obligation under this agreement is 8,000 gross barrels per day. We have a one-time right to elect to decrease the contract quantity by not more than 20% of the then-current quantity. This decreased contract quantity, if elected, would be effective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6"/>
          <w:szCs w:val="16"/>
          <w:color w:val="auto"/>
        </w:rPr>
        <w:t>the remainder of the term of the agreement. Shell Trading (US) Company has agreed to pay to us the price per barrel of oil based on the arithmetic average of the daily settlement price for “Light Sweet Crude Oil” Prompt Month future contracts reported by the NYMEX over the one-month period, as adjusted based on adjustment formulas specified in the agreement. If we fail to deliver the required quantities of oil under the agreement during any three-month period following the service commencement date, we have agreed to pay Shell Trading (US) Company a deficiency payment, which is calculated by multiplying</w:t>
      </w:r>
    </w:p>
    <w:p>
      <w:pPr>
        <w:spacing w:after="0" w:line="2" w:lineRule="exact"/>
        <w:rPr>
          <w:sz w:val="20"/>
          <w:szCs w:val="20"/>
          <w:color w:val="auto"/>
        </w:rPr>
      </w:pPr>
    </w:p>
    <w:p>
      <w:pPr>
        <w:ind w:firstLine="8"/>
        <w:spacing w:after="0" w:line="261"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volume of oil that we failed to deliver as required under the agreement during such period by (ii) Magellan’s Longhorn Spot tariff rate in effect for transportation from Crane, Texas to the Houston Ship Channel for the period of time for which such deficiency volume is calculated.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 Further, oil and natural gas compete with other forms of energy available to customers, primarily based on price. These alternate forms of energy include electricity, coal and fuel oils.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initial development of our fields we evaluate all gathering and delivery infrastructure in the areas of our production. Currently, a majority of our production in the Midland Basin is transported to purchasers by pipeline. We anticipate that our production in the Delaware Basin transported to purchasers by pipeline will increase to 80% by the end of 2018. During 2018, several oil and saltwater disposal gathering systems were installed. We believe that these gathering systems will help us reduce our lease operating expense and improve our margins on sales in future periods.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average percentage of produced oil sold by pipeline and the average percentage of produced water connected to saltwater disposals by pipeline: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rPr>
              <w:t>Midland Basin</w:t>
            </w:r>
          </w:p>
        </w:tc>
        <w:tc>
          <w:tcPr>
            <w:tcW w:w="1880" w:type="dxa"/>
            <w:vAlign w:val="bottom"/>
            <w:gridSpan w:val="2"/>
          </w:tcPr>
          <w:p>
            <w:pPr>
              <w:ind w:left="300"/>
              <w:spacing w:after="0"/>
              <w:rPr>
                <w:sz w:val="20"/>
                <w:szCs w:val="20"/>
                <w:color w:val="auto"/>
              </w:rPr>
            </w:pPr>
            <w:r>
              <w:rPr>
                <w:rFonts w:ascii="Arial" w:cs="Arial" w:eastAsia="Arial" w:hAnsi="Arial"/>
                <w:sz w:val="18"/>
                <w:szCs w:val="18"/>
                <w:b w:val="1"/>
                <w:bCs w:val="1"/>
                <w:color w:val="auto"/>
              </w:rPr>
              <w:t>Delaware Basin</w:t>
            </w:r>
          </w:p>
        </w:tc>
        <w:tc>
          <w:tcPr>
            <w:tcW w:w="17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produced oil sold by pipeline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 of produced water connected to pipeline</w:t>
            </w:r>
          </w:p>
        </w:tc>
        <w:tc>
          <w:tcPr>
            <w:tcW w:w="17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the average cost per Bbl to transport produced oil and water by truck and by pipeline as well as the average savings of transporting produced oil and water by pipeline versus truck: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Midland Basin</w:t>
            </w:r>
          </w:p>
        </w:tc>
        <w:tc>
          <w:tcPr>
            <w:tcW w:w="30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b w:val="1"/>
                <w:bCs w:val="1"/>
                <w:color w:val="auto"/>
              </w:rPr>
              <w:t>Delaware Basin</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transportation costs per Bbl:</w:t>
            </w:r>
          </w:p>
        </w:tc>
        <w:tc>
          <w:tcPr>
            <w:tcW w:w="2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Trucked</w:t>
            </w:r>
          </w:p>
        </w:tc>
        <w:tc>
          <w:tcPr>
            <w:tcW w:w="3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Pipeline</w:t>
            </w:r>
          </w:p>
        </w:tc>
        <w:tc>
          <w:tcPr>
            <w:tcW w:w="2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97"/>
        </w:trPr>
        <w:tc>
          <w:tcPr>
            <w:tcW w:w="4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Average savings</w:t>
            </w:r>
          </w:p>
        </w:tc>
        <w:tc>
          <w:tcPr>
            <w:tcW w:w="29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311"/>
        </w:trPr>
        <w:tc>
          <w:tcPr>
            <w:tcW w:w="408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Water transportation costs per Bbl:</w:t>
            </w:r>
          </w:p>
        </w:tc>
        <w:tc>
          <w:tcPr>
            <w:tcW w:w="2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Trucked</w:t>
            </w:r>
          </w:p>
        </w:tc>
        <w:tc>
          <w:tcPr>
            <w:tcW w:w="3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Pipeline</w:t>
            </w:r>
          </w:p>
        </w:tc>
        <w:tc>
          <w:tcPr>
            <w:tcW w:w="3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Average savings</w:t>
            </w:r>
          </w:p>
        </w:tc>
        <w:tc>
          <w:tcPr>
            <w:tcW w:w="3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Oil and Natural Gas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12.50% to 25.00%, resulting in a net revenue interest to us generally ranging from 75.00% to 87.50%.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Regulation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Waste Handling. </w:t>
      </w:r>
      <w:r>
        <w:rPr>
          <w:rFonts w:ascii="Arial" w:cs="Arial" w:eastAsia="Arial" w:hAnsi="Arial"/>
          <w:sz w:val="16"/>
          <w:szCs w:val="16"/>
          <w:color w:val="auto"/>
        </w:rPr>
        <w:t>The Resource Conservation and Recovery Act, as amended, and comparable state statutes and regulations promulgated thereunder,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Resource Conservation and Recovery Act, sometimes in conjunction with their own, more stringent requirements. Although most wastes associated with the exploration, development and production of crude oil and natural gas are exempt from regulation as hazardous wastes under the Resource Conservation and Recovery Act,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gas waste. It has until March 2019 to determine whether any revisions are necessary. Any such changes in the laws and regulations could have a material adverse effect on our capital expenditures and operating expenses.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Remediation of Hazardous Substances. </w:t>
      </w:r>
      <w:r>
        <w:rPr>
          <w:rFonts w:ascii="Arial" w:cs="Arial" w:eastAsia="Arial" w:hAnsi="Arial"/>
          <w:sz w:val="17"/>
          <w:szCs w:val="17"/>
          <w:color w:val="auto"/>
        </w:rPr>
        <w:t>The Comprehensive Environmental Response, Compensation and Liability Act, as amended,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 xml:space="preserve">Water Discharges. </w:t>
      </w:r>
      <w:r>
        <w:rPr>
          <w:rFonts w:ascii="Arial" w:cs="Arial" w:eastAsia="Arial" w:hAnsi="Arial"/>
          <w:sz w:val="17"/>
          <w:szCs w:val="17"/>
          <w:color w:val="auto"/>
        </w:rPr>
        <w:t>The Federal Water Pollution Control Act of 1972, as amended, also known as the “Clean Water Act,” the Safe Drinking Water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the Oil Pollution Act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Clean Water Act and regulations implemented thereunder also prohibit the discharge of dredge and fill material into regulated waters, including jurisdictional wetlands, unless authorized by an appropriately issued permit. On June 29, 2015, the EPA and the U.S. Army Corps of Engineers, or the USACE, jointly promulgated final rules redefining the scope of waters protected under the Clean Water Act. To the extent the rule expands the range of properties subject to the Clean Water Act’s jurisdiction, we could face increased costs and delays with respect to obtaining permits for dredge and fill activities in wetland areas. Following its promulgation, numerous states and industry groups challenged the rule and, on October 9, 2015, a federal court stayed the rule’s implementation nationwide, pending further action in court. In response to this decision, the EPA and the USACE have resumed nationwide use of the agencies’ prior regulations defining the term “waters of the United States.” Further, on February 28, 2017, President Trump signed an executive order directing the relevant executive agencies to review the rules and to initiate rulemaking to rescind or revise them, as appropriate under the stated policies of protecting navigable waters from pollution while promoting economic growth, reducing uncertainty, and showing due regard for Congress and the states. On July 27, 2017, the EPA and the USACE published a proposed rule to rescind the 2015 rules, and, on November 22, 2017, the agencies published a proposed rule to maintain the status quo pending the agencies review of the 2015 rules.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Pollution Act is the primary federal law for oil spill liability. The Oil Pollution Act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Oil Pollution Act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21" w:name="page22"/>
    <w:bookmarkEnd w:id="21"/>
    <w:p>
      <w:pPr>
        <w:jc w:val="both"/>
        <w:ind w:right="20" w:firstLine="648"/>
        <w:spacing w:after="0" w:line="277" w:lineRule="auto"/>
        <w:rPr>
          <w:sz w:val="20"/>
          <w:szCs w:val="20"/>
          <w:color w:val="auto"/>
        </w:rPr>
      </w:pPr>
      <w:r>
        <w:rPr>
          <w:rFonts w:ascii="Arial" w:cs="Arial" w:eastAsia="Arial" w:hAnsi="Arial"/>
          <w:sz w:val="18"/>
          <w:szCs w:val="18"/>
          <w:color w:val="auto"/>
        </w:rPr>
        <w:t>Non-compliance with the Clean Water Act or the Oil Pollution Act may result in substantial administrative, civil and criminal penalties, as well as injunctive obligations. We believe we are in material compliance with the requirements of each of these laws.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Air Emissions. </w:t>
      </w:r>
      <w:r>
        <w:rPr>
          <w:rFonts w:ascii="Arial" w:cs="Arial" w:eastAsia="Arial" w:hAnsi="Arial"/>
          <w:sz w:val="17"/>
          <w:szCs w:val="17"/>
          <w:color w:val="auto"/>
        </w:rPr>
        <w:t>The federal Clean Air Act, as amended, and comparable state laws and regulations, regulate emissions of various air pollutants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Clean Air Act that establish new emission controls for oil and natural gas production and processing operations, which regulations are discussed in more detail below in “–Regulation of Hydraulic Fracturing.” Also, on May 12, 2016, the EPA issued a final rule regarding the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Clean Air Act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Climate Change. </w:t>
      </w:r>
      <w:r>
        <w:rPr>
          <w:rFonts w:ascii="Arial" w:cs="Arial" w:eastAsia="Arial" w:hAnsi="Arial"/>
          <w:sz w:val="16"/>
          <w:szCs w:val="16"/>
          <w:color w:val="auto"/>
        </w:rPr>
        <w:t>In December 2009, the EPA issued an Endangerment Finding that determined that emissions of carbon dioxide, methane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greenhouse gases present an endangerment to public health and the environment because, according to the EPA, emissions of such gases contribute to warming of the earth’s atmosphere and other climatic changes. In May 2010, the EPA adopted regulations establishing new greenhouse gas emissions thresholds that determine when stationary sources must obtain permits under the Prevention of Significant Deterioration, or PSD, and Title V programs of the Clean Air Act. On June 23, 2014, in </w:t>
      </w:r>
      <w:r>
        <w:rPr>
          <w:rFonts w:ascii="Arial" w:cs="Arial" w:eastAsia="Arial" w:hAnsi="Arial"/>
          <w:sz w:val="16"/>
          <w:szCs w:val="16"/>
          <w:i w:val="1"/>
          <w:iCs w:val="1"/>
          <w:color w:val="auto"/>
        </w:rPr>
        <w:t>Utility Air Regulatory Group v. EPA</w:t>
      </w:r>
      <w:r>
        <w:rPr>
          <w:rFonts w:ascii="Arial" w:cs="Arial" w:eastAsia="Arial" w:hAnsi="Arial"/>
          <w:sz w:val="16"/>
          <w:szCs w:val="16"/>
          <w:color w:val="auto"/>
        </w:rPr>
        <w:t>, the Supreme Court held that stationary sources could not become subject to PSD or Title V permitting solely by reason of their greenhouse gas emissions. The Court ruled, however, that the EPA may require installation of best available control technology for greenhouse gas emissions at sources otherwise subject to the PSD and Title V programs. On August 26, 2016, the EPA proposed changes needed to bring the EPA’s air permitting regulations in line with the Supreme Court’s decision on greenhouse gas permitting. The proposed rule was published in the Federal Register on October 3, 2016 and the public comment period closed on December 2, 2016.</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Additionally, in September 2009, the EPA issued a final rule requiring the reporting of greenhouse gas emissions from specified large greenhouse gas emission sources in the U.S., including natural gas liquids fractionators and local natural gas distribution companies, beginning in 2011 for emissions occurring in 2010. In November 2010, the EPA expanded the greenhouse gas reporting rule to include onshore and offshore oil and natural gas production and onshore processing, transmission, storage and distribution facilities, which may include certain of our facilities, beginning in 2012 for emissions occurring in 2011. In October 2015, the EPA amended the greenhouse gas reporting rule to add the reporting of greenhouse gas emissions from gathering and boosting systems, completions and workovers of oil wells using hydraulic fracturing, and blowdowns of natural gas transmission pipelines.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 emissions. Most of these cap and trade programs work by requiring major sources of emissions, such as electric power plants, or major producers of fuels, such as refineries and gas processing plants, to acquire and surrender emission allowances corresponding with their annual emissions of greenhouse gases. The number of allowances available for purchase is reduced each year until the overall greenhouse gas emission reduction goal is achieved. As the number of greenhouse gas emission allowances declines each year, the cost or value of allowances is expected to escalate significantly.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However, on June 1, 2017, President Trump announced that the United States would withdraw from the Paris Agreement, and begin negotiations to either re-enter or negotiate an entirely new agreement with more favorable terms for the United States. The Paris Agreement sets forth a specific exit process, whereby a party may not provide notice of its withdrawal until three years from the effective date, with such withdrawal taking effect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one year from such notice. It is not clear what steps the Trump Administration plans to take to withdraw from the Paris Agreement, whether a new agreement can be negotiated, or what terms would be included in such an agreement. Furthermore, in response to the announcement, many state and local leaders have stated their intent to intensify efforts to uphold the commitments set forth in the international accord.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EPA previously announced its plans to develop a Notice of Proposed Rulemaking by June 2018, which would describe a proposed mechanism - regulatory, voluntary, or a combination of both - to collect data on hydraulic fracturing chemical substances and mixtures. Also, 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in a March 28, 2017 executive order, President Trump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On June 16, 2017, the EPA published a proposed rule to stay for two years certain requirements of the 2016 regulations, including fugitive emission requirements. These standards,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for waste disposal wells.</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oil and natural gas industry is extensively regulated by numerous federal, state and local authorities. Legislation affecting the oil and natural gas industry is under constant review for amendment or expansion, frequently increasing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302" w:lineRule="auto"/>
        <w:rPr>
          <w:sz w:val="20"/>
          <w:szCs w:val="20"/>
          <w:color w:val="auto"/>
        </w:rPr>
      </w:pPr>
      <w:r>
        <w:rPr>
          <w:rFonts w:ascii="Arial" w:cs="Arial" w:eastAsia="Arial" w:hAnsi="Arial"/>
          <w:sz w:val="16"/>
          <w:szCs w:val="16"/>
          <w:color w:val="auto"/>
        </w:rPr>
        <w:t>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Drilling and Production. </w:t>
      </w:r>
      <w:r>
        <w:rPr>
          <w:rFonts w:ascii="Arial" w:cs="Arial" w:eastAsia="Arial" w:hAnsi="Arial"/>
          <w:sz w:val="18"/>
          <w:szCs w:val="18"/>
          <w:color w:val="auto"/>
        </w:rPr>
        <w:t>Our operations are subject to various types of regulation at the federal, state and local level. These types of regulation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requiring permits for the drilling of wells, drilling bonds and reports concerning operations. The state, and some counties and municipalities, in which we operate also regulate one or more of the following:</w:t>
      </w:r>
    </w:p>
    <w:p>
      <w:pPr>
        <w:spacing w:after="0" w:line="181" w:lineRule="exact"/>
        <w:rPr>
          <w:sz w:val="20"/>
          <w:szCs w:val="20"/>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location of wells;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method of drilling and casing wells;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construction or drilling activities, including seasonal wildlife closures;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rates of production or “allowables”;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surface use and restoration of properties upon which wells are drilled;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plugging and abandoning of wells;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notice to, and consultation with, surface owners and other third parties.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where we operate. Although the U.S. Army Corps of Engineers does not require bonds or other financial assurances, some state agencies and municipalities do have such requirements.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Sales and Transportation. </w:t>
      </w:r>
      <w:r>
        <w:rPr>
          <w:rFonts w:ascii="Arial" w:cs="Arial" w:eastAsia="Arial" w:hAnsi="Arial"/>
          <w:sz w:val="17"/>
          <w:szCs w:val="17"/>
          <w:color w:val="auto"/>
        </w:rPr>
        <w:t>Historically, federal legislation and regulatory controls have affected the price of the natural gas we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648"/>
        <w:spacing w:after="0" w:line="289"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we produce, as well as the revenues we receive for sales of our natural gas and release of our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FERC’s current regulatory regime, transmission services are provided on an open-access, non-discriminatory basis at cost-based rates or negotiated rates.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costs of transporting gas to point-of-sale locations.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Oil Sales and Transportation. </w:t>
      </w:r>
      <w:r>
        <w:rPr>
          <w:rFonts w:ascii="Arial" w:cs="Arial" w:eastAsia="Arial" w:hAnsi="Arial"/>
          <w:sz w:val="16"/>
          <w:szCs w:val="16"/>
          <w:color w:val="auto"/>
        </w:rPr>
        <w:t>Sales of crude oil, condensate and natural gas liquids are not currently regulated and are made at negotiated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Congress could reenact price controls in the future.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State Regulation. </w:t>
      </w:r>
      <w:r>
        <w:rPr>
          <w:rFonts w:ascii="Arial" w:cs="Arial" w:eastAsia="Arial" w:hAnsi="Arial"/>
          <w:sz w:val="17"/>
          <w:szCs w:val="17"/>
          <w:color w:val="auto"/>
        </w:rPr>
        <w:t>Texas regulates the drilling for, and the production, gathering and sale of, oil and natural gas, including imposing severance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rig physical damage protection, control of well protection for selected wells,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comprehensive general liability, commercial automobile, workers compensation, pollution liability (claims made coverage with a policy retroactive date), excess umbrella liability and other coverage.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Item 1A. “Risk Factors–Risks Related to the Oil and Natural Gas Industry and Our Business–Operating hazards and uninsured risks may result in substantial losses and could prevent us from realizing profits.”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also require our third party vendors to sign master service agreements in which they agree to indemnify us for injuries and deaths of the service provider’s employees as well as contractors and subcontractors hired by the service provider.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we had approximately 251 full time employees. None of our employees are represented by labor unions or covered by any collective bargaining agreements. We also hire independent contractors and consultants involved in land, technical, regulatory and other disciplines to assist our full time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corporate headquarters is located in Midland, Texas. We also lease additional office space in Midland and in Oklahoma City, Oklahoma. We believe that our facilities are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Company Reports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Form 10-K and should not be considered part of this or any other report that we file with or furnish to the SEC.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The nature of our business activities subjects us to certain hazards and risks. The following is a summary of some of the material risks relating to our business activities. Other risks are described in Item 1. “Business and Properties” and Item 7A. “Quantitative and Qualitative Disclosures About Market Risk.” These risks are not the only risks we face. We could also face additional risks and uncertainties not currently known to the Company or that we currently deem to be immaterial. If any of these risks actually occurs, it could materially harm our business, financial condition or results of operations and the trading price of our shares could decline.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w:t>
      </w:r>
    </w:p>
    <w:p>
      <w:pPr>
        <w:spacing w:after="0" w:line="16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domestic and foreign supply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prices and expectations about future prices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and quantity of foreign imports;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conditions in oil producing countries, including the Middle East, Africa, South America and Russia;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members of the Organization of Petroleum Exporting Countries to agree to and maintain oil price and production controls;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consumer product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conditions and other natural disasters;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operating drilling rigs;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 including U.S. military operations in the Middle East;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cost, availability and capacity of oil and natural gas pipelines and other transportation facilities;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domestic and global economic conditions.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factors and the volatility of the energy markets make it extremely difficult to predict future oil and natural gas price movements with any certainty. During the past five years, the posted price for West Texas intermediate light sweet crude oil, which we refer to as West Texas Intermediate or WTI, has ranged from a low of $26.19 per barrel, or Bbl, in February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to a high of $110.62 per Bbl in September 2013. The Henry Hub spot market price of natural gas has ranged from a low of $1.49 per MMBtu in March 2016 to a high of $8.15 per MMBtu in February 2014. During 2017, WTI prices ranged from $42.48 to $60.46 per Bbl and the Henry Hub spot market price of natural gas ranged from $2.44 to $3.71 per MMBtu. On January 29, 2018, the WTI posted price for crude oil was $65.71 per Bbl and the Henry Hub spot market price of natural gas was $3.60 per MMBtu, representing increases of 9% and 3%, respectively, from the high of $60.46 per Bbl of oil and $3.71 per MMBtu for natural gas during 2017. If the prices of oil and natural gas decline, our operations, financial condition and level of expenditures for the development of our oil and natural gas reserves may be materially and adversely affected.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lower oil and natural gas prices may reduce the amount of oil and natural gas that we can produce economically. This may result in our having to make substantial downward adjustments to our estimated proved reserves. If this occurs or if our production estimates change or our exploration or development activities are curtailed, full cost accounting rules may require us to write down, as a non-cash charge to earnings, the carrying value of our oil and natural gas properties. Reductions in our reserves could also negatively impact the borrowing base under our revolving credit facility, which could further limit our liquidity and ability to conduct additional exploration and development activities.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Concerns over general economic, business or industry conditions may have a material adverse effect on our results of operations, liquidity and financial condition.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Concerns over global economic conditions, energy costs, geopolitical issues, inflation, the availability and cost of credit, the European, Asian and the United States financial markets have in the past contributed, and may in the future contribute, to economic uncertainty and diminished expectations for the global economy. In addition, continued hostilities in the Middle East and the occurrence or threat of terrorist attacks in the United States or other countries could adversely affect the global economy. These factors, combined with volatility in commodity prices, business and consumer confidence and unemployment rates, may precipitate an economic slowdown. Concerns about global economic growth may have an adverse impact on global financial markets and commodity prices. If the economic climate in the United States or abroad deteriorates, worldwide demand for petroleum products could diminish, which could impact the price at which we can sell our production, affect the ability of our vendors, suppliers and customers to continue operations and ultimately adversely impact our results of operations, liquidity and financial condition.</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if we are unsuccessful in drilling such wells, we could lose our rights under such leases. Our future oil and natural gas reserves and production and, therefore, our future cash flow and income are highly dependent on successfully developing our undeveloped leasehold acreage.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2017, our total capital expenditures, including expenditures for leasehold acquisitions, drilling and infrastructure, were approximately $3.2 billion. Our 2018 capital budget for drilling, completion and infrastructure, including investments in water disposal infrastructure and gathering line projects, is currently estimated to be approximately $1.3 billion to $1.5 billion, representing an increase of 60% over our 2017 capital budget. Since completing our initial public offering in October 2012, we have financed capital expenditures primarily with borrowings under our revolving credit facility, cash generated by operations and the net proceeds from public offerings of our common stock and the senior notes.</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intend to finance our future capital expenditures with cash flow from operations, proceeds from offerings of our debt and equity securities and borrowings under our revolving credit facility. Our cash flow from operations and access to capital are subject to a number of variables, including:</w:t>
      </w:r>
    </w:p>
    <w:p>
      <w:pPr>
        <w:spacing w:after="0" w:line="14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proved reserves;</w:t>
      </w:r>
    </w:p>
    <w:p>
      <w:pPr>
        <w:spacing w:after="0" w:line="225" w:lineRule="exact"/>
        <w:rPr>
          <w:rFonts w:ascii="Arial" w:cs="Arial" w:eastAsia="Arial" w:hAnsi="Arial"/>
          <w:sz w:val="18"/>
          <w:szCs w:val="18"/>
          <w:color w:val="auto"/>
        </w:rPr>
      </w:pPr>
    </w:p>
    <w:p>
      <w:pPr>
        <w:ind w:left="5620" w:right="4920" w:hanging="4964"/>
        <w:spacing w:after="0" w:line="606" w:lineRule="auto"/>
        <w:tabs>
          <w:tab w:leader="none" w:pos="97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volume of oil and natural gas we are able to produce from existing wells; 22</w:t>
      </w:r>
    </w:p>
    <w:p>
      <w:pPr>
        <w:sectPr>
          <w:pgSz w:w="11900" w:h="16838" w:orient="portrait"/>
          <w:cols w:equalWidth="0" w:num="1">
            <w:col w:w="11420"/>
          </w:cols>
          <w:pgMar w:left="240" w:top="584" w:right="239" w:bottom="1440" w:gutter="0" w:footer="0" w:header="0"/>
        </w:sectPr>
      </w:pPr>
    </w:p>
    <w:bookmarkStart w:id="29" w:name="page30"/>
    <w:bookmarkEnd w:id="29"/>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prices at which our oil and natural gas are sold;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acquire, locate and produce economically new reserves;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borrow under our credit facility.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2018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we are unable to fund our capital requirements,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We have made, and expect to make in the future, substantial capital expenditures in our business and operations for the development, production, exploration and acquisition of oil and natural gas reserves. We may not have sufficient resources to acquire additional reserves or to undertake exploration, development, production or other replacement activities, such activities may not result in significant additional reserves and we may not have success drilling productive wells at low finding and development costs.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costs for additional reserves could also increase.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pending and future acquisitions of properties or businesses could reduce our earnings and slow our growth.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intense competition for acquisition opportunities in our industry. The successful acquisition of producing properties requires an assessment of several factors, including:</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recoverable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oil and natural gas prices and their applicable differentials;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costs;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environmental and other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30" w:name="page31"/>
    <w:bookmarkEnd w:id="30"/>
    <w:p>
      <w:pPr>
        <w:jc w:val="both"/>
        <w:ind w:firstLine="648"/>
        <w:spacing w:after="0" w:line="270"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operate, which could result in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assurance can be given that we will be able to identify additional suitable acquisition opportunities, negotiate acceptable terms, obtain financing for acquisitions on acceptable terms or successfully acquire identified targets. Our failure to achieve consolidation savings, to integrate the acquired businesses and assets into our existing operations successfully or to minimize any unforeseen operational difficulties could have a material adverse effect on our financial condition and results of operations. The inability to effectively manage the integration of acquisitions, including our recently completed and pending acquisitions, could reduce our focus on subsequent acquisitions and current operations, which, in turn, could negatively impact our earnings and growth. Our financial position and results of operations may fluctuate significantly from period to period, based on whether or not significant acquisitions are completed in particular periods.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we acquire may not produce as projected, and we may be unable to determine reserve potential, identify liabilities associated with the properties that we acquire or obtain protection from sellers against such liabilities.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Acquiring oil and natural gas properties requires us to assess reservoir and infrastructure characteristics, including recoverable reserves, development and operating costs and potential environmental and other liabilities. Such assessments are inexact and inherently uncertain. In connection with the assessments, we perform a review of the subject properties, but such a review will not necessarily reveal all existing or potential problems. In the course of our due diligence, we may not inspect every well or pipeline. We cannot necessarily observe structural and environmental problems, such as pipe corrosion, when an inspection is made. We may not be able to obtain contractual indemnities from the seller for liabilities created prior to our purchase of the property. We may be required to assume the risk of the physical condition of the properties in addition to the risk that the properties may not perform in accordance with our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and can adversely affect our results of operations and financial condition.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we will suffer a financial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 areas, which are in various stages of development, may not yield oil or natural gas in commercially viable quantities.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project areas are in various stages of development, ranging from project areas with current drilling or production activity to project areas that consist of recently acquired leasehold acreage or that have limited drilling or production history. From inception through December 31, 2017, we drilled a total of 412 gross horizontal wells and 262 gross vertical wells and participated in an additional 61 gross horizontal wells and 18 gross vertical non-operated wells, of which 670 wells were completed as producing wells and 83 wells were in various stages of completion. If future wells or the wells in the process of being completed do not produce sufficient revenues to return a profit or if we drill dry holes in the future, our business may be materially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At an assumed price of approximately $60.00 per Bbl WTI, we currently have approximately 3,800 gross (2,750 net) identified economic potential horizontal drilling locations in multiple horizons on our acreage. As of December 31, 2017, only 168 of our gross identified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inclement weather, regulatory changes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we have identified approximately 873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2017, we are the operator of or have participated in a total of 466 horizontal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 may result in volatility in our operating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our quarterly operating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Leases on oil and natural gas properties typically have a term of three to five years, after which they expire unless, prior to expiration, production is established within the spacing units covering the undeveloped acres. As of December 31, 2017, we had leases representing 22,913 net acres expiring in 2018, 19,670 net acres expiring in 2019, 20,219 net acres expiring in 2020, 719 net acres expiring in 2021 and no net acres expiring in 2022.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In addition, in order to hold our current leases expiring in 2018, we will need to operate at least a one-rig program. We cannot assure you that we will have the liquidity to deploy these rigs in this time frame, or that commodity prices will warrant operating such a drilling program. Any such losses of leases could materially and adversely affect the growth of our asset basis, cash flows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entered into fixed price swap contracts, fixed price basis swap contracts and costless collars with corresponding put and call options and may in the future enter into forward sale contracts or additional fixed price swap, fixed price basis swap derivatives or costless collars for a portion of our production. Although we have hedged a portion of our estimated 2018 and 2019 production, we may still be adversely affected by continuing and prolonged declines in the price of oil.</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use fixed price swap contracts, fixed price basis swap contracts and costless collars with corresponding put and call options to reduce price volatility associated with certain of our oil and natural gas sales. Under these swap contracts, we receive a fixed price per barrel of oil and pay a floating market price per barrel of oil to the counterparty based on NYMEX WTI pricing. The fixed-price payment and the floating-price payment are offset, resulting in a net amount due to or from the counterparty. Under the Company’s costless collar contracts, we are required to make a payment to the counterparty if the settlement price for any settlement period is greater than the call option price. The counterparty is required to make a payment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32" w:name="page33"/>
    <w:bookmarkEnd w:id="32"/>
    <w:p>
      <w:pPr>
        <w:spacing w:after="0" w:line="308" w:lineRule="auto"/>
        <w:rPr>
          <w:sz w:val="20"/>
          <w:szCs w:val="20"/>
          <w:color w:val="auto"/>
        </w:rPr>
      </w:pPr>
      <w:r>
        <w:rPr>
          <w:rFonts w:ascii="Arial" w:cs="Arial" w:eastAsia="Arial" w:hAnsi="Arial"/>
          <w:sz w:val="17"/>
          <w:szCs w:val="17"/>
          <w:color w:val="auto"/>
        </w:rPr>
        <w:t>to us if the settlement price for any settlement period is less than the put option price. These contracts and any future economic hedging arrangements may expose us to risk of financial loss in certain circumstances, including instances where production is less than expected or oil prices increase.</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2017, we had the following commodity contracts in place covering NYMEX WTI crude oil, Brent crude oil and NYMEX Henry Hub natural gas for the production period of January 2018 through December 2018:</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crude oil swap contracts priced at a weighted average price of $51.10 WTI for 9,761,000 aggregate Bbls;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crude oil swap contracts priced at a weighted average price of $54.89 Brent for 1,830,000 aggregate Bbls;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crude oil basis swap contracts priced at a weighted average price of $0.88 for 5,475,000 aggregate Bbls for the spread between the WTI Midland price and the WTI Cushing price;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gas swap contracts priced at a weighted average price of $3.14 for 7,750,000 aggregate MMBtu;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crude oil costless collars contracts with a floor price of $47.00 for 540,000 aggregate Bbls and a ceiling price of $56.34 for 270,000 aggregate Bbls.</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have crude oil swap contracts priced at a weighted average price of $49.82 WTI for 1,095,000 aggregate Bbls with a production period of January 2019 through December 2019. To the extent that the prices of oil and natural gas remain at current levels or decline further, we will not be able to economically hedge future production at the same level as our current hedges, and our results of operations and financial condition would be negatively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derivative transactions expose us to counterparty credit risk.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derivative transactions expose us to risk of financial loss if a counterparty fails to perform under a derivative contract. Disruptions in the financial markets could lead to sudden decreases in a counterparty’s liquidity, which could make them unable to perform under the terms of the derivative contract and we may not be able to realize the benefit of the derivative contract.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production from our Permian Basin acreage decreases due to decreased developmental activities, production related difficulties or otherwise, we may fail to meet our obligations to deliver specified quantities of oil under our oil purchase contract, which will result in deficiency payments to the counterparty and may have an adverse effect on our operations.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party to an agreement with Shell Trading (US) Company under which we are obligated to deliver specified quantities of oil to Shell Trading (US) Company. Our maximum delivery obligation under this agreement is 8,000 gross barrels per day. We have a one-time right to decrease the contract quantity by not more than 20% of the then-current quantity. This decreased quantity, if elected, would be effective for the remainder of the term of the agreement. If production from our Permian Basin acreage decreases due to decreased developmental activities, as a result of the low commodity price environment, production related difficulties or otherwise, we may be unable to meet our obligations under the oil purchase agreement, which may result in deficiency payments to the counterparty and may have an adverse effect on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$73.0 million at December 31, 2017) and receivables from purchasers of our oil and natural gas production (approximately $158.6 million at December 31, 2017).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also subject to credit risk due to the concentration of our oil and natural gas receivables with several significant customers. For the year ended December 31, 2017, three purchasers each accounted for more than 10% of our revenue: Shell Trading (US) Company (31%); Koch Supply &amp; Trading LP</w:t>
      </w:r>
    </w:p>
    <w:p>
      <w:pPr>
        <w:jc w:val="both"/>
        <w:spacing w:after="0" w:line="253" w:lineRule="auto"/>
        <w:rPr>
          <w:sz w:val="20"/>
          <w:szCs w:val="20"/>
          <w:color w:val="auto"/>
        </w:rPr>
      </w:pPr>
      <w:r>
        <w:rPr>
          <w:rFonts w:ascii="Arial" w:cs="Arial" w:eastAsia="Arial" w:hAnsi="Arial"/>
          <w:sz w:val="18"/>
          <w:szCs w:val="18"/>
          <w:color w:val="auto"/>
        </w:rPr>
        <w:t>(19%) and Enterprise Crude Oil LLC (11%). For the year ended December 31, 2016, three purchasers each accounted for more than 10% of our revenue: Shell Trading (US) Company (45%); Koch Supply &amp; Trading LP (15%); and Enterprise Crude Oil LLC (13%). For the year ended December 31, 2015, two purchasers each accounted for more than 10% of our revenue: Shell Trading (US) Company (59%); and Enterprise Crude Oil LLC (15%). No other customer accounted for more than 10% of our revenue during these periods. This concentration of customers may impact our overall credit risk in that these entities may be similarly affected by changes in economic and other conditions.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Current economic circumstances may further increase these risks. We do not require our customers to post collateral. The inability or failure of our significant customers or joint working interest owners to meet their obligations to us or their insolvency or liquidation may materially adversely affect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$11.11, $11.23 and $17.84 for the years ended December 31, 2017, 2016 and 2015, respectively. Depreciation, depletion and amortization expense for oil and natural gas properties for the years ended December 31, 2017, 2016 and 2015 was $321.9 million, $176.4 million and $216.1 million, respectively.</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Beginning December 31, 2009, we have used the unweighted arithmetic average first day of the month price for oil and natural gas for the 12-month period preceding the calculation date in estimating discounted future net revenues.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Impairments on proved oil and natural gas properties of $245.5 million and $814.8 million were recorded for the years ended December 31, 2016 and 2015, respectively. No impairment on proved oil and natural gas properties was recorded for the year ended December 31, 2017. See Item 7. “Management’s Discussion and Analysis of Financial Condition and Results of Operations–Critical Accounting Policies and Estimates–Method of accounting for oil and natural gas properties” for a more detailed description of our method of accounting.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estimated reserves and EURs are based on many assumptions that may turn out to be inaccurate. Any material inaccuracies in these reserve estimates or underlying assumptions will materially affect the quantities and present value of our reserves.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Our historical estimates of proved reserves as of December 31, 2017, 2016 and 2015 (which include those attributable to Viper) are based on reports prepared by Ryder Scott, which conducted a well-by-well review of all our properties for the periods covered by its reserve reports using information provided by us.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estimates of reserves as of December 31, 2017, 2016 and 2015 included in this report were prepared using an average price equal to the unweighted arithmetic average of hydrocarbon prices received on a field-by-field basis on the first day of each month within the 12-month periods December 31, 2017, 2016 and 2015, respectively, in accordance with the SEC guidelines applicable to reserve estimates for such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standardized measure of our estimated proved reserves and our PV-10 are not necessarily the same as the current market value of our estimated proved oil reserves.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present value of future net cash flow from our proved reserves, or standardized measure, and our related PV-10 calculation, may not represent the current market value of our estimated proved oil reserves. In accordance with SEC requirements, we base the estimated discounted future net cash flow from our estimated proved reserves on the 12-month average oil index prices, calculated as the unweighted arithmetic average for the first-day-of-the-month price for each month and costs in effect as of the date of the estimate, holding the prices and costs constant throughout the life of the properties.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rules could limit our ability to book additional proved undeveloped reserves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 rules require that, subject to limited exceptions, proved undeveloped reserves may only be booked if they relate to wells scheduled to be drilled within five years after the date of booking. This requirement has limited and may continue to limit our ability to book additional proved undeveloped reserves as we pursue our drilling program. Moreover, we may be required to write down our proved undeveloped reserves if we do not drill those wells within the required five-year timeframe because they have become uneconomic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development of our proved undeveloped reserves may take longer and may require higher levels of capital expenditures than we currently anticipate.</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37.8% of our total estimated proved reserves as of December 31, 2017,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of 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the geographic concentration of our producing properties described above, as of December 31, 2017, all of our proved reserves were attributable to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availability of a ready market for any oil and/or natural gas we produce depends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In addition, we depend upon several significant purchasers for the sale of most of our oil and natural gas production. For the year ended December 31, 2017, three purchasers each accounted for more than 10% of our revenue: Shell Trading (US) Company (31%); Koch Supply &amp; Trading LP</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(19%) and Enterprise Crude Oil LLC (11%). For the year ended December 31, 2016, three purchasers each accounted for more than 10% of our revenue: Shell Trading (US) Company (45%); Koch Supply &amp; Trading LP (15%); and Enterprise Crude Oil LLC (13%). For the year ended December 31, 2015, two purchasers each accounted for more than 10% of our revenue: Shell Trading (US) Company (59%); and Enterprise Crude Oil LLC (15%). No other customer accounted for more than 10% of our revenue during these periods. We cannot assure you that we will continue to have ready access to suitable markets for our future oil and natural gas production. The loss of one or more of these customers, and our inability to sell our production to other customers on terms we consider acceptable, could materially and adversely affect our business, financial condition, results of operations and cash flow.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unavailability, high cost or shortages of rigs, equipment, raw materials, supplies, oilfield services or personnel may restrict our operations.</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 of those rigs may choose to cease providing services to us.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managing growth in our business, which could adversely affect our financial condition and results of operations.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operations have grown substantially since our initial public offering in October 2012 and we expect our business operations to continue to grow in the future. As we expand our activities and increase the number of projects we are evaluating or in which we participate, there will be additional demands on our financial, technical, operational and management resources. The failure to continue to upgrade our technical, administrative, operating and financial control systems or the occurrences of unexpected expansion difficulties, including the failure to recruit and retain experienced managers, geologists, engineers and other professionals in the oil and natural gas industry, could have a material adverse effect on our business, financial condition and results of operations and our ability to timely execute our business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6" w:name="page37"/>
    <w:bookmarkEnd w:id="36"/>
    <w:p>
      <w:pPr>
        <w:jc w:val="both"/>
        <w:ind w:firstLine="648"/>
        <w:spacing w:after="0" w:line="286" w:lineRule="auto"/>
        <w:rPr>
          <w:sz w:val="20"/>
          <w:szCs w:val="20"/>
          <w:color w:val="auto"/>
        </w:rPr>
      </w:pPr>
      <w:r>
        <w:rPr>
          <w:rFonts w:ascii="Arial" w:cs="Arial" w:eastAsia="Arial" w:hAnsi="Arial"/>
          <w:sz w:val="17"/>
          <w:szCs w:val="17"/>
          <w:color w:val="auto"/>
        </w:rPr>
        <w:t>Our development of and participation in an increasingly larger number of drilling locations has required and will continue to require substantial capital expenditures. The uncertainty and risks described in this report may impede our ability to economically find, develop and acquire oil and natural gas reserves. As a result, we may not be able to achieve or sustain profitability or positive cash flows from our operating activities in the future.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operations involve utilizing the latest drilling and completion techniques as developed by us and our service providers. Risks that we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face while completing our wells include, but are not limited to, being able to fracture stimulate the planned number of stages, being able to run tools the entire length of the well bore during completion operations and successfully cleaning out the well bore after completion of the final fracture stimulation stage. In addition, to the extent we engage in horizontal drilling, those activities may adversely affect our ability to successfully drill in one or more of our identified vertical drilling locations. 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system. Our purchasers then transport the oil by truck to a pipeline for transportation. Our natural gas production is generally transported by our gathering lines from the wellhead to an interconnection point with the purchaser. We do not control these trucks and other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Our operations are subject to various governmental laws and regulations which require compliance that can be burdensome and expensive.</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Moreover, these laws and regulations imposed strict requirements for water and air pollution control and solid waste management. Significant expenditures may be required to comply with governmental laws and regulations applicable to us. Even if federal regulatory burdens temporarily ease, the historic trend of more expansive and stricter environmental legislation and regulations may continue in the long-term, and at the state and local levels. See Item 1. “Business–Regulation” for a description of certain laws and regulations that affect us.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hydraulic fracturing could result in increased costs and additional operating restrictions or delays.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EPA previously announced its plans to develop a Notice of Proposed Rulemaking by June 2018, which would describe a proposed mechanism - regulatory, voluntary, or a combination of both - to collect data on hydraulic fracturing chemical substances and mixtures. Also, 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For a more detailed discussion of state and local laws and initiatives concerning hydraulic fracturing, see “Items 1 and 2. Business and Properties– Regulation–Regulation of Hydraulic Fracturing.” We use hydraulic fracturing extensively in connection with the development and production of certain of our oil and natural gas properties and any increased federal, state, local, foreign or international regulation of hydraulic fracturing could reduce the volumes of oil and natural gas that we can economically recover, which could materially and adversely affect our revenues and results of operations.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may be exposed to significant delays, costs and liabilities as a result of environmental, health and safety requirements applicable to our business activities.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incur significant delays, costs and liabilities as a result of federal, state and local environmental, health and safety requirements applicable to our exploration, development and production activities. These laws and regulations may, among other things: (i) require us to obtain a variety of permits or other authorizations governing our air emissions, water discharges, waste disposal or other environmental impacts associated with drilling, producing and other operations; (ii) regulate the sourcing and disposal of water used in the drilling, fracturing and completion processes; (iii) limit or prohibit drilling activities in certain areas and on certain lands lying within wilderness, wetlands, frontier and other protected areas; (iv) require remedial action to prevent or mitigate pollution from former operations such as plugging abandoned wells or closing earthen pits; and/or (v) impose substantial liabilities for spills, pollution or failure to comply with regulatory filings. In addition, these laws and regulations may restrict the rate of oil or natural gas production. These laws and regulations are complex, change frequently and have tended to become increasingly stringent over time. Failure to comply with these laws and regulations may result in the assessment of administrative, civil and criminal penalties, imposition of cleanup and site restoration costs and liens, the suspension or revocation of necessary permits, licenses and authorizations, the requirement that additional pollution controls be installed and, in some instances, issuance of orders or injunctions limiting or requiring discontinuation of certain operations. Under certain environmental laws that impose strict as well as joint and several liability, we may be required to remediate contaminated properties currently or formerly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addition, claims for damages to persons or property, including natural resources, may result from the environmental, health and safety impacts of our operations. In addition, the risk of accidental and/or unpermitted spills or releases from our operations could expose us to significant liabilities, penalties and other sanctions under applicable laws. To the extent laws are enacted or other governmental action is taken that restricts drilling or imposes more stringent and costly operating, waste handling, disposal and cleanup requirements, our business, prospects, financial condition or results of operations could be materially adversely affected.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79" w:lineRule="auto"/>
        <w:rPr>
          <w:sz w:val="20"/>
          <w:szCs w:val="20"/>
          <w:color w:val="auto"/>
        </w:rPr>
      </w:pPr>
      <w:r>
        <w:rPr>
          <w:rFonts w:ascii="Arial" w:cs="Arial" w:eastAsia="Arial" w:hAnsi="Arial"/>
          <w:sz w:val="17"/>
          <w:szCs w:val="17"/>
          <w:color w:val="auto"/>
        </w:rPr>
        <w:t>operations and materially increase our operating and capital costs. Permanent restrictions imposed to protect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adoption of derivatives legislation by the U.S. Congress could have an adverse effect on our ability to use derivative instruments to reduce the effect of commodity price, interest rate and other risks associated with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adoption of derivatives legislation by the U.S. Congress could have an adverse effect on our ability to use derivative instruments to reduce the effect of commodity price, interest rate and other risks associated with our business. The U.S. Congress adopted the Dodd Frank Wall Street Reform and Consumer Protection Act, or Dodd-Frank Act, which, among other provisions, establishes federal oversight and regulation of the over-the-counter derivatives market and entities that participate in that market. The legislation was signed into law by the President on July 21, 2010. In its rulemaking under the legislation, the Commodities Futures Trading Commission has issued a final rule on position limits for certain futures and option contracts in the major energy markets and for swaps that are their economic equivalents (with exemptions for certain bona fide hedging transactions). The Commodities Futures Trading Commission’s final rule was set aside by the U.S. District Court for the District of Columbia on September 28, 2012 and remanded to the Commodities Futures Trading Commission to resolve ambiguity as to whether statutory requirements for such limits to be determined necessary and appropriate were satisfied. As a result, the rule has not yet taken effect, although the Commodities Futures Trading Commission has indicated that it intends to appeal the court’s decision and that it believes the Dodd-Frank Act requires it to impose position limits. The impact of such regulations upon our business is not yet clear. Certain of our hedging and trading activities and those of our counterparties may be subject to the position limits, which may reduce our ability to enter into hedging transactions.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the Dodd-Frank Act does not explicitly exempt end users (such as us) from the requirement to use cleared exchanges, rather than hedging over-the-counter, and the requirements to post margin in connection with hedging activities. While it is not possible at this time to predict when the Commodities Futures Trading Commission will finalize certain other related rules and regulations, the Dodd-Frank Act and related regulations may require us to comply with margin requirements and with certain clearing and trade-execution requirements in connection with our derivative activities, although whether these requirements will apply to our business is uncertain at this time. If the regulations ultimately adopted require that we post margin for our hedging activities or require our counterparties to hold margin or maintain capital levels, the cost of which could be passed through to us, or impose other requirements that are more burdensome than current regulations, our hedging would become more expensive and we may decide to alter our hedging strategy. The financial reform legislation may also require us to comply with margin requirements and with certain clearing and trade-execution requirements in connection with our existing or future derivative activities, although the application of those provisions to us is uncertain at this time. The financial reform legislation may also require the counterparties to our derivative instruments to spin off some of their derivatives activities to separate entities, which may not be as creditworthy as the current counterparties. The new legislation and any new regulations could significantly increase the cost of derivative contracts (including through requirements to post collateral which could adversely affect our available liquidity), materially alter the terms of derivative contracts, reduce the availability of derivatives to protect against risks we encounter, reduce our ability to monetize or restructure our derivative contracts in existence at that time, and increase our exposure to less creditworthy counterparties. If we reduce or change the way we use derivative instruments as a result of the legislation and regulations, our results of operations may become more volatile and our cash flows may be less predictable, which could adversely affect our ability to plan for and fund capital expenditures. Finally, the legislation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legislation and regulations is to lower commodity prices. Any of these consequences could have a material adverse effect on our consolidated financial position, results of operations or cash flows.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U.S. tax legislation as well as future U.S. tax legislations may adversely affect our business, results of operations, financial condition and cash flow.</w:t>
      </w:r>
    </w:p>
    <w:p>
      <w:pPr>
        <w:spacing w:after="0" w:line="1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December 22, 2017, the President signed into law Public Law No. 115-97, a comprehensive tax reform bill commonly referred to as the Tax Cuts and Jobs Ac, which we refer to as the Tax Act, that significantly reforms the Internal Revenue Code of 1986, as amended, which we refer to as the Code. Among other changes, the Tax Act (i) reduces the maximum U.S. corporate income tax rate from 35% to 21%, (ii) preserves long-standing upstream oil and gas tax provisions such as immediate deduction of intangible drilling, (iii) allows for immediate expensing of capital expenditures for tangible personal property for a period of time, (iv) modifies the provisions related to the limitations on deductions for executive compensation of publicly traded corporations and (v) enacts new limitations regarding the deductibility of interest expense. The Tax Act is complex and far-reaching, and we cannot predict with certainty the resulting impact its enactment will have on us. The ultimate impact of the Tax Act may differ from our estimates due to changes in interpretations and assumptions made by us as well as additional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regulatory guidance that may be issued, and any such changes in our interpretations and assumptions could have an adverse effect on our business, results of operations, financial condition and cash flow.</w:t>
      </w:r>
    </w:p>
    <w:p>
      <w:pPr>
        <w:spacing w:after="0" w:line="17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addition, from time to time, legislation has been proposed that, if enacted into law, would make significant changes to U.S. federal and state income tax laws affecting the oil and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While these specific changes are not included in the Tax Act,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 of greenhouse gas emissions could result in increased operating costs and reduced demand for the oil and natural gas we produce.</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recent years, federal, state and local governments have taken steps to reduce emissions of greenhouse gases. The EPA has 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While we are subject to certain federal greenhouse gas monitoring and reporting requirements, our operations currently are not adversely impacted by existing federal, state and local climate change initiatives. For a description of existing and proposed greenhouse gas rules and regulations, see “Items 1 and 2. Business and Properties– Regulation–Environmental Regulation-Climate Change.”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However, on June 1, 2017, President Trump announced that the United States would withdraw from the Paris Agreement, and begin negotiations to either re-enter or negotiate an entirely new agreement with more favorable terms for the United States. The Paris Agreement sets forth a specific exit process, whereby a party may not provide notice of its withdrawal until three years from the effective date, with such withdrawal taking effect one year from such notice. It is not clear what steps the Trump Administration plans to take to withdraw from the Paris Agreement, whether a new agreement can be negotiated, or what terms would be included in such an agreement. Furthermore, in response to the announcement, many state and local leaders have stated their intent to intensify efforts to uphold the commitments set forth in the international accord.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production and increase our costs and damage resulting from extreme weather may not be fully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insured. However, at this time, we are unable to determine the extent to which climate change may lead to increased storm or weather hazards affecting our operations.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Legislation or regulatory initiatives intended to address seismic activity could restrict our drilling and production activities, as well as our ability to dispose of produced water gathered from such activities, which could have a material adverse effect on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and federal regulatory agencies have recently focused on a possible connection between hydraulic fracturing related activities, particularly the underground injection of wastewater into disposal wells, and the increased occurrence of seismic activity, and regulatory agencies at all levels are continuing to study the possible linkage between oil and gas activity and induced seismicity. In addition, a number of lawsuits have been filed in some states, most recently in Oklahoma,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regarding the permitting of produced water disposal wells or otherwise to assess the relationship between seismicity and the use of such wells. For example, on October 28, 2014, the Texas Railroad Commission adopted disposal well rule amendments designed, among other things, to require applicants for new disposal wells that will receive non-hazardous produced water or other oil and gas waste to conduct seismic activity searches utilizing the U.S. Geological Survey. The searches are intended to determine the potential for earthquakes within a circular area of 100 square miles around a proposed new disposal well. If the permittee or an applicant of a disposal well permit fails to demonstrate that the produced water or other fluids are confined to the disposal zone or if scientific data indicates such a disposal well is likely to be or determined to be contributing to seismic activity, then the agency may deny, modify, suspend or terminate the permit application or existing operating permit for that well. The Commission has used this authority to deny permits for waste disposal wells.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dispose of large volumes of produced water gathered from our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use hydraulic fracturing or dispose of produced water gathered from our drilling and production activities by owned disposal wells, could have a material adverse effect on our business, financial condition and results of operations.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revenues to decline and operating expenses to increase.</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1(b) of the Natural Gas Act of 1938 exempts natural gas gathering facilities from regulation by the FERC. We believe that the natural gas pipelines in our gathering systems meet the traditional tests FERC has used to establish whether a pipeline performs a gathering function and therefore are exempt from FERC’s jurisdiction under the Natural Gas Act of 1938. However, the distinction between FERC–regulated transmission services and federally unregulated gathering services is a fact-based determination. The classification of facilities as unregulated gathering is the subject of ongoing litigation, so the classification and regulation of our gathering facilities are subject to change based on future determinations by FERC, the courts or Congress, which could cause our revenues to decline and operating expenses to increase and may materially adversely affect our business, financial condition or results of operations. Additional rules and legislation pertaining to those and other matters may be considered or adopted by FERC from time to time. Failure to comply with those regulations in the future could subject us to civil penalty liability, which could have a material adverse effect on our business, financial condition or results of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areas of high industry activity, which may affect our ability to hire, train or retain qualified personnel needed to manage and operate our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42" w:name="page43"/>
    <w:bookmarkEnd w:id="42"/>
    <w:p>
      <w:pPr>
        <w:jc w:val="both"/>
        <w:ind w:firstLine="648"/>
        <w:spacing w:after="0" w:line="255"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have employment agreements with these executives which contain restrictions on competition with us in the event they cease to be employed by us. However, as a practical matter, such employment agreements may not assure the retention of our employees. Further, we do not maintain “key person” life insurance policies on any of our employees. As a result, we are not insured against any losses resulting from the death of our key employees.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result in a total loss of investment and adversely affect our business, financial condition or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drilling activities are subject to many risks. For example, we cannot assure you that new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 other technologies we use do not allow us to know conclusively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w:t>
      </w:r>
    </w:p>
    <w:p>
      <w:pPr>
        <w:spacing w:after="0" w:line="17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facility or equipment malfunctions;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operational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or delivery delays of equipment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we have acquired significant amounts of unproved property in order to further our development efforts and expect to continue to undertake acquisitions in the future. Development and exploratory drilling and production activities are subject to many risks, including the risk that no commercially productive reservoirs will be discovered. We acquire unproved properties and lease undeveloped acreage that we believe will enhance our growth potential and increase our earnings over time. However, we cannot assure you that all prospects will be economically viable or that we will not abandon our investments. Additionally, we cannot assure you that unproved property acquired by us or undeveloped acreage leased by us will be profitably developed, that new wells drilled by us in prospects that we pursue will be productive or that we will recover all or any portion of our investment in such unproved property or wells.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Drilling for oil and natural gas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operations may be curtailed, delayed or canceled as a result of unexpected drilling conditions, equipment failures or accidents, shortages of equipment or personnel, environmental issues and for other reasons. In addition, wells that are profitable may not meet our internal return targets, which are dependent upon the current and expected future market prices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for oil and natural gas, expected costs associated with producing oil and natural gas and our ability to add reserves at an acceptable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hydraulic fracturing activities are part of our operations, they are covered by our insurance against claims made for bodily injury, property damage and clean-up costs stemming from a sudden and accidental pollution event. However, we may not have coverage if we are unaware of the pollution event and unable to report the “occurrence” to our insurance company within the time frame required under our insurance policy. We have no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oil and natural gas industry is intense, which may adversely affect our ability to succeed.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oil and natural gas industry is intensely competitive, and we compete with other companies that have greater resources than us.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competitors may be able to absorb the burden of present and future federal, state, local and other laws and regulations more easily than we can, which would adversely affect our competitive position. Our ability to acquire additional properties and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pace with technological developments in our industry.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certain requirements of Section 404 of the Sarbanes-Oxley Act. If we fail to comply with the requirements of Section 404 or if we or our auditors identify and report material weaknesses in internal control over financial reporting, our investors may lose confidence in our reported information and our stock price may be negatively affected.</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required to comply with certain provisions of Section 404 of the Sarbanes-Oxley Act of 2002, or Sarbanes-Oxley Act. Section 404 requires that we document and test our internal control over financial reporting and issue management’s assessment of our internal control over financial reporting. This section also requires that our independent registered public accounting firm opine on those internal controls. If we fail to comply with the requirements of Section 404 of the Sarbanes-Oxley Act, or if we or our auditors identify and report material weaknesses in internal control over financial reporting,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have a material adverse effect on our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and operating results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operations. We require continued access to capital. A significant reduction in the availability of credit could materially and adversely affect our ability to achieve our planned growth and operating results.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recorded stock-based compensation expense in 2017, 2016 and 2015, and we may incur substantial additional compensation expense related to our future grants of stock compensation which may have a material negative impact on our operating results for the foreseeable future.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outstanding stock-based compensation awards, for the years ended December 31, 2017, 2016 and 2015 we incurred $34.2 million, $33.5 million and $24.6 million, respectively, of stock based compensation expense, of which we capitalized $8.6 million, $7.1 million and $6.0 million respectively, pursuant to the full cost method of accounting for oil and natural gas properties. In addition, our compensation expenses may increase in the future as compared to our historical expenses because of the costs associated with our existing and possible future incentive plans. These additional expenses could adversely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affect our net income. The future expense will be dependent upon the number of share-based awards issued and the fair value of the options or shares of common stock at the date of the grant; however, they may be significant. We will recognize expenses for restricted stock awards and stock options generally over the vesting period of awards made to recipients.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heavily dependent on our information systems and computer based programs, including our well operations information, seismic data, electronic data processing and accounting data. If any of such programs or systems were to fail or create erroneous information in our hardware or software network infrastructure, possible consequences include our loss of communication links, inability to find, produce, process and sell oil and natural gas and inability to automatically process commercial transactions or engage in similar automated or computerized business activities. Any such consequence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potentially putting downward pressure on demand for our services and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oil and natural gas industry has become increasingly dependent on digital technologies to conduct certain exploration, development, production, and processing activities. For example, the oil and natural gas industry depends on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that energy assets might be specific targets of cyber security threats. Our technologies, systems, networks, and those of its vendors, suppliers and other business partners, may become the target of cyberattacks or information security breaches that could result in the unauthorized release, gathering, monitoring, misuse, loss or destruction of proprietary and other information, or other disruption of its business operations. In addition, certain cyber incidents, such as surveillance, may remain undetected for an extended period. Our systems and insurance coverage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do not maintain specialized insurance for possible liability resulting from a cyberattack on our assets that may shut down all or part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substantial level of indebtedness could adversely affect our financial condition and prevent us from fulfilling our obligations under the senior notes and our other indebtedness.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December 31, 2017, we had total long-term debt of $1.5 billion, including $1.0 billion outstanding under the 2024 senior notes and 2025 senior notes, and we had an unused borrowing base availability of $603.0 million under our revolving credit facility. On January 29, 2018, we issued $300.0 million aggregate principal amount of new 5.375% Senior Notes due 2025, which we refer to as the new 2025 notes, as additional notes under our existing indenture, and repaid $308.5 million of our outstanding borrowings under the revolving credit facility with the net proceeds from the issuance of our new 2025 notes. Immediately following the issuance of the new 2025 notes and the application of our net proceeds thereof, we had total long-term debt of $1.39 billion (including $1.3 billion attributable to all of our outstanding senior notes), our borrowing base remained $1.8 billion (as the lenders waived the borrowing base decrease under our revolving credit facility in connection with the issuance of the new 2025 notes), our elected commitment was $1.0 billion, and we had $911.4 million of available borrowing capacity under our revolving credit facility. As of December 31, 2017, Viper, one of our subsidiaries, had $93.5 million in outstanding borrowings, and $306.5 million available for borrowing, under its revolving credit facility. We may in the future incur significant additional indebtedness under our revolving credit facility or otherwise in order to make acquisitions, to develop our properties or for other purposes. Our level of indebtedness could have important consequences to you and affect our operations in several ways, including the following: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6" w:name="page47"/>
    <w:bookmarkEnd w:id="46"/>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high level of indebtedness could make it more difficult for us to satisfy our obligations with respect to the senior notes, including any repurchase obligations that may arise thereunder;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the senior notes and our other indebtedness, which could reduce the funds available to us for operations and other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high level of debt could increase our vulnerability to general adverse economic and industry conditions;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will limit our ability to borrow additional funds, dispose of assets, pay dividends and make certain investments;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debt covenants may also limit management’s discretion in operating our business and our flexibility in planning for, and reacting to, changes in the economy and in our industry;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high level of debt may make it more likely that a reduction in our borrowing base following a periodic redetermination could require us to repay a portion of our then-outstanding bank borrowings;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high level of debt could limit our ability to access the capital markets to raise capital on favorable terms;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high level of debt may impair our ability to obtain additional financing in the future for working capital, capital expenditures, acquisitions, general corporate or other purposes;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our borrowings under our revolving credit facility are at variable interest rates.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high level of indebtedness increases the risk that we may default on our debt obligations. Our ability to meet our debt obligations and to reduce our level of indebtedness depends on our future performance. General economic conditions, oil and natural gas prices and financial, business and other factors affect our operations and our future performance. Many of these factors are beyond our control. We may not be able to generate sufficient cash flows to pay the interest on our debt, and future working capital, borrowings or equity financing may not be available to pay or refinance such debt. Factors that will affect our ability to raise cash through an offering of our capital stock or a refinancing of our debt include financial market conditions, the value of our assets and our performance at the time we need capital.</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our revolving credit facility, the indentures governing the senior notes and future debt instruments may limit our ability to respond to changes in market conditions or pursue business opportunities.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revolving credit facility and the indentures governing our outstanding senior notes contain, and the terms of any future indebtedness may contain, restrictive covenants that limit our ability to, among other things:</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additional liens;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designate certain of our subsidiaries as unrestricted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4" w:right="239" w:bottom="1440" w:gutter="0" w:footer="0" w:header="0"/>
          <w:type w:val="continuous"/>
        </w:sectPr>
      </w:pPr>
    </w:p>
    <w:bookmarkStart w:id="47" w:name="page48"/>
    <w:bookmarkEnd w:id="47"/>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certain swap agreements.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closing of Viper’s initial public offering on June 23, 2014, we entered into an amendment to our revolving credit facility, which modified certain provisions of our revolving credit facility to allow us, among other things, to designate one or more of our subsidiaries as “unrestricted subsidiaries” that are not subject to certain restrictions contained in the revolving credit facility. Under the amended revolving credit facility, we designated Viper, the general partner and Viper’s subsidiary as unrestricted subsidiaries, and upon such designation, they were automatically released from any and all obligations under the amended revolving credit facility, including the related guaranty, and all liens on the assets of, and the equity interests in, Viper, the general partner and Viper’s subsidiary under the amended revolving credit facility were automatically released. Further Viper, the general partner and Viper’s subsidiaries, Viper Energy Partners LLC and Rattler Midstream LLC (formerly known as White Fang Energy LLC), are designated as unrestricted subsidiaries under the indentures governing our outstanding senior notes.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by the restrictive covenants contained in our revolving credit facility and the indentures governing our senior notes. In addition, our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breach of any of these restrictive covenants could result in default under our revolving credit facility. If default occurs, the lenders under our revolving credit facility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we are unable to repay outstanding borrowings when due, the lenders under our revolving credit facility will also have the right to proceed against the collateral granted to them to secure the indebtedness. If the indebtedness under our revolving credit facility and our senior notes were to be accelerated, we cannot assure you that our assets would be sufficient to repay in full that indebtedness.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significant reduction in our borrowing base under our revolving credit facility as a result of the periodic borrowing base redeterminations or otherwise may negatively impact our ability to fund our operations, and we may not have sufficient funds to repay borrowings under our revolving credit facility if required as a result of a borrowing base redetermination.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Availability under our revolving credit facility is currently subject to a borrowing base of $1.8 billion, of which we have elected a commitment amount of $1.0 billion. The borrowing base is subject to scheduled annual and other elective collateral borrowing base redeterminations based on our oil and natural gas reserves and other factors. As of December 31, 2017, we had $397.0 million borrowings outstanding under our revolving credit facility. Our weighted average interest rate on borrowings under our revolving credit facility was 2.97% on December 31, 2017. On January 29, 2018, we repaid $308.5 million of our outstanding borrowings under the revolving credit facility with the net proceeds from the issuance of our new 2025 notes. Immediately following the issuance of the new 2025 notes and the application of our net proceeds thereof, our borrowing base remained $1.8 billion (as the lenders waived the borrowing base decrease under our revolving credit facility in connection with the issuance of the new 2025 notes), our elected commitment was $1.0 billion, and we had $911.4 million of available borrowing capacity under our revolving credit facility. We expect to borrow under our revolving credit facility in the future. Any significant reduction in our borrowing base as a result of such borrowing base redeterminations or otherwise may negatively impact our liquidity and our ability to fund our operations and, as a result, may have a material adverse effect on our financial position, results of operation and cash flow. Further if, the outstanding borrowings under our revolving credit facility were to exceed the borrowing base as a result of any such redetermination, we would be required to repay the excess. We may not have sufficient funds to make such repayments. If we do not have sufficient funds and we are otherwise unable to negotiate renewals of our borrowings or arrange new financing, we may have to sell significant assets. Any such sale could have a material adverse effect on our business and financial results.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make scheduled payments of the principal, to pay interest on or to refinance our indebtedness, including our senior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7"/>
          <w:szCs w:val="17"/>
          <w:color w:val="auto"/>
        </w:rPr>
        <w:t>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Our revolving credit facility and the indentures governing our senior notes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still be able to incur substantial additional indebtedness in the future, which could further exacerbate the risks that we and our subsidiaries face.</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and our subsidiaries may be able to incur substantial additional indebtedness in the future. The terms of our revolving credit facility and the indentures governing our senior notes restrict, but in each case do not completely prohibit, us from doing so. As of December 31, 2017, our borrowing base under our revolving credit facility was set at $1.8 billion, of which we have elected a commitment amount of $1.0 billion and we had $397.0 million outstanding borrowings under this facility. As of December 31, 2017, Viper had $93.5 million in outstanding borrowings, and $306.5 million available for borrowing, under its revolving credit facility. Further, the indentures governing the senior notes allow us to issue additional notes under certain circumstances which will also be guaranteed by the guarantors. The indentures governing the senior notes also allow us to incur certain other additional secured debt and allows us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under our and Viper’s revolving credit facilities expose us to interest rate risk.</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earnings are exposed to interest rate risk associated with borrowings under our revolving credit facility. The terms of our revolving credit facility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 As of December 31, 2017, we had $397.0 million borrowings outstanding under our revolving credit facility. Our weighted average interest rate on borrowings under our revolving credit facility was 2.97% on December 31, 2017. Viper’s weighted average interest rate on borrowings from its revolving credit facility was 3.19% during the year ended December 31, 2017. As of December 31, 2017, Viper had $93.5 million in outstanding borrowings, and $306.5 million available for borrowing, under its revolving credit facility. If interest rates increase, so will our interest costs, which may have a material adverse effect on our results of operations and financial condition.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affiliates of ours to benefit from corporate opportunities that might otherwise be available to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225"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permits us to enter into transactions with entities in which one or more of our officers or directors are financially or otherwise interested;</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17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we have engaged in transactions with affiliated companies and may do so again in the future. These transactions, and the resolution of any conflicts that may arise in connection with such related party transactions, including pricing, duration or other terms of service, may not always be in our or our stockholders’ best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our common stock is listed on the Nasdaq Select Global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w:t>
      </w:r>
    </w:p>
    <w:p>
      <w:pPr>
        <w:spacing w:after="0" w:line="17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without regard to specific operating performance. The price of our common stock could fluctuate based upon factors that have little or nothing to do with our company and these fluctuations could materially reduce our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may occur, could cause the market price of our common stock to decline. In addition, the sale of such shares, or the perception that such sales may occur, could impair our ability to raise capital through the sale of additional common or preferred stock. Except for any shares purchased by our affiliates, all of the shares of common stock sold in our initial public offering and our subsequent equity offerings are freely tradable. In the event that one or more of our stockholders sells a substantial amount of our common stock in the public market, or the market perceives that such sales may occur, the price of our stock could decline.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declaration of dividends on our common stock is within the discretion of our board of directors based upon a review of relevant considerations, and there is no guarantee that we will pay any dividends in the future or at levels anticipated by our stockholders.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13, 2018, we announced that we are initiating an annual cash dividend in the amount of $0.50 per share of our common stock payable quarterly beginning with the first quarter of 2018. The decision to pay this first dividend or any future dividends, however,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or declare dividends at rates that are less than currently anticipated, either of which could reduce returns to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of control could limit our use of net operating losses.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2017, we had a net operating loss, or NOL, carry forward of approximately $357.0 million for federal income tax purposes. If we were to experience an “ownership change,” as determined under Section 382 of the Code, our ability to offset taxable income arising after the ownership change with NOLs generated prior to the ownership change would be limited, possibly substantially. In general, an ownership change would establish an annual limitation on the amount of our pre-change NOLs we could utilize to offset our taxable income in any future taxable year to an amount generally equal to the value of our stock immediately prior to the ownership change multiplied by the long-term tax-exempt rate. In general, an ownership change will occur if there is a cumulative increase in our ownership of more than 50 percentage points by one or more “5% shareholders” (as defined in the Internal Revenue Code) at any time during a rolling three-year period.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181"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authorization given to our board of directors to issue and set the terms of preferred stock without the approval of our stockholders.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“FANG”.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range of high and low sales prices of our common stock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1st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114.00</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96.05</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2nd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3rd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98.36</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82.77</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4th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1st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2nd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96.01</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73.12</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4th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113.23</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88.74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nine holders of record of our common stock on February 9,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paid any cash dividends since our inception. Covenants contained in our revolving credit facility restrict the payment of cash dividends on our common stock. See Item 1A. “Risk Factors–Risks Related to the Oil and Natural Gas Industry and Our Business–Our revolving credit facility contains restrictive covenants that may limit our ability to respond to changes in market conditions or pursue business opportunities.” and Item 7. “Management’s Discussion and Analysis of Financial Condition and Results of Operations–Liquidity and Capital Resources–Credit Facility.”</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13, 2018, we announced that we are initiating an annual cash dividend in the amount of $0.50 per share of our common stock payable quarterly beginning with the first quarter of 2018. The decision to pay this first dividend or any future dividends, however,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section presents our selected historical combined consolidated financial data. The selected historical combined consolidated financial data presented below is not intended to replace our historical consolidated financial statements. You should read the following data along with Item 7. “Management’s Discussion and Analysis of Financial Condition and Results of Operations” and the consolidated financial statements and related notes, each of which is included elsewhere in this Annual Report on Form 10-K.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Presented below is our historical financial data for the periods and as of the dates indicated. The historical financial data for the years ended December 31, 2017, 2016 and 2015 and the balance sheet data as of December 31, 2017 and 2016 are derived from our audited consolidated financial statements included elsewhere in this Annual Report on Form 10-K. The historical financial data for the year ended December 31, 2014 and 2013 and the balance sheet data as of December 31, 2015, 2014 and 2013 are derived from our audited financial statements not included in this Annual Report on Form 10-K.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 except per share amounts)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1,205,111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527,107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446,733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495,718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208,002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605,020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212,670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95,194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(164,716)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304,956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86,341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516,757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(164,908)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195,971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54,587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Diamondback Energy,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482,261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(550,628)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193,755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54,587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97,688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75,077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42,255</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112,446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1,666,574</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20,115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30,183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15,555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3,390,857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2,597,625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2,791,807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1,446,337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7,770,985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5,349,680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2,750,719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3,095,481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1,521,614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577,428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209,342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121,320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1,477,347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1,105,912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487,807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673,500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460,000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Total stockholders’/ members’ equity</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5,254,860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3,697,462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1,875,972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1,751,011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845,541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5,581,737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4,018,292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2,108,973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1,985,213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888,625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332,080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416,501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356,389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155,777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(1,481,997)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689,529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2,624,621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468,481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1,140,236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773,560</w:t>
            </w:r>
          </w:p>
        </w:tc>
      </w:tr>
      <w:tr>
        <w:trPr>
          <w:trHeight w:val="48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Consolidated Adjusted EBITDA</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928,039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387,535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449,245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398,334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157,604</w:t>
            </w:r>
          </w:p>
        </w:tc>
      </w:tr>
    </w:tbl>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years ended December 31, 2017, 2016, 2015 and 2014, total stockholders’ equity excludes $326.9 million, $320.8 million, $233.0 million and $234.2 million, respectively, of non-controlling interest related to Viper Energy Partners LP. There was no equity related to non-controlling interest for the year ended December 31, 2013.</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Adjusted EBITDA is a supplemental non-GAAP financial measure. For our definition of Consolidated Adjusted EBITDA and a reconciliation of Consolidated Adjusted EBITDA to net income (loss) see “–Non-GAAP financial measure and reconciliation”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and reconciliation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Consolidated Adjusted EBITDA is a supplemental non-GAAP financial measure that is used by management and external users of our financial statements, such as industry analysts, investors, lenders and rating agencies. We define Consolidated Adjusted EBITDA as net income (loss) plus net non-cash (gain) loss on derivative instruments, net interest expense, depreciation, depletion and amortization expense, impairment of oil and natural gas properties, non-cash equity-based compensation expense, capitalized equity-based compensation expense, asset retirement obligation accretion expense, loss on extinguishment of debt, income tax (benefit) provision and non-controlling interest in net (income) loss. Consolidated Adjusted EBITDA is not a measure of net income (loss) as determined by GAAP. Management believes Consolidated Adjusted EBITDA is useful because it allows it to more effectively evaluate our operating performance and compare the results of our operations from period to period without regard to our financing methods or capital structure. We add the items listed above to net income (loss) in arriving at Consolidated Adjusted EBITDA because these amounts can vary substantially from company to company within our industry depending upon accounting methods and book values of assets, capital structures and the method by which the assets were acquired. Consolidated Adjusted EBITDA should not be considered as an alternative to, or more meaningful than, net income (loss) as determined in accordance with GAAP or as an indicator of our operating performance or liquidity. Certain items excluded from Consolidated Adjusted EBITDA are significant components in understanding and assessing a company’s financial performance, such as a company’s cost of capital and tax structure, as well as the historic costs of depreciable assets, none of which are components of Consolidated Adjusted EBITDA. Our computations of Consolidated Adjusted EBITDA may not be comparable to other similarly titled measure of other companies or to such measure in our revolving credit facility or any of our other contracts.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presents a reconciliation of the non-GAAP financial measure of Consolidated Adjusted EBITDA to the GAAP financial measure of net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(gain) loss on derivative instruments, net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26,522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326,759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170,005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66,597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oil and natural gas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equity-based compensation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33,532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2,724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retirement obligation accretion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31,754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net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928,039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387,535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449,245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398,334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157,604</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consolidated financial statements and notes thereto appearing elsewhere in this Annual Report on Form 10–K.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Item 1A. “Risk Factors” and “Cautionary Statement Regarding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The following table sets forth our production data for the periods indicated: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7600" w:type="dxa"/>
            <w:vAlign w:val="bottom"/>
          </w:tcPr>
          <w:p>
            <w:pPr>
              <w:spacing w:after="0"/>
              <w:rPr>
                <w:sz w:val="24"/>
                <w:szCs w:val="24"/>
                <w:color w:val="auto"/>
              </w:rPr>
            </w:pPr>
          </w:p>
        </w:tc>
        <w:tc>
          <w:tcPr>
            <w:tcW w:w="2980" w:type="dxa"/>
            <w:vAlign w:val="bottom"/>
            <w:gridSpan w:val="5"/>
          </w:tcPr>
          <w:p>
            <w:pPr>
              <w:ind w:left="920"/>
              <w:spacing w:after="0"/>
              <w:rPr>
                <w:sz w:val="20"/>
                <w:szCs w:val="20"/>
                <w:color w:val="auto"/>
              </w:rPr>
            </w:pPr>
            <w:r>
              <w:rPr>
                <w:rFonts w:ascii="Arial" w:cs="Arial" w:eastAsia="Arial" w:hAnsi="Arial"/>
                <w:sz w:val="18"/>
                <w:szCs w:val="18"/>
                <w:b w:val="1"/>
                <w:bCs w:val="1"/>
                <w:color w:val="auto"/>
                <w:w w:val="92"/>
              </w:rPr>
              <w:t>Year Ended December 31,</w:t>
            </w:r>
          </w:p>
        </w:tc>
        <w:tc>
          <w:tcPr>
            <w:tcW w:w="840" w:type="dxa"/>
            <w:vAlign w:val="bottom"/>
          </w:tcPr>
          <w:p>
            <w:pPr>
              <w:spacing w:after="0"/>
              <w:rPr>
                <w:sz w:val="24"/>
                <w:szCs w:val="24"/>
                <w:color w:val="auto"/>
              </w:rPr>
            </w:pPr>
          </w:p>
        </w:tc>
      </w:tr>
      <w:tr>
        <w:trPr>
          <w:trHeight w:val="27"/>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6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31, 2017, our acreage position in the Permian Basin was approximately 246,012 gross (206,660 net) acres, which consisted of approximately 117,586 gross (101,941 net) acres in the Northern Midland Basin and approximately 128,426 gross (104,719 net) acres in the Southern Delaware Basin.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Transactions and 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Delaware Basin Acquisition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2017, we completed an acquisition of oil and natural gas properties, midstream assets and other related assets in the Delaware Basin for an aggregate purchase price consisting of $1.74 billion in cash and 7.69 million shares of our common stock, of which approximately 1.15 million shares were placed in an indemnity escrow. This transaction included the acquisition of (i) approximately 100,306 gross (80,339 net) acres primarily in Pecos and Reeves counties for approximately $2.5 billion and (ii) midstream assets for approximately $47.6 million. We used the net proceeds from our December 2016 equity offering, net proceeds from our December 2016 debt offering, cash on hand and other financing sources to fund the cash portion of the purchase price for this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Senior Notes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January 29, 2018, we issued $300.0 million aggregate principal amount of new 2025 notes as additional notes under our existing indenture, dated as of December 20, 2016, as supplemented, among us, subsidiary guarantors party thereto and Wells Fargo, as trustee, under which we previously issued $500.0 million aggregate principal amount of our existing 5.375% Senior Notes due 2025.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Viper Equity Offerings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Viper completed an underwritten public offering of 9,775,000 common units, which included 1,275,000 common units issued pursuant to an option to purchase additional common units granted to the underwriters. Viper received net proceeds from this offering of approximately $147.5 million, after deducting underwriting discounts and commissions and estimated offering expenses, of which Viper used $120.5 million to repay the outstanding borrowings under its revolving credit agreement and the balance was used for general partnership purposes, which included additional acquisitions.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July 2017, Viper completed an underwritten public offering of 16,100,000 common units, which included 2,100,000 common units issued pursuant to an option to purchase additional common units granted to the underwriters. In this offering, we purchased 700,000 common units, an affiliate of the General Partner purchased 3,000,000 common units and certain officers and directors of our Company and the General Partner purchased an aggregate of 114,000 common units, in each case directly from the underwriters. Following this offering, we had an approximate 64% limited partner interest in Viper. Viper received net proceeds from this offering of approximately $232.5 million, after deducting underwriting discounts and commissions and estimated offering expenses, of which Viper used $152.8 million to repay all of the then-outstanding borrowings under Viper’s revolving credit facility and the balance was used to fund a portion of the purchase price for acquisitions and for general partnership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Update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operating ten rigs now and currently intend to operate between ten and twelve drilling rigs in 2018 across our asset base in the Midland and Delaware Basins. We plan to operate six to seven of these rigs in the Midland Basin targeting horizontal development of the Wolfcamp and Spraberry formations, with four to five rigs are expected to operate in the Delaware Basin targeting the Wolfcamp and Bone Spring formations.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Midland Basin, we continue have positive results across our core development areas located within Midland, Martin, Howard, Glasscock and Andrews counties, where development has primarily focused on drilling long-lateral, multi-well pads targeting the Spraberry and Wolfcamp formations. We are currently operating six rigs on the acreage and expect to average approximately six to eight operated rigs in 2018.</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Delaware Basin, we have now drilled and completed multiple wells in Pecos, Reeves and Ward counties targeting the Wolfcamp A, which we believe has been de-risked across a significant portion of our total acreage position and remains our primary development target. Additionally, we have successfully completed additional wells targeting such zones as the Wolfcamp B and 2nd Bone Spring, and expect to test these zones further in 2018. We are currently operating four rigs in the Delaware Basin and plan to average approximately four to five rigs in 2018.</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continue to focus on low cost operations and best in class execution. In doing so, we are focused on controlling oilfield service costs as our service providers seek to increase pricing following continued strength in the oil market. To combat rising service costs, we have looked to lock in pricing for dedicated activity levels and will continue to seek opportunities to control additional well cost where possible. Our 2018 drilling and completion budget accounts for rising capital costs that we believe will cover potential increases in our service costs during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Capital Budget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currently budgeted a 2018 total capital spend of $1.3 billion to $1.5 billion, consisting of $1.175 billion to $1.325 billion for horizontal drilling and completions including non-operated activity and $125.0 million to $175.0 million for infrastructure and other expenditures, but excluding the cost of any leasehold and mineral interest acquisitions. We expect to drill and complete 170 to 190 gross horizontal wells in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average daily production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60" w:type="dxa"/>
            <w:vAlign w:val="bottom"/>
            <w:gridSpan w:val="5"/>
          </w:tcPr>
          <w:p>
            <w:pPr>
              <w:ind w:left="820"/>
              <w:spacing w:after="0"/>
              <w:rPr>
                <w:sz w:val="20"/>
                <w:szCs w:val="20"/>
                <w:color w:val="auto"/>
              </w:rPr>
            </w:pPr>
            <w:r>
              <w:rPr>
                <w:rFonts w:ascii="Arial" w:cs="Arial" w:eastAsia="Arial" w:hAnsi="Arial"/>
                <w:sz w:val="18"/>
                <w:szCs w:val="18"/>
                <w:b w:val="1"/>
                <w:bCs w:val="1"/>
                <w:color w:val="auto"/>
                <w:w w:val="91"/>
              </w:rPr>
              <w:t>Year Ended December 31,</w:t>
            </w:r>
          </w:p>
        </w:tc>
        <w:tc>
          <w:tcPr>
            <w:tcW w:w="78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49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40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(Bbls)/d</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58,678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Natural Gas (Mcf)/d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56,602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21,729</w:t>
            </w:r>
          </w:p>
        </w:tc>
      </w:tr>
      <w:tr>
        <w:trPr>
          <w:trHeight w:val="27"/>
        </w:trPr>
        <w:tc>
          <w:tcPr>
            <w:tcW w:w="4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(Bbls)/d</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Total average production per day</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79,224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33,098</w:t>
            </w:r>
          </w:p>
        </w:tc>
      </w:tr>
      <w:tr>
        <w:trPr>
          <w:trHeight w:val="486"/>
        </w:trPr>
        <w:tc>
          <w:tcPr>
            <w:tcW w:w="4020" w:type="dxa"/>
            <w:vAlign w:val="bottom"/>
          </w:tcPr>
          <w:p>
            <w:pPr>
              <w:spacing w:after="0"/>
              <w:rPr>
                <w:sz w:val="24"/>
                <w:szCs w:val="24"/>
                <w:color w:val="auto"/>
              </w:rPr>
            </w:pPr>
          </w:p>
        </w:tc>
        <w:tc>
          <w:tcPr>
            <w:tcW w:w="3760" w:type="dxa"/>
            <w:vAlign w:val="bottom"/>
          </w:tcPr>
          <w:p>
            <w:pPr>
              <w:jc w:val="right"/>
              <w:ind w:right="1890"/>
              <w:spacing w:after="0"/>
              <w:rPr>
                <w:sz w:val="20"/>
                <w:szCs w:val="20"/>
                <w:color w:val="auto"/>
              </w:rPr>
            </w:pPr>
            <w:r>
              <w:rPr>
                <w:rFonts w:ascii="Arial" w:cs="Arial" w:eastAsia="Arial" w:hAnsi="Arial"/>
                <w:sz w:val="18"/>
                <w:szCs w:val="18"/>
                <w:color w:val="auto"/>
              </w:rPr>
              <w:t>50</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average daily production for the year ended December 31, 2017 as compared to the year ended December 31, 2016 increased by 36,193 BOE/d,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84%.</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2017, we drilled 150 gross (130 net) horizontal wells and participated in the drilling of 16 gross (two net) non-operated horizontal wells in the Permian Basin.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and pricing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Ryder Scott prepared estimates of our proved reserves at December 31, 2017, 2016 and 2015 (which include estimated proved reserves attributable to Viper). The prices used to estimate proved reserves for all periods did not give effect to derivative transactions, were held constant throughout the life of the properties and have been adjusted for quality, transportation fees, geographical differentials, marketing bonuses or deductions and other factors affecting the price received at the wellhead.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Net Proved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233,181</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139,174</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105,979</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285,369</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174,896</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149,503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54,610</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37,134</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26,004</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335,352</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205,458</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156,899</w:t>
            </w:r>
          </w:p>
        </w:tc>
      </w:tr>
      <w:tr>
        <w:trPr>
          <w:trHeight w:val="27"/>
        </w:trPr>
        <w:tc>
          <w:tcPr>
            <w:tcW w:w="65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8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1"/>
              </w:rPr>
              <w:t>Unweighted Arithmetic Average</w:t>
            </w:r>
          </w:p>
        </w:tc>
        <w:tc>
          <w:tcPr>
            <w:tcW w:w="1060" w:type="dxa"/>
            <w:vAlign w:val="bottom"/>
          </w:tcPr>
          <w:p>
            <w:pPr>
              <w:spacing w:after="0"/>
              <w:rPr>
                <w:sz w:val="20"/>
                <w:szCs w:val="20"/>
                <w:color w:val="auto"/>
              </w:rPr>
            </w:pPr>
          </w:p>
        </w:tc>
      </w:tr>
      <w:tr>
        <w:trPr>
          <w:trHeight w:val="270"/>
        </w:trPr>
        <w:tc>
          <w:tcPr>
            <w:tcW w:w="6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8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2"/>
              </w:rPr>
              <w:t>First-Day-of-the-Month Prices</w:t>
            </w:r>
          </w:p>
        </w:tc>
        <w:tc>
          <w:tcPr>
            <w:tcW w:w="1060" w:type="dxa"/>
            <w:vAlign w:val="bottom"/>
          </w:tcPr>
          <w:p>
            <w:pPr>
              <w:spacing w:after="0"/>
              <w:rPr>
                <w:sz w:val="23"/>
                <w:szCs w:val="23"/>
                <w:color w:val="auto"/>
              </w:rPr>
            </w:pPr>
          </w:p>
        </w:tc>
      </w:tr>
      <w:tr>
        <w:trPr>
          <w:trHeight w:val="27"/>
        </w:trPr>
        <w:tc>
          <w:tcPr>
            <w:tcW w:w="6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(per Bbl)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48.03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39.94</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Natural gas (per Mcf)</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 (per Bbl)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20.79</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r>
      <w:tr>
        <w:trPr>
          <w:trHeight w:val="27"/>
        </w:trPr>
        <w:tc>
          <w:tcPr>
            <w:tcW w:w="6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revenues are derived from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The following table presents the sources of our revenues for the years presented: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7600" w:type="dxa"/>
            <w:vAlign w:val="bottom"/>
          </w:tcPr>
          <w:p>
            <w:pPr>
              <w:spacing w:after="0"/>
              <w:rPr>
                <w:sz w:val="24"/>
                <w:szCs w:val="24"/>
                <w:color w:val="auto"/>
              </w:rPr>
            </w:pPr>
          </w:p>
        </w:tc>
        <w:tc>
          <w:tcPr>
            <w:tcW w:w="2980" w:type="dxa"/>
            <w:vAlign w:val="bottom"/>
            <w:gridSpan w:val="5"/>
          </w:tcPr>
          <w:p>
            <w:pPr>
              <w:ind w:left="920"/>
              <w:spacing w:after="0"/>
              <w:rPr>
                <w:sz w:val="20"/>
                <w:szCs w:val="20"/>
                <w:color w:val="auto"/>
              </w:rPr>
            </w:pPr>
            <w:r>
              <w:rPr>
                <w:rFonts w:ascii="Arial" w:cs="Arial" w:eastAsia="Arial" w:hAnsi="Arial"/>
                <w:sz w:val="18"/>
                <w:szCs w:val="18"/>
                <w:b w:val="1"/>
                <w:bCs w:val="1"/>
                <w:color w:val="auto"/>
                <w:w w:val="92"/>
              </w:rPr>
              <w:t>Year Ended December 31,</w:t>
            </w:r>
          </w:p>
        </w:tc>
        <w:tc>
          <w:tcPr>
            <w:tcW w:w="840" w:type="dxa"/>
            <w:vAlign w:val="bottom"/>
          </w:tcPr>
          <w:p>
            <w:pPr>
              <w:spacing w:after="0"/>
              <w:rPr>
                <w:sz w:val="24"/>
                <w:szCs w:val="24"/>
                <w:color w:val="auto"/>
              </w:rPr>
            </w:pPr>
          </w:p>
        </w:tc>
      </w:tr>
      <w:tr>
        <w:trPr>
          <w:trHeight w:val="27"/>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80"/>
              <w:spacing w:after="0"/>
              <w:rPr>
                <w:sz w:val="20"/>
                <w:szCs w:val="20"/>
                <w:color w:val="auto"/>
              </w:rPr>
            </w:pPr>
            <w:r>
              <w:rPr>
                <w:rFonts w:ascii="Arial" w:cs="Arial" w:eastAsia="Arial" w:hAnsi="Arial"/>
                <w:sz w:val="18"/>
                <w:szCs w:val="18"/>
                <w:color w:val="auto"/>
              </w:rPr>
              <w:t>Oil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sales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600" w:type="dxa"/>
            <w:vAlign w:val="bottom"/>
          </w:tcPr>
          <w:p>
            <w:pPr>
              <w:ind w:left="280"/>
              <w:spacing w:after="0"/>
              <w:rPr>
                <w:sz w:val="20"/>
                <w:szCs w:val="20"/>
                <w:color w:val="auto"/>
              </w:rPr>
            </w:pPr>
            <w:r>
              <w:rPr>
                <w:rFonts w:ascii="Arial" w:cs="Arial" w:eastAsia="Arial" w:hAnsi="Arial"/>
                <w:sz w:val="18"/>
                <w:szCs w:val="18"/>
                <w:color w:val="auto"/>
              </w:rPr>
              <w:t>Natural gas liquid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our production consists primarily of oil, our revenues are more sensitive to fluctuations in oil prices than they are to fluctuations in natural gas liquids or natural gas prices. Oil, natural gas liquids and natural gas prices have historically been volatile. During 2017, WTI posted prices ranged from $42.48 to $60.46 per Bbl and the Henry Hub spot market price of natural gas ranged from $2.44 to $3.71 per MMBtu. On December 29, 2017, the WTI posted price for crude oil was $60.46 per Bbl and the Henry Hub spot market price of natural gas was $3.69 per MMBtu. Lower prices may not only decrease our revenues, but also potentially the amount of oil and natural gas that we can produce economically. Lower oil and natural gas prices may also result in a reduction in the borrowing base under our credit agreement, which may be determined at the discretion of our lenders.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Lease operating expenses. </w:t>
      </w:r>
      <w:r>
        <w:rPr>
          <w:rFonts w:ascii="Arial" w:cs="Arial" w:eastAsia="Arial" w:hAnsi="Arial"/>
          <w:sz w:val="18"/>
          <w:szCs w:val="18"/>
          <w:color w:val="auto"/>
        </w:rPr>
        <w:t>These are daily costs incurred to bring oil and natural gas out of the ground and to the market, together with the daily</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incurred to maintain our producing properties. Such costs also include maintenance, repairs and workover expenses related to our oil and natural gas properties.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Production and ad valorem taxes. </w:t>
      </w:r>
      <w:r>
        <w:rPr>
          <w:rFonts w:ascii="Arial" w:cs="Arial" w:eastAsia="Arial" w:hAnsi="Arial"/>
          <w:sz w:val="18"/>
          <w:szCs w:val="18"/>
          <w:color w:val="auto"/>
        </w:rPr>
        <w:t>Production taxes are paid on produced oil and natural gas based on a percentage of revenues from products sold at</w:t>
      </w:r>
      <w:r>
        <w:rPr>
          <w:rFonts w:ascii="Arial" w:cs="Arial" w:eastAsia="Arial" w:hAnsi="Arial"/>
          <w:sz w:val="18"/>
          <w:szCs w:val="18"/>
          <w:i w:val="1"/>
          <w:iCs w:val="1"/>
          <w:color w:val="auto"/>
        </w:rPr>
        <w:t xml:space="preserve"> </w:t>
      </w:r>
      <w:r>
        <w:rPr>
          <w:rFonts w:ascii="Arial" w:cs="Arial" w:eastAsia="Arial" w:hAnsi="Arial"/>
          <w:sz w:val="18"/>
          <w:szCs w:val="18"/>
          <w:color w:val="auto"/>
        </w:rPr>
        <w:t>fixed rates established by federal, state or local taxing authorities. Where available, we benefit from tax credits and exemptions in our various taxing jurisdictions. We are also subject to ad valorem taxes in the counties where our production is located. Ad valorem taxes are generally based on the valuation of our oil and gas properties.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These are costs incurred for overhead, including payroll and benefits for our corporate staff,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our headquarters, costs of managing our production and development operations, franchise taxes, audit and other fees for professional services and legal compliance.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Midstream services expense. </w:t>
      </w:r>
      <w:r>
        <w:rPr>
          <w:rFonts w:ascii="Arial" w:cs="Arial" w:eastAsia="Arial" w:hAnsi="Arial"/>
          <w:sz w:val="18"/>
          <w:szCs w:val="18"/>
          <w:color w:val="auto"/>
        </w:rPr>
        <w:t>These are costs incurred to operate and maintain our oil and natural gas gathering and transportation systems,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gas lift, compression infrastructure and water transportation facilities.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Depreciation, depletion and amortization. </w:t>
      </w:r>
      <w:r>
        <w:rPr>
          <w:rFonts w:ascii="Arial" w:cs="Arial" w:eastAsia="Arial" w:hAnsi="Arial"/>
          <w:sz w:val="17"/>
          <w:szCs w:val="17"/>
          <w:color w:val="auto"/>
        </w:rPr>
        <w:t>Under the full cost accounting method, we capitalize costs within a cost center and then systematically</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those costs on a units of production basis based on proved oil and natural gas reserve quantities. We calculate depletion on the following types of costs: (i) all capitalized costs, other than the cost of investments in unproved properties and major development projects for which proved reserves cannot yet be assigned, less accumulated amortization; (ii) the estimated future expenditures to be incurred in developing proved reserves; and (iii) the estimated dismantlement and abandonment costs, net of estimated salvage values. Depreciation of other property and equipment is computed using the straight line method over their estimated useful lives, which range from three to fifteen years.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Impairment of oil and natural gas properties. </w:t>
      </w:r>
      <w:r>
        <w:rPr>
          <w:rFonts w:ascii="Arial" w:cs="Arial" w:eastAsia="Arial" w:hAnsi="Arial"/>
          <w:sz w:val="17"/>
          <w:szCs w:val="17"/>
          <w:color w:val="auto"/>
        </w:rPr>
        <w:t>This is the cost to reduce proved oil and gas properties to the calculated full cost ceiling value.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(expense). </w:t>
      </w:r>
      <w:r>
        <w:rPr>
          <w:rFonts w:ascii="Arial" w:cs="Arial" w:eastAsia="Arial" w:hAnsi="Arial"/>
          <w:sz w:val="17"/>
          <w:szCs w:val="17"/>
          <w:color w:val="auto"/>
        </w:rPr>
        <w:t>We have financed a portion of our working capital requirements, capital expenditures and acquisitions with borrowings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revolving credit facility and our net proceeds from the issuance of the senior notes. We incur interest expense that is affected by both fluctuations in interest rates and our financing decisions. This amount reflects interest paid to our lender plus the amortization of deferred financing costs (including origination and amendment fees), commitment fees and annual agency fees net of interest received on our cash and cash equivalents.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Gain (loss) on derivative instruments, net</w:t>
      </w:r>
      <w:r>
        <w:rPr>
          <w:rFonts w:ascii="Arial" w:cs="Arial" w:eastAsia="Arial" w:hAnsi="Arial"/>
          <w:sz w:val="16"/>
          <w:szCs w:val="16"/>
          <w:color w:val="auto"/>
        </w:rPr>
        <w:t>. We utilize commodity derivative financial instruments to reduce our exposure to fluctuations in the price</w:t>
      </w:r>
      <w:r>
        <w:rPr>
          <w:rFonts w:ascii="Arial" w:cs="Arial" w:eastAsia="Arial" w:hAnsi="Arial"/>
          <w:sz w:val="16"/>
          <w:szCs w:val="16"/>
          <w:i w:val="1"/>
          <w:iCs w:val="1"/>
          <w:color w:val="auto"/>
        </w:rPr>
        <w:t xml:space="preserve"> </w:t>
      </w:r>
      <w:r>
        <w:rPr>
          <w:rFonts w:ascii="Arial" w:cs="Arial" w:eastAsia="Arial" w:hAnsi="Arial"/>
          <w:sz w:val="16"/>
          <w:szCs w:val="16"/>
          <w:color w:val="auto"/>
        </w:rPr>
        <w:t>of crude oil. This amount represents (i) the recognition of the change in the fair value of open non-hedge derivative contracts as commodity prices change and commodity derivative contracts expire or new ones are entered into, and (ii) our gains and losses on the settlement of these commodity derivative instruments.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Deferred tax assets (liabilities). </w:t>
      </w:r>
      <w:r>
        <w:rPr>
          <w:rFonts w:ascii="Arial" w:cs="Arial" w:eastAsia="Arial" w:hAnsi="Arial"/>
          <w:sz w:val="18"/>
          <w:szCs w:val="18"/>
          <w:color w:val="auto"/>
        </w:rPr>
        <w:t>We use the asset and liability method of accounting for income taxes, under which deferred tax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Oil, natural gas liquids and natural gas</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1,186,275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527,107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446,733</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bonus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446,733</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operating expenses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82,625</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Production and ad valorem taxes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73,505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34,456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32,990</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Gathering and transportation</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6,091</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217,697</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Impairment of oil and natural gas properties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245,536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814,798</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31,968</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49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1,187,002</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605,020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(740,269)</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(41,510)</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728</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(33,134)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497,189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(164,716)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(749,100)</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(201,310)</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516,757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(164,908)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(547,790)</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Net income (loss) attributable to Diamondback Energy, Inc.</w:t>
            </w:r>
          </w:p>
        </w:tc>
        <w:tc>
          <w:tcPr>
            <w:tcW w:w="7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482,261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(165,034)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(550,628)</w:t>
            </w:r>
          </w:p>
        </w:tc>
      </w:tr>
      <w:tr>
        <w:trPr>
          <w:trHeight w:val="20"/>
        </w:trPr>
        <w:tc>
          <w:tcPr>
            <w:tcW w:w="4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53</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320"/>
          </w:cols>
          <w:pgMar w:left="240" w:top="125"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Year Ended December 31,</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Oil (MBbls)</w:t>
            </w:r>
          </w:p>
        </w:tc>
        <w:tc>
          <w:tcPr>
            <w:tcW w:w="1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21,418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11,562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9,081</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Natural gas (MMcf)</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20,660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7,931</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Natural gas liquids (MBbls)</w:t>
            </w:r>
          </w:p>
        </w:tc>
        <w:tc>
          <w:tcPr>
            <w:tcW w:w="1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1,678</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Combined volumes (MBOE)</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28,917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12,081</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Daily combined volumes (BOE/d)</w:t>
            </w:r>
          </w:p>
        </w:tc>
        <w:tc>
          <w:tcPr>
            <w:tcW w:w="1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79,224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43,031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33,098</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Prices:</w:t>
            </w: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Oil (per Bbl)</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48.75</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44.68</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Natural gas (per Mcf)</w:t>
            </w:r>
          </w:p>
        </w:tc>
        <w:tc>
          <w:tcPr>
            <w:tcW w:w="1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2.47</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Natural gas liquids (per Bbl)</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12.77</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Combined (per BOE)</w:t>
            </w:r>
          </w:p>
        </w:tc>
        <w:tc>
          <w:tcPr>
            <w:tcW w:w="1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41.02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36.98</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gridSpan w:val="2"/>
            <w:shd w:val="clear" w:color="auto" w:fill="CCEEFF"/>
          </w:tcPr>
          <w:p>
            <w:pPr>
              <w:ind w:left="50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48.94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60.63</w:t>
            </w:r>
          </w:p>
        </w:tc>
      </w:tr>
      <w:tr>
        <w:trPr>
          <w:trHeight w:val="270"/>
        </w:trPr>
        <w:tc>
          <w:tcPr>
            <w:tcW w:w="5580" w:type="dxa"/>
            <w:vAlign w:val="bottom"/>
            <w:gridSpan w:val="2"/>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1140" w:type="dxa"/>
            <w:vAlign w:val="bottom"/>
          </w:tcPr>
          <w:p>
            <w:pPr>
              <w:spacing w:after="0"/>
              <w:rPr>
                <w:sz w:val="23"/>
                <w:szCs w:val="23"/>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2.47</w:t>
            </w:r>
          </w:p>
        </w:tc>
      </w:tr>
      <w:tr>
        <w:trPr>
          <w:trHeight w:val="270"/>
        </w:trPr>
        <w:tc>
          <w:tcPr>
            <w:tcW w:w="5580" w:type="dxa"/>
            <w:vAlign w:val="bottom"/>
            <w:gridSpan w:val="2"/>
            <w:shd w:val="clear" w:color="auto" w:fill="CCEEFF"/>
          </w:tcPr>
          <w:p>
            <w:pPr>
              <w:ind w:left="50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48.97</w:t>
            </w:r>
          </w:p>
        </w:tc>
      </w:tr>
      <w:tr>
        <w:trPr>
          <w:trHeight w:val="324"/>
        </w:trPr>
        <w:tc>
          <w:tcPr>
            <w:tcW w:w="1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Lease operating expense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4.38</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6.84</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Production and ad valorem taxes</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2.73</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Gathering and transportation expense</w:t>
            </w:r>
          </w:p>
        </w:tc>
        <w:tc>
          <w:tcPr>
            <w:tcW w:w="1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 - cash component</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r>
      <w:tr>
        <w:trPr>
          <w:trHeight w:val="297"/>
        </w:trPr>
        <w:tc>
          <w:tcPr>
            <w:tcW w:w="55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operating expense - cash</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11.18</w:t>
            </w:r>
          </w:p>
        </w:tc>
      </w:tr>
      <w:tr>
        <w:trPr>
          <w:trHeight w:val="311"/>
        </w:trPr>
        <w:tc>
          <w:tcPr>
            <w:tcW w:w="128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0.88</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1.54</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18.02</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3.44</w:t>
            </w: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13.58</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oil price ($/Bbl)</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48.75</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44.68</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NYMEX ($/Bbl)</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50.80</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48.66</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Differential to NYMEX</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realized oil price to NYMEX</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realized natural gas price ($/Mcf)</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2.53</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2.47</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NYMEX ($/Mcf)</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2.99</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Differential to NYMEX</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(0.15)</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natural gas price to NYMEX</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natural gas liquids price ($/Bbl)</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22.20</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12.77</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NYMEX oil price ($/Bbl)</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50.80</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48.66</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natural gas liquids price to NYMEX oil price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128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ind w:left="340" w:right="20" w:hanging="332"/>
        <w:spacing w:after="0" w:line="26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08"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Oil, Natural Gas Liquids and Natural Gas Revenues. </w:t>
      </w:r>
      <w:r>
        <w:rPr>
          <w:rFonts w:ascii="Arial" w:cs="Arial" w:eastAsia="Arial" w:hAnsi="Arial"/>
          <w:sz w:val="16"/>
          <w:szCs w:val="16"/>
          <w:color w:val="auto"/>
        </w:rPr>
        <w:t>Our oil, natural gas liquids and natural gas revenues increased by approximately $659.2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125%, to $1.2 billion for the year ended December 31, 2017 from $527.1 million for the year ended December 31, 2016. Our revenues are a function of oil, natural gas liquids and natural gas production volumes sold and average sales prices received for those volumes. Average daily production sold increased by 36,193 BOE/d to 79,224 BOE/d during the year ended December 31, 2017 from 43,031 BOE/d during the year ended December 31, 2016. The total increase in revenue of approximately $659.2 million is attributable to higher oil, natural gas liquids and natural gas production volumes and higher average sales prices for the year ended December 31, 2017 as compared to the year ended December 31, 2016. The increases in production volumes were due to a combination of increased drilling activity and growth through acquisitions. Our production increased by 9,856 MBbls of oil, 1,656 MBbls of natural gas liquids and 9,931 MMcf of natural gas for the year ended December 31, 2017 as compared to the year ended December 31, 2016.</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$213.7 million (calculated as the change in period-to-period average prices multiplied by current period production volumes of oil, natural gas liquids and natural gas) and the net dollar effect of the increase in production of approximately $445.4 million (calculated as the increase in period-to-period volumes for oil, natural gas liquids and natural gas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Production</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Change in prices</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172,403</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32,446</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20,660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8,884</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213,733</w:t>
            </w:r>
          </w:p>
        </w:tc>
      </w:tr>
      <w:tr>
        <w:trPr>
          <w:trHeight w:val="387"/>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Prior period</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prices</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401,080</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23,521</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20,834</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445,435</w:t>
            </w:r>
          </w:p>
        </w:tc>
      </w:tr>
      <w:tr>
        <w:trPr>
          <w:trHeight w:val="250"/>
        </w:trPr>
        <w:tc>
          <w:tcPr>
            <w:tcW w:w="664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8890</wp:posOffset>
            </wp:positionV>
            <wp:extent cx="1012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-130175</wp:posOffset>
            </wp:positionV>
            <wp:extent cx="1012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Bonus Revenue. </w:t>
      </w:r>
      <w:r>
        <w:rPr>
          <w:rFonts w:ascii="Arial" w:cs="Arial" w:eastAsia="Arial" w:hAnsi="Arial"/>
          <w:sz w:val="18"/>
          <w:szCs w:val="18"/>
          <w:color w:val="auto"/>
        </w:rPr>
        <w:t>Lease bonus revenue was $11.8 million for the year ended December 31, 2017, $2.8 million of which was attributable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bonus payments to extend the term of seven leases, reflecting an average bonus of $3,442 per acre and the remaining $9.1 million was attributable to lease bonus payments on three new leases, reflecting an average bonus of $14,320 per acre. We had no lease bonus revenue for the year ended December 31, 2016.</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$7.1 million for the year ended December 31, 2017. We had no midstream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for the year ended December 31, 2016.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Expenses. </w:t>
      </w:r>
      <w:r>
        <w:rPr>
          <w:rFonts w:ascii="Arial" w:cs="Arial" w:eastAsia="Arial" w:hAnsi="Arial"/>
          <w:sz w:val="18"/>
          <w:szCs w:val="18"/>
          <w:color w:val="auto"/>
        </w:rPr>
        <w:t>Lease operating expenses were $126.5 million ($4.38 per BOE) for the year ended December 31,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$44.1 million from $82.4 million ($5.23 per BOE) for the year ended December 31, 2016. The increase in lease operating expense was due to an increase of 234 producing wells compared to 2016. This increase was offset by higher production volumes which resulted in a decrease in lease operating expense per BOE.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Production and Ad Valorem Taxes. </w:t>
      </w:r>
      <w:r>
        <w:rPr>
          <w:rFonts w:ascii="Arial" w:cs="Arial" w:eastAsia="Arial" w:hAnsi="Arial"/>
          <w:sz w:val="18"/>
          <w:szCs w:val="18"/>
          <w:color w:val="auto"/>
        </w:rPr>
        <w:t>Production and ad valorem taxes increased to $73.5 million for the year ended December 31, 2017 from $34.5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2016. In general, production taxes and ad valorem</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taxes are directly related to commodity price changes; however, Texas ad valorem taxes are based upon prior year commodity prices, whereas production taxes are based upon current year commodity prices. The increase in production and ad valorem taxes during the year ended December 31, 2017 as compared to 2016 was primarily due to an increase in our production taxes as a result of increased commodity prices and volumes.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Midstream services expense was $10.4 million for the year ended December 31, 2017. We had no midstream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for the year ended December 31, 2016. Midstream services expense represents costs incurred to operate and maintain our oil and natural gas gathering and transportation systems, natural gas lift, compression infrastructure and water transportation facilities.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$148.7 million, or 84%, from $178.0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2016 to $326.8 million for the year ended December 31,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0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37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(in thousands, except BOE amounts)</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321,870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176,369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r>
      <w:tr>
        <w:trPr>
          <w:trHeight w:val="29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326,759</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178,015</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expense per BOE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Total depreciation, depletion and amortization expense per BOE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11.30</w:t>
            </w:r>
          </w:p>
        </w:tc>
      </w:tr>
    </w:tbl>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$145.5 million for the year ended December 31, 2017 as compared to the year ended December 31, 2016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Impairment of Oil and Natural Gas Properties. </w:t>
      </w:r>
      <w:r>
        <w:rPr>
          <w:rFonts w:ascii="Arial" w:cs="Arial" w:eastAsia="Arial" w:hAnsi="Arial"/>
          <w:sz w:val="17"/>
          <w:szCs w:val="17"/>
          <w:color w:val="auto"/>
        </w:rPr>
        <w:t>During the year ended December 31, 2016, we recorded an impairment of oil and gas properties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$245.5 million as a result of the significant decline in commodity prices, which resulted in a reduction of the discounted present value of our proved oil and natural gas reserves. We did not record an impairment of oil and natural gas properties during the year ended December 31, 2017.</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$6.1 million from $42.6 million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2016 to $48.7 million for the year ended December 31, 2017. The increase was due to an increase in salaries and benefits expense as a result of an increase in workforce.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year ended December 31, 2017 was $40.6 million as compared to $40.7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a decrease of $0.1 million. This decrease was due primarily to the issuance in October 2016 of new senior notes due 2024 with a lower interest rate than the senior notes which we redeemed in the fourth quarter of 2016 partially offset by the interest on the additional senior notes due in 2025 that we issued in December 2016.</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Gain (Loss) on Derivative Instruments, Net. </w:t>
      </w:r>
      <w:r>
        <w:rPr>
          <w:rFonts w:ascii="Arial" w:cs="Arial" w:eastAsia="Arial" w:hAnsi="Arial"/>
          <w:sz w:val="17"/>
          <w:szCs w:val="17"/>
          <w:color w:val="auto"/>
        </w:rPr>
        <w:t>We are required to recognize all derivative instruments on the balance sheet as either assets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years ended December 31, 2017 and 2016, we had a cash gain on settlement of derivative instruments of $6.7 million and $1.2 million, respectively. For the year ended December 31, 2017 and 2016, we had a negative change in the fair value of open derivative instruments of $84.2 million and $26.5 million, respectively.</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Provision for (Benefit from) Income Taxes. </w:t>
      </w:r>
      <w:r>
        <w:rPr>
          <w:rFonts w:ascii="Arial" w:cs="Arial" w:eastAsia="Arial" w:hAnsi="Arial"/>
          <w:sz w:val="16"/>
          <w:szCs w:val="16"/>
          <w:color w:val="auto"/>
        </w:rPr>
        <w:t>We recorded an income tax benefit of $19.6 million for the year ended December 31,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an income tax provision of $0.2 million for the year ended December 31, 2016. Our effective tax rate was (3.9)% for the year ended December 31, 2017 as compared to (0.1)% for the year ended December 31, 2016. The change in our income tax provision for the year ended December 31, 2017 as compared to the year ended December 31, 2016 is primarily due to the reduction in our valuation allowance against deferred tax assets, as well as the favorable impact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reduction in the federal statutory tax rate enacted in December 2017. While we generated positive pre-tax income from continuing operations in 2017, our 2017 effective tax rate was negative due to the income tax benefit generated by these items.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Oil, Natural Gas Liquids and Natural Gas Revenues. </w:t>
      </w:r>
      <w:r>
        <w:rPr>
          <w:rFonts w:ascii="Arial" w:cs="Arial" w:eastAsia="Arial" w:hAnsi="Arial"/>
          <w:sz w:val="18"/>
          <w:szCs w:val="18"/>
          <w:color w:val="auto"/>
        </w:rPr>
        <w:t>Our oil, natural gas liquids and natural gas revenues increased by approximately $80.4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18%, to $527.1 million for the year ended December 31, 2016 from $446.7 million for the year ended December 31, 2015. Our revenues are a function of oil, natural gas liquids and natural gas production volumes sold and average sales prices received for those volumes. Average daily production sold increased by 9,933 BOE/d to 43,031 BOE/d during the year ended December 31, 2016 from 33,098 BOE/d during the year ended December 31, 2015. The total increase in revenue of approximately $80.4 million is largely attributable to higher oil, natural gas liquids and natural gas production volumes partially offset by lower average sales prices for the year ended December 31, 2016 as compared to the year ended December 31, 2015. The increases in production volumes were due to a combination of increased drilling activity and growth through acquisitions. Our production increased by 2,481 MBbls of oil, 722 MBbls of natural gas liquids and 2,797 MMcf of natural gas for the year ended December 31, 2016 as compared to the year ended December 31, 2015.</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decreases in prices of approximately $46.6 million (calculated as the change in period-to-period average prices multiplied by current period production volumes of oil, natural gas liquids and natural gas) and the net dollar effect of the increase in production of approximately $126.9 million (calculated as the increase in period-to-period volumes for oil, natural gas liquids and natural gas multiplied by the period average prices) are shown below.</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Production</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Change in prices</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(46,031)</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(46,570)</w:t>
            </w:r>
          </w:p>
        </w:tc>
      </w:tr>
      <w:tr>
        <w:trPr>
          <w:trHeight w:val="387"/>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Prior period</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prices</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110,815</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9,219</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6,910</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126,944</w:t>
            </w:r>
          </w:p>
        </w:tc>
      </w:tr>
      <w:tr>
        <w:trPr>
          <w:trHeight w:val="250"/>
        </w:trPr>
        <w:tc>
          <w:tcPr>
            <w:tcW w:w="664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8890</wp:posOffset>
            </wp:positionV>
            <wp:extent cx="1012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-130175</wp:posOffset>
            </wp:positionV>
            <wp:extent cx="1012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Expenses. </w:t>
      </w:r>
      <w:r>
        <w:rPr>
          <w:rFonts w:ascii="Arial" w:cs="Arial" w:eastAsia="Arial" w:hAnsi="Arial"/>
          <w:sz w:val="18"/>
          <w:szCs w:val="18"/>
          <w:color w:val="auto"/>
        </w:rPr>
        <w:t>Lease operating expenses were $82.4 million ($5.23 per BOE) for the year ended December 31, 2016, a decrease of $0.2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from $82.6 million ($6.84 per BOE) for the year ended December 31, 2015. The decrease is a result of efficiencies we achieved in our field operations. Upon becoming the operator of wells acquired in our acquisitions, we seek to achieve the efficiencies in those wells that we have established with our existing portfolio of wells.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Production and Ad Valorem Taxes. </w:t>
      </w:r>
      <w:r>
        <w:rPr>
          <w:rFonts w:ascii="Arial" w:cs="Arial" w:eastAsia="Arial" w:hAnsi="Arial"/>
          <w:sz w:val="18"/>
          <w:szCs w:val="18"/>
          <w:color w:val="auto"/>
        </w:rPr>
        <w:t>Production and ad valorem taxes increased to $34.5 million for the year ended December 31, 2016 from $33.0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2015. In general, production taxes and ad valorem taxes are directly related to commodity price changes; however, Texas ad valorem taxes are based upon prior year commodity prices, whereas production taxes are based upon current year commodity prices. The increase in production and ad valorem taxes during the year ended December 31, 2016 as compared to 2015 was primarily due to an increase in our production taxes as a result of increased production partially offset by lower ad valorem taxes.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decreased $39.7 million, or 18%, from $217.7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2015 to $178.0 million for the year ended December 31,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0"/>
        </w:trPr>
        <w:tc>
          <w:tcPr>
            <w:tcW w:w="9600" w:type="dxa"/>
            <w:vAlign w:val="bottom"/>
            <w:gridSpan w:val="5"/>
          </w:tcPr>
          <w:p>
            <w:pPr>
              <w:ind w:left="660"/>
              <w:spacing w:after="0"/>
              <w:rPr>
                <w:sz w:val="20"/>
                <w:szCs w:val="20"/>
                <w:color w:val="auto"/>
              </w:rPr>
            </w:pPr>
            <w:r>
              <w:rPr>
                <w:rFonts w:ascii="Arial" w:cs="Arial" w:eastAsia="Arial" w:hAnsi="Arial"/>
                <w:sz w:val="18"/>
                <w:szCs w:val="18"/>
                <w:color w:val="auto"/>
                <w:w w:val="90"/>
              </w:rPr>
              <w:t>The following table provides components of our depreciation, depletion and amortization expense for the periods presented:</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4"/>
              </w:rPr>
              <w:t>(in thousands, except BOE amounts)</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216,056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Depreciation of midstream assets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r>
      <w:tr>
        <w:trPr>
          <w:trHeight w:val="297"/>
        </w:trPr>
        <w:tc>
          <w:tcPr>
            <w:tcW w:w="7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178,015</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217,697</w:t>
            </w:r>
          </w:p>
        </w:tc>
      </w:tr>
      <w:tr>
        <w:trPr>
          <w:trHeight w:val="23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expense per BOE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depreciation, depletion and amortization expense per BOE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18.02</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decreases in depletion of proved oil and natural gas properties of $39.7 million for the year ended December 31, 2016 as compared to the year ended December 31, 2015 resulted primarily from the impairment of oil and gas properties recorded in 2016.</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During the years ended December 31, 2016 and 2015, we recorded impairments of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of $245.5 million and $814.8 million, respectively, as a result of the significant decline in commodity prices, which resulted in a reduction of the discounted present value of our proved oil and natural gas reserves.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$10.7 million from $32.0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to $42.6 million for the year ended December 31, 2016. The increase was due to increases in salaries and benefits expense as a result of an increase in workforce and equity-based compensation.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year ended December 31, 2016 was $40.7 million as compared to $41.5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a decrease of $0.8 million. This decrease was due primarily to the lower average level of outstanding borrowings under our credit facility during 2016.</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Gain (Loss) on Derivative Instruments, Net. </w:t>
      </w:r>
      <w:r>
        <w:rPr>
          <w:rFonts w:ascii="Arial" w:cs="Arial" w:eastAsia="Arial" w:hAnsi="Arial"/>
          <w:sz w:val="17"/>
          <w:szCs w:val="17"/>
          <w:color w:val="auto"/>
        </w:rPr>
        <w:t>We are required to recognize all derivative instruments on the balance sheet as either assets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years ended December 31, 2016 and 2015, we had a cash gain on settlement of derivative instruments of $1.2 million and $144.9 million, respectively. For the year ended December 31, 2016 and 2015, we had a negative change in the fair value of open derivative instruments of $26.5 million and $112.9 million, respectively.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We recorded an income tax expense of $0.2 million for the year ended December 31, 2016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income tax benefit of $201.3 million for the year ended December 31, 2015. Our effective tax rate was (0.1%) for the year ended December 31, 2016 as compared to 26.9% for the year ended December 31,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08"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primary sources of liquidity have been proceeds from our public equity offerings, borrowings under our revolving credit facility, proceeds from the issuance of the senior notes and cash flows from operations. Our primary use of capital has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years ended December 31, 2017, 2016 and 2015 are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(3,132,282)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(1,310,242)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(895,050)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689,529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2,624,621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468,481</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change in cash</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1,646,459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(10,068)</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$888.6 million for the year ended December 31, 2017 as compared to $332.1 million for the year ended December 31, 2016. The increase in operating cash flows is primarily the result of an increase in our oil and natural gas revenues due to an increase in average prices and production growth during the year ended December 31, 2017.</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Net cash provided by operating activities was $332.1 million for the year ended December 31, 2016 as compared to $416.5 million for the year ended December 31, 2015. The decrease in operating cash flows is primarily the result of a higher gain on settlement of derivative instruments during the year ended December 31, 2015 as compared to the year ended December 31, 2016.</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and Item 1A. “Risk Factors”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We used cash for investing activities of $3.1 billion, $1.3 billion and $895.1 million during the years ended December 31, 2017, 2016 and 2015, respectively.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2017, we spent (a) $860.7 million on capital expenditures in conjunction with our drilling program, in which we drilled 150 gross (130 net) horizontal wells and participated in the drilling of 16 gross (two net) non-operated wells, (b) $68.1 million on additions to midstream assets, (c) $407.5 million for the acquisition of mineral interests, (d) $1,960.6 million on leasehold acquisitions, (e) $50.3 million for the acquisition of midstream assets and (f) $22.8 million for the purchase of other property and equipment.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year ended December 31, 2016, we spent (a) $364.3 million on capital expenditures in conjunction with our drilling program, in which we drilled 73 gross (61 net) horizontal wells and two gross (one net) vertical wells and participated in the drilling of 19 gross (five net) non-operated wells,</w:t>
      </w:r>
    </w:p>
    <w:p>
      <w:pPr>
        <w:jc w:val="both"/>
        <w:ind w:firstLine="8"/>
        <w:spacing w:after="0" w:line="255" w:lineRule="auto"/>
        <w:tabs>
          <w:tab w:leader="none" w:pos="2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$611.3 million on leasehold acquisitions, (c) $205.7 million on royalty interest acquisitions, (d) $9.9 million for the purchase of other property and equipment and (e) $121.4 million was placed in escrow as a deposit under the purchase agreement for oil and natural gas assets located in Pecos and Reeves counties in Texas.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year ended December 31, 2015, we spent (a) $419.5 million on capital expenditures in conjunction with our drilling program, in which we drilled 64 gross (54 net) horizontal wells and four gross (three net) vertical wells and participated in the drilling of 15 gross (six net) non-operated wells,</w:t>
      </w:r>
    </w:p>
    <w:p>
      <w:pPr>
        <w:ind w:firstLine="8"/>
        <w:spacing w:after="0" w:line="261" w:lineRule="auto"/>
        <w:tabs>
          <w:tab w:leader="none" w:pos="2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$437.5 million on leasehold acquisitions, (c) $43.9 million on royalty interest acquisitions and (d) $1.2 million for the purchase of other property and equipment.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for the years ended December 31, 2017, 2016 and 2015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to midstream assets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leasehold interests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(437,455)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Acquisition of mineral interests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(205,721)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(43,907)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midstream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 of other property and equipment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104,087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(121,391)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(3,200,421)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(1,310,242)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(895,050)</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for the years ended December 31, 2017, 2016 and 2015 was $689.5 million, $2.6 billion and $468.5 million,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the amount provided by financing activities was primarily attributable to proceeds from Viper’s January and July 2017 equity offerings of $370.3 million as well as borrowings net of repayments of $370.0 million partially offset by distributions to non-controlling interests of $41.4 million.</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2016, the amount provided by financing activities was primarily attributable to the aggregate proceeds of $2.1 billion from our January, July and December 2016 equity offerings partially offset by repayments of net borrowings of $75.0 million under our credit facility.</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2015, the amount provided by financing activities was primarily attributable to the aggregate proceeds of $650.7 million from our January, May and August 2015 equity offerings of $650.7 million partially offset by repayments of net borrowings of $184.5 million under our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October 28, 2016, we issued $500.0 million in aggregate principal amount of 4.750% senior notes due 2024, which we refer to as the 2024 senior notes. 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LLC, and will not be guaranteed by any of the our future unrestricted subsidiaries.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2024 senior notes were issued under, and are governed by, an indenture among us, the subsidiary guarantors party thereto and Wells Fargo, as the trustee, as supplemented. The 2024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may on any one or more occasions redeem some or all of the 2024 senior notes at any time on or after November 1, 2019 at the redemption prices (expressed as percentages of principal amount) of 103.563% for the 12-month period beginning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we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we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20, 2016, we issued $500.0 million in aggregate principal amount of 5.375% senior notes due 2025, which we refer to as the exiting 2025 notes, under an indenture (which, as may be amended or supplemented from time to time, is referred to as the 2025 Indenture) among us, the subsidiary guarantors party thereto and Wells Fargo, as the trustee. On July 27, 2017, we exchanged all of the existing 2025 notes for substantially identical notes in the same aggregate principal amount that were registered under the Securities Act.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29, 2018, we issued $300.0 million aggregate principal amount of new 5.375% senior notes due 2025, which we refer to as the new 2025 notes, as additional notes under the 2025 Indenture. The new 2025 notes were issued in a transaction exempt from the registration requirements under the Securities Act. We refer to the new 2025 notes, together with the existing 2025 notes, as the 2025 senior notes.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19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LLC, and will not be guaranteed by any of our future unrestricted subsidiaries.</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2025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we may on any one or more occasions redeem all or a portion of the 2025 senior notes at a price equal to 100% of the principal amount of the 2025 senior notes plus a “make-whole” premium and accrued and unpaid interest to the redemption date. In addition, any time prior to May 31, 2020, we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a registration rights agreement executed in connection with the issuance of the new 2025 notes, we and our subsidiary guarantors agreed to file, subject to certain conditions, a registration statement relating to the new 2025 notes with the SEC pursuant to which we will either offer to exchange the new 2025 notes for registered notes with substantially identical terms or, in certain circumstances, register the resale of the new 2025 notes. Additional interest on the new 2025 notes may become payable if we do not comply with our obligations under the registration rights agreement relating to the new 2025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credit agreement dated November 1, 2013, as amended and restated, with a syndicate of banks, including Wells Fargo, as administrative agent, and its affiliate Wells Fargo Securities, LLC, as sole book runner and lead arranger, provides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revolving credit facility in the maximum credit amount of $5.0 billion, subject to a borrowing base based on our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we may request up to two additional redeterminations of the borrowing base during any 12-month period. As of December 31, 2017, the borrowing base was set at $1.8 billion, we had elected a commitment amount of $1.0 billion and we had borrowings of $397.0 million outstanding under the revolving credit facility. Of this amount, we repaid $308.5 million with the net proceeds from our issuance of the new 2025 notes on January 29, 2018. Immediately following the completion of the new 2025 notes offering and the application of our net proceeds thereof, our borrowing base remained $1.8 billion (as the lenders waived the borrowing base decrease under our revolving credit facility in connection with the issuance of the new 2025 notes), our elected commitment was $1.0 billion, and we had $911.4 million of available borrowing capacity under our revolving credit facility.</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our credit agreement. As of December 31, 2017, the credit agreement is guaranteed by us, Diamondback E&amp;P LLC and Rattler Midstream LLC (formerly known as White Fang Energy LLC) and will also be guaranteed by any of our future subsidiaries that are classified as restricted subsidiaries under the credit agreement. The credit agreement is also secured by substantially all of our assets and the assets of Diamondback O&amp;G LLC and the guarantors.</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us that is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each of which applicable margin rates is increased by 0.25% per annum if the total debt to EBITDAX ratio is greater than 3.0 to 1.0. The applicable margin depends on the amount of loans and letters of credit outstanding in relation to the commitment, which is defined as the least of the maximum credit amount, the borrowing base and the elected commitment amount. We are obligated to pay a quarterly commitment fee ranging from 0.375% to 0.500% per year on the unused portion of the borrowing base, which fee is also dependent on the amount of loans and letters of credit outstanding in relation to the commitment. Loan principal may be optionally repaid from time to time without premium or penalty (other than customary LIBOR breakage), and is required to be repaid</w:t>
      </w:r>
    </w:p>
    <w:p>
      <w:pPr>
        <w:spacing w:after="0" w:line="1" w:lineRule="exact"/>
        <w:rPr>
          <w:sz w:val="20"/>
          <w:szCs w:val="20"/>
          <w:color w:val="auto"/>
        </w:rPr>
      </w:pPr>
    </w:p>
    <w:p>
      <w:pPr>
        <w:jc w:val="both"/>
        <w:ind w:firstLine="8"/>
        <w:spacing w:after="0" w:line="255" w:lineRule="auto"/>
        <w:tabs>
          <w:tab w:leader="none" w:pos="2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8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28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Not greater than 3.0 to 1.0</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80" w:type="dxa"/>
            <w:vAlign w:val="bottom"/>
          </w:tcPr>
          <w:p>
            <w:pPr>
              <w:jc w:val="center"/>
              <w:ind w:left="169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2017,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8, 2014, Viper entered into a secured revolving credit agreement with Wells Fargo, as administrative agent, and Wells Fargo Securities, as sole book runner and lead arranger. The credit agreement, as amended, provides for a revolving credit facility in the maximum credit amount of $2.0 billion and a borrowing base based on our oil and natural gas reserves and other factors (the “borrowing base”) of $400.0 million, subject to scheduled semi-annual and other elective borrowing base redeterminations. The borrowing base is scheduled to be re-determined semi-annually with effective dates of May 1st and November 1st. In addition, Viper may request up to three additional redeterminations of the borrowing base during any 12-month period. As of December 31, 2017, the borrowing base was set at $400.0 million, and Viper had $93.5 million of outstanding borrowings and $306.5 million available for future borrowings under its revolving credit facility.</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Viper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w:t>
      </w:r>
    </w:p>
    <w:p>
      <w:pPr>
        <w:spacing w:after="0" w:line="3" w:lineRule="exact"/>
        <w:rPr>
          <w:sz w:val="20"/>
          <w:szCs w:val="20"/>
          <w:color w:val="auto"/>
        </w:rPr>
      </w:pPr>
    </w:p>
    <w:p>
      <w:pPr>
        <w:jc w:val="both"/>
        <w:ind w:firstLine="8"/>
        <w:spacing w:after="0" w:line="254" w:lineRule="auto"/>
        <w:tabs>
          <w:tab w:leader="none" w:pos="2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Viper and its subsidiary’s assets.</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8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28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80" w:type="dxa"/>
            <w:vAlign w:val="bottom"/>
          </w:tcPr>
          <w:p>
            <w:pPr>
              <w:jc w:val="center"/>
              <w:ind w:left="169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Viper’s revolving credit facility upon the occurrence and during the continuance of any event of default. Viper’s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approved a 2018 capital budget for drilling and infrastructure of $1.3 billion to $1.5 billion, representing an increase of 60% over our 2017 capital budget. We estimate that, of these expenditures, approximately:</w:t>
      </w:r>
    </w:p>
    <w:p>
      <w:pPr>
        <w:spacing w:after="0" w:line="170"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$1.175 billion to $1.325 billion will be spent on drilling and completing 170 to 190 gross (146 to 163 net) horizontal wells across our operated leasehold acreage in the Northern Midland and Southern Delaware Basins;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$125.0 million to $175.0 million will be spent on infrastructure and other expenditures, excluding the cost of any leasehold and mineral interest acquisitions.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 ended December 31, 2017, our aggregate capital expenditures for drilling and infrastructure were $860.7 million. We do not have a specific acquisition budget since the timing and size of acquisitions cannot be accurately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forecasted. During the year ended December 31, 2017, we spent approximately $2.0 billion on acquisitions of leasehold interests, primarily related to the Brigham Resources acquisition which closed on February 28, 2017.</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amount and timing of these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With recent improvement in oil prices, we are currently operating ten horizontal rigs and four completion crews. We will continue monitoring commodity prices and overall market conditions and can adjust our rig cadence up or down in response to changes in commodity prices and overall market conditions.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current oil and natural gas price and production expectations for 2018, we believe that our cash flow from operations and borrowings under our revolving credit facility will be sufficient to fund our operations through year-end 2018. However, future cash flows are subject to a number of variables, including the level of oil and natural gas production and prices, and significant additional capital expenditures will be required to more fully develop our properties. Further, our 2018 capital expenditure budget does not allocate any funds for leasehold and mineral interest acquisitions.</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Further, if the decline in commodity prices continue, our revenues, cash flows, results of operations, liquidity and reserves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2019-2020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2021-2022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Thereafter</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Secured revolving credit facility</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397,000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 related to the secured revolving credit facility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19,927</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1,000,000</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Interest expense related to the senior notes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50,625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101,250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108,475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361,600</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Viper's secured revolving credit facility</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93,500</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w w:val="98"/>
              </w:rPr>
              <w:t>Interest and commitment fees under Viper's credit agreement</w:t>
            </w:r>
            <w:r>
              <w:rPr>
                <w:rFonts w:ascii="Arial" w:cs="Arial" w:eastAsia="Arial" w:hAnsi="Arial"/>
                <w:sz w:val="25"/>
                <w:szCs w:val="25"/>
                <w:color w:val="auto"/>
                <w:w w:val="98"/>
                <w:vertAlign w:val="superscript"/>
              </w:rPr>
              <w:t>(3)</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5,555</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(4)</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21,285</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Drilling commitments</w:t>
            </w:r>
            <w:r>
              <w:rPr>
                <w:rFonts w:ascii="Arial" w:cs="Arial" w:eastAsia="Arial" w:hAnsi="Arial"/>
                <w:sz w:val="25"/>
                <w:szCs w:val="25"/>
                <w:color w:val="auto"/>
                <w:vertAlign w:val="superscript"/>
              </w:rPr>
              <w:t>(5)</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31,964</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 supply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5"/>
                <w:szCs w:val="25"/>
                <w:color w:val="auto"/>
                <w:vertAlign w:val="superscript"/>
              </w:rPr>
              <w:t>(6)</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22,436</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Fasken Center office building</w:t>
            </w:r>
            <w:r>
              <w:rPr>
                <w:rFonts w:ascii="Arial" w:cs="Arial" w:eastAsia="Arial" w:hAnsi="Arial"/>
                <w:sz w:val="25"/>
                <w:szCs w:val="25"/>
                <w:color w:val="auto"/>
                <w:vertAlign w:val="superscript"/>
              </w:rPr>
              <w:t>7)</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99,000</w:t>
            </w:r>
          </w:p>
        </w:tc>
      </w:tr>
      <w:tr>
        <w:trPr>
          <w:trHeight w:val="237"/>
        </w:trPr>
        <w:tc>
          <w:tcPr>
            <w:tcW w:w="50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179,661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148,387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623,649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1,145,570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2,097,267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4056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ind w:left="420" w:hanging="331"/>
        <w:spacing w:after="0" w:line="274"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the outstanding principal amount under the revolving credit facilities, the table does not include interest expense or other fees payable under this floating rate facility as we cannot predict the timing of future borrowings and repayments or interest rates to be charged.</w:t>
      </w:r>
    </w:p>
    <w:p>
      <w:pPr>
        <w:ind w:left="420" w:hanging="331"/>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represents the scheduled cash payments on the senior notes.</w:t>
      </w:r>
    </w:p>
    <w:p>
      <w:pPr>
        <w:spacing w:after="0" w:line="9" w:lineRule="exact"/>
        <w:rPr>
          <w:rFonts w:ascii="Arial" w:cs="Arial" w:eastAsia="Arial" w:hAnsi="Arial"/>
          <w:sz w:val="18"/>
          <w:szCs w:val="18"/>
          <w:color w:val="auto"/>
        </w:rPr>
      </w:pPr>
    </w:p>
    <w:p>
      <w:pPr>
        <w:ind w:left="420" w:right="20" w:hanging="331"/>
        <w:spacing w:after="0" w:line="250"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only the minimum amount of interest and commitment fees due which, as of December 31, 2017, includes a commitment fee equal to 0.375% per year of the unused portion of the borrowing base of Viper’s credit agreement.</w:t>
      </w:r>
    </w:p>
    <w:p>
      <w:pPr>
        <w:ind w:left="420" w:hanging="331"/>
        <w:spacing w:after="0" w:line="261"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represent our estimates of future asset retirement obligations. Because these costs typically extend many years into the future, estimating these future costs requires management to make estimates and judgments that are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-979805</wp:posOffset>
            </wp:positionV>
            <wp:extent cx="4056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420"/>
        <w:spacing w:after="0" w:line="282" w:lineRule="auto"/>
        <w:rPr>
          <w:sz w:val="20"/>
          <w:szCs w:val="20"/>
          <w:color w:val="auto"/>
        </w:rPr>
      </w:pPr>
      <w:r>
        <w:rPr>
          <w:rFonts w:ascii="Arial" w:cs="Arial" w:eastAsia="Arial" w:hAnsi="Arial"/>
          <w:sz w:val="18"/>
          <w:szCs w:val="18"/>
          <w:color w:val="auto"/>
        </w:rPr>
        <w:t>future revisions based upon numerous factors, including the rate of inflation, changing technology and the political and regulatory environment. See Note 6 of the notes to our consolidated financial statements set forth in Part IV, Item 15 of this Form 10-K.</w:t>
      </w:r>
    </w:p>
    <w:p>
      <w:pPr>
        <w:spacing w:after="0" w:line="1" w:lineRule="exact"/>
        <w:rPr>
          <w:sz w:val="20"/>
          <w:szCs w:val="20"/>
          <w:color w:val="auto"/>
        </w:rPr>
      </w:pPr>
    </w:p>
    <w:p>
      <w:pPr>
        <w:ind w:left="420" w:right="20" w:hanging="331"/>
        <w:spacing w:after="0" w:line="258"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Drilling commitments represent future minimum expenditure commitments for drilling rig services under contracts to which the Company was a party on December 31, 2017.</w:t>
      </w:r>
    </w:p>
    <w:p>
      <w:pPr>
        <w:ind w:left="420" w:hanging="331"/>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lease obligations represent future commitments for building and vehicle leases.</w:t>
      </w:r>
    </w:p>
    <w:p>
      <w:pPr>
        <w:spacing w:after="0" w:line="9" w:lineRule="exact"/>
        <w:rPr>
          <w:rFonts w:ascii="Arial" w:cs="Arial" w:eastAsia="Arial" w:hAnsi="Arial"/>
          <w:sz w:val="18"/>
          <w:szCs w:val="18"/>
          <w:color w:val="auto"/>
        </w:rPr>
      </w:pPr>
    </w:p>
    <w:p>
      <w:pPr>
        <w:ind w:left="420" w:hanging="331"/>
        <w:spacing w:after="0" w:line="261"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Fasken Center office buildings represents the amount we paid on January 31, 2018 at the closing of this transaction. The Fasken building contains our corporate offices.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accounting principles generally accepted in the United States. Below, we have provided expanded discussion of our more significant accounting policies, estimates and judgments. We believe these accounting policies reflect our more significant estimates and assumptions used in preparation of our financial statements. See Note 2 of the Notes to the Consolidated Financial Statements set forth in Part IV, Item 15 of this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Actual results could differ from those estimates.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evaluate these estimates on an ongoing basis, using historical experience, consultation with experts and other methods we consider reasonable in the particular circumstances. Nevertheless, actual results may differ significantly from our estimates. Any effects on our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accounting for oil and natural gas properties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Costs associated with unevaluated properties are excluded from the full cost pool until we have made a determination as to the existence of proved reserves. We assess all items classified as unevaluated property on an annual basis for possible impairment. We assess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 quantities and standardized measure of future net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independent engineers and technical staff prepare our estimates of oil and natural gas reserves and associated future net revenues. The SEC has defined proved reserves as the estimated quantities of oil and gas which geological and engineering data demonstrate with reasonable certainty to be recoverable in future years from known reservoirs under existing economic and operating conditions. The process of estimating oil and natural gas reserves is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amortization of capitalized costs and result in impairment of assets that may be material.</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Oil and natural gas revenues are recorded when title passes to the purchaser, net of royalty interests, discounts and allowances, as applicable. We account for oil and natural gas production imbalances using the sales method, whereby a liability is recorded when our volumes exceed our estimated remaining recoverable reserves. No receivables are recorded for those wells where we have taken less than our ownership share of production. We did not have any gas imbalances as of December 31, 2017, 2016 and 2015. Revenues from oil and natural gas services are recognized as services are provided.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use the full cost method of accounting for our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not directly associated with exploration and development activities were charged to expense as they were incurred. Costs associated with unevaluated properties are excluded from the full cost pool until we have made a determination as to the existence of proved reserves. The inclusion of our unevaluated costs into the amortization base is expected to be completed within three to five years.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this method of accounting, we are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measure the future cost to retire our tangible long-lived assets and recognize such cost as a liability for legal obligations associated with the retirement of long-lived assets that result from the acquisition, construction or normal operation of a long-lived asset.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depreciated over the useful life of the related asset. If the liability is settled for an amount other than the recorded amount, the difference is recorded in oil and natural gas properties.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asset retirement obligations primarily relate to the future plugging and abandonment of wells and related facilities. Estimating the future restoration and removal costs is difficult and requires management to make estimates and judgments because most of the removal obligations are many years in the future and asset removal technologies and costs are constantly changing, as are regulatory, political, environmental, safety and public relations considerations. We estimate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have used energy derivatives for the purpose of mitigating the risk resulting from fluctuations in the market price of crude oil and natural gas. We recognize all of our derivative instruments as either assets or liabilities at fair value. The accounting for changes in the fair value (i.e., gains or losses) of a derivative instrument depends on whether it has been designated and qualifies as part of a hedging relationship and further on the type of hedging relationship. None of our derivatives were designated as hedging instruments during the years ended December 31, 2017, 2016 and 2015. For derivative instruments not designated as hedging instruments, changes in the fair value of these instruments are recognized in earnings during the period of change.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grant various types of equity-based awards including stock options and restricted stock units. These plans and related accounting policies are defined and described more fully in Note 10–Equity-Based Compensation. Stock compensation awards are measured at fair value on the date of grant and are expensed, net of estimated forfeitures, over the required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Pronouncements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May 2014, the Financial Accounting Standards Board issued Accounting Standards Update 2014-09, “Revenue from Contracts with Customers”. This update supersedes most of the existing revenue recognition requirements in GAAP and requires (i) an entity to recognize revenue when it transfers promised goods or services to customers in an amount that reflects the consideration to which the entity expects to be entitled to in exchange for those goods or services and (ii) requires expanded disclosures regarding the nature, amount, timing and certainty of revenue and cash flows from contracts with customers.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adopt this Accounting Standards Update effective January 1, 2018 using the modified retrospective approach. We have reviewed various contracts that represent our material revenue streams and determined that there will be no impact to our financial position, results of operations or liquidity. Upon adoption of this Accounting Standards Update, we will not be required to record a cumulative effect adjustment due to the new Accounting Standards Update not having a quantitative impact compared to existing GAAP. Also, upon adoption of this Accounting Standards Update, we will not be required to alter our existing information technology and internal controls outside of ongoing contract review processes in order to identify impacts of future revenue contracts entered into by us. We do not anticipate the disclosure requirements under the Accounting Standards Update to have a material change on how we present information regarding our revenue streams as compared to existing GAAP.</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January 2016, the Financial Accounting Standards Board issued Accounting Standards Update 2016-01, “Financial Instruments–Overall”. This update applies to any entity that holds financial assets or owes financial liabilities. This update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requires equity investments (except for those accounted for under the equity method or those that result in consolidation of the investee) to be measured at fair value with changes in fair value recognized in net income. Viper will adopt this standard effective January 1, 2018 by means of a cumulative-effect adjustment which will decrease Viper’s Unitholders’ Equity and will bring the fair value of its investment to $15.2 million or $15.20 per unit for that investment.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2016, the Financial Accounting Standards Board issued Accounting Standards Update 2016-15, “Statement of Cash Flows - Classification of Certain Cash Receipts and Cash Payments”. This update apples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We will adopt this update effective January 1, 2018 using the retrospective transition method. Adoption of this standard will change the presentation of our cash flows and will not have a material impact on our consolidated financial statements.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November 2016, the Financial Accounting Standards Board issued Accounting Standards Update 2016-18, “Statement of Cash Flows - Restricted Cash”. This update affects entities that have restricted cash or restricted cash equivalents. We adopted this update retrospectively effective January 1, 2018. Adoption of this standard will change the presentation of our cash flows and will not have a material impact on our consolidated financial statements.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the Financial Accounting Standards Board issued Accounting Standards Update 2017-01, “Business Combinations - Clarifying the Definition of a Business”. This update apples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We will adopt this update prospectively effective January 1, 2018. The adoption of this update will not have an impact on our financial position, results of operations or liquidity.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We believe the primary impact of adopting this standard will be the recognition of assets and liabilities on our balance sheet for current operating leases. We are still evaluating the impact of this standard.</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We do not believe the adoption of this standard will have a material impact on our consolidated financial statements since we do not have a history of credit losses.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Inflation in the United States has been relatively low in recent years and did not have a material impact on results of operations for the years ended December 31, 2017, 2016 and 2015. Although the impact of inflation has been insignificant in recent years, it is still a factor in the United States economy and we tend to experience inflationary pressure on the cost of oilfield services and equipment as increasing oil and gas prices increase drilling activity in our areas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had no off-balance sheet arrangements as of December 31, 2017. Please read Note 15 included in Notes to the Consolidated Financial Statements set forth in Part IV, Item 15 of this Form 10-K,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use price swap derivatives, including basis swaps and costless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WTI and Crude Oil Brent and with natural gas derivative settlements based on NYMEX Henry Hub.</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December 31, 2017 and 2016, we had a net liability derivative position of $106.7 million and $22.6 million, respectively, related to our price swap and price basis swap derivatives. Utilizing actual derivative contractual volumes under our fixed price swaps and fixed price basis swaps as of December 31, 2017, a 10% increase in forward curves associated with the underlying commodity would have increased the net liability position to $180.2 million, an increase of $74.1 million, while a 10% decrease in forward curves associated with the underlying commodity would have decreased the net liability derivative position to $32.1 million, a decrease of $74.1 million. However, any cash derivative gain or loss would be substantially offset by a decrease or increase, respectively, in the actual sales value of production covered by the derivative instrument.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$73.0 million at December 31, 2017) and receivables from the sale of our oil and natural gas production (approximately $158.6 million at December 31, 2017).</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year ended December 31, 2017, three purchasers each accounted for more than 10% of our revenue: Shell Trading (US) Company (31%); Koch Supply &amp; Trading LP (19%); and Enterprise Crude Oil LLC (11%). For the year ended December 31, 2016, three purchasers each accounted for more than 10% of our revenue: Shell Trading (US) Company (45%); Koch Supply &amp; Trading LP (15%); and Enterprise Crude Oil LLC (13%). For the year ended December 31, 2015, two purchasers each accounted for more than 10% of our revenue: Shell Trading (US) Company (59%); and Enterprise Crude Oil LLC (15%). No other customer accounted for more than 10% of our revenue during these periods.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December 31, 2017, we had three customers that represented approximately 74% of our total joint operations receivables. At December 31, 2016, we had three customer that represented approximately 75% of our total joint operations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alternative base rate and from 1.25% to 2.25% in the case of LIBOR, in each case depending on the amount of the loan outstanding in relation to the borrowing base.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we had $397.0 million borrowings outstanding under our revolving credit facility. Our weighted average interest rate on borrowings under our revolving credit facility was 2.97% on December 31, 2017. An increase or decrease of 1% in the interest rate would have a corresponding decrease or increase in our interest expense of approximately $4.0 million based on the $397.0 million outstanding in the aggregate under our revolving credit facility as of such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2017,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year ended December 31, 2017 that have materially affected, or are reasonably likely to materially affect, internal controls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2017.</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2017. The report, which expresses an unqualified opinion on the effectiveness of the Company’s internal control over financial reporting at December 31, 2017, is included in this Item under the heading “Report of Independent Registered Public Accounting Firm.”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Diamondback Energy, Inc. (a Delaware corporation) and subsidiaries (the “Company”) as of December 31, 2017,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2017, based on the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2017, and our report dated February 14,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80" w:name="page81"/>
    <w:bookmarkEnd w:id="80"/>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10 will be set forth in our definitive proxy statement, which is to be filed pursuant to Regulation 14A with the SEC within 120 days after the close of the year ended December 31, 2017.</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“Corporate Governance” section at http://ir.diamondbackenergy.com.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Information as to Item 11 will be set forth in our definitive proxy statement, which is to be filed pursuant to Regulation 14A with the SEC within 120 days after the close of the year ended December 31, 2017.</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12 will be set forth in our definitive proxy statement, which is to be filed pursuant to Regulation 14A with the SEC within 120 days after the close of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13 will be set forth in our definitive proxy statement, which is to be filed pursuant to Regulation 14A with the SEC within 120 days after the close of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14 will be set forth in our definitive proxy statement, which is to be filed pursuant to Regulation 14A with the SEC within 120 days after the close of the year ended December 31,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gridSpan w:val="8"/>
          </w:tcPr>
          <w:p>
            <w:pPr>
              <w:ind w:left="40"/>
              <w:spacing w:after="0"/>
              <w:rPr>
                <w:sz w:val="20"/>
                <w:szCs w:val="20"/>
                <w:color w:val="auto"/>
              </w:rPr>
            </w:pPr>
            <w:r>
              <w:rPr>
                <w:rFonts w:ascii="Arial" w:cs="Arial" w:eastAsia="Arial" w:hAnsi="Arial"/>
                <w:sz w:val="18"/>
                <w:szCs w:val="18"/>
                <w:color w:val="auto"/>
              </w:rPr>
              <w:t>(a)   Documents included in this report:</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8"/>
            <w:shd w:val="clear" w:color="auto" w:fill="CCEEFF"/>
          </w:tcPr>
          <w:p>
            <w:pPr>
              <w:ind w:left="500"/>
              <w:spacing w:after="0"/>
              <w:rPr>
                <w:sz w:val="20"/>
                <w:szCs w:val="20"/>
                <w:color w:val="auto"/>
              </w:rPr>
            </w:pPr>
            <w:r>
              <w:rPr>
                <w:rFonts w:ascii="Arial" w:cs="Arial" w:eastAsia="Arial" w:hAnsi="Arial"/>
                <w:sz w:val="18"/>
                <w:szCs w:val="18"/>
                <w:i w:val="1"/>
                <w:iCs w:val="1"/>
                <w:color w:val="auto"/>
              </w:rPr>
              <w:t>1. Financial Statements</w:t>
            </w:r>
          </w:p>
        </w:tc>
        <w:tc>
          <w:tcPr>
            <w:tcW w:w="3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03"/>
        </w:trPr>
        <w:tc>
          <w:tcPr>
            <w:tcW w:w="7880" w:type="dxa"/>
            <w:vAlign w:val="bottom"/>
            <w:gridSpan w:val="8"/>
          </w:tcPr>
          <w:p>
            <w:pPr>
              <w:ind w:left="62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3540" w:type="dxa"/>
            <w:vAlign w:val="bottom"/>
            <w:gridSpan w:val="3"/>
          </w:tcPr>
          <w:p>
            <w:pPr>
              <w:ind w:left="302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F-1</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3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line="202"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Consolidated Balance Sheets</w:t>
              </w:r>
            </w:hyperlink>
          </w:p>
        </w:tc>
        <w:tc>
          <w:tcPr>
            <w:tcW w:w="5160" w:type="dxa"/>
            <w:vAlign w:val="bottom"/>
            <w:gridSpan w:val="6"/>
            <w:shd w:val="clear" w:color="auto" w:fill="CCEEFF"/>
          </w:tcPr>
          <w:p>
            <w:pPr>
              <w:spacing w:after="0"/>
              <w:rPr>
                <w:sz w:val="17"/>
                <w:szCs w:val="17"/>
                <w:color w:val="auto"/>
              </w:rPr>
            </w:pPr>
          </w:p>
        </w:tc>
        <w:tc>
          <w:tcPr>
            <w:tcW w:w="3540" w:type="dxa"/>
            <w:vAlign w:val="bottom"/>
            <w:gridSpan w:val="3"/>
            <w:shd w:val="clear" w:color="auto" w:fill="CCEEFF"/>
          </w:tcPr>
          <w:p>
            <w:pPr>
              <w:ind w:left="302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F-2</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7260" w:type="dxa"/>
            <w:vAlign w:val="bottom"/>
            <w:gridSpan w:val="7"/>
          </w:tcPr>
          <w:p>
            <w:pPr>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Operations</w:t>
              </w:r>
            </w:hyperlink>
          </w:p>
        </w:tc>
        <w:tc>
          <w:tcPr>
            <w:tcW w:w="3540" w:type="dxa"/>
            <w:vAlign w:val="bottom"/>
            <w:gridSpan w:val="3"/>
          </w:tcPr>
          <w:p>
            <w:pPr>
              <w:ind w:left="30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F-3</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7260" w:type="dxa"/>
            <w:vAlign w:val="bottom"/>
            <w:gridSpan w:val="7"/>
            <w:shd w:val="clear" w:color="auto" w:fill="CCEEFF"/>
          </w:tcPr>
          <w:p>
            <w:pPr>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 of Stockholders' Equity</w:t>
              </w:r>
            </w:hyperlink>
          </w:p>
        </w:tc>
        <w:tc>
          <w:tcPr>
            <w:tcW w:w="3540" w:type="dxa"/>
            <w:vAlign w:val="bottom"/>
            <w:gridSpan w:val="3"/>
            <w:shd w:val="clear" w:color="auto" w:fill="CCEEFF"/>
          </w:tcPr>
          <w:p>
            <w:pPr>
              <w:ind w:left="3020"/>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F-4</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3460" w:type="dxa"/>
            <w:vAlign w:val="bottom"/>
            <w:gridSpan w:val="5"/>
          </w:tcPr>
          <w:p>
            <w:pPr>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Cash Flows</w:t>
              </w:r>
            </w:hyperlink>
          </w:p>
        </w:tc>
        <w:tc>
          <w:tcPr>
            <w:tcW w:w="3800" w:type="dxa"/>
            <w:vAlign w:val="bottom"/>
            <w:gridSpan w:val="2"/>
          </w:tcPr>
          <w:p>
            <w:pPr>
              <w:spacing w:after="0"/>
              <w:rPr>
                <w:sz w:val="17"/>
                <w:szCs w:val="17"/>
                <w:color w:val="auto"/>
              </w:rPr>
            </w:pPr>
          </w:p>
        </w:tc>
        <w:tc>
          <w:tcPr>
            <w:tcW w:w="3540" w:type="dxa"/>
            <w:vAlign w:val="bottom"/>
            <w:gridSpan w:val="3"/>
          </w:tcPr>
          <w:p>
            <w:pPr>
              <w:ind w:left="302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F-5</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7880" w:type="dxa"/>
            <w:vAlign w:val="bottom"/>
            <w:gridSpan w:val="8"/>
            <w:shd w:val="clear" w:color="auto" w:fill="CCEEFF"/>
          </w:tcPr>
          <w:p>
            <w:pPr>
              <w:ind w:left="6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3540" w:type="dxa"/>
            <w:vAlign w:val="bottom"/>
            <w:gridSpan w:val="3"/>
            <w:shd w:val="clear" w:color="auto" w:fill="CCEEFF"/>
          </w:tcPr>
          <w:p>
            <w:pPr>
              <w:ind w:left="30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F-7</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 Financial Statement Schedules</w:t>
      </w:r>
    </w:p>
    <w:p>
      <w:pPr>
        <w:spacing w:after="0" w:line="63" w:lineRule="exact"/>
        <w:rPr>
          <w:sz w:val="20"/>
          <w:szCs w:val="20"/>
          <w:color w:val="auto"/>
        </w:rPr>
      </w:pPr>
    </w:p>
    <w:p>
      <w:pPr>
        <w:ind w:left="620" w:right="820"/>
        <w:spacing w:after="0" w:line="277" w:lineRule="auto"/>
        <w:rPr>
          <w:sz w:val="20"/>
          <w:szCs w:val="20"/>
          <w:color w:val="auto"/>
        </w:rPr>
      </w:pPr>
      <w:r>
        <w:rPr>
          <w:rFonts w:ascii="Arial" w:cs="Arial" w:eastAsia="Arial" w:hAnsi="Arial"/>
          <w:sz w:val="18"/>
          <w:szCs w:val="18"/>
          <w:color w:val="auto"/>
        </w:rPr>
        <w:t>Financial statement schedules have been omitted because they are either not required, not applicable or the information required to be presented is included in the Company’s consolidated financial statements and related notes.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ind w:left="60"/>
              <w:spacing w:after="0"/>
              <w:rPr>
                <w:sz w:val="20"/>
                <w:szCs w:val="20"/>
                <w:color w:val="auto"/>
              </w:rPr>
            </w:pPr>
            <w:r>
              <w:rPr>
                <w:rFonts w:ascii="Arial" w:cs="Arial" w:eastAsia="Arial" w:hAnsi="Arial"/>
                <w:sz w:val="18"/>
                <w:szCs w:val="18"/>
                <w:i w:val="1"/>
                <w:iCs w:val="1"/>
                <w:color w:val="auto"/>
              </w:rPr>
              <w:t>3. Exhibits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6"/>
        </w:trPr>
        <w:tc>
          <w:tcPr>
            <w:tcW w:w="1380" w:type="dxa"/>
            <w:vAlign w:val="bottom"/>
          </w:tcPr>
          <w:p>
            <w:pPr>
              <w:ind w:left="6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Purchase and Sale Agreement dated February 14, 2014, between Henry Resources LLC, Henry Production LLC, Henry Taw Production</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196" w:lineRule="exact"/>
              <w:rPr>
                <w:rFonts w:ascii="Arial" w:cs="Arial" w:eastAsia="Arial" w:hAnsi="Arial"/>
                <w:sz w:val="18"/>
                <w:szCs w:val="18"/>
                <w:color w:val="0000FF"/>
                <w:w w:val="96"/>
              </w:rPr>
            </w:pPr>
            <w:hyperlink r:id="rId23">
              <w:r>
                <w:rPr>
                  <w:rFonts w:ascii="Arial" w:cs="Arial" w:eastAsia="Arial" w:hAnsi="Arial"/>
                  <w:sz w:val="18"/>
                  <w:szCs w:val="18"/>
                  <w:color w:val="0000FF"/>
                  <w:w w:val="96"/>
                </w:rPr>
                <w:t>LP, Davlin LP, Good Providence LP, William R. Fair, UTH Investments LTD, Paloma Oil &amp; Ranch LP, Chinati Oil &amp; Ranch LP, J.</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Craig Corbett, Bambana Resources LP, and FC Permian Properties, Inc., as Sellers, and Diamondback E&amp;P LLC, as Buyer</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(incorporated by reference to Exhibit 2.1 to the Form 8-K, File No. 001-35700, filed by the Company with the SEC on February 18,</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4"/>
          </w:tcPr>
          <w:p>
            <w:pPr>
              <w:ind w:left="40"/>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2014).</w:t>
              </w:r>
            </w:hyperlink>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3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Purchase and Sale Agreement, dated February 14, 2014, between Henry Resources LLC, Henry Production LLC, Henry Taw Production</w:t>
              </w:r>
            </w:hyperlink>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6"/>
              </w:rPr>
            </w:pPr>
            <w:hyperlink r:id="rId24">
              <w:r>
                <w:rPr>
                  <w:rFonts w:ascii="Arial" w:cs="Arial" w:eastAsia="Arial" w:hAnsi="Arial"/>
                  <w:sz w:val="18"/>
                  <w:szCs w:val="18"/>
                  <w:color w:val="0000FF"/>
                  <w:w w:val="96"/>
                </w:rPr>
                <w:t>LP, Davlin LP, Good Providence LP, William R. Fair, UTH Investments LTD, Paloma Oil &amp; Ranch LP, Chinati Oil &amp; Ranch LP, J.</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Craig Corbett, Bambana Resources LP, FC Permian Properties, Inc., Blake Braun, Richard D. Campbell, and Thomas J. Woodside, as</w:t>
              </w:r>
            </w:hyperlink>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Sellers, and Diamondback E&amp;P LLC, as Buyer (incorporated by reference to Exhibit 2.2 to the Form 8-K, File No. 001-35700, filed by</w:t>
              </w:r>
            </w:hyperlink>
          </w:p>
        </w:tc>
      </w:tr>
      <w:tr>
        <w:trPr>
          <w:trHeight w:val="196"/>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6"/>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the Company with the SEC on February 18, 2014).</w:t>
              </w:r>
            </w:hyperlink>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40" w:type="dxa"/>
            <w:vAlign w:val="bottom"/>
            <w:tcBorders>
              <w:top w:val="single" w:sz="8" w:color="0000FF"/>
            </w:tcBorders>
            <w:shd w:val="clear" w:color="auto" w:fill="CCEEFF"/>
          </w:tcPr>
          <w:p>
            <w:pPr>
              <w:spacing w:after="0"/>
              <w:rPr>
                <w:sz w:val="13"/>
                <w:szCs w:val="13"/>
                <w:color w:val="auto"/>
              </w:rPr>
            </w:pPr>
          </w:p>
        </w:tc>
        <w:tc>
          <w:tcPr>
            <w:tcW w:w="112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380" w:type="dxa"/>
            <w:vAlign w:val="bottom"/>
          </w:tcPr>
          <w:p>
            <w:pPr>
              <w:ind w:left="6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7"/>
          </w:tcPr>
          <w:p>
            <w:pPr>
              <w:spacing w:after="0" w:line="202"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Purchase and Sale Agreement by and among Rio Oil and Gas, LLC, Rio Oil and Gas (Permian) LLC, Rio Oil and Gas (OPCO), LLC,</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Bluestem Energy, LP, Bluestem Energy Partners, LP, Bluestem Energy Holdings, LLC, Bluestem Energy Assets, LLC, Bluestem</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Acquisitions, LLC, BC Operating, Inc., Crown Oil Partners V, LP and Crump Energy Partners II, LLC, as sellers, and Diamondback</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E&amp;P LLC, as buyer, dated July 18, 2014 (incorporated by reference to Exhibit 2.1 to the Form 8-K, File No. 001-35700, filed by the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Company with the SEC on July 21, 2014).</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Purchase and Sale Agreement, dated as of December 13, 2016, by and among Brigham Resources Operating, LLC and Brigham</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Resources Midstream, LLC, as sellers, and Diamondback E&amp;P LLC and Diamondback Energy, Inc., as buyers (incorporated by</w:t>
              </w:r>
            </w:hyperlink>
          </w:p>
        </w:tc>
      </w:tr>
      <w:tr>
        <w:trPr>
          <w:trHeight w:val="196"/>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reference to Exhibit 2.1 to the Form 8-K, File No. 001-35700, filed by the Company with the SEC on December 14, 2016).</w:t>
              </w:r>
            </w:hyperlink>
          </w:p>
        </w:tc>
      </w:tr>
      <w:tr>
        <w:trPr>
          <w:trHeight w:val="264"/>
        </w:trPr>
        <w:tc>
          <w:tcPr>
            <w:tcW w:w="13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0000FF"/>
            </w:tcBorders>
            <w:shd w:val="clear" w:color="auto" w:fill="CCEEFF"/>
          </w:tcPr>
          <w:p>
            <w:pPr>
              <w:spacing w:after="0"/>
              <w:rPr>
                <w:sz w:val="22"/>
                <w:szCs w:val="22"/>
                <w:color w:val="auto"/>
              </w:rPr>
            </w:pPr>
          </w:p>
        </w:tc>
        <w:tc>
          <w:tcPr>
            <w:tcW w:w="112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34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960" w:type="dxa"/>
            <w:vAlign w:val="bottom"/>
            <w:tcBorders>
              <w:top w:val="single" w:sz="8" w:color="0000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03"/>
        </w:trPr>
        <w:tc>
          <w:tcPr>
            <w:tcW w:w="1380" w:type="dxa"/>
            <w:vAlign w:val="bottom"/>
          </w:tcPr>
          <w:p>
            <w:pPr>
              <w:ind w:left="6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202"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Amended and Restated Certificate of Incorporation of the Company (incorporated by reference to Exhibit 3.1 to the Form 10-Q, File</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No. 001-35700, filed by the Company with the SEC on November 16, 2012).</w:t>
              </w:r>
            </w:hyperlink>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3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Certificate of Amendment No. 1 of the Amended and Restated Certificate of Incorporation of the Company (incorporated by reference</w:t>
              </w:r>
            </w:hyperlink>
          </w:p>
        </w:tc>
      </w:tr>
      <w:tr>
        <w:trPr>
          <w:trHeight w:val="196"/>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to Exhibit 3.1 to the Form 8-K, File No. 001-35700, filed by the Company with the SEC on December 12, 2016).</w:t>
              </w:r>
            </w:hyperlink>
          </w:p>
        </w:tc>
      </w:tr>
      <w:tr>
        <w:trPr>
          <w:trHeight w:val="264"/>
        </w:trPr>
        <w:tc>
          <w:tcPr>
            <w:tcW w:w="13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0000FF"/>
            </w:tcBorders>
            <w:shd w:val="clear" w:color="auto" w:fill="CCEEFF"/>
          </w:tcPr>
          <w:p>
            <w:pPr>
              <w:spacing w:after="0"/>
              <w:rPr>
                <w:sz w:val="22"/>
                <w:szCs w:val="22"/>
                <w:color w:val="auto"/>
              </w:rPr>
            </w:pPr>
          </w:p>
        </w:tc>
        <w:tc>
          <w:tcPr>
            <w:tcW w:w="112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34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960" w:type="dxa"/>
            <w:vAlign w:val="bottom"/>
            <w:tcBorders>
              <w:top w:val="single" w:sz="8" w:color="0000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03"/>
        </w:trPr>
        <w:tc>
          <w:tcPr>
            <w:tcW w:w="1380" w:type="dxa"/>
            <w:vAlign w:val="bottom"/>
          </w:tcPr>
          <w:p>
            <w:pPr>
              <w:ind w:left="6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202"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Amended and Restated Bylaws of the Company (incorporated by reference to Exhibit 3.2 to the Form 10-Q, File No. 001-35700, filed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6"/>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by the Company with the SEC on November 16, 2012).</w:t>
              </w:r>
            </w:hyperlink>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3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 xml:space="preserve">Specimen certificate for shares of common stock, par value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0.01 per share, of the Company (incorporated by reference to Exhibit 4.1 to</w:t>
              </w:r>
            </w:hyperlink>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Amendment No. 4 to the Registration Statement on Form S-1, File No. 333-179502, filed by the Company with the SEC on August 20,</w:t>
              </w:r>
            </w:hyperlink>
          </w:p>
        </w:tc>
      </w:tr>
      <w:tr>
        <w:trPr>
          <w:trHeight w:val="196"/>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60" w:type="dxa"/>
            <w:vAlign w:val="bottom"/>
            <w:gridSpan w:val="4"/>
            <w:shd w:val="clear" w:color="auto" w:fill="CCEEFF"/>
          </w:tcPr>
          <w:p>
            <w:pPr>
              <w:ind w:left="40"/>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2012).</w:t>
              </w:r>
            </w:hyperlink>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380" w:type="dxa"/>
            <w:vAlign w:val="bottom"/>
          </w:tcPr>
          <w:p>
            <w:pPr>
              <w:ind w:left="60"/>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202" w:lineRule="exact"/>
              <w:rPr>
                <w:rFonts w:ascii="Arial" w:cs="Arial" w:eastAsia="Arial" w:hAnsi="Arial"/>
                <w:sz w:val="18"/>
                <w:szCs w:val="18"/>
                <w:color w:val="0000FF"/>
              </w:rPr>
            </w:pPr>
            <w:hyperlink r:id="rId31">
              <w:r>
                <w:rPr>
                  <w:rFonts w:ascii="Arial" w:cs="Arial" w:eastAsia="Arial" w:hAnsi="Arial"/>
                  <w:sz w:val="18"/>
                  <w:szCs w:val="18"/>
                  <w:color w:val="0000FF"/>
                </w:rPr>
                <w:t>Registration Rights Agreement, dated as of October 11, 2012, by and between the Company and DB Energy Holdings LLC</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(incorporated by reference to Exhibit 4.2 to the Form 10-Q, File No. 001-35700, filed by the Company with the SEC on November 16,</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4"/>
          </w:tcPr>
          <w:p>
            <w:pPr>
              <w:ind w:left="40"/>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2012).</w:t>
              </w:r>
            </w:hyperlink>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3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Indenture, dated as of October 28, 2016, among Diamondback Energy, Inc., the guarantors party thereto and Wells Fargo Bank, National</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Association, as trustee (including the form of Diamondback Energy, Inc.’s 4.750 % Senior Notes due 2024) (incorporated by reference</w:t>
              </w:r>
            </w:hyperlink>
          </w:p>
        </w:tc>
      </w:tr>
      <w:tr>
        <w:trPr>
          <w:trHeight w:val="196"/>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to Exhibit 4.1 to the Form 8-K, File No. 001-35700, filed by the Company with the SEC on November 2, 2016).</w:t>
              </w:r>
            </w:hyperlink>
          </w:p>
        </w:tc>
      </w:tr>
      <w:tr>
        <w:trPr>
          <w:trHeight w:val="264"/>
        </w:trPr>
        <w:tc>
          <w:tcPr>
            <w:tcW w:w="13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0000FF"/>
            </w:tcBorders>
            <w:shd w:val="clear" w:color="auto" w:fill="CCEEFF"/>
          </w:tcPr>
          <w:p>
            <w:pPr>
              <w:spacing w:after="0"/>
              <w:rPr>
                <w:sz w:val="22"/>
                <w:szCs w:val="22"/>
                <w:color w:val="auto"/>
              </w:rPr>
            </w:pPr>
          </w:p>
        </w:tc>
        <w:tc>
          <w:tcPr>
            <w:tcW w:w="1120" w:type="dxa"/>
            <w:vAlign w:val="bottom"/>
            <w:tcBorders>
              <w:top w:val="single" w:sz="8" w:color="0000FF"/>
            </w:tcBorders>
            <w:shd w:val="clear" w:color="auto" w:fill="CCEEFF"/>
          </w:tcPr>
          <w:p>
            <w:pPr>
              <w:spacing w:after="0"/>
              <w:rPr>
                <w:sz w:val="22"/>
                <w:szCs w:val="22"/>
                <w:color w:val="auto"/>
              </w:rPr>
            </w:pPr>
          </w:p>
        </w:tc>
        <w:tc>
          <w:tcPr>
            <w:tcW w:w="26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34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960" w:type="dxa"/>
            <w:vAlign w:val="bottom"/>
            <w:tcBorders>
              <w:top w:val="single" w:sz="8" w:color="0000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03"/>
        </w:trPr>
        <w:tc>
          <w:tcPr>
            <w:tcW w:w="1380" w:type="dxa"/>
            <w:vAlign w:val="bottom"/>
          </w:tcPr>
          <w:p>
            <w:pPr>
              <w:ind w:left="60"/>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7"/>
          </w:tcPr>
          <w:p>
            <w:pPr>
              <w:spacing w:after="0" w:line="202"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Indenture, dated as of December 20, 2016, among Diamondback Energy, Inc., the guarantors party thereto and Wells Fargo Bank,</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National Association, as trustee (including the form of Diamondback Energy, Inc.’s 5.375% Senior Notes due 2025) (incorporated by</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reference to Exhibit 4.1 to the Form 8-K, File No. 001-35700, filed by the Company with the SEC on December 21, 2016).</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First Supplemental Indenture, dated as of January 29, 2018, among Diamondback Energy, Inc., the guarantors party thereto and Wells</w:t>
              </w:r>
            </w:hyperlink>
          </w:p>
        </w:tc>
      </w:tr>
      <w:tr>
        <w:trPr>
          <w:trHeight w:val="196"/>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Fargo Bank, National Association, as trustee (incorporated by reference to Exhibit 4.3 to the Form 8-K, File No. 001-35700, filed by the</w:t>
              </w:r>
            </w:hyperlink>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Company with the SEC on January 30, 2018).</w:t>
              </w:r>
            </w:hyperlink>
          </w:p>
        </w:tc>
        <w:tc>
          <w:tcPr>
            <w:tcW w:w="6540" w:type="dxa"/>
            <w:vAlign w:val="bottom"/>
            <w:tcBorders>
              <w:top w:val="single" w:sz="8" w:color="0000FF"/>
              <w:bottom w:val="single" w:sz="8" w:color="CCEEFF"/>
            </w:tcBorders>
            <w:gridSpan w:val="10"/>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380" w:type="dxa"/>
            <w:vAlign w:val="bottom"/>
          </w:tcPr>
          <w:p>
            <w:pPr>
              <w:ind w:left="60"/>
              <w:spacing w:after="0" w:line="202"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Registration Rights Agreement, dated as of January 29, 2018, among Diamondback Energy, Inc., the guarantors party thereto and Wells</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Fargo Securities, LLC (incorporated by reference to Exhibit 4.1 to the Form 8-K, File No. 001-35700, filed by the Company with the</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SEC on January 30, 2018).</w:t>
              </w:r>
            </w:hyperlink>
          </w:p>
        </w:tc>
      </w:tr>
      <w:tr>
        <w:trPr>
          <w:trHeight w:val="264"/>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1440" w:type="dxa"/>
            <w:vAlign w:val="bottom"/>
            <w:tcBorders>
              <w:top w:val="single" w:sz="8" w:color="0000FF"/>
            </w:tcBorders>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3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Registration Rights Agreement, dated as of February 28, 2017, among Diamondback Energy, Inc., Brigham Resources, LLC, Brigham</w:t>
              </w:r>
            </w:hyperlink>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Resources Operating, LLC and Brigham Resources Upstream Holdings, LP. (incorporated by reference to Exhibit 4.1 to the Form 8-K,</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File No. 001.35700, filed by the Company with the SEC on March 6, 2017).</w:t>
              </w:r>
            </w:hyperlink>
          </w:p>
        </w:tc>
        <w:tc>
          <w:tcPr>
            <w:tcW w:w="4400" w:type="dxa"/>
            <w:vAlign w:val="bottom"/>
            <w:tcBorders>
              <w:bottom w:val="single" w:sz="8" w:color="CCEEFF"/>
            </w:tcBorders>
            <w:gridSpan w:val="8"/>
            <w:shd w:val="clear" w:color="auto" w:fill="CCEEFF"/>
          </w:tcPr>
          <w:p>
            <w:pPr>
              <w:spacing w:after="0"/>
              <w:rPr>
                <w:sz w:val="21"/>
                <w:szCs w:val="21"/>
                <w:color w:val="auto"/>
              </w:rPr>
            </w:pPr>
          </w:p>
        </w:tc>
      </w:tr>
      <w:tr>
        <w:trPr>
          <w:trHeight w:val="203"/>
        </w:trPr>
        <w:tc>
          <w:tcPr>
            <w:tcW w:w="1380" w:type="dxa"/>
            <w:vAlign w:val="bottom"/>
          </w:tcPr>
          <w:p>
            <w:pPr>
              <w:ind w:left="60"/>
              <w:spacing w:after="0" w:line="20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202"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Diamondback Energy, Inc. 2016 Amended and Restated Equity Incentive Plan (incorporated by reference to Appendix A to Schedule</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DEFA 14A filed by the Company with the SEC on May 25, 2016).</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3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6"/>
            <w:shd w:val="clear" w:color="auto" w:fill="CCEEFF"/>
          </w:tcPr>
          <w:p>
            <w:pPr>
              <w:spacing w:after="0" w:line="202"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Form of Stock Option Agreement (incorporated by reference to Exhibit 10.13 to Amendment No. 4 to the Registration Statement on</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Form S-1, File No. 333-179502, filed by the Company with the SEC on August 20, 2012).</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40" w:type="dxa"/>
            <w:vAlign w:val="bottom"/>
            <w:tcBorders>
              <w:top w:val="single" w:sz="8" w:color="0000FF"/>
            </w:tcBorders>
            <w:shd w:val="clear" w:color="auto" w:fill="CCEEFF"/>
          </w:tcPr>
          <w:p>
            <w:pPr>
              <w:spacing w:after="0"/>
              <w:rPr>
                <w:sz w:val="13"/>
                <w:szCs w:val="13"/>
                <w:color w:val="auto"/>
              </w:rPr>
            </w:pPr>
          </w:p>
        </w:tc>
        <w:tc>
          <w:tcPr>
            <w:tcW w:w="112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tcBorders>
            <w:shd w:val="clear" w:color="auto" w:fill="CCEEFF"/>
          </w:tcPr>
          <w:p>
            <w:pPr>
              <w:spacing w:after="0"/>
              <w:rPr>
                <w:sz w:val="13"/>
                <w:szCs w:val="13"/>
                <w:color w:val="auto"/>
              </w:rPr>
            </w:pPr>
          </w:p>
        </w:tc>
        <w:tc>
          <w:tcPr>
            <w:tcW w:w="7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960" w:type="dxa"/>
            <w:vAlign w:val="bottom"/>
            <w:tcBorders>
              <w:top w:val="single" w:sz="8" w:color="0000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12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746" w:right="239" w:bottom="1122"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154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9"/>
        </w:trPr>
        <w:tc>
          <w:tcPr>
            <w:tcW w:w="1540" w:type="dxa"/>
            <w:vAlign w:val="bottom"/>
          </w:tcPr>
          <w:p>
            <w:pPr>
              <w:ind w:left="60"/>
              <w:spacing w:after="0"/>
              <w:rPr>
                <w:sz w:val="20"/>
                <w:szCs w:val="20"/>
                <w:color w:val="auto"/>
              </w:rPr>
            </w:pPr>
            <w:r>
              <w:rPr>
                <w:rFonts w:ascii="Arial" w:cs="Arial" w:eastAsia="Arial" w:hAnsi="Arial"/>
                <w:sz w:val="18"/>
                <w:szCs w:val="18"/>
                <w:color w:val="auto"/>
              </w:rPr>
              <w:t>10.3+</w:t>
            </w:r>
          </w:p>
        </w:tc>
        <w:tc>
          <w:tcPr>
            <w:tcW w:w="9840" w:type="dxa"/>
            <w:vAlign w:val="bottom"/>
            <w:tcBorders>
              <w:bottom w:val="single" w:sz="8" w:color="0000FF"/>
            </w:tcBorders>
            <w:gridSpan w:val="16"/>
          </w:tcPr>
          <w:p>
            <w:pPr>
              <w:spacing w:after="0"/>
              <w:rPr>
                <w:rFonts w:ascii="Arial" w:cs="Arial" w:eastAsia="Arial" w:hAnsi="Arial"/>
                <w:sz w:val="18"/>
                <w:szCs w:val="18"/>
                <w:color w:val="0000FF"/>
                <w:w w:val="98"/>
              </w:rPr>
            </w:pPr>
            <w:hyperlink r:id="rId39">
              <w:r>
                <w:rPr>
                  <w:rFonts w:ascii="Arial" w:cs="Arial" w:eastAsia="Arial" w:hAnsi="Arial"/>
                  <w:sz w:val="18"/>
                  <w:szCs w:val="18"/>
                  <w:color w:val="0000FF"/>
                  <w:w w:val="98"/>
                </w:rPr>
                <w:t>Form of Restricted Stock Unit Agreement (incorporated by reference to Exhibit 10.14 to Amendment No. 4 to the Registration</w:t>
              </w:r>
            </w:hyperlink>
          </w:p>
        </w:tc>
        <w:tc>
          <w:tcPr>
            <w:tcW w:w="40" w:type="dxa"/>
            <w:vAlign w:val="bottom"/>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Statement on Form S-1, File No. 333-179502, filed by the Company with the SEC on August 20, 2012).</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10.4+</w:t>
            </w:r>
          </w:p>
        </w:tc>
        <w:tc>
          <w:tcPr>
            <w:tcW w:w="9880" w:type="dxa"/>
            <w:vAlign w:val="bottom"/>
            <w:gridSpan w:val="17"/>
            <w:shd w:val="clear" w:color="auto" w:fill="CCEEFF"/>
          </w:tcPr>
          <w:p>
            <w:pPr>
              <w:spacing w:after="0" w:line="202" w:lineRule="exact"/>
              <w:rPr>
                <w:rFonts w:ascii="Arial" w:cs="Arial" w:eastAsia="Arial" w:hAnsi="Arial"/>
                <w:sz w:val="18"/>
                <w:szCs w:val="18"/>
                <w:color w:val="0000FF"/>
              </w:rPr>
            </w:pPr>
            <w:hyperlink r:id="rId40">
              <w:r>
                <w:rPr>
                  <w:rFonts w:ascii="Arial" w:cs="Arial" w:eastAsia="Arial" w:hAnsi="Arial"/>
                  <w:sz w:val="18"/>
                  <w:szCs w:val="18"/>
                  <w:color w:val="0000FF"/>
                </w:rPr>
                <w:t>Form of Director and Officer Indemnification Agreement (incorporated by reference to</w:t>
              </w:r>
            </w:hyperlink>
          </w:p>
        </w:tc>
      </w:tr>
      <w:tr>
        <w:trPr>
          <w:trHeight w:val="20"/>
        </w:trPr>
        <w:tc>
          <w:tcPr>
            <w:tcW w:w="1540" w:type="dxa"/>
            <w:vAlign w:val="bottom"/>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Exhibit 10.15 to Amendment No. 4 to the Registration Statement on Form S-1, File No. 333-179502, filed by the Company with the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SEC on August 20, 2012).</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10.5</w:t>
            </w:r>
          </w:p>
        </w:tc>
        <w:tc>
          <w:tcPr>
            <w:tcW w:w="9840" w:type="dxa"/>
            <w:vAlign w:val="bottom"/>
            <w:tcBorders>
              <w:bottom w:val="single" w:sz="8" w:color="0000FF"/>
            </w:tcBorders>
            <w:gridSpan w:val="16"/>
          </w:tcPr>
          <w:p>
            <w:pPr>
              <w:spacing w:after="0" w:line="202"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Advisory Services Agreement, dated as of October 11, 2012, by and between Diamondback Energy, Inc. and Wexford Capital LP</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(incorporated by reference to Exhibit 10.4 to the Form 10-Q, File No. 001-35700, filed by the Company with the SEC on November 16,</w:t>
              </w:r>
            </w:hyperlink>
          </w:p>
        </w:tc>
      </w:tr>
      <w:tr>
        <w:trPr>
          <w:trHeight w:val="196"/>
        </w:trPr>
        <w:tc>
          <w:tcPr>
            <w:tcW w:w="1540" w:type="dxa"/>
            <w:vAlign w:val="bottom"/>
          </w:tcPr>
          <w:p>
            <w:pPr>
              <w:spacing w:after="0"/>
              <w:rPr>
                <w:sz w:val="17"/>
                <w:szCs w:val="17"/>
                <w:color w:val="auto"/>
              </w:rPr>
            </w:pPr>
          </w:p>
        </w:tc>
        <w:tc>
          <w:tcPr>
            <w:tcW w:w="19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2012).</w:t>
              </w:r>
            </w:hyperlink>
          </w:p>
        </w:tc>
        <w:tc>
          <w:tcPr>
            <w:tcW w:w="4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10.6</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Merger Agreement, dated as of October 11, 2012, by and between the Company and Diamondback Energy LLC (incorporated by</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reference to Exhibit 10.5 to the Form 10-Q, File No. 001-35700, filed by the Company with the SEC on November 16,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0000FF"/>
            </w:tcBorders>
            <w:shd w:val="clear" w:color="auto" w:fill="CCEEFF"/>
          </w:tcPr>
          <w:p>
            <w:pPr>
              <w:spacing w:after="0"/>
              <w:rPr>
                <w:sz w:val="13"/>
                <w:szCs w:val="13"/>
                <w:color w:val="auto"/>
              </w:rPr>
            </w:pPr>
          </w:p>
        </w:tc>
        <w:tc>
          <w:tcPr>
            <w:tcW w:w="1220" w:type="dxa"/>
            <w:vAlign w:val="bottom"/>
            <w:tcBorders>
              <w:top w:val="single" w:sz="8" w:color="0000FF"/>
            </w:tcBorders>
            <w:shd w:val="clear" w:color="auto" w:fill="CCEEFF"/>
          </w:tcPr>
          <w:p>
            <w:pPr>
              <w:spacing w:after="0"/>
              <w:rPr>
                <w:sz w:val="13"/>
                <w:szCs w:val="13"/>
                <w:color w:val="auto"/>
              </w:rPr>
            </w:pPr>
          </w:p>
        </w:tc>
        <w:tc>
          <w:tcPr>
            <w:tcW w:w="1580" w:type="dxa"/>
            <w:vAlign w:val="bottom"/>
            <w:tcBorders>
              <w:top w:val="single" w:sz="8" w:color="0000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10.7+</w:t>
            </w:r>
          </w:p>
        </w:tc>
        <w:tc>
          <w:tcPr>
            <w:tcW w:w="9880" w:type="dxa"/>
            <w:vAlign w:val="bottom"/>
            <w:gridSpan w:val="17"/>
          </w:tcPr>
          <w:p>
            <w:pPr>
              <w:spacing w:after="0" w:line="202"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Amended and Restated Employment Agreement, dated April 24, 2014, effective as of April 18, 2014, by and between Travis D. Stice</w:t>
              </w:r>
            </w:hyperlink>
          </w:p>
        </w:tc>
      </w:tr>
      <w:tr>
        <w:trPr>
          <w:trHeight w:val="20"/>
        </w:trPr>
        <w:tc>
          <w:tcPr>
            <w:tcW w:w="154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and Diamondback E&amp;P LLC (incorporated by reference to Exhibit 10.2 to the Form 10-Q, File No. 001-035700, filed by the Company</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with the SEC on May 9, 2014 ).</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10.8+</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Amended and Restated Employment Agreement, dated as of February 27, 2014, effective as of January 1, 2014, by and between Teresa</w:t>
              </w:r>
            </w:hyperlink>
          </w:p>
        </w:tc>
      </w:tr>
      <w:tr>
        <w:trPr>
          <w:trHeight w:val="20"/>
        </w:trPr>
        <w:tc>
          <w:tcPr>
            <w:tcW w:w="1540" w:type="dxa"/>
            <w:vAlign w:val="bottom"/>
            <w:shd w:val="clear" w:color="auto" w:fill="CCEE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Dick and Diamondback E&amp;P LLC (incorporated by reference to Exhibit 10.3 to the Form 8-K, File No. 001-35700, filed by the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Company with the SEC on March 5, 2014).</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10.9+</w:t>
            </w:r>
          </w:p>
        </w:tc>
        <w:tc>
          <w:tcPr>
            <w:tcW w:w="9840" w:type="dxa"/>
            <w:vAlign w:val="bottom"/>
            <w:tcBorders>
              <w:bottom w:val="single" w:sz="8" w:color="0000FF"/>
            </w:tcBorders>
            <w:gridSpan w:val="16"/>
          </w:tcPr>
          <w:p>
            <w:pPr>
              <w:spacing w:after="0" w:line="202"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Amended and Restated Employment Agreement, dated as of February 27, 2014, effective as of January 1, 2014, by and between</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Michael Hollis and Diamondback E&amp;P LLC (incorporated by reference to Exhibit 10.4 to the Form 8-K, File No. 001-35700, filed by</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the Company with the SEC on March 5, 2014).</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10.10+</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Amended and Restated Employment Agreement, dated as of February 27, 2014, effective as of January 1, 2014, by and between Jeff</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8"/>
              </w:rPr>
            </w:pPr>
            <w:hyperlink r:id="rId46">
              <w:r>
                <w:rPr>
                  <w:rFonts w:ascii="Arial" w:cs="Arial" w:eastAsia="Arial" w:hAnsi="Arial"/>
                  <w:sz w:val="18"/>
                  <w:szCs w:val="18"/>
                  <w:color w:val="0000FF"/>
                  <w:w w:val="98"/>
                </w:rPr>
                <w:t>White and Diamondback E&amp;P LLC (incorporated by reference to Exhibit 10.5 to the Form 8-K, File No. 001-35700, filed by the</w:t>
              </w:r>
            </w:hyperlink>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Company with the SEC on March 5, 2014).</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10.11+</w:t>
            </w:r>
          </w:p>
        </w:tc>
        <w:tc>
          <w:tcPr>
            <w:tcW w:w="9880" w:type="dxa"/>
            <w:vAlign w:val="bottom"/>
            <w:gridSpan w:val="17"/>
          </w:tcPr>
          <w:p>
            <w:pPr>
              <w:spacing w:after="0" w:line="202"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Amended and Restated Employment Agreement, dated as of February 27, 2014, effective as of January 1, 2014, by and between Russell</w:t>
              </w:r>
            </w:hyperlink>
          </w:p>
        </w:tc>
      </w:tr>
      <w:tr>
        <w:trPr>
          <w:trHeight w:val="20"/>
        </w:trPr>
        <w:tc>
          <w:tcPr>
            <w:tcW w:w="15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Pantermuehl and Diamondback E&amp;P LLC (incorporated by reference to Exhibit 10.6 to the Form 10-Q, File No. 001-035700, filed by</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the Company with the SEC on May 9, 2014 ).</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10.12+</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2014 Executive Annual Incentive Compensation Plan (incorporated by reference to Exhibit 10.1 to the Form 8-K, File No. 001-35700,</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filed by the Company with the SEC on April 2, 2014).</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10.13+</w:t>
            </w:r>
          </w:p>
        </w:tc>
        <w:tc>
          <w:tcPr>
            <w:tcW w:w="9840" w:type="dxa"/>
            <w:vAlign w:val="bottom"/>
            <w:tcBorders>
              <w:bottom w:val="single" w:sz="8" w:color="0000FF"/>
            </w:tcBorders>
            <w:gridSpan w:val="16"/>
          </w:tcPr>
          <w:p>
            <w:pPr>
              <w:spacing w:after="0" w:line="202"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Form of Time-Vesting Restricted Stock Unit Award Agreement (incorporated by reference to Exhibit 10.1 to the Form 8-K, File No.</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001-35700, filed by the Company with the SEC on March 5, 2014).</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10.14+</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Form of Performance-Based Restricted Stock Unit Award Agreement (incorporated by reference to Exhibit 10.2 to the Form 8-K, File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No. 001-35700, filed by the Company with the SEC on March 5, 2014).</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10.15</w:t>
            </w:r>
          </w:p>
        </w:tc>
        <w:tc>
          <w:tcPr>
            <w:tcW w:w="9880" w:type="dxa"/>
            <w:vAlign w:val="bottom"/>
            <w:tcBorders>
              <w:bottom w:val="single" w:sz="8" w:color="0000FF"/>
            </w:tcBorders>
            <w:gridSpan w:val="17"/>
          </w:tcPr>
          <w:p>
            <w:pPr>
              <w:spacing w:after="0" w:line="202"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Lease Agreement, dated as of April 19, 2011, by and between Fasken Midland, LLC and Windsor Permian LLC (incorporated by</w:t>
              </w:r>
            </w:hyperlink>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reference to Exhibit 10.7 to Amendment No. 2 to the Registration Statement on Form S-1, File No. 333-179502, filed by the Company</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with the SEC on June 11, 2012).</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10.16</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Lease Amendment No. 1 to Lease Agreement, dated as of June 6, 2011, by and between Fasken Midland, LLC and Windsor Permian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LLC (incorporated by reference to Exhibit 10.8 to Amendment No. 1 to the Registration Statement on Form S-1, File No. 333-179502,</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filed by the Company with the SEC on May 8, 2012).</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10.17</w:t>
            </w:r>
          </w:p>
        </w:tc>
        <w:tc>
          <w:tcPr>
            <w:tcW w:w="984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Lease Amendment No. 2 to Lease Agreement, dated as of August 5, 2011, by and between Fasken Midland, LLC and Windsor Permian</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LLC (incorporated by reference to Exhibit 10.9 to Amendment No. 1 to the Registration Statement on Form S-1, File No. 333-179502,</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filed by the Company with the SEC on May 8, 2012).</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10.18</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Lease Amendment No. 3 to Lease Agreement, dated as of September 28, 2011, by and between Fasken Midland, LLC and Windsor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Permian LLC (incorporated by reference to Exhibit 10.10 to Amendment No. 1 to the Registration Statement on Form S-1, File No.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333-179502, filed by the Company with the SEC on May 8, 2012).</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14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10.19</w:t>
            </w:r>
          </w:p>
        </w:tc>
        <w:tc>
          <w:tcPr>
            <w:tcW w:w="9840" w:type="dxa"/>
            <w:vAlign w:val="bottom"/>
            <w:tcBorders>
              <w:bottom w:val="single" w:sz="8" w:color="0000FF"/>
            </w:tcBorders>
            <w:gridSpan w:val="16"/>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Lease Amendment No. 4 to Lease Agreement, dated February 6, 2012, by and between Fasken Midland, LLC and Windsor Permian</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LLC (incorporated by reference to Exhibit 10.11 to Amendment No. 1 to the Registration Statement on Form S-1, File No. 333-179502,</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filed by the Company with the SEC on May 8, 2012).</w:t>
              </w:r>
            </w:hyperlink>
          </w:p>
        </w:tc>
        <w:tc>
          <w:tcPr>
            <w:tcW w:w="4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746" w:right="239"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i w:val="1"/>
          <w:iCs w:val="1"/>
          <w:color w:val="auto"/>
        </w:rPr>
        <w:t>3.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10.20</w:t>
            </w:r>
          </w:p>
        </w:tc>
        <w:tc>
          <w:tcPr>
            <w:tcW w:w="9880" w:type="dxa"/>
            <w:vAlign w:val="bottom"/>
            <w:gridSpan w:val="17"/>
            <w:shd w:val="clear" w:color="auto" w:fill="CCEEFF"/>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Lease Amendment No. 5 to Lease Agreement, dated as of July 25, 2012, by and between Fasken Midland, LLC and Diamondback E&amp;P</w:t>
              </w:r>
            </w:hyperlink>
          </w:p>
        </w:tc>
      </w:tr>
      <w:tr>
        <w:trPr>
          <w:trHeight w:val="20"/>
        </w:trPr>
        <w:tc>
          <w:tcPr>
            <w:tcW w:w="15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LLC (incorporated by reference to Exhibit 10.36 to Amendment No. 5 to the Registration Statement on Form S-1, File No. 333-179502,</w:t>
              </w:r>
            </w:hyperlink>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filed by the Company with the SEC on October 2, 2012).</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10.21</w:t>
            </w:r>
          </w:p>
        </w:tc>
        <w:tc>
          <w:tcPr>
            <w:tcW w:w="9880" w:type="dxa"/>
            <w:vAlign w:val="bottom"/>
            <w:gridSpan w:val="17"/>
          </w:tcPr>
          <w:p>
            <w:pPr>
              <w:spacing w:after="0" w:line="202"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Contribution Agreement, dated May 7, 2012, by and between the Company and Gulfport Energy Corporation (incorporated by reference</w:t>
              </w:r>
            </w:hyperlink>
          </w:p>
        </w:tc>
      </w:tr>
      <w:tr>
        <w:trPr>
          <w:trHeight w:val="20"/>
        </w:trPr>
        <w:tc>
          <w:tcPr>
            <w:tcW w:w="15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to Exhibit 10.18 to Amendment No. 1 to the Registration Statement on Form S-1, File No. 333-179502, filed by the Company with the</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SEC on May 8, 2012).</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10.22</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Master Drilling Agreement, dated January 1, 2012, by and between Windsor Permian LLC and Bison Drilling and Field Services LLC</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(incorporated by reference to Exhibit 10.19 to Amendment No. 1 to the Registration Statement on Form S-1, File No. 333-179502, filed</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by the Company with the SEC on May 8,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10.23</w:t>
            </w:r>
          </w:p>
        </w:tc>
        <w:tc>
          <w:tcPr>
            <w:tcW w:w="9880" w:type="dxa"/>
            <w:vAlign w:val="bottom"/>
            <w:gridSpan w:val="17"/>
          </w:tcPr>
          <w:p>
            <w:pPr>
              <w:spacing w:after="0" w:line="202"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Gas Purchase Agreement, dated May 1, 2009, by and between Windsor Permian LLC and Feagan Gathering Company (incorporated by</w:t>
              </w:r>
            </w:hyperlink>
          </w:p>
        </w:tc>
      </w:tr>
      <w:tr>
        <w:trPr>
          <w:trHeight w:val="20"/>
        </w:trPr>
        <w:tc>
          <w:tcPr>
            <w:tcW w:w="15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reference to Exhibit 10.20 to Amendment No. 1 to the Registration Statement on Form S-1, File No. 333-179502, filed by the Company</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with the SEC on May 8, 2012).</w:t>
              </w:r>
            </w:hyperlink>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10.24</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Amendment to Gas Purchase Agreement, dated July 1, 2011, by and between Windsor Permian LLC and MidMar Gas LLC</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(incorporated by reference to Exhibit 10.21 to Amendment No. 1 to the Registration Statement on Form S-1, File No. 333-179502, filed</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by the Company with the SEC on May 8,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10.25</w:t>
            </w:r>
          </w:p>
        </w:tc>
        <w:tc>
          <w:tcPr>
            <w:tcW w:w="9880" w:type="dxa"/>
            <w:vAlign w:val="bottom"/>
            <w:gridSpan w:val="17"/>
          </w:tcPr>
          <w:p>
            <w:pPr>
              <w:spacing w:after="0" w:line="202"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Amendment to Gas Purchase Agreement, dated January 11, 2012, by and between Windsor Permian LLC and MidMar Gas LLC</w:t>
              </w:r>
            </w:hyperlink>
          </w:p>
        </w:tc>
      </w:tr>
      <w:tr>
        <w:trPr>
          <w:trHeight w:val="20"/>
        </w:trPr>
        <w:tc>
          <w:tcPr>
            <w:tcW w:w="15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(incorporated by reference to Exhibit 10.22 to Amendment No. 1 to the Registration Statement on Form S-1, File No. 333-179502, filed</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by the Company with the SEC on May 8, 2012).</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10.26</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Crude Oil Purchase Agreement, dated May 24, 2012, by and between Windsor Permian LLC and Shell Trading (US) Company</w:t>
              </w:r>
            </w:hyperlink>
          </w:p>
        </w:tc>
      </w:tr>
      <w:tr>
        <w:trPr>
          <w:trHeight w:val="20"/>
        </w:trPr>
        <w:tc>
          <w:tcPr>
            <w:tcW w:w="1540" w:type="dxa"/>
            <w:vAlign w:val="bottom"/>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(incorporated by reference to Exhibit 10.26 to Amendment No. 4 to the Registration Statement on Form S-1, File No. 333-179502, filed</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by the Company with the SEC on August 20,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10.27</w:t>
            </w:r>
          </w:p>
        </w:tc>
        <w:tc>
          <w:tcPr>
            <w:tcW w:w="9880" w:type="dxa"/>
            <w:vAlign w:val="bottom"/>
            <w:gridSpan w:val="17"/>
          </w:tcPr>
          <w:p>
            <w:pPr>
              <w:spacing w:after="0" w:line="202"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Master Drilling Agreement, effective as of January 1, 2013, by and between Diamondback E&amp;P LLC and Bison Drilling and Field</w:t>
              </w:r>
            </w:hyperlink>
          </w:p>
        </w:tc>
      </w:tr>
      <w:tr>
        <w:trPr>
          <w:trHeight w:val="20"/>
        </w:trPr>
        <w:tc>
          <w:tcPr>
            <w:tcW w:w="15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Services LLC (incorporated by reference to Exhibit 10.1 to the Form 8-K, File No. 001-35700, filed by the Company with the SEC on</w:t>
              </w:r>
            </w:hyperlink>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February 1, 2013).</w:t>
              </w:r>
            </w:hyperlink>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10.28</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Master Field Services Agreement, effective as of January 1, 2013, by and between Diamondback E&amp;P LLC and Bison Drilling and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6"/>
              </w:rPr>
            </w:pPr>
            <w:hyperlink r:id="rId64">
              <w:r>
                <w:rPr>
                  <w:rFonts w:ascii="Arial" w:cs="Arial" w:eastAsia="Arial" w:hAnsi="Arial"/>
                  <w:sz w:val="18"/>
                  <w:szCs w:val="18"/>
                  <w:color w:val="0000FF"/>
                  <w:w w:val="96"/>
                </w:rPr>
                <w:t>Field Services LLC (incorporated by reference to Exhibit 10.2 to the Form 8-K, File No. 001-35700, filed by the Company with the</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SEC on February 1, 2013).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10.29</w:t>
            </w:r>
          </w:p>
        </w:tc>
        <w:tc>
          <w:tcPr>
            <w:tcW w:w="9880" w:type="dxa"/>
            <w:vAlign w:val="bottom"/>
            <w:tcBorders>
              <w:bottom w:val="single" w:sz="8" w:color="0000FF"/>
            </w:tcBorders>
            <w:gridSpan w:val="17"/>
          </w:tcPr>
          <w:p>
            <w:pPr>
              <w:spacing w:after="0" w:line="202"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First Amendment to Master Field Services Agreement, dated as of February 21, 2013, by and between Diamondback E&amp;P LLC and</w:t>
              </w:r>
            </w:hyperlink>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Bison Drilling and Field Services LLC (incorporated by reference to Exhibit 10.35 to the Form 10-K, file No. 001-35700, filed by the</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Company with the SEC on March 1, 2013).</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10.30+</w:t>
            </w:r>
          </w:p>
        </w:tc>
        <w:tc>
          <w:tcPr>
            <w:tcW w:w="98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Form of Amendment to Restricted Stock Unit Certificate (incorporated by reference to Exhibit 10.38 to the Form 10-K/A, file No. 001-</w:t>
              </w:r>
            </w:hyperlink>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35700, filed by the Company with the SEC on April 10, 2013).</w:t>
              </w:r>
            </w:hyperlink>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10.31</w:t>
            </w:r>
          </w:p>
        </w:tc>
        <w:tc>
          <w:tcPr>
            <w:tcW w:w="9880" w:type="dxa"/>
            <w:vAlign w:val="bottom"/>
            <w:gridSpan w:val="17"/>
          </w:tcPr>
          <w:p>
            <w:pPr>
              <w:spacing w:after="0" w:line="202"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Lease Amendment No. 6 effective May 1, 2013 to Lease Agreement dated as of April 19, 2011, as amended, by and between Fasken</w:t>
              </w:r>
            </w:hyperlink>
          </w:p>
        </w:tc>
      </w:tr>
      <w:tr>
        <w:trPr>
          <w:trHeight w:val="20"/>
        </w:trPr>
        <w:tc>
          <w:tcPr>
            <w:tcW w:w="15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4"/>
              </w:rPr>
            </w:pPr>
            <w:hyperlink r:id="rId67">
              <w:r>
                <w:rPr>
                  <w:rFonts w:ascii="Arial" w:cs="Arial" w:eastAsia="Arial" w:hAnsi="Arial"/>
                  <w:sz w:val="18"/>
                  <w:szCs w:val="18"/>
                  <w:color w:val="0000FF"/>
                  <w:w w:val="94"/>
                </w:rPr>
                <w:t>Midland, LLC and Windsor Permian LLC (incorporated by reference to Exhibit 10.39 to the Form 10-K/A, file No. 001-35700, filed by</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the Company with the SEC on April 10, 2013).</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10.32</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Lease Amendment No. 7 effective September 1, 2013 to Lease Agreement dated as of April 19, 2011, as amended, by and between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Fasken Midland, LLC and Diamondback E&amp;P LLC (incorporated by reference to Exhibit 10.4 to the Form 10-Q, File No. 001-35700,</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filed by the Company with the SEC on August 8, 2013).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10.33</w:t>
            </w:r>
          </w:p>
        </w:tc>
        <w:tc>
          <w:tcPr>
            <w:tcW w:w="9840" w:type="dxa"/>
            <w:vAlign w:val="bottom"/>
            <w:tcBorders>
              <w:bottom w:val="single" w:sz="8" w:color="0000FF"/>
            </w:tcBorders>
            <w:gridSpan w:val="16"/>
          </w:tcPr>
          <w:p>
            <w:pPr>
              <w:spacing w:after="0" w:line="202"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Lease Amendment No. 8 effective October 1, 2013 to Lease Agreement dated as of April 19, 2011, as amended, by and between Fasken</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Midland, LLC and Diamondback E&amp;P LLC (incorporated by reference to Exhibit 10.5 to the Form 10-Q, File No. 001-35700, filed by</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the Company with the SEC on August 8, 2013).</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10.34</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Lease Amendment No. 9 effective August 1, 2013 to Lease Agreement dated as of April 19, 2011, as amended, by and between Fasken</w:t>
              </w:r>
            </w:hyperlink>
          </w:p>
        </w:tc>
      </w:tr>
      <w:tr>
        <w:trPr>
          <w:trHeight w:val="20"/>
        </w:trPr>
        <w:tc>
          <w:tcPr>
            <w:tcW w:w="15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55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Midland, LLC and Diamondback E&amp;P LLC (incorporated by reference to Exhibit 10.6 to the Form 10-Q, File No. 001-35700, filed by</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the Company with the SEC on November 5, 2013).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10.35</w:t>
            </w:r>
          </w:p>
        </w:tc>
        <w:tc>
          <w:tcPr>
            <w:tcW w:w="9880" w:type="dxa"/>
            <w:vAlign w:val="bottom"/>
            <w:gridSpan w:val="17"/>
          </w:tcPr>
          <w:p>
            <w:pPr>
              <w:spacing w:after="0" w:line="202"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Lease Amendment No. 10 effective October 1, 2013 to Lease Agreement dated as of April 19, 2011, as amended, by and between</w:t>
              </w:r>
            </w:hyperlink>
          </w:p>
        </w:tc>
      </w:tr>
      <w:tr>
        <w:trPr>
          <w:trHeight w:val="20"/>
        </w:trPr>
        <w:tc>
          <w:tcPr>
            <w:tcW w:w="15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40" w:type="dxa"/>
            <w:vAlign w:val="bottom"/>
            <w:gridSpan w:val="12"/>
            <w:shd w:val="clear" w:color="auto" w:fill="0000FF"/>
          </w:tcPr>
          <w:p>
            <w:pPr>
              <w:spacing w:after="0" w:line="20" w:lineRule="exact"/>
              <w:rPr>
                <w:sz w:val="1"/>
                <w:szCs w:val="1"/>
                <w:color w:val="auto"/>
              </w:rPr>
            </w:pPr>
          </w:p>
        </w:tc>
        <w:tc>
          <w:tcPr>
            <w:tcW w:w="5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Fasken Midland, LLC and Diamondback E&amp;P LLC (incorporated by reference to Exhibit 10.7 to the Form 10-Q, File No. 001-35700,</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filed by the Company with the SEC on November 5, 2013).</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10.36</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6"/>
              </w:rPr>
            </w:pPr>
            <w:hyperlink r:id="rId72">
              <w:r>
                <w:rPr>
                  <w:rFonts w:ascii="Arial" w:cs="Arial" w:eastAsia="Arial" w:hAnsi="Arial"/>
                  <w:sz w:val="18"/>
                  <w:szCs w:val="18"/>
                  <w:color w:val="0000FF"/>
                  <w:w w:val="96"/>
                </w:rPr>
                <w:t>Second Amended and Restated Credit Agreement, dated as of November 1, 2103, among Diamondback Energy, Inc., as parent</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guarantor, Diamondback O&amp;G LLC, as borrower, Wells Fargo Bank, National Association, as administrative agent, and the lenders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party thereto (incorporated by reference to Exhibit 10.3 to the Form 10-Q, File No. 001-35700, filed by the Company with the SEC on</w:t>
              </w:r>
            </w:hyperlink>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November 5, 2013).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89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746" w:right="239" w:bottom="893"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154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9"/>
        </w:trPr>
        <w:tc>
          <w:tcPr>
            <w:tcW w:w="1540" w:type="dxa"/>
            <w:vAlign w:val="bottom"/>
          </w:tcPr>
          <w:p>
            <w:pPr>
              <w:ind w:left="60"/>
              <w:spacing w:after="0"/>
              <w:rPr>
                <w:sz w:val="20"/>
                <w:szCs w:val="20"/>
                <w:color w:val="auto"/>
              </w:rPr>
            </w:pPr>
            <w:r>
              <w:rPr>
                <w:rFonts w:ascii="Arial" w:cs="Arial" w:eastAsia="Arial" w:hAnsi="Arial"/>
                <w:sz w:val="18"/>
                <w:szCs w:val="18"/>
                <w:color w:val="auto"/>
              </w:rPr>
              <w:t>10.37</w:t>
            </w:r>
          </w:p>
        </w:tc>
        <w:tc>
          <w:tcPr>
            <w:tcW w:w="9880" w:type="dxa"/>
            <w:vAlign w:val="bottom"/>
            <w:gridSpan w:val="13"/>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First Amendment, dated June 9, 2014, to the Second Amended and Restated Credit Agreement, originally dated November 1, 2013, by</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and among the Company, as parent guarantor, Diamondback O&amp;G LLC, as borrower, each of the guarantors party thereto, each of the</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lenders party thereto and Wells Fargo Bank, National Association, as administrative agent (incorporated by reference to Exhibit 10.4 to</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the Form 10-Q, File No. 001-35700, filed by the Company with the SEC on August 7, 2014).</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10.38</w:t>
            </w:r>
          </w:p>
        </w:tc>
        <w:tc>
          <w:tcPr>
            <w:tcW w:w="9880" w:type="dxa"/>
            <w:vAlign w:val="bottom"/>
            <w:gridSpan w:val="13"/>
            <w:shd w:val="clear" w:color="auto" w:fill="CCEEFF"/>
          </w:tcPr>
          <w:p>
            <w:pPr>
              <w:spacing w:after="0" w:line="202"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Second Amendment to the Second Amended and Restated Credit Agreement, dated as of November 13, 2014, among Diamondback</w:t>
              </w:r>
            </w:hyperlink>
          </w:p>
        </w:tc>
      </w:tr>
      <w:tr>
        <w:trPr>
          <w:trHeight w:val="20"/>
        </w:trPr>
        <w:tc>
          <w:tcPr>
            <w:tcW w:w="15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Energy, Inc., as parent guarantor, Diamondback O&amp;G LLC, as borrower, the guarantors, Wells Fargo Bank, National Association, as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administrative agent, and the lenders party thereto (incorporated by reference to Exhibit 10.2 to the Form 8-K, File No. 001-35700, filed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by the Company with the SEC on November 18, 2014).</w:t>
              </w:r>
            </w:hyperlink>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9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10.39</w:t>
            </w:r>
          </w:p>
        </w:tc>
        <w:tc>
          <w:tcPr>
            <w:tcW w:w="9880" w:type="dxa"/>
            <w:vAlign w:val="bottom"/>
            <w:tcBorders>
              <w:bottom w:val="single" w:sz="8" w:color="0000FF"/>
            </w:tcBorders>
            <w:gridSpan w:val="13"/>
          </w:tcPr>
          <w:p>
            <w:pPr>
              <w:spacing w:after="0" w:line="202"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Third Amendment, dated as of June 21, 2016, to the Second Amended and Restated Credit Agreement, dated as of November 1, 2013,</w:t>
              </w:r>
            </w:hyperlink>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by and among Diamondback Energy, Inc., as parent guarantor, Diamondback O&amp;G LLC, as borrower, certain other subsidiaries of</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Diamondback Energy, Inc., as guarantors, Wells Fargo Bank, National Association, as administrative agent, and the lenders party thereto</w:t>
              </w:r>
            </w:hyperlink>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(incorporated by reference to Exhibit 10.1 to the Company’s Current Report on Form 8-K, File No. 001-35700, filed by the Company</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with the SEC on June 27, 2016).</w:t>
              </w:r>
            </w:hyperlink>
          </w:p>
        </w:tc>
      </w:tr>
      <w:tr>
        <w:trPr>
          <w:trHeight w:val="48"/>
        </w:trPr>
        <w:tc>
          <w:tcPr>
            <w:tcW w:w="15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10.40</w:t>
            </w:r>
          </w:p>
        </w:tc>
        <w:tc>
          <w:tcPr>
            <w:tcW w:w="984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Fourth Amendment, dated as of December 15, 2016, to the Second Amended and Restated Credit Agreement, dated as of November 1,</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2013, by and among Diamondback Energy, Inc., as parent guarantor, Diamondback O&amp;G LLC, as borrower, certain other subsidiaries of</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Diamondback Energy, Inc., as guarantors, Wells Fargo Bank, National Association, as administrative agent, and the lenders party thereto</w:t>
              </w:r>
            </w:hyperlink>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(incorporated by reference to Exhibit 10.2 to the Company’s Current Report on Form 8-K, File No. 001-35700, filed by the Company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with the SEC on December 20, 2016).</w:t>
              </w:r>
            </w:hyperlink>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9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10.41</w:t>
            </w:r>
          </w:p>
        </w:tc>
        <w:tc>
          <w:tcPr>
            <w:tcW w:w="984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Fifth Amendment, dated as of November 28, 2017, to the Second Amended and Restated Credit Agreement, dated as of November 1,</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2013, by and among Diamondback Energy, Inc., as parent guarantor, Diamondback O&amp;G LLC, as borrower, certain other subsidiaries</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of Diamondback Energy, Inc., as guarantors, Wells Fargo Bank, National Association, as administrative agent, and the lenders party</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thereto (incorporated by reference to Exhibit 10.1 to the Company’s Current Report on Form 8-K, File No. 001-35700, filed by the</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Company with the SEC on December 4, 2017).</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10.42</w:t>
            </w:r>
          </w:p>
        </w:tc>
        <w:tc>
          <w:tcPr>
            <w:tcW w:w="984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4"/>
              </w:rPr>
            </w:pPr>
            <w:hyperlink r:id="rId78">
              <w:r>
                <w:rPr>
                  <w:rFonts w:ascii="Arial" w:cs="Arial" w:eastAsia="Arial" w:hAnsi="Arial"/>
                  <w:sz w:val="18"/>
                  <w:szCs w:val="18"/>
                  <w:color w:val="0000FF"/>
                  <w:w w:val="94"/>
                </w:rPr>
                <w:t>Senior Secured Revolving Credit Agreement, dated as of July 8, 2014, among Viper Energy Partners LP, as borrower, Wells Fargo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Bank, National Association, as the administrative agent, sole book runner and lead arranger, and certain lenders from time to time party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thereto (incorporated by reference to Exhibit 10.1 to the Form 8-K, File No. 001-36505, filed by Viper Energy Partners LP on July 14,</w:t>
              </w:r>
            </w:hyperlink>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2"/>
            <w:shd w:val="clear" w:color="auto" w:fill="CCEEFF"/>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2014).</w:t>
              </w:r>
            </w:hyperlink>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40"/>
              <w:spacing w:after="0" w:line="202" w:lineRule="exact"/>
              <w:rPr>
                <w:sz w:val="20"/>
                <w:szCs w:val="20"/>
                <w:color w:val="auto"/>
              </w:rPr>
            </w:pPr>
            <w:r>
              <w:rPr>
                <w:rFonts w:ascii="Arial" w:cs="Arial" w:eastAsia="Arial" w:hAnsi="Arial"/>
                <w:sz w:val="18"/>
                <w:szCs w:val="18"/>
                <w:color w:val="auto"/>
              </w:rPr>
              <w:t>10.43</w:t>
            </w:r>
          </w:p>
        </w:tc>
        <w:tc>
          <w:tcPr>
            <w:tcW w:w="9840" w:type="dxa"/>
            <w:vAlign w:val="bottom"/>
            <w:tcBorders>
              <w:bottom w:val="single" w:sz="8" w:color="0000FF"/>
            </w:tcBorders>
            <w:gridSpan w:val="12"/>
          </w:tcPr>
          <w:p>
            <w:pPr>
              <w:spacing w:after="0" w:line="202"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Contribution Agreement by and among Diamondback Energy, Inc., Viper Energy Partners LLC, Viper Energy Partners GP LLC and</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Viper Energy Partners LP, dated as of June 17, 2014 (incorporated by reference to Exhibit 10.1 to the Form 8-K, File No. 001-35700,</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filed by Viper Energy Partners LP with the SEC on May 7, 2014).</w:t>
              </w:r>
            </w:hyperlink>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9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10.44</w:t>
            </w:r>
          </w:p>
        </w:tc>
        <w:tc>
          <w:tcPr>
            <w:tcW w:w="988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First Amendment, dated as of August 15, 2014, to Credit Agreement, dated as of July 8, 2014, among Viper Energy Partners LP, as</w:t>
              </w:r>
            </w:hyperlink>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borrower, the guarantors party thereto, Wells Fargo, National Association, as administrative agent, and certain lenders party thereto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(incorporated by reference to Exhibit 10.1 to the Form 10-Q, File No. 001-35700, filed by the Company with the SEC on August 10,</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2015).</w:t>
              </w:r>
            </w:hyperlink>
          </w:p>
        </w:tc>
        <w:tc>
          <w:tcPr>
            <w:tcW w:w="9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1960" w:type="dxa"/>
            <w:vAlign w:val="bottom"/>
            <w:tcBorders>
              <w:top w:val="single" w:sz="8" w:color="0000FF"/>
            </w:tcBorders>
            <w:shd w:val="clear" w:color="auto" w:fill="CCEEFF"/>
          </w:tcPr>
          <w:p>
            <w:pPr>
              <w:spacing w:after="0"/>
              <w:rPr>
                <w:sz w:val="17"/>
                <w:szCs w:val="17"/>
                <w:color w:val="auto"/>
              </w:rPr>
            </w:pPr>
          </w:p>
        </w:tc>
        <w:tc>
          <w:tcPr>
            <w:tcW w:w="31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10.45</w:t>
            </w:r>
          </w:p>
        </w:tc>
        <w:tc>
          <w:tcPr>
            <w:tcW w:w="9840" w:type="dxa"/>
            <w:vAlign w:val="bottom"/>
            <w:tcBorders>
              <w:bottom w:val="single" w:sz="8" w:color="0000FF"/>
            </w:tcBorders>
            <w:gridSpan w:val="12"/>
          </w:tcPr>
          <w:p>
            <w:pPr>
              <w:spacing w:after="0" w:line="202"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Second Amendment, dated as of May 22, 2015, to Credit Agreement, dated as of July 8, 2014, among Viper Energy Partners LP, as</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borrower, the guarantors party thereto, Wells Fargo, National Association, as administrative agent, and certain lenders party thereto</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5"/>
              </w:rPr>
            </w:pPr>
            <w:hyperlink r:id="rId81">
              <w:r>
                <w:rPr>
                  <w:rFonts w:ascii="Arial" w:cs="Arial" w:eastAsia="Arial" w:hAnsi="Arial"/>
                  <w:sz w:val="18"/>
                  <w:szCs w:val="18"/>
                  <w:color w:val="0000FF"/>
                  <w:w w:val="95"/>
                </w:rPr>
                <w:t>(incorporated by reference to Exhibit 10.2 to the Form 10-Q, File No. 001-35700, filed by the Company with the SEC on August 6,</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720" w:type="dxa"/>
            <w:vAlign w:val="bottom"/>
            <w:gridSpan w:val="2"/>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2015).</w:t>
              </w:r>
            </w:hyperlink>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10.46</w:t>
            </w:r>
          </w:p>
        </w:tc>
        <w:tc>
          <w:tcPr>
            <w:tcW w:w="984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Third Amendment, dated as of June 21, 2016, to the Credit Agreement, dated as of July 8, 2014, by and among Viper Energy Partners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LP, as borrower, Viper Energy Partners LLC, as guarantor, Wells Fargo Bank, National Association, as administrative agent, and the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lenders party thereto (incorporated by reference to Exhibit 10.1 of Viper’s Current Report on Form 8-K (File No. 001-36505) filed June</w:t>
              </w:r>
            </w:hyperlink>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1640" w:type="dxa"/>
            <w:vAlign w:val="bottom"/>
            <w:gridSpan w:val="3"/>
            <w:shd w:val="clear" w:color="auto" w:fill="CCEEFF"/>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27, 2016).</w:t>
              </w:r>
            </w:hyperlink>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r>
      <w:tr>
        <w:trPr>
          <w:trHeight w:val="264"/>
        </w:trPr>
        <w:tc>
          <w:tcPr>
            <w:tcW w:w="1540" w:type="dxa"/>
            <w:vAlign w:val="bottom"/>
            <w:tcBorders>
              <w:top w:val="single" w:sz="8" w:color="CCEEFF"/>
              <w:right w:val="single" w:sz="8" w:color="CCEE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24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1960" w:type="dxa"/>
            <w:vAlign w:val="bottom"/>
            <w:tcBorders>
              <w:top w:val="single" w:sz="8" w:color="CCEEFF"/>
            </w:tcBorders>
            <w:shd w:val="clear" w:color="auto" w:fill="CCEEFF"/>
          </w:tcPr>
          <w:p>
            <w:pPr>
              <w:spacing w:after="0"/>
              <w:rPr>
                <w:sz w:val="22"/>
                <w:szCs w:val="22"/>
                <w:color w:val="auto"/>
              </w:rPr>
            </w:pPr>
          </w:p>
        </w:tc>
        <w:tc>
          <w:tcPr>
            <w:tcW w:w="31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10.47</w:t>
            </w:r>
          </w:p>
        </w:tc>
        <w:tc>
          <w:tcPr>
            <w:tcW w:w="9840" w:type="dxa"/>
            <w:vAlign w:val="bottom"/>
            <w:tcBorders>
              <w:bottom w:val="single" w:sz="8" w:color="0000FF"/>
            </w:tcBorders>
            <w:gridSpan w:val="12"/>
          </w:tcPr>
          <w:p>
            <w:pPr>
              <w:spacing w:after="0" w:line="202"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Fourth Amendment, dated as of October 28, 2016, to the Credit Agreement, dated as of July 8, 2014, by and among Viper Energy</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Partners LP, as borrower, Viper Energy Partners LLC, as guarantor, Wells Fargo Bank, National Association, as administrative agent,</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and the lenders party thereto (incorporated by reference to Exhibit 10.1 of Viper’s Current Report on Form 8-K (File No. 001-36505)</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filed on November 3, 2016).</w:t>
              </w:r>
            </w:hyperlink>
          </w:p>
        </w:tc>
      </w:tr>
      <w:tr>
        <w:trPr>
          <w:trHeight w:val="264"/>
        </w:trPr>
        <w:tc>
          <w:tcPr>
            <w:tcW w:w="1540" w:type="dxa"/>
            <w:vAlign w:val="bottom"/>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10.48</w:t>
            </w:r>
          </w:p>
        </w:tc>
        <w:tc>
          <w:tcPr>
            <w:tcW w:w="984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Fifth Amendment, dated as of November 28, 2017, to the Credit Agreement, dated as of July 8, 2014, by and among Viper Energy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Partners LP, as borrower, Viper Energy Partners LLC, as guarantor, Wells Fargo Bank National Association, as administrative agent, and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the lenders party thereto (incorporated by reference to Exhibit 10.1 of Viper’s Current Report on Form 8-K (File No. 001-36505) filed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64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7"/>
              </w:rPr>
            </w:pPr>
            <w:hyperlink r:id="rId84">
              <w:r>
                <w:rPr>
                  <w:rFonts w:ascii="Arial" w:cs="Arial" w:eastAsia="Arial" w:hAnsi="Arial"/>
                  <w:sz w:val="18"/>
                  <w:szCs w:val="18"/>
                  <w:color w:val="0000FF"/>
                  <w:w w:val="87"/>
                </w:rPr>
                <w:t>on December 4, 2017).</w:t>
              </w:r>
            </w:hyperlink>
          </w:p>
        </w:tc>
        <w:tc>
          <w:tcPr>
            <w:tcW w:w="8240" w:type="dxa"/>
            <w:vAlign w:val="bottom"/>
            <w:tcBorders>
              <w:bottom w:val="single" w:sz="8" w:color="CCEEFF"/>
            </w:tcBorders>
            <w:gridSpan w:val="10"/>
            <w:shd w:val="clear" w:color="auto" w:fill="CCEEFF"/>
          </w:tcPr>
          <w:p>
            <w:pPr>
              <w:spacing w:after="0"/>
              <w:rPr>
                <w:sz w:val="21"/>
                <w:szCs w:val="21"/>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10.49</w:t>
            </w:r>
          </w:p>
        </w:tc>
        <w:tc>
          <w:tcPr>
            <w:tcW w:w="9840" w:type="dxa"/>
            <w:vAlign w:val="bottom"/>
            <w:tcBorders>
              <w:bottom w:val="single" w:sz="8" w:color="0000FF"/>
            </w:tcBorders>
            <w:gridSpan w:val="12"/>
          </w:tcPr>
          <w:p>
            <w:pPr>
              <w:spacing w:after="0" w:line="202"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Lease Amendment No. 11 effective July 31, 2014 to Lease Agreement dated as of April 19, 2011, as amended, by and between Fasken</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Midland, LLC and Diamondback E&amp;P LLC (incorporated by reference to Exhibit 10.1 to the Form 10-Q, File No. 001-35700, filed by</w:t>
              </w:r>
            </w:hyperlink>
          </w:p>
        </w:tc>
      </w:tr>
      <w:tr>
        <w:trPr>
          <w:trHeight w:val="196"/>
        </w:trPr>
        <w:tc>
          <w:tcPr>
            <w:tcW w:w="154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the Company with the SEC on November 5, 2015).</w:t>
              </w:r>
            </w:hyperlink>
          </w:p>
        </w:tc>
        <w:tc>
          <w:tcPr>
            <w:tcW w:w="6140" w:type="dxa"/>
            <w:vAlign w:val="bottom"/>
            <w:tcBorders>
              <w:top w:val="single" w:sz="8" w:color="0000FF"/>
            </w:tcBorders>
            <w:gridSpan w:val="4"/>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108"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746" w:right="239" w:bottom="1108"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i w:val="1"/>
          <w:iCs w:val="1"/>
          <w:color w:val="auto"/>
        </w:rPr>
        <w:t>3.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10.50</w:t>
            </w:r>
          </w:p>
        </w:tc>
        <w:tc>
          <w:tcPr>
            <w:tcW w:w="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3"/>
            <w:shd w:val="clear" w:color="auto" w:fill="CCEEFF"/>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Lease Amendment No. 12 effective October 23, 2014 to Lease Agreement dated as of April 19, 2011, as amended, by and between</w:t>
              </w:r>
            </w:hyperlink>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Fasken Midland, LLC and Diamondback E&amp;P LLC (incorporated by reference to Exhibit 10.2 to the Form 10-Q, File No. 001-35700,</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filed by the Company with the SEC on November 5, 2015).</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10.51</w:t>
            </w:r>
          </w:p>
        </w:tc>
        <w:tc>
          <w:tcPr>
            <w:tcW w:w="20" w:type="dxa"/>
            <w:vAlign w:val="bottom"/>
          </w:tcPr>
          <w:p>
            <w:pPr>
              <w:spacing w:after="0"/>
              <w:rPr>
                <w:sz w:val="17"/>
                <w:szCs w:val="17"/>
                <w:color w:val="auto"/>
              </w:rPr>
            </w:pPr>
          </w:p>
        </w:tc>
        <w:tc>
          <w:tcPr>
            <w:tcW w:w="9880" w:type="dxa"/>
            <w:vAlign w:val="bottom"/>
            <w:tcBorders>
              <w:bottom w:val="single" w:sz="8" w:color="0000FF"/>
            </w:tcBorders>
            <w:gridSpan w:val="13"/>
          </w:tcPr>
          <w:p>
            <w:pPr>
              <w:spacing w:after="0" w:line="202"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Lease Amendment No. 13 effective October 30, 2014 to Lease Agreement dated as of April 19, 2011, as amended, by and between</w:t>
              </w:r>
            </w:hyperlink>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Fasken Midland, LLC and Diamondback E&amp;P LLC (incorporated by reference to Exhibit 10.3 to the Form 10-Q, File No. 001-35700,</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filed by the Company with the SEC on November 5, 2015).</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10.52</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Lease Amendment No. 14 effective November 10, 2014 to Lease Agreement dated as of April 19, 2011, as amended, by and between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Fasken Midland, LLC and Diamondback E&amp;P LLC (incorporated by reference to Exhibit 10.4 to the Form 10-Q, File No. 001-35700,</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filed by the Company with the SEC on November 5, 2015).</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10.53</w:t>
            </w:r>
          </w:p>
        </w:tc>
        <w:tc>
          <w:tcPr>
            <w:tcW w:w="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202"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Lease Amendment No. 15 effective November 10, 2014 to Lease Agreement dated as of April 19, 2011, as amended, by and between</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Fasken Midland, LLC and Diamondback E&amp;P LLC (incorporated by reference to Exhibit 10.5 to the Form 10-Q, File No. 001-35700,</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filed by the Company with the SEC on November 5, 2015).</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10.54</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Lease Amendment No. 16 effective April 1, 2015 to Lease Agreement dated as of April 19, 2011, as amended, by and between Fasken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Midland, LLC and Diamondback E&amp;P LLC (incorporated by reference to Exhibit 10.6 to the Form 10-Q, File No. 001-35700, filed by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the Company with the SEC on November 5, 2015).</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10.55</w:t>
            </w:r>
          </w:p>
        </w:tc>
        <w:tc>
          <w:tcPr>
            <w:tcW w:w="20" w:type="dxa"/>
            <w:vAlign w:val="bottom"/>
          </w:tcPr>
          <w:p>
            <w:pPr>
              <w:spacing w:after="0"/>
              <w:rPr>
                <w:sz w:val="17"/>
                <w:szCs w:val="17"/>
                <w:color w:val="auto"/>
              </w:rPr>
            </w:pPr>
          </w:p>
        </w:tc>
        <w:tc>
          <w:tcPr>
            <w:tcW w:w="9880" w:type="dxa"/>
            <w:vAlign w:val="bottom"/>
            <w:tcBorders>
              <w:bottom w:val="single" w:sz="8" w:color="0000FF"/>
            </w:tcBorders>
            <w:gridSpan w:val="13"/>
          </w:tcPr>
          <w:p>
            <w:pPr>
              <w:spacing w:after="0" w:line="202"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Lease Amendment No. 17 effective June 1, 2015 to Lease Agreement dated as of April 19, 2011, as amended, by and between Fasken</w:t>
              </w:r>
            </w:hyperlink>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91">
              <w:r>
                <w:rPr>
                  <w:rFonts w:ascii="Arial" w:cs="Arial" w:eastAsia="Arial" w:hAnsi="Arial"/>
                  <w:sz w:val="18"/>
                  <w:szCs w:val="18"/>
                  <w:color w:val="0000FF"/>
                  <w:w w:val="94"/>
                </w:rPr>
                <w:t>Midland, LLC and Diamondback E&amp;P LLC (incorporated by reference to Exhibit 10.7 to the Form 10-Q, File No. 001-35700, filed by</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the Company with the SEC on November 5, 2015).</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202" w:lineRule="exact"/>
              <w:rPr>
                <w:rFonts w:ascii="Arial" w:cs="Arial" w:eastAsia="Arial" w:hAnsi="Arial"/>
                <w:sz w:val="18"/>
                <w:szCs w:val="18"/>
                <w:color w:val="0000FF"/>
              </w:rPr>
            </w:pPr>
            <w:hyperlink w:anchor="page138">
              <w:r>
                <w:rPr>
                  <w:rFonts w:ascii="Arial" w:cs="Arial" w:eastAsia="Arial" w:hAnsi="Arial"/>
                  <w:sz w:val="18"/>
                  <w:szCs w:val="18"/>
                  <w:color w:val="0000FF"/>
                </w:rPr>
                <w:t>Subsidiaries of the Registrant.</w:t>
              </w:r>
            </w:hyperlink>
          </w:p>
        </w:tc>
      </w:tr>
      <w:tr>
        <w:trPr>
          <w:trHeight w:val="237"/>
        </w:trPr>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0000FF"/>
            </w:tcBorders>
            <w:shd w:val="clear" w:color="auto" w:fill="CCEEFF"/>
          </w:tcPr>
          <w:p>
            <w:pPr>
              <w:spacing w:after="0"/>
              <w:rPr>
                <w:sz w:val="20"/>
                <w:szCs w:val="20"/>
                <w:color w:val="auto"/>
              </w:rPr>
            </w:pPr>
          </w:p>
        </w:tc>
        <w:tc>
          <w:tcPr>
            <w:tcW w:w="68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9880" w:type="dxa"/>
            <w:vAlign w:val="bottom"/>
            <w:gridSpan w:val="13"/>
          </w:tcPr>
          <w:p>
            <w:pPr>
              <w:spacing w:after="0" w:line="202" w:lineRule="exact"/>
              <w:rPr>
                <w:rFonts w:ascii="Arial" w:cs="Arial" w:eastAsia="Arial" w:hAnsi="Arial"/>
                <w:sz w:val="18"/>
                <w:szCs w:val="18"/>
                <w:color w:val="0000FF"/>
              </w:rPr>
            </w:pPr>
            <w:hyperlink w:anchor="page139">
              <w:r>
                <w:rPr>
                  <w:rFonts w:ascii="Arial" w:cs="Arial" w:eastAsia="Arial" w:hAnsi="Arial"/>
                  <w:sz w:val="18"/>
                  <w:szCs w:val="18"/>
                  <w:color w:val="0000FF"/>
                </w:rPr>
                <w:t>Consent of Grant Thornton LLP.</w:t>
              </w:r>
            </w:hyperlink>
          </w:p>
        </w:tc>
      </w:tr>
      <w:tr>
        <w:trPr>
          <w:trHeight w:val="237"/>
        </w:trPr>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15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23.2*</w:t>
            </w: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202" w:lineRule="exact"/>
              <w:rPr>
                <w:rFonts w:ascii="Arial" w:cs="Arial" w:eastAsia="Arial" w:hAnsi="Arial"/>
                <w:sz w:val="18"/>
                <w:szCs w:val="18"/>
                <w:color w:val="0000FF"/>
                <w:w w:val="99"/>
              </w:rPr>
            </w:pPr>
            <w:hyperlink w:anchor="page140">
              <w:r>
                <w:rPr>
                  <w:rFonts w:ascii="Arial" w:cs="Arial" w:eastAsia="Arial" w:hAnsi="Arial"/>
                  <w:sz w:val="18"/>
                  <w:szCs w:val="18"/>
                  <w:color w:val="0000FF"/>
                  <w:w w:val="99"/>
                </w:rPr>
                <w:t>Consent of Ryder Scott Company, L.P. with respect to the Diamondback Energy, Inc. reserve report included as Exhibit 99.1.</w:t>
              </w:r>
            </w:hyperlink>
          </w:p>
        </w:tc>
      </w:tr>
      <w:tr>
        <w:trPr>
          <w:trHeight w:val="237"/>
        </w:trPr>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0000FF"/>
            </w:tcBorders>
            <w:shd w:val="clear" w:color="auto" w:fill="CCEEFF"/>
          </w:tcPr>
          <w:p>
            <w:pPr>
              <w:spacing w:after="0"/>
              <w:rPr>
                <w:sz w:val="20"/>
                <w:szCs w:val="20"/>
                <w:color w:val="auto"/>
              </w:rPr>
            </w:pPr>
          </w:p>
        </w:tc>
        <w:tc>
          <w:tcPr>
            <w:tcW w:w="68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1340" w:type="dxa"/>
            <w:vAlign w:val="bottom"/>
            <w:tcBorders>
              <w:top w:val="single" w:sz="8" w:color="0000FF"/>
            </w:tcBorders>
            <w:shd w:val="clear" w:color="auto" w:fill="CCEEFF"/>
          </w:tcPr>
          <w:p>
            <w:pPr>
              <w:spacing w:after="0"/>
              <w:rPr>
                <w:sz w:val="20"/>
                <w:szCs w:val="20"/>
                <w:color w:val="auto"/>
              </w:rPr>
            </w:pPr>
          </w:p>
        </w:tc>
        <w:tc>
          <w:tcPr>
            <w:tcW w:w="600" w:type="dxa"/>
            <w:vAlign w:val="bottom"/>
            <w:tcBorders>
              <w:top w:val="single" w:sz="8" w:color="0000FF"/>
            </w:tcBorders>
            <w:shd w:val="clear" w:color="auto" w:fill="CCEEFF"/>
          </w:tcPr>
          <w:p>
            <w:pPr>
              <w:spacing w:after="0"/>
              <w:rPr>
                <w:sz w:val="20"/>
                <w:szCs w:val="20"/>
                <w:color w:val="auto"/>
              </w:rPr>
            </w:pPr>
          </w:p>
        </w:tc>
        <w:tc>
          <w:tcPr>
            <w:tcW w:w="2120" w:type="dxa"/>
            <w:vAlign w:val="bottom"/>
            <w:tcBorders>
              <w:top w:val="single" w:sz="8" w:color="0000FF"/>
            </w:tcBorders>
            <w:shd w:val="clear" w:color="auto" w:fill="CCEEFF"/>
          </w:tcPr>
          <w:p>
            <w:pPr>
              <w:spacing w:after="0"/>
              <w:rPr>
                <w:sz w:val="20"/>
                <w:szCs w:val="20"/>
                <w:color w:val="auto"/>
              </w:rPr>
            </w:pPr>
          </w:p>
        </w:tc>
        <w:tc>
          <w:tcPr>
            <w:tcW w:w="1120" w:type="dxa"/>
            <w:vAlign w:val="bottom"/>
            <w:tcBorders>
              <w:top w:val="single" w:sz="8" w:color="0000FF"/>
            </w:tcBorders>
            <w:shd w:val="clear" w:color="auto" w:fill="CCEEFF"/>
          </w:tcPr>
          <w:p>
            <w:pPr>
              <w:spacing w:after="0"/>
              <w:rPr>
                <w:sz w:val="20"/>
                <w:szCs w:val="20"/>
                <w:color w:val="auto"/>
              </w:rPr>
            </w:pPr>
          </w:p>
        </w:tc>
        <w:tc>
          <w:tcPr>
            <w:tcW w:w="136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23.3*</w:t>
            </w:r>
          </w:p>
        </w:tc>
        <w:tc>
          <w:tcPr>
            <w:tcW w:w="9900" w:type="dxa"/>
            <w:vAlign w:val="bottom"/>
            <w:gridSpan w:val="14"/>
          </w:tcPr>
          <w:p>
            <w:pPr>
              <w:spacing w:after="0" w:line="202" w:lineRule="exact"/>
              <w:rPr>
                <w:rFonts w:ascii="Arial" w:cs="Arial" w:eastAsia="Arial" w:hAnsi="Arial"/>
                <w:sz w:val="18"/>
                <w:szCs w:val="18"/>
                <w:color w:val="0000FF"/>
              </w:rPr>
            </w:pPr>
            <w:hyperlink w:anchor="page141">
              <w:r>
                <w:rPr>
                  <w:rFonts w:ascii="Arial" w:cs="Arial" w:eastAsia="Arial" w:hAnsi="Arial"/>
                  <w:sz w:val="18"/>
                  <w:szCs w:val="18"/>
                  <w:color w:val="0000FF"/>
                </w:rPr>
                <w:t>Consent of Ryder Scott Company, L.P. with respect to the Viper Energy Partners LP reserve report included as Exhibit 99.2.</w:t>
              </w:r>
            </w:hyperlink>
          </w:p>
        </w:tc>
      </w:tr>
      <w:tr>
        <w:trPr>
          <w:trHeight w:val="237"/>
        </w:trPr>
        <w:tc>
          <w:tcPr>
            <w:tcW w:w="15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2120" w:type="dxa"/>
            <w:vAlign w:val="bottom"/>
            <w:tcBorders>
              <w:top w:val="single" w:sz="8" w:color="0000FF"/>
            </w:tcBorders>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3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31.1*</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2"/>
              </w:rPr>
            </w:pPr>
            <w:hyperlink w:anchor="page142">
              <w:r>
                <w:rPr>
                  <w:rFonts w:ascii="Arial" w:cs="Arial" w:eastAsia="Arial" w:hAnsi="Arial"/>
                  <w:sz w:val="18"/>
                  <w:szCs w:val="18"/>
                  <w:color w:val="0000FF"/>
                  <w:w w:val="92"/>
                </w:rPr>
                <w:t>Certification of Chief Executive Officer of the Registrant pursuant to Rule 13a-14(a) promulgated under the Securities Exchange Act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rPr>
            </w:pPr>
            <w:hyperlink w:anchor="page142">
              <w:r>
                <w:rPr>
                  <w:rFonts w:ascii="Arial" w:cs="Arial" w:eastAsia="Arial" w:hAnsi="Arial"/>
                  <w:sz w:val="18"/>
                  <w:szCs w:val="18"/>
                  <w:color w:val="0000FF"/>
                </w:rPr>
                <w:t>1934, as amended.</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2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202" w:lineRule="exact"/>
              <w:rPr>
                <w:rFonts w:ascii="Arial" w:cs="Arial" w:eastAsia="Arial" w:hAnsi="Arial"/>
                <w:sz w:val="18"/>
                <w:szCs w:val="18"/>
                <w:color w:val="0000FF"/>
                <w:w w:val="92"/>
              </w:rPr>
            </w:pPr>
            <w:hyperlink w:anchor="page143">
              <w:r>
                <w:rPr>
                  <w:rFonts w:ascii="Arial" w:cs="Arial" w:eastAsia="Arial" w:hAnsi="Arial"/>
                  <w:sz w:val="18"/>
                  <w:szCs w:val="18"/>
                  <w:color w:val="0000FF"/>
                  <w:w w:val="92"/>
                </w:rPr>
                <w:t>Certification of Chief Financial Officer of the Registrant pursuant to Rule 13a-14(a) promulgated under the Securities Exchange Act of</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w:anchor="page143">
              <w:r>
                <w:rPr>
                  <w:rFonts w:ascii="Arial" w:cs="Arial" w:eastAsia="Arial" w:hAnsi="Arial"/>
                  <w:sz w:val="18"/>
                  <w:szCs w:val="18"/>
                  <w:color w:val="0000FF"/>
                </w:rPr>
                <w:t>1934, as amended.</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2"/>
              </w:rPr>
            </w:pPr>
            <w:hyperlink w:anchor="page144">
              <w:r>
                <w:rPr>
                  <w:rFonts w:ascii="Arial" w:cs="Arial" w:eastAsia="Arial" w:hAnsi="Arial"/>
                  <w:sz w:val="18"/>
                  <w:szCs w:val="18"/>
                  <w:color w:val="0000FF"/>
                  <w:w w:val="92"/>
                </w:rPr>
                <w:t>Certification of Chief Executive Officer of the Registrant pursuant to Rule 13a-14(b) promulgated under the Securities Exchange Act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196" w:lineRule="exact"/>
              <w:rPr>
                <w:rFonts w:ascii="Arial" w:cs="Arial" w:eastAsia="Arial" w:hAnsi="Arial"/>
                <w:sz w:val="18"/>
                <w:szCs w:val="18"/>
                <w:color w:val="0000FF"/>
              </w:rPr>
            </w:pPr>
            <w:hyperlink w:anchor="page144">
              <w:r>
                <w:rPr>
                  <w:rFonts w:ascii="Arial" w:cs="Arial" w:eastAsia="Arial" w:hAnsi="Arial"/>
                  <w:sz w:val="18"/>
                  <w:szCs w:val="18"/>
                  <w:color w:val="0000FF"/>
                </w:rPr>
                <w:t>1934, as amended, and Section 1350 of Chapter 63 of Title 18 of the United States Code.</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120" w:type="dxa"/>
            <w:vAlign w:val="bottom"/>
            <w:tcBorders>
              <w:top w:val="single" w:sz="8" w:color="0000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202" w:lineRule="exact"/>
              <w:rPr>
                <w:rFonts w:ascii="Arial" w:cs="Arial" w:eastAsia="Arial" w:hAnsi="Arial"/>
                <w:sz w:val="18"/>
                <w:szCs w:val="18"/>
                <w:color w:val="0000FF"/>
                <w:w w:val="92"/>
              </w:rPr>
            </w:pPr>
            <w:hyperlink w:anchor="page145">
              <w:r>
                <w:rPr>
                  <w:rFonts w:ascii="Arial" w:cs="Arial" w:eastAsia="Arial" w:hAnsi="Arial"/>
                  <w:sz w:val="18"/>
                  <w:szCs w:val="18"/>
                  <w:color w:val="0000FF"/>
                  <w:w w:val="92"/>
                </w:rPr>
                <w:t>Certification of Chief Financial Officer of the Registrant pursuant to Rule 13a-14(b) promulgated under the Securities Exchange Act of</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rPr>
            </w:pPr>
            <w:hyperlink w:anchor="page145">
              <w:r>
                <w:rPr>
                  <w:rFonts w:ascii="Arial" w:cs="Arial" w:eastAsia="Arial" w:hAnsi="Arial"/>
                  <w:sz w:val="18"/>
                  <w:szCs w:val="18"/>
                  <w:color w:val="0000FF"/>
                </w:rPr>
                <w:t>1934, as amended, and Section 1350 of Chapter 63 of Title 18 of the United States Code.</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99.1*</w:t>
            </w:r>
          </w:p>
        </w:tc>
        <w:tc>
          <w:tcPr>
            <w:tcW w:w="20" w:type="dxa"/>
            <w:vAlign w:val="bottom"/>
            <w:shd w:val="clear" w:color="auto" w:fill="CCEEFF"/>
          </w:tcPr>
          <w:p>
            <w:pPr>
              <w:spacing w:after="0"/>
              <w:rPr>
                <w:sz w:val="17"/>
                <w:szCs w:val="17"/>
                <w:color w:val="auto"/>
              </w:rPr>
            </w:pPr>
          </w:p>
        </w:tc>
        <w:tc>
          <w:tcPr>
            <w:tcW w:w="9880" w:type="dxa"/>
            <w:vAlign w:val="bottom"/>
            <w:gridSpan w:val="13"/>
            <w:shd w:val="clear" w:color="auto" w:fill="CCEEFF"/>
          </w:tcPr>
          <w:p>
            <w:pPr>
              <w:spacing w:after="0" w:line="202" w:lineRule="exact"/>
              <w:rPr>
                <w:rFonts w:ascii="Arial" w:cs="Arial" w:eastAsia="Arial" w:hAnsi="Arial"/>
                <w:sz w:val="18"/>
                <w:szCs w:val="18"/>
                <w:color w:val="0000FF"/>
                <w:w w:val="90"/>
              </w:rPr>
            </w:pPr>
            <w:hyperlink w:anchor="page146">
              <w:r>
                <w:rPr>
                  <w:rFonts w:ascii="Arial" w:cs="Arial" w:eastAsia="Arial" w:hAnsi="Arial"/>
                  <w:sz w:val="18"/>
                  <w:szCs w:val="18"/>
                  <w:color w:val="0000FF"/>
                  <w:w w:val="90"/>
                </w:rPr>
                <w:t>Report of Ryder Scott Company, L.P., dated January 18, 2018, with respect to an estimate of the proved reserves, future production and</w:t>
              </w:r>
            </w:hyperlink>
          </w:p>
        </w:tc>
      </w:tr>
      <w:tr>
        <w:trPr>
          <w:trHeight w:val="196"/>
        </w:trPr>
        <w:tc>
          <w:tcPr>
            <w:tcW w:w="1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rPr>
            </w:pPr>
            <w:hyperlink w:anchor="page146">
              <w:r>
                <w:rPr>
                  <w:rFonts w:ascii="Arial" w:cs="Arial" w:eastAsia="Arial" w:hAnsi="Arial"/>
                  <w:sz w:val="18"/>
                  <w:szCs w:val="18"/>
                  <w:color w:val="0000FF"/>
                </w:rPr>
                <w:t>income attributable to certain leasehold interests of Diamondback Energy, Inc. as of December 31, 2017.</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34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120" w:type="dxa"/>
            <w:vAlign w:val="bottom"/>
            <w:tcBorders>
              <w:top w:val="single" w:sz="8" w:color="0000FF"/>
            </w:tcBorders>
            <w:shd w:val="clear" w:color="auto" w:fill="CCEEFF"/>
          </w:tcPr>
          <w:p>
            <w:pPr>
              <w:spacing w:after="0"/>
              <w:rPr>
                <w:sz w:val="13"/>
                <w:szCs w:val="13"/>
                <w:color w:val="auto"/>
              </w:rPr>
            </w:pPr>
          </w:p>
        </w:tc>
        <w:tc>
          <w:tcPr>
            <w:tcW w:w="1120" w:type="dxa"/>
            <w:vAlign w:val="bottom"/>
            <w:tcBorders>
              <w:top w:val="single" w:sz="8" w:color="0000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99.2*</w:t>
            </w:r>
          </w:p>
        </w:tc>
        <w:tc>
          <w:tcPr>
            <w:tcW w:w="9900" w:type="dxa"/>
            <w:vAlign w:val="bottom"/>
            <w:gridSpan w:val="14"/>
          </w:tcPr>
          <w:p>
            <w:pPr>
              <w:spacing w:after="0" w:line="202" w:lineRule="exact"/>
              <w:rPr>
                <w:rFonts w:ascii="Arial" w:cs="Arial" w:eastAsia="Arial" w:hAnsi="Arial"/>
                <w:sz w:val="18"/>
                <w:szCs w:val="18"/>
                <w:color w:val="0000FF"/>
                <w:w w:val="91"/>
              </w:rPr>
            </w:pPr>
            <w:hyperlink w:anchor="page162">
              <w:r>
                <w:rPr>
                  <w:rFonts w:ascii="Arial" w:cs="Arial" w:eastAsia="Arial" w:hAnsi="Arial"/>
                  <w:sz w:val="18"/>
                  <w:szCs w:val="18"/>
                  <w:color w:val="0000FF"/>
                  <w:w w:val="91"/>
                </w:rPr>
                <w:t>Report of Ryder Scott Company, L.P., dated January 18, 2018, with respect to an estimate of the proved reserves, future production and</w:t>
              </w:r>
            </w:hyperlink>
          </w:p>
        </w:tc>
      </w:tr>
      <w:tr>
        <w:trPr>
          <w:trHeight w:val="20"/>
        </w:trPr>
        <w:tc>
          <w:tcPr>
            <w:tcW w:w="1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18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w w:val="92"/>
              </w:rPr>
            </w:pPr>
            <w:hyperlink w:anchor="page162">
              <w:r>
                <w:rPr>
                  <w:rFonts w:ascii="Arial" w:cs="Arial" w:eastAsia="Arial" w:hAnsi="Arial"/>
                  <w:sz w:val="18"/>
                  <w:szCs w:val="18"/>
                  <w:color w:val="0000FF"/>
                  <w:w w:val="92"/>
                </w:rPr>
                <w:t>income attributable to certain royalty interests of Viper Energy Partners LP, a subsidiary of Diamondback Energy, Inc., as of December</w:t>
              </w:r>
            </w:hyperlink>
          </w:p>
        </w:tc>
      </w:tr>
      <w:tr>
        <w:trPr>
          <w:trHeight w:val="196"/>
        </w:trPr>
        <w:tc>
          <w:tcPr>
            <w:tcW w:w="1520" w:type="dxa"/>
            <w:vAlign w:val="bottom"/>
          </w:tcPr>
          <w:p>
            <w:pPr>
              <w:spacing w:after="0"/>
              <w:rPr>
                <w:sz w:val="17"/>
                <w:szCs w:val="17"/>
                <w:color w:val="auto"/>
              </w:rPr>
            </w:pPr>
          </w:p>
        </w:tc>
        <w:tc>
          <w:tcPr>
            <w:tcW w:w="13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162">
              <w:r>
                <w:rPr>
                  <w:rFonts w:ascii="Arial" w:cs="Arial" w:eastAsia="Arial" w:hAnsi="Arial"/>
                  <w:sz w:val="18"/>
                  <w:szCs w:val="18"/>
                  <w:color w:val="0000FF"/>
                </w:rPr>
                <w:t>31, 2017.</w:t>
              </w:r>
            </w:hyperlink>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15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21"/>
                <w:szCs w:val="21"/>
                <w:color w:val="auto"/>
              </w:rPr>
            </w:pPr>
          </w:p>
        </w:tc>
        <w:tc>
          <w:tcPr>
            <w:tcW w:w="98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520" w:type="dxa"/>
            <w:vAlign w:val="bottom"/>
          </w:tcPr>
          <w:p>
            <w:pPr>
              <w:ind w:left="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21"/>
                <w:szCs w:val="21"/>
                <w:color w:val="auto"/>
              </w:rPr>
            </w:pPr>
          </w:p>
        </w:tc>
        <w:tc>
          <w:tcPr>
            <w:tcW w:w="98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520" w:type="dxa"/>
            <w:vAlign w:val="bottom"/>
          </w:tcPr>
          <w:p>
            <w:pPr>
              <w:ind w:left="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1"/>
                <w:szCs w:val="21"/>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21"/>
                <w:szCs w:val="21"/>
                <w:color w:val="auto"/>
              </w:rPr>
            </w:pPr>
          </w:p>
        </w:tc>
        <w:tc>
          <w:tcPr>
            <w:tcW w:w="98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520" w:type="dxa"/>
            <w:vAlign w:val="bottom"/>
          </w:tcPr>
          <w:p>
            <w:pPr>
              <w:ind w:left="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1"/>
                <w:szCs w:val="21"/>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746"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auto"/>
        </w:rPr>
        <w:t>_______________</w:t>
      </w:r>
    </w:p>
    <w:p>
      <w:pPr>
        <w:spacing w:after="0" w:line="185" w:lineRule="exact"/>
        <w:rPr>
          <w:sz w:val="20"/>
          <w:szCs w:val="20"/>
          <w:color w:val="auto"/>
        </w:rPr>
      </w:pPr>
    </w:p>
    <w:p>
      <w:pPr>
        <w:ind w:left="520" w:hanging="458"/>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520" w:right="20" w:hanging="458"/>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9" w:lineRule="exact"/>
        <w:rPr>
          <w:sz w:val="20"/>
          <w:szCs w:val="20"/>
          <w:color w:val="auto"/>
        </w:rPr>
      </w:pPr>
    </w:p>
    <w:p>
      <w:pPr>
        <w:ind w:left="520" w:hanging="458"/>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52" w:lineRule="exact"/>
        <w:rPr>
          <w:sz w:val="20"/>
          <w:szCs w:val="20"/>
          <w:color w:val="auto"/>
        </w:rPr>
      </w:pPr>
    </w:p>
    <w:p>
      <w:pPr>
        <w:ind w:left="520" w:hanging="458"/>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598"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DIAMONDBACK ENERGY, INC.</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14, 2018</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6180" w:type="dxa"/>
            <w:vAlign w:val="bottom"/>
            <w:gridSpan w:val="3"/>
          </w:tcPr>
          <w:p>
            <w:pPr>
              <w:ind w:left="3140"/>
              <w:spacing w:after="0"/>
              <w:rPr>
                <w:sz w:val="20"/>
                <w:szCs w:val="20"/>
                <w:color w:val="auto"/>
              </w:rPr>
            </w:pPr>
            <w:r>
              <w:rPr>
                <w:rFonts w:ascii="Arial" w:cs="Arial" w:eastAsia="Arial" w:hAnsi="Arial"/>
                <w:sz w:val="18"/>
                <w:szCs w:val="18"/>
                <w:b w:val="1"/>
                <w:bCs w:val="1"/>
                <w:color w:val="auto"/>
              </w:rPr>
              <w:t>Title</w:t>
            </w:r>
          </w:p>
        </w:tc>
        <w:tc>
          <w:tcPr>
            <w:tcW w:w="116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Steven E. West</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14, 2018</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Steven E. West</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Travis D. Stice</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14, 2018</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Travis D. Stice</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Michael P. Cross</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14, 2018</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Michael P. Cross</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David L. Houston</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14, 2018</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David L. Houston</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Mark L. Plaumann</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14, 2018</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Mark L. Plaumann</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Teresa L. Dick</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Senior Vice President, and Assistant Secretary</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14, 2018</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Teresa L. Dick</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702"/>
        </w:trPr>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S-1</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financial statements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Diamondback Energy, Inc. (a Delaware corporation) and subsidiaries (collectively the “Company”) as of December 31, 2017 and 2016, and the related consolidated statements of operations, stockholders’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14, 2018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assessing the accounting principles used and significant estimates made by management, as well as evaluating the overall financial statement presentation.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7"/>
              </w:rPr>
              <w:t>(In thousands, except share amounts)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1,666,574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Joint interest and other</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73,038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49,476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Oil and natural gas sales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Related party</w:t>
            </w:r>
          </w:p>
        </w:tc>
        <w:tc>
          <w:tcPr>
            <w:tcW w:w="1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358,601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1,792,166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5"/>
              </w:rPr>
              <w:t>Oil and natural gas properties, full cost method of accounting ($4,105,865 and $1,730,519 excluded from</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at December 31, 2017 and 2016, respectively)</w:t>
            </w:r>
          </w:p>
        </w:tc>
        <w:tc>
          <w:tcPr>
            <w:tcW w:w="1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9,232,694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5,160,261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property, equipment and land</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80,776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58,290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(2,161,372)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(1,836,056)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7,343,617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3,390,857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held in escrow</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62,463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44,557</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7,770,985</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5,349,680</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payable-trade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47,648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payable-related party</w:t>
            </w:r>
          </w:p>
        </w:tc>
        <w:tc>
          <w:tcPr>
            <w:tcW w:w="1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60,350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92,512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and royalties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100,367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577,428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209,342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1,477,347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1,105,912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16,134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2,189,248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1,331,388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Common stock, $0.01 par value, 200,000,000 shares authorized, 98,167,289 issued and outstanding at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2017; 90,143,934 issued and outstanding at December 31, 2016</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5,291,011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4,215,955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(519,394)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5,254,860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3,697,462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326,877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320,830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5,581,737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4,018,292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7,770,985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5,349,680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500"/>
              <w:spacing w:after="0"/>
              <w:rPr>
                <w:sz w:val="20"/>
                <w:szCs w:val="20"/>
                <w:color w:val="auto"/>
              </w:rPr>
            </w:pPr>
            <w:r>
              <w:rPr>
                <w:rFonts w:ascii="Arial" w:cs="Arial" w:eastAsia="Arial" w:hAnsi="Arial"/>
                <w:sz w:val="18"/>
                <w:szCs w:val="18"/>
                <w:color w:val="auto"/>
                <w:w w:val="96"/>
              </w:rPr>
              <w:t>See accompanying notes to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340" w:type="dxa"/>
            <w:vAlign w:val="bottom"/>
          </w:tcPr>
          <w:p>
            <w:pPr>
              <w:ind w:left="5580"/>
              <w:spacing w:after="0"/>
              <w:rPr>
                <w:sz w:val="20"/>
                <w:szCs w:val="20"/>
                <w:color w:val="auto"/>
              </w:rPr>
            </w:pPr>
            <w:r>
              <w:rPr>
                <w:rFonts w:ascii="Arial" w:cs="Arial" w:eastAsia="Arial" w:hAnsi="Arial"/>
                <w:sz w:val="18"/>
                <w:szCs w:val="18"/>
                <w:color w:val="auto"/>
              </w:rPr>
              <w:t>F-2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211"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7"/>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88"/>
              </w:rPr>
              <w:t>(In thousands, except per share amounts)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1,044,017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470,528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405,715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90,048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21,426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446,733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82,625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Production and ad valorem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32,990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217,697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of oil and natural gas properties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814,798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General and administrative expenses (including non-cash equity-based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net of capitalized amounts, of $25,537, $26,453 and $18,529 for the year ended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2017, 2016 and 2015,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1,187,002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605,020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(740,269)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31,951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(749,100)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2,838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Diamondback Energy, Inc.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482,261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(550,628)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63,019</w:t>
            </w:r>
          </w:p>
        </w:tc>
      </w:tr>
      <w:tr>
        <w:trPr>
          <w:trHeight w:val="257"/>
        </w:trPr>
        <w:tc>
          <w:tcPr>
            <w:tcW w:w="8360" w:type="dxa"/>
            <w:vAlign w:val="bottom"/>
            <w:gridSpan w:val="4"/>
          </w:tcPr>
          <w:p>
            <w:pPr>
              <w:ind w:left="3500"/>
              <w:spacing w:after="0"/>
              <w:rPr>
                <w:sz w:val="20"/>
                <w:szCs w:val="20"/>
                <w:color w:val="auto"/>
              </w:rPr>
            </w:pPr>
            <w:r>
              <w:rPr>
                <w:rFonts w:ascii="Arial" w:cs="Arial" w:eastAsia="Arial" w:hAnsi="Arial"/>
                <w:sz w:val="18"/>
                <w:szCs w:val="18"/>
                <w:color w:val="auto"/>
                <w:w w:val="97"/>
              </w:rPr>
              <w:t>See accompanying notes to consolidated financial statements.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73"/>
        </w:trPr>
        <w:tc>
          <w:tcPr>
            <w:tcW w:w="6740" w:type="dxa"/>
            <w:vAlign w:val="bottom"/>
          </w:tcPr>
          <w:p>
            <w:pPr>
              <w:ind w:left="5580"/>
              <w:spacing w:after="0"/>
              <w:rPr>
                <w:sz w:val="20"/>
                <w:szCs w:val="20"/>
                <w:color w:val="auto"/>
              </w:rPr>
            </w:pPr>
            <w:r>
              <w:rPr>
                <w:rFonts w:ascii="Arial" w:cs="Arial" w:eastAsia="Arial" w:hAnsi="Arial"/>
                <w:sz w:val="18"/>
                <w:szCs w:val="18"/>
                <w:color w:val="auto"/>
              </w:rPr>
              <w:t>F-3</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9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tcPr>
          <w:p>
            <w:pPr>
              <w:spacing w:after="0"/>
              <w:rPr>
                <w:sz w:val="19"/>
                <w:szCs w:val="19"/>
                <w:color w:val="auto"/>
              </w:rPr>
            </w:pPr>
          </w:p>
        </w:tc>
        <w:tc>
          <w:tcPr>
            <w:tcW w:w="196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ind w:left="88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1,985,213</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Unit-based compensation</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20,645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Common shares issued in public offering, net of offering</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649,979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650,073</w:t>
            </w:r>
          </w:p>
        </w:tc>
        <w:tc>
          <w:tcPr>
            <w:tcW w:w="0" w:type="dxa"/>
            <w:vAlign w:val="bottom"/>
          </w:tcPr>
          <w:p>
            <w:pPr>
              <w:spacing w:after="0"/>
              <w:rPr>
                <w:sz w:val="1"/>
                <w:szCs w:val="1"/>
                <w:color w:val="auto"/>
              </w:rPr>
            </w:pPr>
          </w:p>
        </w:tc>
      </w:tr>
      <w:tr>
        <w:trPr>
          <w:trHeight w:val="229"/>
        </w:trPr>
        <w:tc>
          <w:tcPr>
            <w:tcW w:w="4340" w:type="dxa"/>
            <w:vAlign w:val="bottom"/>
          </w:tcPr>
          <w:p>
            <w:pPr>
              <w:ind w:left="180"/>
              <w:spacing w:after="0"/>
              <w:rPr>
                <w:sz w:val="20"/>
                <w:szCs w:val="20"/>
                <w:color w:val="auto"/>
              </w:rPr>
            </w:pPr>
            <w:r>
              <w:rPr>
                <w:rFonts w:ascii="Arial" w:cs="Arial" w:eastAsia="Arial" w:hAnsi="Arial"/>
                <w:sz w:val="18"/>
                <w:szCs w:val="18"/>
                <w:color w:val="auto"/>
                <w:w w:val="93"/>
              </w:rPr>
              <w:t>Exercise of stock options and vesting of restricted stock</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units</w:t>
            </w:r>
          </w:p>
        </w:tc>
        <w:tc>
          <w:tcPr>
            <w:tcW w:w="88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8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(550,628)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(547,790)</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66,797</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2,229,664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(354,360)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233,001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2,108,973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Net proceeds from issuance of common units - Viper</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Partners LP</w:t>
            </w:r>
          </w:p>
        </w:tc>
        <w:tc>
          <w:tcPr>
            <w:tcW w:w="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93,462</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Unit-based compensation</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29,717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Common shares issued in public offering, net of offering</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1,956,079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1,956,308</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w w:val="93"/>
              </w:rPr>
              <w:t>Exercise of stock options and awards of restricted stock</w:t>
            </w: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8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(164,908)</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90,144</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4,215,955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(519,394)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320,830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4,018,292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Net proceeds from issuance of common units - Viper</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Partners LP</w:t>
            </w:r>
          </w:p>
        </w:tc>
        <w:tc>
          <w:tcPr>
            <w:tcW w:w="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369,896</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Unit-based compensation</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units issued for acquisition</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31,783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29"/>
        </w:trPr>
        <w:tc>
          <w:tcPr>
            <w:tcW w:w="4340" w:type="dxa"/>
            <w:vAlign w:val="bottom"/>
          </w:tcPr>
          <w:p>
            <w:pPr>
              <w:ind w:left="180"/>
              <w:spacing w:after="0"/>
              <w:rPr>
                <w:sz w:val="20"/>
                <w:szCs w:val="20"/>
                <w:color w:val="auto"/>
              </w:rPr>
            </w:pPr>
            <w:r>
              <w:rPr>
                <w:rFonts w:ascii="Arial" w:cs="Arial" w:eastAsia="Arial" w:hAnsi="Arial"/>
                <w:sz w:val="18"/>
                <w:szCs w:val="18"/>
                <w:color w:val="auto"/>
                <w:w w:val="92"/>
              </w:rPr>
              <w:t>Common shares issued in public offering, net of offering</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costs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 issued for acquisition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809,173</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w w:val="93"/>
              </w:rPr>
              <w:t>Exercise of stock options and awards of restricted stock</w:t>
            </w: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Change in ownership of consolidated subsidiaries, net</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(128,615)</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482,261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516,757</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5,291,011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326,877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5,581,737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2" w:right="25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516,757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(164,908)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(547,790)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Provision for deferred income taxes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(201,545)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oil and natural gas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814,798</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Asset retirement obligation accretion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217,697</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26,522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112,918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equity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26,453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18,529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of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8,998</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receivable-related party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36,762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15,922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Revenues and royalties payable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45,298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(13,034)</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416,501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(419,241)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properties-related party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midstream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 of other property, equipment and land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leasehold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(437,455)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Acquisition of mineral interests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(205,721)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(43,907)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midstream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65,656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9,739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held in escrow</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(3,132,282)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(1,310,242)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(895,050)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Repayment under credit facility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(603,001)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Repayment of senior notes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Premium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Public offering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459"/>
        </w:trPr>
        <w:tc>
          <w:tcPr>
            <w:tcW w:w="7080" w:type="dxa"/>
            <w:vAlign w:val="bottom"/>
          </w:tcPr>
          <w:p>
            <w:pPr>
              <w:ind w:left="5580"/>
              <w:spacing w:after="0"/>
              <w:rPr>
                <w:sz w:val="20"/>
                <w:szCs w:val="20"/>
                <w:color w:val="auto"/>
              </w:rPr>
            </w:pPr>
            <w:r>
              <w:rPr>
                <w:rFonts w:ascii="Arial" w:cs="Arial" w:eastAsia="Arial" w:hAnsi="Arial"/>
                <w:sz w:val="18"/>
                <w:szCs w:val="18"/>
                <w:color w:val="auto"/>
              </w:rPr>
              <w:t>F-5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public offerings</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370,344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2,051,503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650,688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689,529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2,624,621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468,481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(1,554,128)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1,646,459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1,666,574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30,183</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112,446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1,666,574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57,668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38,177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38,758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160,906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stock-based compensation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51"/>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issued for oil and natural gas properties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809,173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tcPr>
          <w:p>
            <w:pPr>
              <w:ind w:left="380"/>
              <w:spacing w:after="0"/>
              <w:rPr>
                <w:sz w:val="20"/>
                <w:szCs w:val="20"/>
                <w:color w:val="auto"/>
              </w:rPr>
            </w:pPr>
            <w:r>
              <w:rPr>
                <w:rFonts w:ascii="Arial" w:cs="Arial" w:eastAsia="Arial" w:hAnsi="Arial"/>
                <w:sz w:val="18"/>
                <w:szCs w:val="18"/>
                <w:color w:val="auto"/>
              </w:rPr>
              <w:t>Asset retirement obligations acquired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is an independent oil and gas company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17, 2014, Diamondback entered into a contribution agreement with Viper Energy Partners LP (the “Partnership”), Viper Energy Partners GP LLC (the “General Partner”) and Viper Energy Partners LLC to transfer Diamondback’s ownership interest in Viper Energy Partners LLC to the Partnership in exchange for 70,450,000 common units. Diamondback also owns and controls the General Partner, which holds a non-economic general partner interest in the Partnership. On June 23, 2014, the Partnership completed its initial public offering (the “Viper Offering”) of 5,750,000 common units, and the Company’s common units represented an approximate 92% limited partner interest in the Partnership. On September 19, 2014, the Partnership completed an underwritten public offering of 3,500,000 common units. At the completion of this offering, the Company owned approximately 88% of the common units of the Partnership. See Note 4–Viper Energy Partners LP for additional information regarding the Partnership.</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wholly-owned subsidiaries of Diamondback, as of December 31, 2017, include Diamondback E&amp;P LLC, a Delaware limited liability company, Diamondback O&amp;G LLC, a Delaware limited liability company, Viper Energy Partners GP LLC, a Delaware limited liability company, and Rattler Midstream LLC (formerly known as White Fang Energy LLC), a Delaware limited liability company. The consolidated subsidiaries include the wholly-owned subsidiaries as well as Viper Energy Partners LP, a Delaware limited partnership, and Viper Energy Partners LLC, a Delaware limited liability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is consolidated in the financial statements of the Company. As of December 31, 2017, the Company owned approximately 64% of the common units of the Partnership and the Company’s wholly owned subsidiary, Viper Energy Partners GP LLC, is the General Partner of the Partnership.</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estimates of proved oil and natural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2"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2014, a subsidiary of the Company entered into an agreement to purchase certain overriding royalty interests and deposited $0.5 million in escrow. The subsidiary subsequently terminated the agreement and requested a return of the deposit. The seller challenged the termination and the escrow agent tendered the deposit to the court subject to a judicial determination of the proper payment of the funds. The parties reached a settlement of this matter in April 2017 and the funds were distributed in accordance with the terms of the settlement. Pending such distribution, these funds were classified as restricted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Accounts receivable are stated at amounts due from joint interest owners or purchasers, net of an allowance for doubtful accounts when the Company believes collection is doubtful. For receivables from joint interest owners, the Company typically has the ability to withhold future revenue disbursements to recover any non-payment of joint interest billings. Accounts receivable outstanding longer than the contractual payment terms are considered past due. The Company determines its allowance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doubtful accounts. No allowance was deemed necessary at December 31, 2017 or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instruments consist of cash and cash equivalents, restricted cash, receivables, payables, derivatives and senior notes. The carrying amount of cash and cash equivalents, receivables and payables approximates fair value because of the short-term nature of the instruments. The fair value of the revolving credit facility approximates its carrying value based on the borrowing rates currently available to the Company for bank loans with similar terms and maturities. The fair value of the senior notes are determined using quoted market prices. Derivatives are recorded at fair value (see Note 14–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4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Any income from services provided by subsidiaries to working interest owners of properties in which the Company also owns an interest, to the extent they exceed related costs incurred, are accounted for as reductions of capitalized costs of oil and natural gas properties proportionate to the Company’s investment in the subsidiary (see Note 7–Equity Method Investments).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$11.11, $11.23 and $17.84 for the years ended December 31, 2017, 2016 and 2015, respectively. Depreciation, depletion and amortization expense for oil and natural gas properties was $321.9 million, $176.4 million and $216.1 million for the years ended December 31, 2017, 2016 and 2015, respectively.</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During the years ended December 31, 2016 and 2015, the Company recorded impairments on proved oil and natural gas properties of $245.5 million and $814.8 million, respectively. No impairment on proved oil and natural gas properties was recorded for the year ended December 31, 2017.</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Costs associated with unevaluated properties are excluded from the full cost pool until the Company has made a determination as to the existence of proved reserves. The Company assesses all items classified as unevaluated property on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Equipment and Land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property and equipment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 line method over their estimated useful lives, which range from three to fifteen years. Depreciation expense for other property and equipment was $1.4 million for each of the years ended December 31, 2017, 2016 and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a liability relating to the retirement and removal of all assets used in their businesses. 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4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used in operations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such impairment losses for the years ended December 31, 2017,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capitalizes interest on expenditures made in connection with exploration and development projects that are not subject to current amortization. Interest is capitalized only for the period that activities are in progress to bring these projects to their intended use. Capitalized interest cannot exceed gross interest expense. The Company capitalized interest of $22.1 million for the year ended December 31, 2017. The Company did not have any capitalized interest for the years ended December 31,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Inventories are stated at the lower of cost or market and consist of tubular goods and equipment at December 31, 2017 and 2016. The Company’s tubular goods and equipment are primarily comprised of oil and natural gas drilling or repair items such as tubing, casing and pumping units. The inventory is primarily acquired for use in future drilling or repair operations and is carried at lower of cost or market. “Market”, in the context of inventory valuation, represents net realizable value, which is the amount that the Company is allowed to bill to the joint accounts under joint operating agreements to which the Company is a party. As of December 31, 2017, the Company estimated that all of its tubular goods and equipment will be utilized within one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assets included capitalized costs related to the credit facility of $16.7 million and $8.2 million, net of accumulated amortization of $7.0 million and $4.9 million, as of December 31, 2017 and 2016, respectively. Long-term debt included capitalized costs related to the senior notes of $15.2 million and $14.8 million, net of accumulated amortization of $2.0 million and $0.2 million, as of December 31, 2017 and 2016, respectively. The costs associated with the senior notes are being netted against the senior notes balances and are being amortized over the term of the senior notes using the effective interest method. The costs associated with the Company’s credit facility that are included in other assets are being amortized over the term of the facility.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i w:val="1"/>
                <w:iCs w:val="1"/>
                <w:color w:val="auto"/>
              </w:rPr>
              <w:t>Other Accrued Liabilities</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drilling costs prepaid by joint interest partners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1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6,770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5,445</w:t>
            </w: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expenses payable</w:t>
            </w:r>
          </w:p>
        </w:tc>
        <w:tc>
          <w:tcPr>
            <w:tcW w:w="1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 valorem taxes payable</w:t>
            </w:r>
          </w:p>
        </w:tc>
        <w:tc>
          <w:tcPr>
            <w:tcW w:w="1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776</w:t>
            </w: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asset retirement obligations</w:t>
            </w:r>
          </w:p>
        </w:tc>
        <w:tc>
          <w:tcPr>
            <w:tcW w:w="1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23,103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12,369</w:t>
            </w:r>
          </w:p>
        </w:tc>
      </w:tr>
      <w:tr>
        <w:trPr>
          <w:trHeight w:val="27"/>
        </w:trPr>
        <w:tc>
          <w:tcPr>
            <w:tcW w:w="70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accrued liabilities</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92,512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55,330</w:t>
            </w:r>
          </w:p>
        </w:tc>
      </w:tr>
      <w:tr>
        <w:trPr>
          <w:trHeight w:val="20"/>
        </w:trPr>
        <w:tc>
          <w:tcPr>
            <w:tcW w:w="7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4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 and natural gas revenues are recorded when title passes to the purchaser, net of royalty interests, discounts and allowances, as applicable. The Company accounts for oil and natural gas production imbalances using the sales method, whereby a liability is recorded when the Company’s overtake volumes exceed its estimated remaining recoverable reserves. No receivables are recorded for those wells where the Company has taken less than its ownership share of production. The Company did not have any gas imbalances as of December 31, 2017 or December 31, 2016. Revenues from oil and natural gas services are recognized when services are provided.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Equity investments in which the Company exercises significant influence but does not control are accounted for using the equity method. Under the equity method, generally the Company’s share of investees’ earnings or loss is recognized in the statement of operations. The Company reviews its investments to determine if a loss in value which is other than a temporary decline has occurred. If such loss has occurred, the Company would recognize an impairment provision. There was no impairment for the Company’s equity investments for the years ended December 31, 2017, 2016 and 2015.</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on the Company’s investments, see Note 7–Equity Method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grants various types of stock-based awards including stock options and restricted stock units. The Partnership grants various unit-based awards including unit options and phantom units to employees, officers and directors of the General Partner and the Company who perform services for the Partnership. These plans and related accounting policies are defined and described more fully in Note 10–Equity-Based Compensation. Equity compensation awards are measured at fair value on the date of grant and are expensed, net of estimated forfeitures, over the required service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subject to risk resulting from the concentration of its crude oil and natural gas sales and receivables with several significant purchasers. For the year ended December 31, 2017, three purchasers each accounted for more than 10% of the Company’s revenue: Shell Trading (US) Company (31%); Koch Supply &amp; Trading LP (19%); and Enterprise Crude Oil LLC (11%). For the year ended December 31, 2016, three purchasers each accounted for more than 10% of the Company’s revenue: Shell Trading (US) Company (45%); Koch Supply &amp; Trading LP (15%); and Enterprise Crude Oil LLC (13%). For the year ended December 31, 2015, two purchasers each accounted for more than 10% of the Company’s revenue: Shell Trading (US) Company (59%); and Enterprise Crude Oil LLC (15%).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Diamondback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4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in the period the rate change is enacted. A valuation allowance is provided for deferred tax assets when it is more likely than not the deferred tax assets will not be realized.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subject to margin tax in the state of Texas. During the years ended December 31, 2017, 2016 and 2015, the Company had no margin tax expense. The Company’s 2013, 2014, 2015, 2016 and 2017 federal income tax and state margin tax returns remain open to examination by tax authorities. As of December 31, 2017 and December 31, 2016, the Company had no unrecognized tax benefits that would have a material impact on the effective tax rate. The Company is continuing its practice of recognizing interest and penalties related to income tax matters as interest expense and general and administrative expenses, respectively. During the years ended December 31, 2017, 2016 and 2015, there was no interest or penalties associated with uncertain tax positions recognized in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Pronouncements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May 2014, the Financial Accounting Standards Board issued Accounting Standards Update 2014-09, “Revenue from Contracts with Customers”. This update supersedes most of the existing revenue recognition requirements in GAAP and requires (i) an entity to recognize revenue when it transfers promised goods or services to customers in an amount that reflects the consideration to which the entity expects to be entitled to in exchange for those goods or services and (ii) requires expanded disclosures regarding the nature, amount, timing and certainty of revenue and cash flows from contracts with customers.</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adopt this Accounting Standards Update effective January 1, 2018 using the modified retrospective approach. The Company has reviewed various contracts that represent its material revenue streams and determined that there will be no impact to its financial position, results of operations or liquidity. Upon adoption of this Accounting Standards Update, the Company will not be required to record a cumulative effect adjustment due to the new Accounting Standards Update not having a quantitative impact compared to existing GAAP. Also, upon adoption of this Accounting Standards Update, the Company will not be required to alter its existing information technology and internal controls outside of ongoing contract review processes in order to identify impacts of future revenue contracts entered into by the Company. The Company does not anticipate the disclosure requirements under the Accounting Standards Update to have a material change on how it presents information regarding its revenue streams as compared to existing GAAP.</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The Partnership will adopt this standard effective January 1, 2018 by means of a cumulative-effect adjustment which will decrease Unitholders’ Equity and will bring the fair value of its investment to $15.2 million or $15.20 per unit for that investment.</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2016, the Financial Accounting Standards Board issued Accounting Standards Update 2016-15, “Statement of Cash Flows - Classification of Certain Cash Receipts and Cash Payments”. This update apples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 will adopt this update effective January 1, 2018 using the retrospective transition method. Adoption of this standard will change the presentation of its cash flows and did not have a material impact on its consolidated financial statements.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The Company will adopt this update retrospectively effective January 1, 2018. Adoption of this standard will change the presentation of its cash flows and did not have a material impact on its consolidated financial statements.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2017, the Financial Accounting Standards Board issued Accounting Standards Update 2017-01, “Business Combinations - Clarifying the Definition of a Business”. This update apples to all entities that must determine whether they acquired or sold a business. This update provides a screen to determine when a set is not a business. The screen requires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4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when substantially all of the fair value of the gross assets acquired (or disposed of) is concentrated in a single identifiable asset or a group of similar identifiable assets, the set is not a business. The Company will adopt this update prospectively effective January 1, 2018. The adoption of this update will not have an impact on its financial position, results of operations or liquidity.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Company believes the primary impact of adopting this standard will be the recognition of assets and liabilities on the balance sheet for current operating leases. The Company is still evaluating the impact of this standard.</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the Company’s consolidated financial statements since the Company does not have a history of credit losses.</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Activity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included the acquisition of (i) approximately 100,306 gross (80,339 net) acres primarily in Pecos and Reeves counties for approximately $2.5 billion and (ii) midstream assets for approximately $47.6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the fair value of the assets and liabilities assumed on the acquisition date. The aggregate consideration transferred was $2.5 billion, resulting in no goodwill or bargain purchase gain.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(in thousands)</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2,122,597</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3,460</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royalties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2,549,599</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included in its consolidated statements of operations revenues of $81.4 million and direct operating expenses of $23.5 million for the period from February 28, 2017 to December 31, 2017 due to the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4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unaudited summary pro forma consolidated statement of operations data of Diamondback for the year ended December 31, 2017 and 2016 have been prepared to give effect to the February 28, 2017 acquisition as if it had occurred on January 1, 2016. The pro forma data are not necessarily indicative of the financial results that would have been attained had the acquisitions occurred on January 1, 2016.</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 forma data also necessarily exclude various operation expenses related to the properties and the financial statements should not be viewed as indicative of operations in future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18"/>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7"/>
              </w:rPr>
              <w:t>(in thousands, except per share</w:t>
            </w:r>
          </w:p>
        </w:tc>
      </w:tr>
      <w:tr>
        <w:trPr>
          <w:trHeight w:val="234"/>
        </w:trPr>
        <w:tc>
          <w:tcPr>
            <w:tcW w:w="8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amounts)</w:t>
            </w:r>
          </w:p>
        </w:tc>
        <w:tc>
          <w:tcPr>
            <w:tcW w:w="96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1,228,040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627,301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619,369</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472,649</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8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Activity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 2016, the Company acquired from an unrelated third party leasehold interests and related assets in the Southern Delaware Basin for an aggregate purchase price of $558.5 million. This transaction included approximately 26,797 gross (19,262 net) acres primarily in Reeves and Ward counties. The Company financed this acquisition with net proceeds from the July 2016 equity offering discussed in Note 9 and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Activity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2015, the Company completed acquisitions from unrelated third party sellers of an aggregate of approximately 16,940 gross (12,672 net) acres in the Midland Basin, primarily in northwest Howard County, for an aggregate purchase price of approximately $437.5 million. The acquisitions were accounted for according to the acquisition method, which requires the recording of net assets acquired and consideration transferred at fair value. These acquisitions were funded with the net proceeds of the May 2015 equity offering discussed in Note 9–Capital Stock and Earnings Per Share and borrowings under the Company’s revolving credit facility discussed in Note 8–Debt.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9, 2015, the Company completed the sale of an approximate average 1.5% overriding royalty interest in certain of its acreage primarily located in Howard County, Texas to the Partnership for $31.1 million. The Partnership primarily funded this acquisition with borrowings under its revolving credit facility discussed in Note 8 – Debt.</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Partnership is a publicly traded Delaware limited partnership, the common units of which are listed on the Nasdaq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Viper Energy Partners GP LLC, a consolidated subsidiary of Diamondback, serves as the general partner of, and holds a non-economic general partner interest in, the Partnership. As of December 31, 2017, the Company owned approximately 64% of the common units of the Partnership.</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completion on June 23, 2014 of the Viper Offering, Diamondback owned all of the general and limited partner interests in the Partnership. The Viper Offering consisted of 5,750,000 common units representing approximately 8% of the limited partner interests in the Partnership at a price to the public of $26.00 per common unit. In connection with the Viper Offering, Diamondback contributed all of the membership interests in Viper Energy Partners LLC to the Partnership in exchange for 70,450,000 common units. The contribution of Viper Energy Partners LLC to the Partnership was accounted for as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4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entities under common control with assets and liabilities transferred at their carrying amounts in a manner similar to a pooling of interests.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the Partnership distributed $89.5 million to Diamondback in respect of its common units.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2016, the Partnership completed an underwritten public offering of 8,050,000 common units, which included 1,050,000 common units issued pursuant to an option to purchase additional common units granted to the underwriter. In this offering, Diamondback purchased 2,000,000 common units from the underwriter at $15.60 per unit, which is the price per common unit paid by the underwriter to the Partnership. Following the August 2016 public offering, Diamondback had an approximate 83% limited partner interest in the Partnership. The Partnership received net proceeds from this offering of approximately $125.0 million, after deducting underwriting discounts and commissions and estimated offering expenses, which it used to fund an acquisition and repaid outstanding borrowings under its revolving credit facility.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$147.5 million, after deducting underwriting discounts and commissions and estimated offering expenses, of which the Partnership used $120.5 million to repay the outstanding borrowings under its revolving credit agreement and the balance was used for general partnership purposes, which included additional acquisitions.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2017, the Partnership completed an underwritten public offering of 16,100,000 common units, which included 2,100,000 common units issued pursuant to an option to purchase additional common units granted to the underwriters. In this offering, we purchased 700,000 common units, an affiliate of the General Partner purchased 3,000,000 common units and certain officers and directors of the Company and the General Partner purchased an aggregate of 114,000 common units, in each case directly from the underwriters. Following this offering, the Company had an approximate 64% limited partner interest in the Partnership. The Partnership received net proceeds from this offering of approximately $232.5 million, after deducting underwriting discounts and commissions and estimated offering expenses, of which the Partnership used $152.8 million to repay all of the then-outstanding borrowings under the Partnership’s revolving credit facility and the balance was used fund a portion of the purchase price for acquisitions and for general partnership purposes.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these public offerings and the Partnership’s issuance of unit-based compensation, the Company’s ownership percentage in the Partnership was reduced. During the year ended December 31, 2017, the Company recorded a $362.4 million decrease to Non-controlling interest in the Partnership with an increase to Additional paid-in capital, which represents the difference between the Company’s share of the underlying net book value in the Partnership before and after the respective Partnership common unit transactions, on the Company’s consolidated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closing of the Viper Offering, the General Partner and Diamondback entered into the first amended and restated agreement of limited partnership, dated as of June 23, 2014 (the “Partnership Agreement”).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consolidated group, of which the Partnership may be a member for this purpose, to owe less or no tax. In such a situation, the Partnership agreed to reimburse Diamondback for the tax the Partnership would have owed had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4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tax attributes not been available or used for the Partnership’s benefit, even though Diamondback had no cash tax expense for that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11–Related Party Transactions for information regarding the advisory services agreement the Partnership and the General Partner entered into with Wexford Capital LP (“Wexford”).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Partnership has entered into a secured revolving credit facility with Wells Fargo Bank, National Association, (“Wells Fargo”) as administrative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agent sole book runner and lead arranger. See Note 8–Debt for a description of this credit facility.</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878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78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8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8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8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r>
      <w:tr>
        <w:trPr>
          <w:trHeight w:val="237"/>
        </w:trPr>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5,126,829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3,429,742</w:t>
            </w: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4,105,865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1,730,519</w:t>
            </w:r>
          </w:p>
        </w:tc>
      </w:tr>
      <w:tr>
        <w:trPr>
          <w:trHeight w:val="237"/>
        </w:trPr>
        <w:tc>
          <w:tcPr>
            <w:tcW w:w="878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9,232,694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5,160,261</w:t>
            </w: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(687,685)</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(1,143,498)</w:t>
            </w:r>
          </w:p>
        </w:tc>
      </w:tr>
      <w:tr>
        <w:trPr>
          <w:trHeight w:val="27"/>
        </w:trPr>
        <w:tc>
          <w:tcPr>
            <w:tcW w:w="8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7,079,303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3,329,078</w:t>
            </w:r>
          </w:p>
        </w:tc>
      </w:tr>
      <w:tr>
        <w:trPr>
          <w:trHeight w:val="237"/>
        </w:trPr>
        <w:tc>
          <w:tcPr>
            <w:tcW w:w="878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191,519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8,362</w:t>
            </w: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58,290</w:t>
            </w: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(4,873)</w:t>
            </w:r>
          </w:p>
        </w:tc>
      </w:tr>
      <w:tr>
        <w:trPr>
          <w:trHeight w:val="27"/>
        </w:trPr>
        <w:tc>
          <w:tcPr>
            <w:tcW w:w="8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and equipment, net of accumulated depreciation, depletion, amortization and impairment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7,343,617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3,390,857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Incurred in 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2,746,936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2016</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Incurred in 2015</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301,879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2014</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80"/>
              <w:spacing w:after="0"/>
              <w:rPr>
                <w:sz w:val="20"/>
                <w:szCs w:val="20"/>
                <w:color w:val="auto"/>
              </w:rPr>
            </w:pPr>
            <w:r>
              <w:rPr>
                <w:rFonts w:ascii="Arial" w:cs="Arial" w:eastAsia="Arial" w:hAnsi="Arial"/>
                <w:sz w:val="18"/>
                <w:szCs w:val="18"/>
                <w:color w:val="auto"/>
              </w:rPr>
              <w:t>Incurred in 2013</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not subject to depletion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4,105,865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$22.0 million $17.2 million and $15.2 million for the years ended December 31, 2017, 2016 and 2015,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4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of capitalized costs, with no gain or loss recognized, unless such adjustments would significantly alter the relationship between capitalized costs and proved reserves of oil, natural gas liquids and natural gas.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result of the significant decline in prices during 2016, the Company recorded non-cash ceiling test impairments for the years ended December 31, 2016 and 2015 of $245.5 million and $814.8 million, respectively, which are included in accumulated depletion. No impairment on proved oil and natural gas properties was recorded for the year ended December 31, 2017. For 2016 and 2015, the impairment charges affected the Company’s reported net income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w:t>
      </w:r>
    </w:p>
    <w:p>
      <w:pPr>
        <w:spacing w:after="0" w:line="1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December 31, 2017, there was $26.0 million in exploration costs and development costs and $22.1 million in capitalized interest that are not subject to depletion. At December 31, 2016, there were no exploration costs, development costs or capitalized interest that are not subject to depletion.</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17,422</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594</w:t>
            </w: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21,285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20,122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16,134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12,518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EQUITY METHOD INVESTMENTS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2014, the Company obtained a 25% interest in HMW Fluid Management LLC, which was formed to develop, own and operate an integrated water management system to gather, store, process, treat, distribute and dispose of water to exploration and production companies operating in Midland, Martin and Andrews Counties, Texas. The board of this entity may also authorize the entity to offer these services to other counties in the Permian Basin and to pursue other business opportunities.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4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2017, the Company invested $0.2 million in this entity and recorded income of $0.7 million, which was the Company’s share of HMW Fluid Management LLC’s net income, bringing the Company’s total investment to $7.2 million at December 31, 2017. During the year ended December 31, 2016, the Company invested $2.3 million in this entity and recorded income of $0.7 million, which was the Company’s share of HMW Fluid Management LLC’s net income, bringing its total investment to $6.3 million at December 31, 2016. The Company will retain a minority interest after all commitments are received. The entity was formed as a limited liability company and maintains a specific ownership account for each investor, similar to a partnership capital account structure. The Company accounts for this investment under the equity method of accounting.</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8"/>
              </w:rPr>
              <w:t>(in thousands)</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 Senior Notes due 2024</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5.375 % Senior Notes due 2025</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397,000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revolving credit facility</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93,500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120,500</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1,477,347</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1,105,912</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October 28, 2016, the Company issued $500.0 million in aggregate principal amount of 4.750% Senior Notes due 2024 (the “2024 Senior Notes”). The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2024 Senior Notes, provided, however, that the 2024 Senior Notes are not guaranteed by the Partnership, the General Partner, Viper Energy Partners LLC or Rattler Midstream LLC, and will not be guaranteed by any of the Company’s future unrestricted subsidiaries. See also “Note 16. Subsequent Events–New Senior Notes due 2025 and Repayment of Portion of Outstanding Borrowings under Revolving Credit Facility.”</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4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December 20, 2016, the Company issued $500.0 million in aggregate principal amount of 5.375% Senior Notes due 2025 (the “2025 Senior Notes”). The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 facility or certain other debt guarantee the 2025 Senior Notes, provided, however, that the 2025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2025 Senior Notes were issued under an indenture, dated as of December 20, 2016, among the Company, the guarantors party thereto and Wells Fargo Bank, as the trustee (the “2025 Indenture”). 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required under the terms of the registration rights agreements relating to the 2024 Senior Notes and the 2025 Senior Notes, on April 26, 2017, the Company filed with the SEC a Registration Statement on Form S-4 (the “Registration Statement”) relating to the exchange offers of the 2024 Senior Notes and the 2025 Senior Notes for substantially identical notes registered under the Securities Act (the “Exchange Offers”). The Registration Statement was declared effective by the SEC on June 21, 2017 and the Exchange Offers closed on July 27, 2017, in which all of the privately placed 2024 Senior Notes and 2025 Senior Notes were exchanged for substantially identical notes in the same aggregate principal amount that were registered under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and Diamondback O&amp;G LLC, as borrower, entered into the second amended and restated credit agreement, dated November 1, 2013, as amended on June 9, 2014, November 13, 2014, June 21, 2016, December 15, 2016 and November 28, 2017, with a syndicate of banks, including Wells Fargo, as administrative agent, and its affiliate Wells Fargo Securities, LLC, as sole book runner and lead arranger. The credit agreement provides for a revolving credit facility in the maximum credit amount of $5.0 billion, subject to a borrowing base based on the Company’s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the Company may request up to two additional redeterminations of the borrowing base during any 12-month period. As of December 31, 2017, the borrowing base was set at $1.8 billion, the Company had elected a commitment amount of $1.0 billion and the Company had $397.0 million of outstanding borrowings under the revolving credit facility. See “Note 16. Subsequent Events-New Senior Notes due 2025 and Repayment of Portion of Outstanding Borrowings under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4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the credit agreement. As of December 31, 2017, the credit agreement is guaranteed by the Company, Diamondback E&amp;P LLC and Rattler Midstream LLC (formerly known as White Fang Energy LLC) and will also be guaranteed by any of the Company’s future subsidiaries that are classified as restricted subsidiaries under the credit agreement. The credit agreement is also secured by substantially all of the assets of the Company, Diamondback O&amp;G LLC and the guarantors.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the Company that is equal to an alternate base rate (which is equal to the greatest of the prime rate, the Federal Funds effective rate plus 0.5%, and 3-month LIBOR plus 1.0%) or LIBOR, in each case plus the applicable margin. The applicable margin ranges from 0.25% to 1.25% in the case of the alternate base rate and from 1.25% to 2.25% in the case of LIBOR, each of which applicable margin rates is increased by 0.25% per annum if the total debt to EBITDAX ratio is greater than 3.0 to 1.0. The applicable margin depends on the amount of loans and letters of credit outstanding in relation to the commitment, which is defined as the least of the maximum credit amount, the borrowing base and the elected commitment amount. The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8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28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Not greater than 3.0 to 1.0</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80" w:type="dxa"/>
            <w:vAlign w:val="bottom"/>
          </w:tcPr>
          <w:p>
            <w:pPr>
              <w:jc w:val="center"/>
              <w:ind w:left="169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2017 and 2016,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Partnership’s Credit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8, 2014, the Partnership entered into a secured revolving credit agreement with Wells Fargo, as administrative agent, and Wells Fargo Securities, as sole book runner and lead arranger. The credit agreement, as amended, provides for a revolving credit facility in the maximum credit amount of $2.0 billion and a borrowing base based on our oil and natural gas reserves and other factors (the “borrowing base”) of $400.0 million, subject to scheduled semi-annual and other elective borrowing base redeterminations. The borrowing base is scheduled to be re-determined semi-annually with effective dates of May 1st and November 1st. In addition, Viper may request up to three additional redeterminations of the borrowing base during any 12-month period. As of December 31, 2017, the borrowing base was set at $400.0 million, and the Partnership had $93.5 million of outstanding borrowings and $306.5 million available for future borrowings under its revolving credit facility.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the Partnership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4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depending on the amount of loans and letters of credit outstanding in relation to the commitment, which is defined as the lesser of the maximum credit amount and the borrowing base. The Partnership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Partnership and its subsidiary’s assets.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8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28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80" w:type="dxa"/>
            <w:vAlign w:val="bottom"/>
          </w:tcPr>
          <w:p>
            <w:pPr>
              <w:jc w:val="center"/>
              <w:ind w:left="169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Partnership’s credit agreement upon the occurrence and during the continuance of any event of default. The Partnership’s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have been incurred and charged to interest expense for the years ended December 31, 2017,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2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60,671</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40,221</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2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(22,097)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fees and expenses</w:t>
            </w:r>
          </w:p>
        </w:tc>
        <w:tc>
          <w:tcPr>
            <w:tcW w:w="2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57"/>
        </w:trPr>
        <w:tc>
          <w:tcPr>
            <w:tcW w:w="370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236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40,734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41,068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41,513</w:t>
            </w:r>
          </w:p>
        </w:tc>
      </w:tr>
      <w:tr>
        <w:trPr>
          <w:trHeight w:val="20"/>
        </w:trPr>
        <w:tc>
          <w:tcPr>
            <w:tcW w:w="3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3420" w:type="dxa"/>
            <w:vAlign w:val="bottom"/>
            <w:gridSpan w:val="2"/>
          </w:tcPr>
          <w:p>
            <w:pPr>
              <w:jc w:val="right"/>
              <w:ind w:right="1150"/>
              <w:spacing w:after="0"/>
              <w:rPr>
                <w:sz w:val="20"/>
                <w:szCs w:val="20"/>
                <w:color w:val="auto"/>
              </w:rPr>
            </w:pPr>
            <w:r>
              <w:rPr>
                <w:rFonts w:ascii="Arial" w:cs="Arial" w:eastAsia="Arial" w:hAnsi="Arial"/>
                <w:sz w:val="18"/>
                <w:szCs w:val="18"/>
                <w:color w:val="auto"/>
              </w:rPr>
              <w:t>F-21</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completed the following equity offerings during the years ended December 31, 2017, 2016 and 2015:</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98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 Shares of</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 Issued to</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Price per Share Sold to</w:t>
            </w:r>
          </w:p>
        </w:tc>
        <w:tc>
          <w:tcPr>
            <w:tcW w:w="140" w:type="dxa"/>
            <w:vAlign w:val="bottom"/>
          </w:tcPr>
          <w:p>
            <w:pPr>
              <w:spacing w:after="0"/>
              <w:rPr>
                <w:sz w:val="18"/>
                <w:szCs w:val="18"/>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Proceeds Received by</w:t>
            </w:r>
          </w:p>
        </w:tc>
      </w:tr>
      <w:tr>
        <w:trPr>
          <w:trHeight w:val="2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Date</w:t>
            </w:r>
          </w:p>
        </w:tc>
        <w:tc>
          <w:tcPr>
            <w:tcW w:w="2980" w:type="dxa"/>
            <w:vAlign w:val="bottom"/>
          </w:tcPr>
          <w:p>
            <w:pPr>
              <w:jc w:val="right"/>
              <w:ind w:right="250"/>
              <w:spacing w:after="0"/>
              <w:rPr>
                <w:sz w:val="20"/>
                <w:szCs w:val="20"/>
                <w:color w:val="auto"/>
              </w:rPr>
            </w:pPr>
            <w:r>
              <w:rPr>
                <w:rFonts w:ascii="Arial" w:cs="Arial" w:eastAsia="Arial" w:hAnsi="Arial"/>
                <w:sz w:val="18"/>
                <w:szCs w:val="18"/>
                <w:b w:val="1"/>
                <w:bCs w:val="1"/>
                <w:color w:val="auto"/>
              </w:rPr>
              <w:t>Common Stock Sold</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3"/>
              </w:rPr>
              <w:t>Underwriters</w:t>
            </w:r>
          </w:p>
        </w:tc>
        <w:tc>
          <w:tcPr>
            <w:tcW w:w="32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Underwriters</w:t>
            </w:r>
          </w:p>
        </w:tc>
        <w:tc>
          <w:tcPr>
            <w:tcW w:w="140" w:type="dxa"/>
            <w:vAlign w:val="bottom"/>
          </w:tcPr>
          <w:p>
            <w:pPr>
              <w:spacing w:after="0"/>
              <w:rPr>
                <w:sz w:val="20"/>
                <w:szCs w:val="20"/>
                <w:color w:val="auto"/>
              </w:rPr>
            </w:pPr>
          </w:p>
        </w:tc>
        <w:tc>
          <w:tcPr>
            <w:tcW w:w="1800" w:type="dxa"/>
            <w:vAlign w:val="bottom"/>
          </w:tcPr>
          <w:p>
            <w:pPr>
              <w:jc w:val="right"/>
              <w:ind w:right="350"/>
              <w:spacing w:after="0"/>
              <w:rPr>
                <w:sz w:val="20"/>
                <w:szCs w:val="20"/>
                <w:color w:val="auto"/>
              </w:rPr>
            </w:pPr>
            <w:r>
              <w:rPr>
                <w:rFonts w:ascii="Arial" w:cs="Arial" w:eastAsia="Arial" w:hAnsi="Arial"/>
                <w:sz w:val="18"/>
                <w:szCs w:val="18"/>
                <w:b w:val="1"/>
                <w:bCs w:val="1"/>
                <w:color w:val="auto"/>
              </w:rPr>
              <w:t>the Company</w:t>
            </w:r>
          </w:p>
        </w:tc>
      </w:tr>
      <w:tr>
        <w:trPr>
          <w:trHeight w:val="27"/>
        </w:trPr>
        <w:tc>
          <w:tcPr>
            <w:tcW w:w="2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2015</w:t>
            </w: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2,012,500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262,500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119,422</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May 2015</w:t>
            </w: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4,600,000</w:t>
            </w:r>
          </w:p>
        </w:tc>
        <w:tc>
          <w:tcPr>
            <w:tcW w:w="2120" w:type="dxa"/>
            <w:vAlign w:val="bottom"/>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72.53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333,638</w:t>
            </w:r>
          </w:p>
        </w:tc>
      </w:tr>
      <w:tr>
        <w:trPr>
          <w:trHeight w:val="27"/>
        </w:trPr>
        <w:tc>
          <w:tcPr>
            <w:tcW w:w="2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2015</w:t>
            </w: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2,875,000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197,628</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January 2016</w:t>
            </w: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4,600,000</w:t>
            </w:r>
          </w:p>
        </w:tc>
        <w:tc>
          <w:tcPr>
            <w:tcW w:w="2120" w:type="dxa"/>
            <w:vAlign w:val="bottom"/>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55.33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254,518</w:t>
            </w:r>
          </w:p>
        </w:tc>
      </w:tr>
      <w:tr>
        <w:trPr>
          <w:trHeight w:val="27"/>
        </w:trPr>
        <w:tc>
          <w:tcPr>
            <w:tcW w:w="2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2016</w:t>
            </w: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6,325,000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551,777</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December 2016</w:t>
            </w: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12,075,000</w:t>
            </w:r>
          </w:p>
        </w:tc>
        <w:tc>
          <w:tcPr>
            <w:tcW w:w="2120" w:type="dxa"/>
            <w:vAlign w:val="bottom"/>
          </w:tcPr>
          <w:p>
            <w:pPr>
              <w:jc w:val="right"/>
              <w:spacing w:after="0"/>
              <w:rPr>
                <w:sz w:val="20"/>
                <w:szCs w:val="20"/>
                <w:color w:val="auto"/>
              </w:rPr>
            </w:pPr>
            <w:r>
              <w:rPr>
                <w:rFonts w:ascii="Arial" w:cs="Arial" w:eastAsia="Arial" w:hAnsi="Arial"/>
                <w:sz w:val="18"/>
                <w:szCs w:val="18"/>
                <w:color w:val="auto"/>
              </w:rPr>
              <w:t>1,575,000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95.3025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1,150,828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(550,628)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63,019</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97,688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75,077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63,019</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attributable to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net income (loss) attributable to 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2017, 2016 and 2015, there were 45,690 shares, 243,654 shares and 100,924 shares, respectively, that were not included in the computation of diluted earnings per share because their inclusion would have been anti-dilutive for the periods presented but could potentially dilute basic earnings per share in future periods.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2012, the Board of Directors approved the Diamondback Energy, Inc. 2012 Equity Incentive Plan (the “2012 Plan”), which is intended to provide eligible employees with equity-based incentives. The 2012 Plan provides for the granting of incentive stock options, nonstatutory stock options, restricted awards (restricted stock and restricted stock units), performance awards, and stock appreciation rights, or any combination of the foregoing. A total of 2,500,000 shares of the Company’s common stock has been reserved for issuance pursuant to this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4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effects of the equity and stock based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25,537</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26,453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18,529</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7"/>
              </w:rPr>
              <w:t>Equity-based compensation capitalized pursuant to full cost method of accounting for oil and natural gas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properties</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8,641</w:t>
            </w:r>
          </w:p>
        </w:tc>
        <w:tc>
          <w:tcPr>
            <w:tcW w:w="3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7,079</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6,043</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17, 2014, in connection with the Viper Offering, the Board of Directors of the General Partner adopted the Viper Energy Partners LP Long Term Incentive Plan (“Viper LTIP”), effective June 17, 2014, for employees, officers, consultants and directors of the General Partner and any of its affiliates, including Diamondback, who perform services for the Partnership. The Viper LTIP provides for the grant of unit options, unit appreciation rights, restricted units, unit awards, phantom units, distribution equivalent rights, cash awards, performance awards, other unit-based awards and substitute awards. A total of 9,070,356 common units has been reserved for issuance pursuant to the Viper LTIP. Common units that are cancelled, forfeited or withheld to satisfy exercise prices or tax withholding obligations will be available for delivery pursuant to other awards. The Viper LTIP is administered by the Board of Directors of the General Partner or a committee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2012 Plan, the exercise price of stock options granted may not be less than the market value of the stock at the date of grant. The shares issued under the 2012 Plan will consist of new shares of Company stock. Unless otherwise specified in an agreement, options become exercisable ratably over a five-year period. However, as described above, options associated with the modification vest in four substantially equal annual installments and are exercisable for five years from the date of grant.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fair value of the stock options on the date of grant is expensed over the applicable vesting period. The Company estimates the fair values of stock options granted using a Black-Scholes option valuation model, which requires the Company to make several assumptions. The Company does not have a long history of market prices, thus the expected volatility was determined using the historical volatility for a peer group of companies. The expected term of options granted was determined based on the contractual term of the awards and remaining vesting term at the modification date. The risk-free interest rate is based on the U.S. treasury yield curve rate for the expected term of the option at the date of grant. The Company does not anticipate paying cash dividends; therefore, the expected dividend yield was assumed to be zero. All such amounts represent the weighted-average amounts for each year.</w:t>
      </w:r>
    </w:p>
    <w:p>
      <w:pPr>
        <w:spacing w:after="0" w:line="2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following table presents the Company’s stock option activity under the Company’s 2012 Equity Incentive Plan (“2012 Plan”) for the year ended December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ind w:left="520"/>
              <w:spacing w:after="0"/>
              <w:rPr>
                <w:sz w:val="20"/>
                <w:szCs w:val="20"/>
                <w:color w:val="auto"/>
              </w:rPr>
            </w:pPr>
            <w:r>
              <w:rPr>
                <w:rFonts w:ascii="Arial" w:cs="Arial" w:eastAsia="Arial" w:hAnsi="Arial"/>
                <w:sz w:val="18"/>
                <w:szCs w:val="18"/>
                <w:b w:val="1"/>
                <w:bCs w:val="1"/>
                <w:color w:val="auto"/>
              </w:rPr>
              <w:t>Weighted Average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538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3"/>
                <w:szCs w:val="23"/>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 years)</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15,750</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(15,750)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22.72</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aggregate intrinsic value of stock options that were exercised during the years ended December 31, 2016 and 2015 was $1.3 million and $15.7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2012 Plan, approved by the Board of Directors, the Company is authorized to issue restricted stock and restricted stock units to eligible employees. The Company estimates the fair values of restricted stock awards and units as the closing price of the Company’s common stock on the grant date of the award, which is expensed over the applicable vesting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4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restricted stock units activity under the 2012 Plan during the year ended December 31,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6640" w:type="dxa"/>
            <w:vAlign w:val="bottom"/>
          </w:tcPr>
          <w:p>
            <w:pPr>
              <w:spacing w:after="0"/>
              <w:rPr>
                <w:sz w:val="18"/>
                <w:szCs w:val="18"/>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rPr>
              <w:t>Restricted Stock</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640" w:type="dxa"/>
            <w:vAlign w:val="bottom"/>
          </w:tcPr>
          <w:p>
            <w:pPr>
              <w:spacing w:after="0"/>
              <w:rPr>
                <w:sz w:val="20"/>
                <w:szCs w:val="20"/>
                <w:color w:val="auto"/>
              </w:rPr>
            </w:pPr>
          </w:p>
        </w:tc>
        <w:tc>
          <w:tcPr>
            <w:tcW w:w="2060" w:type="dxa"/>
            <w:vAlign w:val="bottom"/>
          </w:tcPr>
          <w:p>
            <w:pPr>
              <w:jc w:val="right"/>
              <w:ind w:right="330"/>
              <w:spacing w:after="0"/>
              <w:rPr>
                <w:sz w:val="20"/>
                <w:szCs w:val="20"/>
                <w:color w:val="auto"/>
              </w:rPr>
            </w:pPr>
            <w:r>
              <w:rPr>
                <w:rFonts w:ascii="Arial" w:cs="Arial" w:eastAsia="Arial" w:hAnsi="Arial"/>
                <w:sz w:val="18"/>
                <w:szCs w:val="18"/>
                <w:b w:val="1"/>
                <w:bCs w:val="1"/>
                <w:color w:val="auto"/>
              </w:rPr>
              <w:t>Awards &amp; Units</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6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206,004</w:t>
            </w:r>
          </w:p>
        </w:tc>
        <w:tc>
          <w:tcPr>
            <w:tcW w:w="9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188,438</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102.77</w:t>
            </w:r>
          </w:p>
        </w:tc>
      </w:tr>
      <w:tr>
        <w:trPr>
          <w:trHeight w:val="27"/>
        </w:trPr>
        <w:tc>
          <w:tcPr>
            <w:tcW w:w="6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(147,934)</w:t>
            </w:r>
          </w:p>
        </w:tc>
        <w:tc>
          <w:tcPr>
            <w:tcW w:w="9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77.44</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(2,931)</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89.21</w:t>
            </w:r>
          </w:p>
        </w:tc>
      </w:tr>
      <w:tr>
        <w:trPr>
          <w:trHeight w:val="27"/>
        </w:trPr>
        <w:tc>
          <w:tcPr>
            <w:tcW w:w="66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243,577</w:t>
            </w:r>
          </w:p>
        </w:tc>
        <w:tc>
          <w:tcPr>
            <w:tcW w:w="9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90.88</w:t>
            </w:r>
          </w:p>
        </w:tc>
      </w:tr>
      <w:tr>
        <w:trPr>
          <w:trHeight w:val="20"/>
        </w:trPr>
        <w:tc>
          <w:tcPr>
            <w:tcW w:w="66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aggregate fair value of restricted stock units that vested during the year ended December 31, 2017, 2016 and 2015 was $14.8 million, $12.5 million and $10.1 million, respectively. As of December 31, 2017, the Company’s unrecognized compensation cost related to unvested restricted stock awards and units was $14.4 million. Such cost is expected to be recognized over a weighted-average period of 1.5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2015, eligible employees received performance restricted stock unit awards totaling 90,249 units from which a minimum of 0% and a maximum of 200% units could be awarded. The awards have a performance period of January 1, 2014 to December 31, 2016 and vested at December 31, 2016.</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2016, eligible employees received performance restricted stock unit awards totaling 174,325 units from which a minimum of 0% and a maximum of 200% units could be awarded. The awards have a performance period of January 1, 2016 to December 31, 2017 and vested at December 31, 2017. Eligible employees received additional performance restricted stock unit awards totaling 87,163 units from which a minimum of 0% and a maximum of 200% units could be awarded. The awards have a performance period of January 1, 2016 to December 31, 2018 and cliff vest at December 31, 2018.</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2017, eligible employees received performance restricted stock unit awards totaling 37,440 units from which a minimum of 0% and a maximum of 200% units could be awarded. The awards have a performance period of January 1, 2017 to December 31, 2018 and cliff vest at December 31, 2018. Eligible employees received additional performance restricted stock unit awards totaling 74,880 units from which a minimum of 0% and a maximum of 200% units could be awarded. The awards have a performance period of January 1, 2017 to December 31, 2019 and cliff vest at December 31, 2019.</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 The following table presents a summary of the grant-date fair values of performance restricted stock units granted and the related assumptions.</w:t>
      </w:r>
    </w:p>
    <w:p>
      <w:pPr>
        <w:spacing w:after="0" w:line="12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Two-Year</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Three-Year</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Two-Year</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Three-Year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Period</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1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137.14</w:t>
            </w: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r>
      <w:tr>
        <w:trPr>
          <w:trHeight w:val="675"/>
        </w:trPr>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F-24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 activity under the 2012 Plan for the year ended 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Stock Units</w:t>
            </w:r>
          </w:p>
        </w:tc>
        <w:tc>
          <w:tcPr>
            <w:tcW w:w="100" w:type="dxa"/>
            <w:vAlign w:val="bottom"/>
          </w:tcPr>
          <w:p>
            <w:pPr>
              <w:spacing w:after="0"/>
              <w:rPr>
                <w:sz w:val="20"/>
                <w:szCs w:val="20"/>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252,471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118,169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166.53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(168,314)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line="264" w:lineRule="exact"/>
              <w:rPr>
                <w:sz w:val="20"/>
                <w:szCs w:val="20"/>
                <w:color w:val="auto"/>
              </w:rPr>
            </w:pPr>
            <w:r>
              <w:rPr>
                <w:rFonts w:ascii="Arial" w:cs="Arial" w:eastAsia="Arial" w:hAnsi="Arial"/>
                <w:sz w:val="18"/>
                <w:szCs w:val="18"/>
                <w:color w:val="auto"/>
              </w:rPr>
              <w:t>Unvested at December 31, 2017</w:t>
            </w:r>
            <w:r>
              <w:rPr>
                <w:rFonts w:ascii="Arial" w:cs="Arial" w:eastAsia="Arial" w:hAnsi="Arial"/>
                <w:sz w:val="25"/>
                <w:szCs w:val="25"/>
                <w:color w:val="auto"/>
                <w:vertAlign w:val="superscript"/>
              </w:rPr>
              <w:t>(1)</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202,326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w w:val="96"/>
              </w:rPr>
              <w:t>(1)  A maximum of 404,652 units could be awarded based upon the Company’s final TSR ranking.</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2017, the Company’s unrecognized compensation cost related to unvested performance based restricted stock awards and units was $15.6 million. Such cost is expected to be recognized over a weighted-average period of 1.4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Unit Options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the Viper LTIP, the exercise price of unit options granted may not be less than the market value of the common units at the date of grant. The units issued under the Viper LTIP will consist of new common units of the Partnership. On June 17, 2014, the Board of Directors of the General Partner granted 2,500,000 unit options to the executive officers of the General Partner. The unit options vest approximately 33% ratably on each of the first three anniversaries of the date of grant or earlier upon a change of control (as defined in the Viper LTIP). All outstanding unit options were amended effective November 29, 2016 to provide that vested unit options will become exercisable upon the earlier to occur of (i) the “Exercise Window Period” beginning on the third anniversary of the date of grant and ending on December 31, 2017, or (ii) the “Change of Control Exercise Period” beginning ten days before and ending on the date a change of control occurs (the earlier occurring of such events, the “Exercise Period”). At any time within the Exercise Period, if a participant attempts to exercise a vested unit option and the fair market value per unit as of such date is less than the exercise price per option unit, the vested unit option will not be exercisable. At the end of the Exercise Period, any vested unit option that is not exercisable or that has not been exercised will automatically terminate and become null and void.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unit options on the date of grant is expensed over the applicable vesting period. The Partnership estimates the fair values of unit options granted using a Black-Scholes option valuation model, which requires the Partnership to make several assumptions. At the time of grant the Partnership did not have a history of market prices, thus the expected volatility was determined using the historical volatility for a peer group of companies. The expected term of options granted was determined based on the contractual term of the awards. The risk-free interest rate is based on the U.S. treasury yield curve rate for the expected term of the unit option at the date of grant. The expected dividend yield was based upon projected performance of the Partnership.</w:t>
      </w:r>
    </w:p>
    <w:p>
      <w:pPr>
        <w:spacing w:after="0" w:line="135"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19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4.24</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Expected dividend yield</w:t>
            </w: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w w:val="95"/>
              </w:rPr>
              <w:t>Expected term (in years)</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675"/>
        </w:trPr>
        <w:tc>
          <w:tcPr>
            <w:tcW w:w="1920" w:type="dxa"/>
            <w:vAlign w:val="bottom"/>
          </w:tcPr>
          <w:p>
            <w:pPr>
              <w:spacing w:after="0"/>
              <w:rPr>
                <w:sz w:val="24"/>
                <w:szCs w:val="24"/>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F-25</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unit option activity under the Viper LTIP for the year ended December 31,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gridSpan w:val="4"/>
          </w:tcPr>
          <w:p>
            <w:pPr>
              <w:ind w:left="280"/>
              <w:spacing w:after="0"/>
              <w:rPr>
                <w:sz w:val="20"/>
                <w:szCs w:val="20"/>
                <w:color w:val="auto"/>
              </w:rPr>
            </w:pPr>
            <w:r>
              <w:rPr>
                <w:rFonts w:ascii="Arial" w:cs="Arial" w:eastAsia="Arial" w:hAnsi="Arial"/>
                <w:sz w:val="18"/>
                <w:szCs w:val="18"/>
                <w:b w:val="1"/>
                <w:bCs w:val="1"/>
                <w:color w:val="auto"/>
              </w:rPr>
              <w:t>Weighted Average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Unit Options</w:t>
            </w:r>
          </w:p>
        </w:tc>
        <w:tc>
          <w:tcPr>
            <w:tcW w:w="2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Exercise Price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Intrinsic Value</w:t>
            </w:r>
          </w:p>
        </w:tc>
      </w:tr>
      <w:tr>
        <w:trPr>
          <w:trHeight w:val="27"/>
        </w:trPr>
        <w:tc>
          <w:tcPr>
            <w:tcW w:w="55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 years)</w:t>
            </w:r>
          </w:p>
        </w:tc>
        <w:tc>
          <w:tcPr>
            <w:tcW w:w="14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2,424,266</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(2,416,666)</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7,600</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09"/>
        </w:trPr>
        <w:tc>
          <w:tcPr>
            <w:tcW w:w="55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2017</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7,600</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year ended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79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Phantom Units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21,048</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116,567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17.09</w:t>
            </w:r>
          </w:p>
        </w:tc>
      </w:tr>
      <w:tr>
        <w:trPr>
          <w:trHeight w:val="27"/>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(32,176)</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Unvested at December 31, 2017</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105,439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17.10</w:t>
            </w:r>
          </w:p>
        </w:tc>
      </w:tr>
      <w:tr>
        <w:trPr>
          <w:trHeight w:val="20"/>
        </w:trPr>
        <w:tc>
          <w:tcPr>
            <w:tcW w:w="7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year ended December 31, 2017 was $0.5 million. As of December 31, 2017, the unrecognized compensation cost related to unvested phantom units was $1.3 million. Such cost is expected to be recognized over a weighted-average period of 1.4 years.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upon the completion of the Company’s initial public offering on October 17, 2012, Wexford beneficially owned approximately 44% of the Company’s outstanding common stock. As of December 31, 2016, Wexford beneficially owned less than 1% of the Company’s outstanding common stock. The Chairman of the Board of Directors of both the Company and the General Partner was a partner at Wexford until his retirement from Wexford effective December 31, 2016. Another partner at Wexford serves as a member of the Board of Directors of the General Partner. Beginning January 1, 2017, Wexford and entities affiliated with Wexford are no longer considered related parties of the Company and any expenses after December 31, 2016 are no longer classified as related party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 and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2016, the Company paid $3.3 million in lease operating expenses and $2.2 million in general and administrative expenses to related parties. During the year ended December 31, 2016, the Company received $0.2 million in other income from related parties. During the year ended December 31, 2015, the Company paid $0.2 million in lease operating expenses, $0.2 million in production and ad valorem taxes, $1.0 million in gathering and transportation expenses and $2.3 million in general and administrative expenses to related parties. During the year ended December 31, 2015, the Company received $0.2 million in other income from related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entered into an advisory services agreement (the “Advisory Services Agreement”) with Wexford, dated as of October 11, 2012, under which Wexford provides the Company with general financial and strategic advisory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related to the business in return for an annual fee of $0.5 million, plus reasonable out-of-pocket expenses. The Advisory Services Agreement had an initial term of two years commencing on October 18, 2012, and continues for additional one-year periods unless terminated in writing by either party at least ten days prior to the expiration of the then current term. It may be terminated at any time by either party upon 30 days prior written notice. In the event the Company terminates such agreement, it is obligated to pay all amounts due through the remaining term. In addition, the Company agreed to pay Wexford to-be-negotiated market-based fees approved by the Company’s independent directors for such services as may be provided by Wexford at the Company’s request in connection with acquisitions and divestitures, financings or other transactions in which the Company may be involved. The services provided by Wexford under the Advisory Services Agreement do not extend to the Company’s day-to-day business or operations. The Company has agreed to indemnify Wexford and its affiliates from any and all losses arising out of or in connection with the Advisory Services Agreement except for losses resulting from Wexford’s or its affiliates’ gross negligence or willful misconduct. The Company paid $0.5 million during both of the years ended December 31, 2016 and 2015 under the Advisory Services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Partnership</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Viper Advisory Services Agreement had an initial term of two years commencing on June 23, 2014, and will continue for additional one-year periods unless terminated in writing by either party at least ten days prior to the expiration of the then current term. It may be terminated at any time by either party upon 30 days prior written notice. In the event the Partnership or the General Partner terminates such agreement, the Partnership is obligated to pay all amounts due through the remaining term. In addition, the Partnership and the General Partner have agreed to pay Wexford to-be-negotiated market-based fees approved by the conflict committee of the board of directors of the General Partner for such services as may be provided by Wexford at the Partnership’s or the General Partner’s request in connection with acquisitions and divestitures, financings or other transactions in which the Partnership may be involved. The services provided by Wexford under the Viper Advisory Services Agreement do not extend to the Partnership or the General Partner’s day-to-day business or operations. The Partnership and General Partner have agreed to indemnify Wexford and its affiliates from any and all losses arising out of or in connection with the Viper Advisory Services Agreement except for losses resulting from Wexford’s or its affiliates’ gross negligence or willful misconduct. The Partnership did not pay any amounts during the years ended December 31, 2017 and 2016 under the Viper Advisory Services Agreement. The Partnership paid $0.5 million during the year ended December 31, 2015 under the Viper Advisory Services Agreement.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Coronado Midstream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party to a gas purchase agreement, dated May 1, 2009, as amended, with Coronado Midstream LLC, formerly known as MidMar Gas LLC, an entity that was affiliated with Wexford, that owns a gas gathering system and processing plant in the Permian Basin. Under this agreement, Coronado Midstream LLC is obligated to purchase from the Company, and the Company is obligated to sell to Coronado Midstream LLC, all of the gas conforming to certain quality specifications produced from certain of the Company’s Permian Basin acreage. An entity controlled by Wexford had owned approximately 28% equity interest in Coronado Midstream LLC until Coronado Midstream LLC was sold in March 2015. Coronado Midstream LLC is no longer a related party and any revenues, production and ad valorem taxes and gathering and transportation expense after March 2015 are not classified as those attributable to a related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Midland Leases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May 15, 2011, the Company occupied corporate office space in the Fasken building in Midland, Texas under a lease with an initial term of five years. On November 10, 2014, the lease was amended to extend the term of the lease for an additional 10-year period and to increase the monthly base rent to $94,000 beginning in June 2016, with an increase of approximately 2% annually. The office space is owned by Fasken, which is an entity controlled by an affiliate of Wexford.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contains amendments made to lease additional office space in the Midland corporate office during the years ended December 31, 2016 and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Approx. Annual Increase</w:t>
            </w:r>
          </w:p>
        </w:tc>
      </w:t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Date of Amendments</w:t>
            </w:r>
          </w:p>
        </w:tc>
        <w:tc>
          <w:tcPr>
            <w:tcW w:w="4900" w:type="dxa"/>
            <w:vAlign w:val="bottom"/>
          </w:tcPr>
          <w:p>
            <w:pPr>
              <w:jc w:val="center"/>
              <w:ind w:left="2650"/>
              <w:spacing w:after="0"/>
              <w:rPr>
                <w:sz w:val="20"/>
                <w:szCs w:val="20"/>
                <w:color w:val="auto"/>
              </w:rPr>
            </w:pPr>
            <w:r>
              <w:rPr>
                <w:rFonts w:ascii="Arial" w:cs="Arial" w:eastAsia="Arial" w:hAnsi="Arial"/>
                <w:sz w:val="18"/>
                <w:szCs w:val="18"/>
                <w:b w:val="1"/>
                <w:bCs w:val="1"/>
                <w:color w:val="auto"/>
                <w:w w:val="90"/>
              </w:rPr>
              <w:t>Rent for Additional Space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of Monthly Base Rent</w:t>
            </w:r>
          </w:p>
        </w:tc>
      </w:tr>
      <w:tr>
        <w:trPr>
          <w:trHeight w:val="27"/>
        </w:trPr>
        <w:tc>
          <w:tcPr>
            <w:tcW w:w="446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44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 2014</w:t>
            </w:r>
          </w:p>
        </w:tc>
        <w:tc>
          <w:tcPr>
            <w:tcW w:w="4900" w:type="dxa"/>
            <w:vAlign w:val="bottom"/>
            <w:shd w:val="clear" w:color="auto" w:fill="CCEEFF"/>
          </w:tcPr>
          <w:p>
            <w:pPr>
              <w:jc w:val="center"/>
              <w:ind w:left="2670"/>
              <w:spacing w:after="0"/>
              <w:rPr>
                <w:sz w:val="20"/>
                <w:szCs w:val="20"/>
                <w:color w:val="auto"/>
              </w:rPr>
            </w:pPr>
            <w:r>
              <w:rPr>
                <w:rFonts w:ascii="Arial" w:cs="Arial" w:eastAsia="Arial" w:hAnsi="Arial"/>
                <w:sz w:val="18"/>
                <w:szCs w:val="18"/>
                <w:color w:val="auto"/>
                <w:w w:val="89"/>
              </w:rPr>
              <w:t>$27,000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70"/>
        </w:trPr>
        <w:tc>
          <w:tcPr>
            <w:tcW w:w="4460" w:type="dxa"/>
            <w:vAlign w:val="bottom"/>
          </w:tcPr>
          <w:p>
            <w:pPr>
              <w:ind w:left="4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 2014</w:t>
            </w:r>
          </w:p>
        </w:tc>
        <w:tc>
          <w:tcPr>
            <w:tcW w:w="4900" w:type="dxa"/>
            <w:vAlign w:val="bottom"/>
          </w:tcPr>
          <w:p>
            <w:pPr>
              <w:jc w:val="center"/>
              <w:ind w:left="2670"/>
              <w:spacing w:after="0"/>
              <w:rPr>
                <w:sz w:val="20"/>
                <w:szCs w:val="20"/>
                <w:color w:val="auto"/>
              </w:rPr>
            </w:pPr>
            <w:r>
              <w:rPr>
                <w:rFonts w:ascii="Arial" w:cs="Arial" w:eastAsia="Arial" w:hAnsi="Arial"/>
                <w:sz w:val="18"/>
                <w:szCs w:val="18"/>
                <w:color w:val="auto"/>
                <w:w w:val="89"/>
              </w:rPr>
              <w:t>$53,000</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2015</w:t>
            </w:r>
          </w:p>
        </w:tc>
        <w:tc>
          <w:tcPr>
            <w:tcW w:w="4900" w:type="dxa"/>
            <w:vAlign w:val="bottom"/>
            <w:tcBorders>
              <w:bottom w:val="single" w:sz="8" w:color="CCEEFF"/>
            </w:tcBorders>
            <w:shd w:val="clear" w:color="auto" w:fill="CCEEFF"/>
          </w:tcPr>
          <w:p>
            <w:pPr>
              <w:jc w:val="center"/>
              <w:ind w:left="2670"/>
              <w:spacing w:after="0"/>
              <w:rPr>
                <w:sz w:val="20"/>
                <w:szCs w:val="20"/>
                <w:color w:val="auto"/>
              </w:rPr>
            </w:pPr>
            <w:r>
              <w:rPr>
                <w:rFonts w:ascii="Arial" w:cs="Arial" w:eastAsia="Arial" w:hAnsi="Arial"/>
                <w:sz w:val="18"/>
                <w:szCs w:val="18"/>
                <w:color w:val="auto"/>
                <w:w w:val="89"/>
              </w:rPr>
              <w:t>$23,000</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June 2015</w:t>
            </w:r>
          </w:p>
        </w:tc>
        <w:tc>
          <w:tcPr>
            <w:tcW w:w="4900" w:type="dxa"/>
            <w:vAlign w:val="bottom"/>
          </w:tcPr>
          <w:p>
            <w:pPr>
              <w:jc w:val="center"/>
              <w:ind w:left="2670"/>
              <w:spacing w:after="0"/>
              <w:rPr>
                <w:sz w:val="20"/>
                <w:szCs w:val="20"/>
                <w:color w:val="auto"/>
              </w:rPr>
            </w:pPr>
            <w:r>
              <w:rPr>
                <w:rFonts w:ascii="Arial" w:cs="Arial" w:eastAsia="Arial" w:hAnsi="Arial"/>
                <w:sz w:val="18"/>
                <w:szCs w:val="18"/>
                <w:color w:val="auto"/>
                <w:w w:val="89"/>
              </w:rPr>
              <w:t>$22,000</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Office Lease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leased field office space in Midland, Texas from an unrelated third party from March 1, 2011. On March 1, 2014, the building was purchased by WT Commercial Portfolio, LLC, which is controlled by an affiliate of Wexford. The term of the lease expires on February 28, 2018. The monthly base rent was $11,000 and increased 3% annually on March 1 of each year. During the third quarter of 2014, the Company entered into a sublease with Bison, in which Bison leased the field office space on the same terms as the Company’s lease for the remainder of the lease term. The Company paid rent of $0.2 million during both of the years ended December 31, 2016 and 2015. The Company received payments of $0.2 million from Bison in respect of this sublease during both of the years ended December 31, 2016 and 2015. During the second quarter of 2017, the sublease between the Company and Bison as well as the original lease between the Company and WT Commercial Portfolio, LLC were terminated.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 - Lease Bonus</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the Company paid the Partnership $0.1 million in lease bonus payments to extend the term of two leases, reflecting an average bonus of $7,459 per acre. During the year ended December 31, 2016, the Company paid the Partnership $0.3 million in lease bonus payments to extend the term of six leases, reflecting an average bonus of $1,371 per acre.</w:t>
      </w:r>
    </w:p>
    <w:p>
      <w:pPr>
        <w:spacing w:after="0" w:line="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certain reporting periods prior to the quarter ended December 31, 2017, the Company’s deferred tax assets exceeded its deferred tax liabilities. The resulting net deferred tax asset was subject to a full valuation allowance. The Company continually assesses its deferred tax assets for realizability and, as a result of such reassessment, in the quarter ended December 31, 2017 the Company determined that sufficient evidence existed to indicate that it is probable that its deferred tax assets will be realized primarily through the unfavorable reversal of deferred tax liabilities, which currently exceed the Company’s deferred tax assets. In the quarter ended December 31, 2017, the valuation allowance historically applied against the Company’s gross deferred tax assets was removed. The Company’s gross deferred tax assets were recorded based upon the 35% federal income tax rate that was in effect prior to the enactment of the Tax Cut and Jobs Act. Subsequently, but also in the quarter ended December 31, 2017, the Company’s deferred tax assets and deferred tax liabilities were revalued to reflect the federal income tax rate enacted by the Tax Cut and Jobs Act. The effects of the removal of the valuation allowance and the reduction to the federal income tax rate may both be seen in the reconciliation of our effective tax rate to the statutory rate below.</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Cuts and Jobs Act, a historic reform of the U.S. federal income tax statutes, was enacted on December 22, 2017. Among other significant features, the Tax Cut and Jobs Act reduces the maximum US federal corporate income tax rate from 35% to 21%, preserves long-standing upstream oil and gas tax provisions such as immediate deduction of intangible drilling costs, allows for immediate expensing of capital expenditures for tangible personal property for a period of time, modifies the provisions related to the limitations on deductions for executive compensation of publicly traded corporations, and enacts new limitations regarding the deductibility of interest expense.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completion of the Company’s financial statements for its year ended December 31, 2017, the Company has substantially completed its accounting for the effects of the enactment of the Tax Cut and Jobs Act. With respect to those items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which the Company’s accounting is not complete, as described below, the Company has made reasonable estimates of the effects on its existing deferred tax balances. In all cases, the Company will continue to make and refine its calculations as additional analysis is completed.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account for the effects of the Tax Cut and Jobs Act, the Company remeasured its deferred tax assets and liabilities based on the federal income and state income tax rates at which they are now expected to reverse, which is generally a federal income tax rate of 21%. The enacted rate change resulted in a non-cash decrease of approximately $67.9 million to the Company’s income tax provision for the period ended December 31, 2017 and a corresponding reduction to the Company’s net noncurrent deferred tax liability balance as of December 31, 2017.</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still analyzing certain aspects of the Tax Cuts and Jobs Act, specifically the provisions related to limitations on the deductibility of certain executive compensation, including equity based compensation. The Company is refining its calculations, which could potentially affect the measurement of related deferred tax balances or potentially give rise to new deferred tax amounts. The Company does not expect that a material adjustment to its deferred tax position will result from the completion of its computations, which the Company expects to finalize by the fourth quarter of 2018.</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2017, the Company did not have any significant uncertain tax positions requiring recognition in the financial statements. The tax years 2014 through 2017 remain subject to examination by the major tax jurisdictions.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provision for income taxes for the years ended December 31, 2017, 2016 and 2015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 (benefit):</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Total current income tax provision</w:t>
            </w:r>
          </w:p>
        </w:tc>
        <w:tc>
          <w:tcPr>
            <w:tcW w:w="9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(21,720)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(198,729)</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Total deferred income tax provision (benefit)</w:t>
            </w:r>
          </w:p>
        </w:tc>
        <w:tc>
          <w:tcPr>
            <w:tcW w:w="9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(20,567)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(201,545)</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 for (benefit from) income taxes</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(19,568)</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(201,310)</w:t>
            </w:r>
          </w:p>
        </w:tc>
      </w:tr>
      <w:tr>
        <w:trPr>
          <w:trHeight w:val="20"/>
        </w:trPr>
        <w:tc>
          <w:tcPr>
            <w:tcW w:w="606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7740" w:type="dxa"/>
            <w:vAlign w:val="bottom"/>
            <w:gridSpan w:val="5"/>
          </w:tcPr>
          <w:p>
            <w:pPr>
              <w:ind w:left="660"/>
              <w:spacing w:after="0"/>
              <w:rPr>
                <w:sz w:val="20"/>
                <w:szCs w:val="20"/>
                <w:color w:val="auto"/>
              </w:rPr>
            </w:pPr>
            <w:r>
              <w:rPr>
                <w:rFonts w:ascii="Arial" w:cs="Arial" w:eastAsia="Arial" w:hAnsi="Arial"/>
                <w:sz w:val="18"/>
                <w:szCs w:val="18"/>
                <w:color w:val="auto"/>
                <w:w w:val="91"/>
              </w:rPr>
              <w:t>A reconciliation of the statutory federal income tax amount to the recorded expense is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tax expense (benefit) at the federal statutory rate (35%)</w:t>
            </w:r>
          </w:p>
        </w:tc>
        <w:tc>
          <w:tcPr>
            <w:tcW w:w="20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174,016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(57,694)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(263,179)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Impact of nontaxable noncontrolling interest</w:t>
            </w: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relating to change in statutory tax rate</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State income tax expense (benefit), net of federal tax effect</w:t>
            </w: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4"/>
          </w:tcPr>
          <w:p>
            <w:pPr>
              <w:jc w:val="right"/>
              <w:ind w:right="30"/>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13,492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(127,485)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53,336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61,056</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3,152</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6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(201,310)</w:t>
            </w:r>
          </w:p>
        </w:tc>
      </w:tr>
      <w:tr>
        <w:trPr>
          <w:trHeight w:val="20"/>
        </w:trPr>
        <w:tc>
          <w:tcPr>
            <w:tcW w:w="50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2040" w:type="dxa"/>
            <w:vAlign w:val="bottom"/>
            <w:gridSpan w:val="3"/>
          </w:tcPr>
          <w:p>
            <w:pPr>
              <w:jc w:val="right"/>
              <w:ind w:right="1150"/>
              <w:spacing w:after="0"/>
              <w:rPr>
                <w:sz w:val="20"/>
                <w:szCs w:val="20"/>
                <w:color w:val="auto"/>
              </w:rPr>
            </w:pPr>
            <w:r>
              <w:rPr>
                <w:rFonts w:ascii="Arial" w:cs="Arial" w:eastAsia="Arial" w:hAnsi="Arial"/>
                <w:sz w:val="18"/>
                <w:szCs w:val="18"/>
                <w:color w:val="auto"/>
              </w:rPr>
              <w:t>F-29</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as of December 31, 2017 and 2016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Derivative instruments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7,771</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3,518</w:t>
            </w: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Current deferred tax assets</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11,289</w:t>
            </w:r>
          </w:p>
        </w:tc>
      </w:tr>
      <w:tr>
        <w:trPr>
          <w:trHeight w:val="243"/>
        </w:trPr>
        <w:tc>
          <w:tcPr>
            <w:tcW w:w="7440" w:type="dxa"/>
            <w:vAlign w:val="bottom"/>
          </w:tcPr>
          <w:p>
            <w:pPr>
              <w:ind w:left="820"/>
              <w:spacing w:after="0"/>
              <w:rPr>
                <w:sz w:val="20"/>
                <w:szCs w:val="20"/>
                <w:color w:val="auto"/>
              </w:rPr>
            </w:pPr>
            <w:r>
              <w:rPr>
                <w:rFonts w:ascii="Arial" w:cs="Arial" w:eastAsia="Arial" w:hAnsi="Arial"/>
                <w:sz w:val="18"/>
                <w:szCs w:val="18"/>
                <w:color w:val="auto"/>
              </w:rPr>
              <w:t>Valuation allowance</w:t>
            </w:r>
          </w:p>
        </w:tc>
        <w:tc>
          <w:tcPr>
            <w:tcW w:w="1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(11,289)</w:t>
            </w: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Current deferred tax assets, net of valuation allowance</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Deferred tax liabilities</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Derivative instruments</w:t>
            </w:r>
          </w:p>
        </w:tc>
        <w:tc>
          <w:tcPr>
            <w:tcW w:w="1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140"/>
              <w:spacing w:after="0"/>
              <w:rPr>
                <w:sz w:val="20"/>
                <w:szCs w:val="20"/>
                <w:color w:val="auto"/>
              </w:rPr>
            </w:pPr>
            <w:r>
              <w:rPr>
                <w:rFonts w:ascii="Arial" w:cs="Arial" w:eastAsia="Arial" w:hAnsi="Arial"/>
                <w:sz w:val="18"/>
                <w:szCs w:val="18"/>
                <w:color w:val="auto"/>
              </w:rPr>
              <w:t>Total current deferred tax liabilities</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Net current deferred tax assets</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Net operating loss carryforwards (subject to 20 year expiration)</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74,997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139,065</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Derivative instruments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Stock based compensation</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6,234</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820"/>
              <w:spacing w:after="0"/>
              <w:rPr>
                <w:sz w:val="20"/>
                <w:szCs w:val="20"/>
                <w:color w:val="auto"/>
              </w:rPr>
            </w:pPr>
            <w:r>
              <w:rPr>
                <w:rFonts w:ascii="Arial" w:cs="Arial" w:eastAsia="Arial" w:hAnsi="Arial"/>
                <w:sz w:val="18"/>
                <w:szCs w:val="18"/>
                <w:color w:val="auto"/>
              </w:rPr>
              <w:t>Noncurrent deferred tax assets</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101,321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145,299</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Valuation allowance</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(103,112)</w:t>
            </w:r>
          </w:p>
        </w:tc>
      </w:tr>
      <w:tr>
        <w:trPr>
          <w:trHeight w:val="237"/>
        </w:trPr>
        <w:tc>
          <w:tcPr>
            <w:tcW w:w="7440" w:type="dxa"/>
            <w:vAlign w:val="bottom"/>
          </w:tcPr>
          <w:p>
            <w:pPr>
              <w:ind w:left="1040"/>
              <w:spacing w:after="0"/>
              <w:rPr>
                <w:sz w:val="20"/>
                <w:szCs w:val="20"/>
                <w:color w:val="auto"/>
              </w:rPr>
            </w:pPr>
            <w:r>
              <w:rPr>
                <w:rFonts w:ascii="Arial" w:cs="Arial" w:eastAsia="Arial" w:hAnsi="Arial"/>
                <w:sz w:val="18"/>
                <w:szCs w:val="18"/>
                <w:color w:val="auto"/>
              </w:rPr>
              <w:t>Noncurrent deferred tax assets, net of valuation allowance</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101,217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42,187</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Oil and natural gas properties and equipment</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202,997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42,187</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Midstream assets</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140"/>
              <w:spacing w:after="0"/>
              <w:rPr>
                <w:sz w:val="20"/>
                <w:szCs w:val="20"/>
                <w:color w:val="auto"/>
              </w:rPr>
            </w:pPr>
            <w:r>
              <w:rPr>
                <w:rFonts w:ascii="Arial" w:cs="Arial" w:eastAsia="Arial" w:hAnsi="Arial"/>
                <w:sz w:val="18"/>
                <w:szCs w:val="18"/>
                <w:color w:val="auto"/>
              </w:rPr>
              <w:t>Total noncurrent deferred tax liabilities</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209,265</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42,187</w:t>
            </w: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Net noncurrent deferred tax liabilities</w:t>
            </w:r>
          </w:p>
        </w:tc>
        <w:tc>
          <w:tcPr>
            <w:tcW w:w="1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108,048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2000"/>
              <w:spacing w:after="0"/>
              <w:rPr>
                <w:sz w:val="20"/>
                <w:szCs w:val="20"/>
                <w:color w:val="auto"/>
              </w:rPr>
            </w:pPr>
            <w:r>
              <w:rPr>
                <w:rFonts w:ascii="Arial" w:cs="Arial" w:eastAsia="Arial" w:hAnsi="Arial"/>
                <w:sz w:val="18"/>
                <w:szCs w:val="18"/>
                <w:color w:val="auto"/>
              </w:rPr>
              <w:t>Net deferred tax liabilities</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108,048</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incurred a tax net operating loss ("NOL") in the current year due principally to the ability to expense certain intangible drilling and development costs under current law. There is no tax refund available to the Company, nor is there any current income tax payable. At December 31, 2017, the Company had approximately $357.0 million of federal NOLs expiring in 2032 through 2037. The Company principally operates in the state of Texas and is subject to Texas Margin Tax, which currently does not include an NOL carryover provision. The Company believes that Section 382 of the Internal Revenue Code of 1986, as amended, which relates to tax attribute limitations upon the 50% or greater change of ownership of an entity during any three-year look back period, will not have an adverse effect on future NOL usage.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2017, the Company has a remaining valuation allowance of $0.1 million for certain state NOL carryforwards which the Company does not believe are realizable as it does not anticipate future operations in those states. In the fourth quarter of 2017, the Company removed its valuation allowance against deferred tax assets for U.S. NOL carryforwards resulting in income tax benefit of $127.5 million. As discussed above, management’s assessment included consideration of all available positive and negative evidence including the anticipated timing of reversal of deferred tax liabilities. Management believes that the balance of the Company’s NOLs are realizable to the extent of future taxable income primarily related to the excess of book carrying value of properties over their respective tax bases. As a result of management’s assessment, in the quarter ended December 31, 2017, the Company has removed its valuation allowance against its federal NOLs and other federal deferred tax assets in order to state its deferred assets and liabilities at the amount more likely than not to be realized.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4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derivative financial instruments are recorded at fair value in the accompanying balance sheet. The Company has not designated its derivative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has used fixed price swap contracts, fixed price basis swap contracts and costless collars with corresponding put and call options to reduce price volatility associated with certain of its oil and natural gas sales. With respect to the Company’s fixed price swap and fixed price basis contracts, the counterparty is required to make a payment to the Company if the settlement price for any settlement period is less than the swap price, and the Company is required to make a payment to the counterparty if the settlement price for any settlement period is greater than the swap price. The Company has fixed price basis swaps for the spread between the WTI Midland price and the WTI Cushing price. Under the Company’s costless collar contracts, the counterparty is required to make a payment to the Company if the settlement price for any settlement period is less than the put option price, and the Company is required to make a payment to the counterparty if the settlement price for any settlement period is greater than the call option price. If the settlement price is between the put and the call price, there is no payment required. The Company’s derivative contracts are based upon reported settlement prices on commodity exchanges, with crude oil derivative settlements based on New York Mercantile Exchange West Texas Intermediate pricing and Crude Oil Brent, and with natural gas derivative settlements based on the New York Mercantile Exchange Henry Hub pricing.</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2017, the Company had the following outstanding derivative contracts. When aggregating multiple contracts, the weighted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average contract price is disclosed.</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4"/>
        </w:trPr>
        <w:tc>
          <w:tcPr>
            <w:tcW w:w="3540" w:type="dxa"/>
            <w:vAlign w:val="bottom"/>
          </w:tcPr>
          <w:p>
            <w:pPr>
              <w:spacing w:after="0"/>
              <w:rPr>
                <w:sz w:val="24"/>
                <w:szCs w:val="24"/>
                <w:color w:val="auto"/>
              </w:rPr>
            </w:pPr>
          </w:p>
        </w:tc>
        <w:tc>
          <w:tcPr>
            <w:tcW w:w="3900" w:type="dxa"/>
            <w:vAlign w:val="bottom"/>
            <w:gridSpan w:val="4"/>
          </w:tcPr>
          <w:p>
            <w:pPr>
              <w:jc w:val="right"/>
              <w:ind w:right="16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4"/>
                <w:szCs w:val="24"/>
                <w:color w:val="auto"/>
              </w:rPr>
            </w:pPr>
          </w:p>
        </w:tc>
        <w:tc>
          <w:tcPr>
            <w:tcW w:w="28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Fixed Price Swap (per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Fixed Price Swap (per</w:t>
            </w:r>
          </w:p>
        </w:tc>
      </w:tr>
      <w:tr>
        <w:trPr>
          <w:trHeight w:val="234"/>
        </w:trPr>
        <w:tc>
          <w:tcPr>
            <w:tcW w:w="354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 (Bbls/MMBtu)</w:t>
            </w:r>
          </w:p>
        </w:tc>
        <w:tc>
          <w:tcPr>
            <w:tcW w:w="12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Bbl/MMBtu)</w:t>
            </w: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 (Bbls/MMBtu)</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Bbl/MMBtu)</w:t>
            </w:r>
          </w:p>
        </w:tc>
      </w:tr>
      <w:tr>
        <w:trPr>
          <w:trHeight w:val="27"/>
        </w:trPr>
        <w:tc>
          <w:tcPr>
            <w:tcW w:w="3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51.10</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1,095,000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Oil Swaps - BRENT</w:t>
            </w:r>
          </w:p>
        </w:tc>
        <w:tc>
          <w:tcPr>
            <w:tcW w:w="1840" w:type="dxa"/>
            <w:vAlign w:val="bottom"/>
          </w:tcPr>
          <w:p>
            <w:pPr>
              <w:jc w:val="right"/>
              <w:spacing w:after="0"/>
              <w:rPr>
                <w:sz w:val="20"/>
                <w:szCs w:val="20"/>
                <w:color w:val="auto"/>
              </w:rPr>
            </w:pPr>
            <w:r>
              <w:rPr>
                <w:rFonts w:ascii="Arial" w:cs="Arial" w:eastAsia="Arial" w:hAnsi="Arial"/>
                <w:sz w:val="18"/>
                <w:szCs w:val="18"/>
                <w:color w:val="auto"/>
              </w:rPr>
              <w:t>1,830,000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54.89</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Natural Gas Swaps</w:t>
            </w:r>
          </w:p>
        </w:tc>
        <w:tc>
          <w:tcPr>
            <w:tcW w:w="1840" w:type="dxa"/>
            <w:vAlign w:val="bottom"/>
          </w:tcPr>
          <w:p>
            <w:pPr>
              <w:jc w:val="right"/>
              <w:spacing w:after="0"/>
              <w:rPr>
                <w:sz w:val="20"/>
                <w:szCs w:val="20"/>
                <w:color w:val="auto"/>
              </w:rPr>
            </w:pPr>
            <w:r>
              <w:rPr>
                <w:rFonts w:ascii="Arial" w:cs="Arial" w:eastAsia="Arial" w:hAnsi="Arial"/>
                <w:sz w:val="18"/>
                <w:szCs w:val="18"/>
                <w:color w:val="auto"/>
              </w:rPr>
              <w:t>7,750,000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21"/>
        </w:trPr>
        <w:tc>
          <w:tcPr>
            <w:tcW w:w="3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880"/>
              <w:spacing w:after="0"/>
              <w:rPr>
                <w:sz w:val="20"/>
                <w:szCs w:val="20"/>
                <w:color w:val="auto"/>
              </w:rPr>
            </w:pPr>
            <w:r>
              <w:rPr>
                <w:rFonts w:ascii="Arial" w:cs="Arial" w:eastAsia="Arial" w:hAnsi="Arial"/>
                <w:sz w:val="18"/>
                <w:szCs w:val="18"/>
                <w:b w:val="1"/>
                <w:bCs w:val="1"/>
                <w:color w:val="auto"/>
              </w:rPr>
              <w:t>Floor</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Ceiling</w:t>
            </w: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3978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Fixed Price (per</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Fixed Price (per</w:t>
            </w:r>
          </w:p>
        </w:tc>
      </w:tr>
      <w:tr>
        <w:trPr>
          <w:trHeight w:val="234"/>
        </w:trPr>
        <w:tc>
          <w:tcPr>
            <w:tcW w:w="5160" w:type="dxa"/>
            <w:vAlign w:val="bottom"/>
          </w:tcPr>
          <w:p>
            <w:pPr>
              <w:spacing w:after="0"/>
              <w:rPr>
                <w:sz w:val="20"/>
                <w:szCs w:val="20"/>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(Bbls)</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Bbl)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(Bbls)</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Bbl)</w:t>
            </w: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2018 - March 2018</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Costless Collars</w:t>
            </w:r>
          </w:p>
        </w:tc>
        <w:tc>
          <w:tcPr>
            <w:tcW w:w="1480" w:type="dxa"/>
            <w:vAlign w:val="bottom"/>
          </w:tcPr>
          <w:p>
            <w:pPr>
              <w:jc w:val="right"/>
              <w:spacing w:after="0"/>
              <w:rPr>
                <w:sz w:val="20"/>
                <w:szCs w:val="20"/>
                <w:color w:val="auto"/>
              </w:rPr>
            </w:pPr>
            <w:r>
              <w:rPr>
                <w:rFonts w:ascii="Arial" w:cs="Arial" w:eastAsia="Arial" w:hAnsi="Arial"/>
                <w:sz w:val="18"/>
                <w:szCs w:val="18"/>
                <w:color w:val="auto"/>
              </w:rPr>
              <w:t>540,000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56.34</w:t>
            </w:r>
          </w:p>
        </w:tc>
      </w:tr>
      <w:tr>
        <w:trPr>
          <w:trHeight w:val="459"/>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4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December 31, 2017 and 2016.</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assets presented in the Consolidated Balance Sheet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amounts of assets presented in the Consolidated Balance Sheet</w:t>
            </w: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r>
      <w:tr>
        <w:trPr>
          <w:trHeight w:val="311"/>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Gross amounts of liabilities presented in the Consolidated Balance Sheet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106,670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22,608</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liabilities presented in the Consolidated Balance Sheet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106,670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22,608</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12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100,367</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22,608</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106,670</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22,608</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5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(84,240)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Gain on settlement of non-hedge derivative instruments</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144,869</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(77,512)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31,951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Level 1 - Observable inputs that reflect unadjusted quoted prices for identical assets or liabilities in active markets as of the reporting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45"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assets and liabilities are reported at fair value on a recurring basis, including the Company’s derivative instruments. The fair values of the Company’s fixed price crude oil swaps are measured internally using established commodity futures price strips for the underlying commodity provided by a reputable third party, the contracted notional volumes, and time to maturity. These valuations are Level 2 inputs.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December 31,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price swaps: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Quoted prices in active markets level 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Significant other observable inputs level 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Significant unobservable inputs level 3</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23,317</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320" w:type="dxa"/>
            <w:vAlign w:val="bottom"/>
            <w:gridSpan w:val="3"/>
          </w:tcPr>
          <w:p>
            <w:pPr>
              <w:ind w:left="840"/>
              <w:spacing w:after="0"/>
              <w:rPr>
                <w:sz w:val="20"/>
                <w:szCs w:val="20"/>
                <w:color w:val="auto"/>
              </w:rPr>
            </w:pPr>
            <w:r>
              <w:rPr>
                <w:rFonts w:ascii="Arial" w:cs="Arial" w:eastAsia="Arial" w:hAnsi="Arial"/>
                <w:sz w:val="18"/>
                <w:szCs w:val="18"/>
                <w:b w:val="1"/>
                <w:bCs w:val="1"/>
                <w:color w:val="auto"/>
              </w:rPr>
              <w:t>December 31, 2017</w:t>
            </w: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560" w:type="dxa"/>
            <w:vAlign w:val="bottom"/>
          </w:tcPr>
          <w:p>
            <w:pPr>
              <w:spacing w:after="0"/>
              <w:rPr>
                <w:sz w:val="20"/>
                <w:szCs w:val="20"/>
                <w:color w:val="auto"/>
              </w:rPr>
            </w:pPr>
          </w:p>
        </w:tc>
      </w:tr>
      <w:tr>
        <w:trPr>
          <w:trHeight w:val="27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Fair Value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60" w:type="dxa"/>
            <w:vAlign w:val="bottom"/>
          </w:tcPr>
          <w:p>
            <w:pPr>
              <w:ind w:left="42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40563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397,000</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397,000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4.750% Senior Notes due 2024</w:t>
            </w:r>
          </w:p>
        </w:tc>
        <w:tc>
          <w:tcPr>
            <w:tcW w:w="1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501,855</w:t>
            </w: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500,000</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491,250</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5.375% Senior Notes due 2025</w:t>
            </w:r>
          </w:p>
        </w:tc>
        <w:tc>
          <w:tcPr>
            <w:tcW w:w="15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500,000</w:t>
            </w:r>
          </w:p>
        </w:tc>
        <w:tc>
          <w:tcPr>
            <w:tcW w:w="5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515,000</w:t>
            </w:r>
          </w:p>
        </w:tc>
        <w:tc>
          <w:tcPr>
            <w:tcW w:w="600" w:type="dxa"/>
            <w:vAlign w:val="bottom"/>
          </w:tcPr>
          <w:p>
            <w:pPr>
              <w:spacing w:after="0"/>
              <w:rPr>
                <w:sz w:val="21"/>
                <w:szCs w:val="21"/>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500,000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502,850</w:t>
            </w: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Partnership revolving credit facility</w:t>
            </w:r>
          </w:p>
        </w:tc>
        <w:tc>
          <w:tcPr>
            <w:tcW w:w="1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93,500</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93,500</w:t>
            </w:r>
          </w:p>
        </w:tc>
        <w:tc>
          <w:tcPr>
            <w:tcW w:w="6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120,500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120,500</w:t>
            </w:r>
          </w:p>
        </w:tc>
      </w:tr>
      <w:tr>
        <w:trPr>
          <w:trHeight w:val="27"/>
        </w:trPr>
        <w:tc>
          <w:tcPr>
            <w:tcW w:w="40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the revolving credit facility and the Partnership’s revolving credit facility approximates their carrying value based on borrowing rates available to the Company for bank loans with similar terms and maturities and is classified as Level 2 in the fair value hierarchy. The fair value of the Senior Notes was determined using the December 31, 2017 quoted market price, a Level 1 classification in the fair value hierarchy.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4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minimum future lease payments with commitments that have initial or remaining noncancelable lease terms in excess of one year as of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Drilling Rig</w:t>
            </w:r>
          </w:p>
        </w:tc>
        <w:tc>
          <w:tcPr>
            <w:tcW w:w="160" w:type="dxa"/>
            <w:vAlign w:val="bottom"/>
          </w:tcPr>
          <w:p>
            <w:pPr>
              <w:spacing w:after="0"/>
              <w:rPr>
                <w:sz w:val="18"/>
                <w:szCs w:val="18"/>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Office and Equipment</w:t>
            </w:r>
          </w:p>
        </w:tc>
      </w:tr>
      <w:tr>
        <w:trPr>
          <w:trHeight w:val="234"/>
        </w:trPr>
        <w:tc>
          <w:tcPr>
            <w:tcW w:w="7320" w:type="dxa"/>
            <w:vAlign w:val="bottom"/>
          </w:tcPr>
          <w:p>
            <w:pPr>
              <w:ind w:left="2640"/>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Commitments</w:t>
            </w:r>
          </w:p>
        </w:tc>
        <w:tc>
          <w:tcPr>
            <w:tcW w:w="16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b w:val="1"/>
                <w:bCs w:val="1"/>
                <w:color w:val="auto"/>
              </w:rPr>
              <w:t>Leases</w:t>
            </w:r>
          </w:p>
        </w:tc>
      </w:tr>
      <w:tr>
        <w:trPr>
          <w:trHeight w:val="27"/>
        </w:trPr>
        <w:tc>
          <w:tcPr>
            <w:tcW w:w="7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4"/>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4"/>
          </w:tcPr>
          <w:p>
            <w:pPr>
              <w:jc w:val="right"/>
              <w:ind w:right="14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3,307</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2,406</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7,973</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22,436</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leases office space in Midland, Texas and in Oklahoma City, OK from unrelated third parties. The following table presents rent expense for the years ended December 31, 2017, 2016 and 2015.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2,412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contracts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 Company had entered into drilling rig contracts with various third parties in the ordinary course of business to ensure rig availability to complete the Company’s drilling projects. These commitments are not recorded in the accompanying consolidated balance sheets. Future commitments as of December 31, 2017 total approximately $32.0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production purchase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24, 2012, the Company entered into an oil purchase agreement with Shell Trading (US) Company, in which the Company is obligated to commence delivery of specified quantities of oil to Shell Trading (US) Company upon completion of the reversal of the Magellan Longhorn pipeline and its conversion for oil shipment, which occurred on October 1, 2013. The Company’s agreement with Shell Trading has an initial term of five years from the completion date. The Company’s maximum delivery obligation under this agreement is 8,000 gross barrels per day. The Company has a one-time right to elect to decrease the contract quantity by not more than 20% of the then-current quantity, which decreased contract quantity will be effective for the remainder of the term of the agreement. The Company will receive the price per barrel of oil based on the arithmetic average of the daily settlement price for “Light Sweet Crude Oil” Prompt Month future contracts reported by the NYMEX over the one-month period, as adjusted based on adjustment formulas specified in the agreement. If the Company fails to deliver the required quantities of oil under the agreement during any three-month period following the service commencement date, the Company has agreed to pay Shell Trading (US) Company a deficiency payment, which is calculated by multiplying (i) the volume of oil that the Company failed to deliver as required under the agreement during such period by (ii) Magellan’s Longhorn Spot tariff rate in effect for transportation from Crane, Texas to the Houston Ship Channel for the period of time for which such deficiency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4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volume is calculated. The agreement may be terminated by Shell Trading (US) Company in the event that Shell Trading (US) Company’s contract for transportation on the pipeline is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sponsors a 401(k) defined contribution plan for the benefit of substantially all employees at their date of hire. The plan allows eligible employees to contribute up to 100% of their annual compensation, not to exceed annual limits established by the federal government. The Company makes matching contributions of up to 6% of an employee’s compensation and may make additional discretionary contributions for eligible employees. Employer contributions vest immediately. For the years ended December 31, 2017, 2016 and 2015 the Company paid $1.8 million, $1.2 million and $1.4 million, respectively, in contributions to the plan.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December 31, 2017, the Company entered into new fixed price swaps and costless collars with corresponding put and call options. The Company’s derivative contracts are based upon reported settlement prices on commodity exchanges, with crude oil derivative settlements based on New York Mercantile Exchange West Texas Intermediate pricing.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December 31, 2017.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Fixed Price Swap (per</w:t>
            </w:r>
          </w:p>
        </w:tc>
      </w:tr>
      <w:tr>
        <w:trPr>
          <w:trHeight w:val="234"/>
        </w:trPr>
        <w:tc>
          <w:tcPr>
            <w:tcW w:w="6860" w:type="dxa"/>
            <w:vAlign w:val="bottom"/>
          </w:tcPr>
          <w:p>
            <w:pPr>
              <w:spacing w:after="0"/>
              <w:rPr>
                <w:sz w:val="20"/>
                <w:szCs w:val="20"/>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b w:val="1"/>
                <w:bCs w:val="1"/>
                <w:color w:val="auto"/>
              </w:rPr>
              <w:t>Volume (Bbls/MMBtu)</w:t>
            </w:r>
          </w:p>
        </w:tc>
        <w:tc>
          <w:tcPr>
            <w:tcW w:w="200" w:type="dxa"/>
            <w:vAlign w:val="bottom"/>
          </w:tcPr>
          <w:p>
            <w:pPr>
              <w:spacing w:after="0"/>
              <w:rPr>
                <w:sz w:val="20"/>
                <w:szCs w:val="20"/>
                <w:color w:val="auto"/>
              </w:rPr>
            </w:pPr>
          </w:p>
        </w:tc>
        <w:tc>
          <w:tcPr>
            <w:tcW w:w="2080" w:type="dxa"/>
            <w:vAlign w:val="bottom"/>
          </w:tcPr>
          <w:p>
            <w:pPr>
              <w:jc w:val="right"/>
              <w:ind w:right="55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68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July 2018 - December 2018</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Oil Swaps - WTI</w:t>
            </w:r>
          </w:p>
        </w:tc>
        <w:tc>
          <w:tcPr>
            <w:tcW w:w="2160" w:type="dxa"/>
            <w:vAlign w:val="bottom"/>
          </w:tcPr>
          <w:p>
            <w:pPr>
              <w:jc w:val="right"/>
              <w:spacing w:after="0"/>
              <w:rPr>
                <w:sz w:val="20"/>
                <w:szCs w:val="20"/>
                <w:color w:val="auto"/>
              </w:rPr>
            </w:pPr>
            <w:r>
              <w:rPr>
                <w:rFonts w:ascii="Arial" w:cs="Arial" w:eastAsia="Arial" w:hAnsi="Arial"/>
                <w:sz w:val="18"/>
                <w:szCs w:val="18"/>
                <w:color w:val="auto"/>
              </w:rPr>
              <w:t>184,000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60.70</w:t>
            </w:r>
          </w:p>
        </w:tc>
      </w:tr>
      <w:tr>
        <w:trPr>
          <w:trHeight w:val="27"/>
        </w:trPr>
        <w:tc>
          <w:tcPr>
            <w:tcW w:w="6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2019 - March 2019</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Oil Swaps - WTI</w:t>
            </w:r>
          </w:p>
        </w:tc>
        <w:tc>
          <w:tcPr>
            <w:tcW w:w="2160" w:type="dxa"/>
            <w:vAlign w:val="bottom"/>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58.70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Fasken Building Purchase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31, 2018, the Company completed its acquisition of the Fasken Center office buildings in Midland, TX where the Company’s corporate offices are located.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Senior Notes due 2025 and Repayment of Portion of Outstanding Borrowings under Revolving Credit Facility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29, 2018, the Company closed on the private placement issuance of $300.0 million aggregate principal amount of 5.375% Senior Notes due 2025. In the offering, the Company received approximately $308.4 million in net proceeds, after deducting the initial purchasers’ discount and its estimated offering expenses, but disregarding accrued interest. The Company used all of the net proceeds from the offering to repay a portion of the outstanding borrowings under its revolving credit facility. In connection with the offering, the lenders under the Company’s revolving credit facility waived the borrowing base decrease that would have been triggered in connection with the offering. Immediately following the completion of the offering and the application of the net proceeds thereof, the Company’s borrowing base remained $1.8 billion, the Company’s elected commitment was $1.0 billion, and the Company had $911.4 million of available borrowing capacity under its revolving credit facility.</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GUARANTOR FINANCIAL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2017, Diamondback E&amp;P LLC and Diamondback O&amp;G LLC (the “Guarantor Subsidiaries”) are guarantors under the indentures relating to the 2024 Senior Notes and the 2025 Senior Notes. In connection with the issuance of the 2024 Senior Notes and the 2025 Senior Notes, the Partnership, the General Partner, Viper Energy Partners LLC and Rattler Midstream LLC were designated as Non-Guarantor Subsidiaries. The following presents condensed consolidated financial information for the Company (which for purposes of this Note 17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4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205,859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231,613</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2,624,810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2,267,308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(4,892,118)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9,108</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5,434</w:t>
            </w: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2,679,502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2,520,911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55,448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358,601</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8,129,211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1,103,897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9,232,694</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191,519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191,519</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80,776</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(1,976,248)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(2,161,372)</w:t>
            </w:r>
          </w:p>
        </w:tc>
      </w:tr>
      <w:tr>
        <w:trPr>
          <w:trHeight w:val="25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6,425,258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914,431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7,343,617</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3,809,557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(3,809,557)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62,463</w:t>
            </w:r>
          </w:p>
        </w:tc>
      </w:tr>
      <w:tr>
        <w:trPr>
          <w:trHeight w:val="283"/>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7,770,985</w:t>
            </w:r>
          </w:p>
        </w:tc>
      </w:tr>
      <w:tr>
        <w:trPr>
          <w:trHeight w:val="251"/>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94,590</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132,067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4,765,193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472,933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482,838</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139,304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5,329,755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5,629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577,428</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986,847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1,477,347</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6,303</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20,122</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108,048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108,048</w:t>
            </w: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1,234,199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5,753,180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99,129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2,189,248</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(4,132,506)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5,254,860</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326,877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326,877</w:t>
            </w: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(3,805,629)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5,581,737</w:t>
            </w:r>
          </w:p>
        </w:tc>
      </w:tr>
      <w:tr>
        <w:trPr>
          <w:trHeight w:val="243"/>
        </w:trPr>
        <w:tc>
          <w:tcPr>
            <w:tcW w:w="4920" w:type="dxa"/>
            <w:vAlign w:val="bottom"/>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7,770,985</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445" w:right="2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1,666,574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119,825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3,060,566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4,704,273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488,018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23,413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1,792,166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4,400,002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760,818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5,160,261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58,290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58,290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(1,695,701)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(1,836,056)</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2,770,953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611,870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3,390,857</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121,391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44,557</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4,688,773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3,390,362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(3,400,004)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45,838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47,648</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payable-related party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3,423,538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161,693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3,624,830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209,342</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985,412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1,105,912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16,134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16,134</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991,311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3,640,964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122,651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1,331,388</w:t>
            </w:r>
          </w:p>
        </w:tc>
        <w:tc>
          <w:tcPr>
            <w:tcW w:w="0" w:type="dxa"/>
            <w:vAlign w:val="bottom"/>
          </w:tcPr>
          <w:p>
            <w:pPr>
              <w:spacing w:after="0"/>
              <w:rPr>
                <w:sz w:val="1"/>
                <w:szCs w:val="1"/>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3,697,462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547,898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3,697,462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320,830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320,830</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3,697,462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(250,602)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547,898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23,534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4,018,292</w:t>
            </w:r>
          </w:p>
        </w:tc>
        <w:tc>
          <w:tcPr>
            <w:tcW w:w="0" w:type="dxa"/>
            <w:vAlign w:val="bottom"/>
          </w:tcPr>
          <w:p>
            <w:pPr>
              <w:spacing w:after="0"/>
              <w:rPr>
                <w:sz w:val="1"/>
                <w:szCs w:val="1"/>
                <w:color w:val="auto"/>
              </w:rPr>
            </w:pPr>
          </w:p>
        </w:tc>
      </w:tr>
      <w:tr>
        <w:trPr>
          <w:trHeight w:val="243"/>
        </w:trPr>
        <w:tc>
          <w:tcPr>
            <w:tcW w:w="4920" w:type="dxa"/>
            <w:vAlign w:val="bottom"/>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4,688,773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3,390,362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670,549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(3,400,004)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4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903,842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140,175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1,044,017</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52,210</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79,371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90,048</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160,163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11,764</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w:t>
            </w: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1,033,184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172,033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1,205,111</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126,524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126,524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73,505</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12,834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10,409</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281,989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40,519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326,759</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48,669</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1,391</w:t>
            </w: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26,776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513,312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600,091</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605,020</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(29,925)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(40,554)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10,235</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(77,512)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(77,512)</w:t>
            </w: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(28,783)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(107,831)</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445,627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497,189</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(19,568)</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(35,991)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445,627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111,478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516,757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34,496</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(35,991)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445,627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111,478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(38,853)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482,261</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4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399,007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71,521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470,528</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29,864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34,073</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448,270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527,107</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82,428</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34,456</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11,606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151,376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29,820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178,015</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of oil and natural gas properties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245,536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25,959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42,619</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25,959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484,487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88,457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595,724</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(68,617)</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(40,684)</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3,064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(25,345)</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(33,134)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(33,134)</w:t>
            </w: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(68,015)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(26,246)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(96,099)</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(164,716)</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(94,166)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(62,463)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(10,899)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2,620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(164,908)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(94,166)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(10,899)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2,494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(165,034)</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4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2015</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336,106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69,609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405,715</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19,592</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18,836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21,426</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(74,859)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371,874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446,733</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82,625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82,625</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32,990</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6,091</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217,697</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of oil and natural gas properties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814,798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814,798</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31,968</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Asset retirement obligation accretion expense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833</w:t>
            </w: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17,077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1,122,998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50,484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1,187,002</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(751,124)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(740,269)</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(35,651)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(41,510)</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w:t>
            </w: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31,951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31,951</w:t>
            </w: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(8,831)</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(52,727)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(724,349)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24,419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(749,100)</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(201,310)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(201,310)</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148,583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(724,349)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24,419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(547,790)</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2,838</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148,583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(724,349)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24,419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(550,628)</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45"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778,876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139,219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888,625</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(792,599)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(792,599)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(68,139)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(1,960,591)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(1,960,591)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(407,450)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(50,279)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(50,279)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65,656</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104,087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104,087</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(1,631,078)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1,631,078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(1,631,078)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(1,157,125)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(3,132,282)</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on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753,500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on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(383,500)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subsidiary units by parent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(9,296)</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380,412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370,344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358</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89,509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(41,367)</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71,396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398,289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219,844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689,529</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(1,589,152)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(1,554,128)</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1,666,574</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4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303,347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332,080</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(363,087)</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(1,188)</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(611,280)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(611,280)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(205,721)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4,661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(121,391)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(2,345)</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(796,053)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796,053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(796,053)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(308,468)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(1,310,242)</w:t>
            </w:r>
          </w:p>
        </w:tc>
      </w:tr>
      <w:tr>
        <w:trPr>
          <w:trHeight w:val="270"/>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borrowing on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164,000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on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(89,000)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1,000,000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senior notes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Premium on extinguishment of debt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(26,561)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(26,561)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(15,063)</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(1,182)</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1,925,923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2,051,503</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(64,824)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(9,574)</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2,479,025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145,768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2,624,621</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1,643,078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1,646,459</w:t>
            </w: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20,115</w:t>
            </w: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1,666,574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4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2015</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390,266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416,501</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(419,512)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(419,512)</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(1,213)</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(437,455)</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royalty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(43,907)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(43,907)</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9,739</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(2,702)</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145,023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(706,120)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(895,050)</w:t>
            </w:r>
          </w:p>
        </w:tc>
      </w:tr>
      <w:tr>
        <w:trPr>
          <w:trHeight w:val="270"/>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borrowing on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390,501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425,001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on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(603,001)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(526)</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650,688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650,688</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4,873</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(7,968)</w:t>
            </w:r>
          </w:p>
        </w:tc>
      </w:tr>
      <w:tr>
        <w:trPr>
          <w:trHeight w:val="264"/>
        </w:trPr>
        <w:tc>
          <w:tcPr>
            <w:tcW w:w="4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532,800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320,215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(34,496)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468,481</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(10,068)</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15,067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30,183</w:t>
            </w:r>
          </w:p>
        </w:tc>
      </w:tr>
      <w:tr>
        <w:trPr>
          <w:trHeight w:val="243"/>
        </w:trPr>
        <w:tc>
          <w:tcPr>
            <w:tcW w:w="48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19,428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20,115</w:t>
            </w: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4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INFORMATION ON OIL AND NATURAL GAS OPERATIONS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oil and natural gas reserves are attributable solely to properties within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oil and natural gas costs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amortization and impairment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Proved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5,126,829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3,429,742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Unproved properties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4,105,865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1,730,519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oil and natural gas properties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9,232,694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5,160,261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depletion,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(1,143,498)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(1,143,498)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oil and natural gas properties capitalized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7,079,303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3,329,078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in oil and natural gas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4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1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Proved properties</w:t>
            </w:r>
          </w:p>
        </w:tc>
        <w:tc>
          <w:tcPr>
            <w:tcW w:w="2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452,661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72,044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64,340</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Unproved properties</w:t>
            </w:r>
          </w:p>
        </w:tc>
        <w:tc>
          <w:tcPr>
            <w:tcW w:w="1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448,638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Development costs</w:t>
            </w:r>
          </w:p>
        </w:tc>
        <w:tc>
          <w:tcPr>
            <w:tcW w:w="1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47,575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42,749</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costs</w:t>
            </w:r>
          </w:p>
        </w:tc>
        <w:tc>
          <w:tcPr>
            <w:tcW w:w="1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Capitalized asset retirement costs</w:t>
            </w:r>
          </w:p>
        </w:tc>
        <w:tc>
          <w:tcPr>
            <w:tcW w:w="1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3,458</w:t>
            </w:r>
          </w:p>
        </w:tc>
      </w:tr>
      <w:tr>
        <w:trPr>
          <w:trHeight w:val="27"/>
        </w:trPr>
        <w:tc>
          <w:tcPr>
            <w:tcW w:w="40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4,072,433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1,204,888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878,287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360" w:type="dxa"/>
            <w:vAlign w:val="bottom"/>
            <w:gridSpan w:val="2"/>
          </w:tcPr>
          <w:p>
            <w:pPr>
              <w:jc w:val="right"/>
              <w:ind w:right="480"/>
              <w:spacing w:after="0"/>
              <w:rPr>
                <w:sz w:val="20"/>
                <w:szCs w:val="20"/>
                <w:color w:val="auto"/>
              </w:rPr>
            </w:pPr>
            <w:r>
              <w:rPr>
                <w:rFonts w:ascii="Arial" w:cs="Arial" w:eastAsia="Arial" w:hAnsi="Arial"/>
                <w:sz w:val="18"/>
                <w:szCs w:val="18"/>
                <w:color w:val="auto"/>
              </w:rPr>
              <w:t>F-44</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from Oil and Natural Gas Producing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schedule sets forth the revenues and expenses related to the production and sale of oil and natural gas. It does not include any interest costs or general and administrative costs and, therefore, is not necessarily indicative of the contribution to consolidated net operating results of our oil, natural gas and natural gas liquids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natural gas and natural gas liquid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 operating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ad valorem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Gathering and transportation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(814,798)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201,310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of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669,719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(505,350)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Proved oil and natural gas reserve estimates as of December 31, 2017, 2016 and 2015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45"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color w:val="auto"/>
              </w:rPr>
              <w:t>The changes in estimated proved reserves are as follows: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0"/>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Natural Gas</w:t>
            </w:r>
          </w:p>
        </w:tc>
        <w:tc>
          <w:tcPr>
            <w:tcW w:w="1480" w:type="dxa"/>
            <w:vAlign w:val="bottom"/>
          </w:tcPr>
          <w:p>
            <w:pPr>
              <w:spacing w:after="0"/>
              <w:rPr>
                <w:sz w:val="24"/>
                <w:szCs w:val="24"/>
                <w:color w:val="auto"/>
              </w:rPr>
            </w:pPr>
          </w:p>
        </w:tc>
      </w:t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Oil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Liquids</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Natural Gas</w:t>
            </w:r>
          </w:p>
        </w:tc>
      </w:tr>
      <w:tr>
        <w:trPr>
          <w:trHeight w:val="234"/>
        </w:trPr>
        <w:tc>
          <w:tcPr>
            <w:tcW w:w="674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(MBbls)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(MBbls)</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(MMcf)</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 Developed and Undeveloped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January 1,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75,690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18,542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111,605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48,725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53,453</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spacing w:after="0"/>
              <w:rPr>
                <w:sz w:val="20"/>
                <w:szCs w:val="20"/>
                <w:color w:val="auto"/>
              </w:rPr>
            </w:pPr>
            <w:r>
              <w:rPr>
                <w:rFonts w:ascii="Arial" w:cs="Arial" w:eastAsia="Arial" w:hAnsi="Arial"/>
                <w:sz w:val="18"/>
                <w:szCs w:val="18"/>
                <w:color w:val="auto"/>
              </w:rPr>
              <w:t>(12,130)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(14,726)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Pr>
          <w:p>
            <w:pPr>
              <w:jc w:val="right"/>
              <w:spacing w:after="0"/>
              <w:rPr>
                <w:sz w:val="20"/>
                <w:szCs w:val="20"/>
                <w:color w:val="auto"/>
              </w:rPr>
            </w:pPr>
            <w:r>
              <w:rPr>
                <w:rFonts w:ascii="Arial" w:cs="Arial" w:eastAsia="Arial" w:hAnsi="Arial"/>
                <w:sz w:val="18"/>
                <w:szCs w:val="18"/>
                <w:color w:val="auto"/>
              </w:rPr>
              <w:t>(9,081)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(7,931)</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105,979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149,503</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55,069</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13,962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64,758</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(34,519)</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7,567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Pr>
          <w:p>
            <w:pPr>
              <w:jc w:val="right"/>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(10,428)</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139,174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174,896</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99,980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20,825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109,032</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24,322</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34,640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Pr>
          <w:p>
            <w:pPr>
              <w:jc w:val="right"/>
              <w:spacing w:after="0"/>
              <w:rPr>
                <w:sz w:val="20"/>
                <w:szCs w:val="20"/>
                <w:color w:val="auto"/>
              </w:rPr>
            </w:pPr>
            <w:r>
              <w:rPr>
                <w:rFonts w:ascii="Arial" w:cs="Arial" w:eastAsia="Arial" w:hAnsi="Arial"/>
                <w:sz w:val="18"/>
                <w:szCs w:val="18"/>
                <w:color w:val="auto"/>
              </w:rPr>
              <w:t>(21,417)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(20,660)</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233,181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54,609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285,369</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 Developed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January 1,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43,886</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68,264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96,871</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79,457</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105,399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141,246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190,740</w:t>
            </w:r>
          </w:p>
        </w:tc>
      </w:tr>
      <w:tr>
        <w:trPr>
          <w:trHeight w:val="270"/>
        </w:trPr>
        <w:tc>
          <w:tcPr>
            <w:tcW w:w="6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 Undeveloped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January 1,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31,804</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43,341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45,409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52,632</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59,717</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15,054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69,497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December 31, 2017</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91,935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19,198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94,629</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2017, the Company’s extensions and discoveries of 138,977 MBOE resulted primarily from the drilling of 102 new wells and from 87 new proved undeveloped locations added. Partnership royalty interests accounted for 8% of the extension volumes. The Company’s revisions of previous estimates were primarily the result of 2,550 MBOE from reclassifying PUD locations due to anticipated timing, with the remaining 8,308 MBOE being technical revisions. Delaware Basin working interest purchases accounted for 87% of the total purchases and Partnership royalty interest purchases accounted for 10%, with working interest purchases contributing the remainder.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2016, the Company’s extensions and discoveries of 69,042 MBOE resulted primarily from the drilling of 59 new wells and from 51 new proved undeveloped locations added. The Company owns the mineral interests associated with 30 of the 59 new wells and 30 of the 51 proved undeveloped locations through the Partnership. The Company’s negative revisions of previous estimates were primarily the result of 5,978 MBOE of pricing revisions and 7,253 MBOE from reclassifying 17 locations from proved undeveloped due to pricing. Purchases of reserves in place of 3,993 MBOE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4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were primarily the result of the purchase of producing wells included with the Reeves and Ward county acreage purchase and reserves associated with multiple purchases made by the Partnership.</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During the year ended December 31, 2015, the Company made one large acquisition of oil and natural gas interests in 2015 located in western Howard and eastern Martin counties. Several small acquisitions were also made in various counties including Andrews, Midland, Martin, and Glasscock counties. The reserves from these acquisitions were primarily proved producing reserves from 136 vertical wells and four horizontal wells and three vertical wells where additional interest was acquired. All of the properties were acquired for horizontal exploitation. Although there were four producing horizontal wells on the properties no PUD’s were included in the acquired properties because of very limited production from the wells at the time of acquisition. Significant extensions occurred in 2015 as a result of continued horizontal development of the Lower Spraberry and Wolfcamp B horizons. There was also initial development of the Wolfcamp A and Middle Spraberry horizons in some locations. The extensions resulted from two vertical wells and 119 horizontal wells in which the Company has a working interest and from 16 horizontal wells in which the Company has a mineral interest through its ownership in Viper. Of the two vertical wells and 135 horizontal wells, one of the vertical wells and 89 of the horizontal wells are in the proved undeveloped category. The revisions are primarily the result of lower product pricing. As a result of lower pricing, 80 vertical wells and 22 horizontal wells in which the Company has a working interest and 22 vertical wells in which the Company has a mineral interest were downgraded from the proved undeveloped category to probable or possible reserves. Additional downward revisions resulted from shorter producing lives on existing wells as a result of the wells reaching their economic limit sooner due to lower revenues.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2017, the Company’s estimated PUD reserves were approximately 126,904 MBOE, a 40,550 MBOE increase over the reserve estimate at December 31, 2016 of 86,354 MBOE. The following table includes the changes in PUD reserves for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(MBOE)</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proved undeveloped reserves at December 31, 2016</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86,354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Undeveloped reserves transferred to developed</w:t>
            </w:r>
          </w:p>
        </w:tc>
        <w:tc>
          <w:tcPr>
            <w:tcW w:w="1700" w:type="dxa"/>
            <w:vAlign w:val="bottom"/>
          </w:tcPr>
          <w:p>
            <w:pPr>
              <w:jc w:val="right"/>
              <w:spacing w:after="0"/>
              <w:rPr>
                <w:sz w:val="20"/>
                <w:szCs w:val="20"/>
                <w:color w:val="auto"/>
              </w:rPr>
            </w:pPr>
            <w:r>
              <w:rPr>
                <w:rFonts w:ascii="Arial" w:cs="Arial" w:eastAsia="Arial" w:hAnsi="Arial"/>
                <w:sz w:val="18"/>
                <w:szCs w:val="18"/>
                <w:color w:val="auto"/>
              </w:rPr>
              <w:t>(31,666)</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purchases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6,246</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70,680</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Ending proved undeveloped reserves at December 31, 2017</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126,904</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increase in proved undeveloped reserves was primarily attributable to extensions of 67,676 MBOE from 87 gross (75 net) wells in which the Company has a working interest and 3,004 MBOE from 40 gross wells in which the Partnership owns royalty interests. Of the 87 gross wells, 26 were in the Delaware Basin. Transfers of 31,666 MBOE were the result of drilling or participating in 44 gross (37 net) horizontal wells in which the Company has a working interest and 27 gross wells in which the Company has a royalty interest or mineral interest through the Partnership. The Company owns a working interest in 23 of the 27 gross Partnership wells. Net purchases of 6,246 MBOE were primarily from the Company’s purchase in Pecos and Reeves counties. Downward revisions of 4,710 MBOE resulted from reclassification of seven locations and technical revisions.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all of the Company’s proved undeveloped reserves are planned to be developed within five years from the date they were initially recorded. During 2017, approximately $145.4 million in capital expenditures went toward the development of proved undeveloped reserves, which includes drilling, completion and other facility costs associated with developing proved undeveloped wells.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standardized measure of discounted future net cash flows is based on the unweighted average, first-day-of-the-month price.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4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Company’s proved oil and natural gas reserves as of December 31, 2017, 2016 and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12,921,897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6,275,705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5,377,783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Future development costs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(1,123,979)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(617,636)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(548,239)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production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(1,279,101)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Future production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(363,129)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income tax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Future net cash flows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7,790,189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3,730,378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3,159,081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discount to reflect timing of cash flows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(2,018,965)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(1,740,948)</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3,757,059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1,711,413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1,418,133</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table below the average first-day-of–the-month price for oil, natural gas and natural gas liquids is presented, all utilized in the computation of future cash inflows.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52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4"/>
          </w:tcPr>
          <w:p>
            <w:pPr>
              <w:jc w:val="center"/>
              <w:ind w:left="30"/>
              <w:spacing w:after="0"/>
              <w:rPr>
                <w:sz w:val="20"/>
                <w:szCs w:val="20"/>
                <w:color w:val="auto"/>
              </w:rPr>
            </w:pPr>
            <w:r>
              <w:rPr>
                <w:rFonts w:ascii="Arial" w:cs="Arial" w:eastAsia="Arial" w:hAnsi="Arial"/>
                <w:sz w:val="18"/>
                <w:szCs w:val="18"/>
                <w:color w:val="auto"/>
                <w:w w:val="93"/>
              </w:rPr>
              <w:t>Unweighted Arithmetic Average</w:t>
            </w:r>
          </w:p>
        </w:tc>
        <w:tc>
          <w:tcPr>
            <w:tcW w:w="10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80" w:type="dxa"/>
            <w:vAlign w:val="bottom"/>
            <w:gridSpan w:val="4"/>
          </w:tcPr>
          <w:p>
            <w:pPr>
              <w:jc w:val="center"/>
              <w:ind w:left="30"/>
              <w:spacing w:after="0"/>
              <w:rPr>
                <w:sz w:val="20"/>
                <w:szCs w:val="20"/>
                <w:color w:val="auto"/>
              </w:rPr>
            </w:pPr>
            <w:r>
              <w:rPr>
                <w:rFonts w:ascii="Arial" w:cs="Arial" w:eastAsia="Arial" w:hAnsi="Arial"/>
                <w:sz w:val="18"/>
                <w:szCs w:val="18"/>
                <w:color w:val="auto"/>
                <w:w w:val="93"/>
              </w:rPr>
              <w:t>First-Day-of-the-Month Prices</w:t>
            </w:r>
          </w:p>
        </w:tc>
        <w:tc>
          <w:tcPr>
            <w:tcW w:w="1040" w:type="dxa"/>
            <w:vAlign w:val="bottom"/>
          </w:tcPr>
          <w:p>
            <w:pPr>
              <w:spacing w:after="0"/>
              <w:rPr>
                <w:sz w:val="23"/>
                <w:szCs w:val="23"/>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(per Bbl)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48.03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39.94</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(per Mcf)</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 (per Bbl)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20.79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 at the beginning of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1,418,133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2,045,224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Sales of oil and natural gas, net of production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(411,558)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(331,119)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439,396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Divestiture of reserves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 net of future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1,791,686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779,359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629,149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190,121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85,696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129,901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prices and production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577,781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(1,383,698)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38,638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of previous quantity estimates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(377,160)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174,185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143,134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236,716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268,963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30,634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(56,825)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104,160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3,757,059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1,711,413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1,418,133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40"/>
              <w:spacing w:after="0"/>
              <w:rPr>
                <w:sz w:val="20"/>
                <w:szCs w:val="20"/>
                <w:color w:val="auto"/>
              </w:rPr>
            </w:pPr>
            <w:r>
              <w:rPr>
                <w:rFonts w:ascii="Arial" w:cs="Arial" w:eastAsia="Arial" w:hAnsi="Arial"/>
                <w:sz w:val="18"/>
                <w:szCs w:val="18"/>
                <w:color w:val="auto"/>
              </w:rPr>
              <w:t>F-48</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unaudited quarterly financial data for 2017 and 2016 is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First</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Quarter</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399,194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116,410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213,663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164,128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129,607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Diamondback Energy,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136,273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158,405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73,024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114,559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First</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Quarter</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87,079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Diamondback Energy,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(32,912)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(155,490)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25,598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89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F-49</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080" w:type="dxa"/>
            <w:vAlign w:val="bottom"/>
          </w:tcPr>
          <w:p>
            <w:pPr>
              <w:ind w:left="7140"/>
              <w:spacing w:after="0"/>
              <w:rPr>
                <w:sz w:val="20"/>
                <w:szCs w:val="20"/>
                <w:color w:val="auto"/>
              </w:rPr>
            </w:pPr>
            <w:r>
              <w:rPr>
                <w:rFonts w:ascii="Arial" w:cs="Arial" w:eastAsia="Arial" w:hAnsi="Arial"/>
                <w:sz w:val="18"/>
                <w:szCs w:val="18"/>
                <w:b w:val="1"/>
                <w:bCs w:val="1"/>
                <w:color w:val="auto"/>
                <w:w w:val="91"/>
              </w:rPr>
              <w:t>Exhibit 21.1</w:t>
            </w:r>
          </w:p>
        </w:tc>
      </w:tr>
      <w:tr>
        <w:trPr>
          <w:trHeight w:val="414"/>
        </w:trPr>
        <w:tc>
          <w:tcPr>
            <w:tcW w:w="3340" w:type="dxa"/>
            <w:vAlign w:val="bottom"/>
          </w:tcPr>
          <w:p>
            <w:pPr>
              <w:spacing w:after="0"/>
              <w:rPr>
                <w:sz w:val="24"/>
                <w:szCs w:val="24"/>
                <w:color w:val="auto"/>
              </w:rPr>
            </w:pPr>
          </w:p>
        </w:tc>
        <w:tc>
          <w:tcPr>
            <w:tcW w:w="8080" w:type="dxa"/>
            <w:vAlign w:val="bottom"/>
          </w:tcPr>
          <w:p>
            <w:pPr>
              <w:jc w:val="center"/>
              <w:ind w:right="3250"/>
              <w:spacing w:after="0"/>
              <w:rPr>
                <w:sz w:val="20"/>
                <w:szCs w:val="20"/>
                <w:color w:val="auto"/>
              </w:rPr>
            </w:pPr>
            <w:r>
              <w:rPr>
                <w:rFonts w:ascii="Arial" w:cs="Arial" w:eastAsia="Arial" w:hAnsi="Arial"/>
                <w:sz w:val="18"/>
                <w:szCs w:val="18"/>
                <w:b w:val="1"/>
                <w:bCs w:val="1"/>
                <w:color w:val="auto"/>
                <w:w w:val="91"/>
              </w:rPr>
              <w:t>Diamondback Energy, Inc.</w:t>
            </w:r>
          </w:p>
        </w:tc>
      </w:tr>
      <w:tr>
        <w:trPr>
          <w:trHeight w:val="234"/>
        </w:trPr>
        <w:tc>
          <w:tcPr>
            <w:tcW w:w="3340" w:type="dxa"/>
            <w:vAlign w:val="bottom"/>
          </w:tcPr>
          <w:p>
            <w:pPr>
              <w:spacing w:after="0"/>
              <w:rPr>
                <w:sz w:val="20"/>
                <w:szCs w:val="20"/>
                <w:color w:val="auto"/>
              </w:rPr>
            </w:pPr>
          </w:p>
        </w:tc>
        <w:tc>
          <w:tcPr>
            <w:tcW w:w="8080" w:type="dxa"/>
            <w:vAlign w:val="bottom"/>
          </w:tcPr>
          <w:p>
            <w:pPr>
              <w:jc w:val="center"/>
              <w:ind w:right="3250"/>
              <w:spacing w:after="0"/>
              <w:rPr>
                <w:sz w:val="20"/>
                <w:szCs w:val="20"/>
                <w:color w:val="auto"/>
              </w:rPr>
            </w:pPr>
            <w:r>
              <w:rPr>
                <w:rFonts w:ascii="Arial" w:cs="Arial" w:eastAsia="Arial" w:hAnsi="Arial"/>
                <w:sz w:val="18"/>
                <w:szCs w:val="18"/>
                <w:b w:val="1"/>
                <w:bCs w:val="1"/>
                <w:color w:val="auto"/>
                <w:w w:val="88"/>
              </w:rPr>
              <w:t>Subsidiaries of Registrant</w:t>
            </w:r>
          </w:p>
        </w:tc>
      </w:tr>
      <w:tr>
        <w:trPr>
          <w:trHeight w:val="135"/>
        </w:trPr>
        <w:tc>
          <w:tcPr>
            <w:tcW w:w="3340" w:type="dxa"/>
            <w:vAlign w:val="bottom"/>
            <w:tcBorders>
              <w:bottom w:val="single" w:sz="8" w:color="auto"/>
            </w:tcBorders>
          </w:tcPr>
          <w:p>
            <w:pPr>
              <w:spacing w:after="0"/>
              <w:rPr>
                <w:sz w:val="11"/>
                <w:szCs w:val="11"/>
                <w:color w:val="auto"/>
              </w:rPr>
            </w:pPr>
          </w:p>
        </w:tc>
        <w:tc>
          <w:tcPr>
            <w:tcW w:w="8080" w:type="dxa"/>
            <w:vAlign w:val="bottom"/>
            <w:tcBorders>
              <w:bottom w:val="single" w:sz="8" w:color="auto"/>
            </w:tcBorders>
          </w:tcPr>
          <w:p>
            <w:pPr>
              <w:spacing w:after="0"/>
              <w:rPr>
                <w:sz w:val="11"/>
                <w:szCs w:val="1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8080" w:type="dxa"/>
            <w:vAlign w:val="bottom"/>
          </w:tcPr>
          <w:p>
            <w:pPr>
              <w:jc w:val="center"/>
              <w:ind w:left="527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334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 E&amp;P LLC</w:t>
            </w:r>
          </w:p>
        </w:tc>
        <w:tc>
          <w:tcPr>
            <w:tcW w:w="8080" w:type="dxa"/>
            <w:vAlign w:val="bottom"/>
            <w:tcBorders>
              <w:bottom w:val="single" w:sz="8" w:color="CCEEFF"/>
            </w:tcBorders>
            <w:shd w:val="clear" w:color="auto" w:fill="CCEEFF"/>
          </w:tcPr>
          <w:p>
            <w:pPr>
              <w:jc w:val="center"/>
              <w:ind w:left="5270"/>
              <w:spacing w:after="0"/>
              <w:rPr>
                <w:sz w:val="20"/>
                <w:szCs w:val="20"/>
                <w:color w:val="auto"/>
              </w:rPr>
            </w:pPr>
            <w:r>
              <w:rPr>
                <w:rFonts w:ascii="Arial" w:cs="Arial" w:eastAsia="Arial" w:hAnsi="Arial"/>
                <w:sz w:val="18"/>
                <w:szCs w:val="18"/>
                <w:color w:val="auto"/>
                <w:w w:val="89"/>
              </w:rPr>
              <w:t>Delaware</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Diamondback O&amp;G LLC</w:t>
            </w:r>
          </w:p>
        </w:tc>
        <w:tc>
          <w:tcPr>
            <w:tcW w:w="8080" w:type="dxa"/>
            <w:vAlign w:val="bottom"/>
          </w:tcPr>
          <w:p>
            <w:pPr>
              <w:jc w:val="center"/>
              <w:ind w:left="5270"/>
              <w:spacing w:after="0"/>
              <w:rPr>
                <w:sz w:val="20"/>
                <w:szCs w:val="20"/>
                <w:color w:val="auto"/>
              </w:rPr>
            </w:pPr>
            <w:r>
              <w:rPr>
                <w:rFonts w:ascii="Arial" w:cs="Arial" w:eastAsia="Arial" w:hAnsi="Arial"/>
                <w:sz w:val="18"/>
                <w:szCs w:val="18"/>
                <w:color w:val="auto"/>
                <w:w w:val="89"/>
              </w:rPr>
              <w:t>Delaware</w:t>
            </w:r>
          </w:p>
        </w:tc>
      </w:tr>
      <w:tr>
        <w:trPr>
          <w:trHeight w:val="27"/>
        </w:trPr>
        <w:tc>
          <w:tcPr>
            <w:tcW w:w="334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Midstream LLC</w:t>
            </w:r>
          </w:p>
        </w:tc>
        <w:tc>
          <w:tcPr>
            <w:tcW w:w="8080" w:type="dxa"/>
            <w:vAlign w:val="bottom"/>
            <w:tcBorders>
              <w:bottom w:val="single" w:sz="8" w:color="CCEEFF"/>
            </w:tcBorders>
            <w:shd w:val="clear" w:color="auto" w:fill="CCEEFF"/>
          </w:tcPr>
          <w:p>
            <w:pPr>
              <w:jc w:val="center"/>
              <w:ind w:left="5270"/>
              <w:spacing w:after="0"/>
              <w:rPr>
                <w:sz w:val="20"/>
                <w:szCs w:val="20"/>
                <w:color w:val="auto"/>
              </w:rPr>
            </w:pPr>
            <w:r>
              <w:rPr>
                <w:rFonts w:ascii="Arial" w:cs="Arial" w:eastAsia="Arial" w:hAnsi="Arial"/>
                <w:sz w:val="18"/>
                <w:szCs w:val="18"/>
                <w:color w:val="auto"/>
                <w:w w:val="89"/>
              </w:rPr>
              <w:t>Delaware</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Viper Energy Partners GP</w:t>
            </w:r>
          </w:p>
        </w:tc>
        <w:tc>
          <w:tcPr>
            <w:tcW w:w="8080" w:type="dxa"/>
            <w:vAlign w:val="bottom"/>
          </w:tcPr>
          <w:p>
            <w:pPr>
              <w:jc w:val="center"/>
              <w:ind w:left="5270"/>
              <w:spacing w:after="0"/>
              <w:rPr>
                <w:sz w:val="20"/>
                <w:szCs w:val="20"/>
                <w:color w:val="auto"/>
              </w:rPr>
            </w:pPr>
            <w:r>
              <w:rPr>
                <w:rFonts w:ascii="Arial" w:cs="Arial" w:eastAsia="Arial" w:hAnsi="Arial"/>
                <w:sz w:val="18"/>
                <w:szCs w:val="18"/>
                <w:color w:val="auto"/>
                <w:w w:val="89"/>
              </w:rPr>
              <w:t>Delaware</w:t>
            </w:r>
          </w:p>
        </w:tc>
      </w:tr>
      <w:tr>
        <w:trPr>
          <w:trHeight w:val="27"/>
        </w:trPr>
        <w:tc>
          <w:tcPr>
            <w:tcW w:w="334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Energy Partners LP</w:t>
            </w:r>
          </w:p>
        </w:tc>
        <w:tc>
          <w:tcPr>
            <w:tcW w:w="8080" w:type="dxa"/>
            <w:vAlign w:val="bottom"/>
            <w:tcBorders>
              <w:bottom w:val="single" w:sz="8" w:color="CCEEFF"/>
            </w:tcBorders>
            <w:shd w:val="clear" w:color="auto" w:fill="CCEEFF"/>
          </w:tcPr>
          <w:p>
            <w:pPr>
              <w:jc w:val="center"/>
              <w:ind w:left="5270"/>
              <w:spacing w:after="0"/>
              <w:rPr>
                <w:sz w:val="20"/>
                <w:szCs w:val="20"/>
                <w:color w:val="auto"/>
              </w:rPr>
            </w:pPr>
            <w:r>
              <w:rPr>
                <w:rFonts w:ascii="Arial" w:cs="Arial" w:eastAsia="Arial" w:hAnsi="Arial"/>
                <w:sz w:val="18"/>
                <w:szCs w:val="18"/>
                <w:color w:val="auto"/>
                <w:w w:val="89"/>
              </w:rPr>
              <w:t>Delaware</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Viper Energy Partners LLC</w:t>
            </w:r>
          </w:p>
        </w:tc>
        <w:tc>
          <w:tcPr>
            <w:tcW w:w="8080" w:type="dxa"/>
            <w:vAlign w:val="bottom"/>
          </w:tcPr>
          <w:p>
            <w:pPr>
              <w:jc w:val="center"/>
              <w:ind w:left="527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issued our reports dated February 14, 2018, with respect to the consolidated financial statements and internal control over financial reporting included in the Annual Report of Diamondback Energy, Inc. on Form 10-K for the year ended December 31, 2017. We consent to the incorporation by reference of said reports in the Registration Statements of Diamondback Energy, Inc. on Forms S-3ASR (File No. 333-214892, effective December 2, 2016) and (File No. 333-218346, effective May 30, 2017), Form S-4, as amended (File No. 333-217479, effective August 9, 2017) and on Forms S-8 (File No. 333-188552, effective May 13, 2013) and (File No. 333-215798, effective January 27, 2017).</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14, 2018</w:t>
      </w:r>
    </w:p>
    <w:p>
      <w:pPr>
        <w:sectPr>
          <w:pgSz w:w="11900" w:h="16838" w:orient="portrait"/>
          <w:cols w:equalWidth="0" w:num="1">
            <w:col w:w="11420"/>
          </w:cols>
          <w:pgMar w:left="240" w:top="5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23.2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3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have issued our report dated January 18, 2018 on estimates of proved reserves, future production and income attributable to certain leasehold interest of Diamondback Energy, Inc. (“Diamondback”) as of December 31, 2017.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333-214892, effective December 2, 2016) and (File No. 333-218346, effective May 30, 2017), Form S-4, as amended (File No. 333-217479, effective August 9, 2017) and on Forms S-8 (File No. 333-188552, effective May 13, 2013) and (File No. 333-215798, effective January 27, 2017).</w:t>
      </w:r>
    </w:p>
    <w:p>
      <w:pPr>
        <w:spacing w:after="0" w:line="200" w:lineRule="exact"/>
        <w:rPr>
          <w:sz w:val="20"/>
          <w:szCs w:val="20"/>
          <w:color w:val="auto"/>
        </w:rPr>
      </w:pPr>
    </w:p>
    <w:p>
      <w:pPr>
        <w:spacing w:after="0" w:line="26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84"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RYDER SCOTT COMPANY, L.P.</w:t>
      </w:r>
    </w:p>
    <w:p>
      <w:pPr>
        <w:spacing w:after="0" w:line="6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14, 2018</w:t>
      </w:r>
    </w:p>
    <w:p>
      <w:pPr>
        <w:sectPr>
          <w:pgSz w:w="11900" w:h="16838" w:orient="portrait"/>
          <w:cols w:equalWidth="0" w:num="1">
            <w:col w:w="11420"/>
          </w:cols>
          <w:pgMar w:left="240" w:top="63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23.3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issued our report dated January 18, 2018 on estimates of proved reserves, future production and income attributable to certain royalty interests of Viper Energy Partners LP, a subsidiary of Diamondback Energy, Inc. (“Diamondback”), as of December 31, 2017.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333-214892, effective December 2, 2016) and (File No. 333-218346, effective May 30, 2017), Form S-4, as amended (File No. 333-217479, effective August 9, 2017) and on Forms S-8 (File No. 333-188552, effective May 13, 2013) and (File No. 333-215798, effective January 27, 2017).</w:t>
      </w:r>
    </w:p>
    <w:p>
      <w:pPr>
        <w:spacing w:after="0" w:line="127"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0"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RYDER SCOTT COMPANY, L.P.</w:t>
      </w:r>
    </w:p>
    <w:p>
      <w:pPr>
        <w:spacing w:after="0" w:line="6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14, 2018</w:t>
      </w:r>
    </w:p>
    <w:p>
      <w:pPr>
        <w:sectPr>
          <w:pgSz w:w="11900" w:h="16838" w:orient="portrait"/>
          <w:cols w:equalWidth="0" w:num="1">
            <w:col w:w="11420"/>
          </w:cols>
          <w:pgMar w:left="240" w:top="63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 Travis D. Stice, Chief Executive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4"/>
        <w:spacing w:after="0" w:line="277" w:lineRule="auto"/>
        <w:tabs>
          <w:tab w:leader="none" w:pos="7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I, Teresa L. Dick, Chief Financial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4"/>
        <w:spacing w:after="0" w:line="277" w:lineRule="auto"/>
        <w:tabs>
          <w:tab w:leader="none" w:pos="7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80"/>
        <w:spacing w:after="0"/>
        <w:rPr>
          <w:sz w:val="20"/>
          <w:szCs w:val="20"/>
          <w:color w:val="auto"/>
        </w:rPr>
      </w:pPr>
      <w:r>
        <w:rPr>
          <w:rFonts w:ascii="Arial" w:cs="Arial" w:eastAsia="Arial" w:hAnsi="Arial"/>
          <w:sz w:val="25"/>
          <w:szCs w:val="25"/>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Leasehold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\s\ Val Rick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10795</wp:posOffset>
            </wp:positionV>
            <wp:extent cx="28130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4"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Val Rick Robinson, P.E.</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TBPE License No. 105137</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RYDER SCOTT COMPANY, L.P.</w:t>
      </w:r>
    </w:p>
    <w:p>
      <w:pPr>
        <w:ind w:left="3140"/>
        <w:spacing w:after="0"/>
        <w:rPr>
          <w:sz w:val="20"/>
          <w:szCs w:val="20"/>
          <w:color w:val="auto"/>
        </w:rPr>
      </w:pPr>
      <w:r>
        <w:rPr>
          <w:rFonts w:ascii="Arial" w:cs="Arial" w:eastAsia="Arial" w:hAnsi="Arial"/>
          <w:sz w:val="20"/>
          <w:szCs w:val="20"/>
          <w:color w:val="auto"/>
        </w:rPr>
        <w:t>TBPE Firm License No. F-1580</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584"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20"/>
          <w:szCs w:val="20"/>
          <w:color w:val="auto"/>
        </w:rPr>
        <w:t>January 18,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Diamondback Energy, Inc.</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At your request, Ryder Scott Company, L.P. (Ryder Scott) has prepared an estimate of the proved reserves, future production, and income attributable to certain leasehold interests of Diamondback Energy, Inc. (Diamondback) as of December 31, 2017.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16, 2018 and presented herein, was prepared for public disclosure in Diamondback’s filings made with the SEC in accordance with the disclosure requirements set forth in the SEC regulations.</w:t>
      </w:r>
    </w:p>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Diamondback as of December 31, 2017.</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2017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Arial" w:cs="Arial" w:eastAsia="Arial" w:hAnsi="Arial"/>
                <w:sz w:val="14"/>
                <w:szCs w:val="14"/>
                <w:color w:val="auto"/>
                <w:w w:val="92"/>
              </w:rPr>
              <w:t>SUITE 600, 1015 4TH STREET, S.W.  CALGARY, ALBERTA T2R 1J4</w:t>
            </w:r>
          </w:p>
        </w:tc>
        <w:tc>
          <w:tcPr>
            <w:tcW w:w="1260" w:type="dxa"/>
            <w:vAlign w:val="bottom"/>
          </w:tcPr>
          <w:p>
            <w:pPr>
              <w:ind w:left="80"/>
              <w:spacing w:after="0"/>
              <w:rPr>
                <w:sz w:val="20"/>
                <w:szCs w:val="20"/>
                <w:color w:val="auto"/>
              </w:rPr>
            </w:pPr>
            <w:r>
              <w:rPr>
                <w:rFonts w:ascii="Arial" w:cs="Arial" w:eastAsia="Arial" w:hAnsi="Arial"/>
                <w:sz w:val="14"/>
                <w:szCs w:val="14"/>
                <w:color w:val="auto"/>
                <w:w w:val="92"/>
              </w:rPr>
              <w:t>TEL (403) 262-2799</w:t>
            </w:r>
          </w:p>
        </w:tc>
        <w:tc>
          <w:tcPr>
            <w:tcW w:w="1220" w:type="dxa"/>
            <w:vAlign w:val="bottom"/>
          </w:tcPr>
          <w:p>
            <w:pPr>
              <w:ind w:left="80"/>
              <w:spacing w:after="0"/>
              <w:rPr>
                <w:sz w:val="20"/>
                <w:szCs w:val="20"/>
                <w:color w:val="auto"/>
              </w:rPr>
            </w:pPr>
            <w:r>
              <w:rPr>
                <w:rFonts w:ascii="Arial" w:cs="Arial" w:eastAsia="Arial" w:hAnsi="Arial"/>
                <w:sz w:val="14"/>
                <w:szCs w:val="14"/>
                <w:color w:val="auto"/>
                <w:w w:val="88"/>
              </w:rPr>
              <w:t>FAX (403) 262-2790</w:t>
            </w:r>
          </w:p>
        </w:tc>
      </w:tr>
      <w:tr>
        <w:trPr>
          <w:trHeight w:val="172"/>
        </w:trPr>
        <w:tc>
          <w:tcPr>
            <w:tcW w:w="4060" w:type="dxa"/>
            <w:vAlign w:val="bottom"/>
          </w:tcPr>
          <w:p>
            <w:pPr>
              <w:spacing w:after="0"/>
              <w:rPr>
                <w:sz w:val="20"/>
                <w:szCs w:val="20"/>
                <w:color w:val="auto"/>
              </w:rPr>
            </w:pPr>
            <w:r>
              <w:rPr>
                <w:rFonts w:ascii="Arial" w:cs="Arial" w:eastAsia="Arial" w:hAnsi="Arial"/>
                <w:sz w:val="14"/>
                <w:szCs w:val="14"/>
                <w:color w:val="auto"/>
                <w:w w:val="92"/>
              </w:rPr>
              <w:t>621 17TH STREET, SUITE 1550  DENVER, COLORADO 80293-1501</w:t>
            </w:r>
          </w:p>
        </w:tc>
        <w:tc>
          <w:tcPr>
            <w:tcW w:w="1260" w:type="dxa"/>
            <w:vAlign w:val="bottom"/>
          </w:tcPr>
          <w:p>
            <w:pPr>
              <w:ind w:left="80"/>
              <w:spacing w:after="0"/>
              <w:rPr>
                <w:sz w:val="20"/>
                <w:szCs w:val="20"/>
                <w:color w:val="auto"/>
              </w:rPr>
            </w:pPr>
            <w:r>
              <w:rPr>
                <w:rFonts w:ascii="Arial" w:cs="Arial" w:eastAsia="Arial" w:hAnsi="Arial"/>
                <w:sz w:val="14"/>
                <w:szCs w:val="14"/>
                <w:color w:val="auto"/>
                <w:w w:val="92"/>
              </w:rPr>
              <w:t>TEL (303) 623-9147</w:t>
            </w:r>
          </w:p>
        </w:tc>
        <w:tc>
          <w:tcPr>
            <w:tcW w:w="1220" w:type="dxa"/>
            <w:vAlign w:val="bottom"/>
          </w:tcPr>
          <w:p>
            <w:pPr>
              <w:ind w:left="80"/>
              <w:spacing w:after="0"/>
              <w:rPr>
                <w:sz w:val="20"/>
                <w:szCs w:val="20"/>
                <w:color w:val="auto"/>
              </w:rPr>
            </w:pPr>
            <w:r>
              <w:rPr>
                <w:rFonts w:ascii="Arial" w:cs="Arial" w:eastAsia="Arial" w:hAnsi="Arial"/>
                <w:sz w:val="14"/>
                <w:szCs w:val="14"/>
                <w:color w:val="auto"/>
                <w:w w:val="88"/>
              </w:rPr>
              <w:t>FAX (303) 623-4258</w:t>
            </w:r>
          </w:p>
        </w:tc>
      </w:tr>
    </w:tbl>
    <w:p>
      <w:pPr>
        <w:sectPr>
          <w:pgSz w:w="11900" w:h="16838" w:orient="portrait"/>
          <w:cols w:equalWidth="0" w:num="1">
            <w:col w:w="11420"/>
          </w:cols>
          <w:pgMar w:left="240" w:top="379"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37" w:lineRule="auto"/>
        <w:rPr>
          <w:sz w:val="20"/>
          <w:szCs w:val="20"/>
          <w:color w:val="auto"/>
        </w:rPr>
      </w:pPr>
      <w:r>
        <w:rPr>
          <w:rFonts w:ascii="Arial" w:cs="Arial" w:eastAsia="Arial" w:hAnsi="Arial"/>
          <w:sz w:val="19"/>
          <w:szCs w:val="19"/>
          <w:color w:val="auto"/>
        </w:rPr>
        <w:t>Certain Leasehold Interests of</w:t>
      </w:r>
    </w:p>
    <w:p>
      <w:pPr>
        <w:jc w:val="center"/>
        <w:spacing w:after="0"/>
        <w:rPr>
          <w:sz w:val="20"/>
          <w:szCs w:val="20"/>
          <w:color w:val="auto"/>
        </w:rPr>
      </w:pPr>
      <w:r>
        <w:rPr>
          <w:rFonts w:ascii="Arial" w:cs="Arial" w:eastAsia="Arial" w:hAnsi="Arial"/>
          <w:sz w:val="19"/>
          <w:szCs w:val="19"/>
          <w:b w:val="1"/>
          <w:bCs w:val="1"/>
          <w:color w:val="auto"/>
        </w:rPr>
        <w:t>Diamondback Energy, Inc.</w:t>
      </w:r>
    </w:p>
    <w:p>
      <w:pPr>
        <w:spacing w:after="0" w:line="16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45192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3">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ind w:left="600"/>
              <w:spacing w:after="0"/>
              <w:rPr>
                <w:sz w:val="20"/>
                <w:szCs w:val="20"/>
                <w:color w:val="auto"/>
              </w:rPr>
            </w:pPr>
            <w:r>
              <w:rPr>
                <w:rFonts w:ascii="Arial" w:cs="Arial" w:eastAsia="Arial" w:hAnsi="Arial"/>
                <w:sz w:val="18"/>
                <w:szCs w:val="18"/>
                <w:color w:val="auto"/>
              </w:rPr>
              <w:t>Proved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6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260" w:type="dxa"/>
            <w:vAlign w:val="bottom"/>
            <w:gridSpan w:val="4"/>
          </w:tcPr>
          <w:p>
            <w:pPr>
              <w:ind w:left="1560"/>
              <w:spacing w:after="0"/>
              <w:rPr>
                <w:sz w:val="20"/>
                <w:szCs w:val="20"/>
                <w:color w:val="auto"/>
              </w:rPr>
            </w:pPr>
            <w:r>
              <w:rPr>
                <w:rFonts w:ascii="Arial" w:cs="Arial" w:eastAsia="Arial" w:hAnsi="Arial"/>
                <w:sz w:val="18"/>
                <w:szCs w:val="18"/>
                <w:color w:val="auto"/>
              </w:rPr>
              <w:t>Developed</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vMerge w:val="restart"/>
          </w:tcPr>
          <w:p>
            <w:pPr>
              <w:jc w:val="right"/>
              <w:ind w:right="4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40" w:type="dxa"/>
            <w:vAlign w:val="bottom"/>
            <w:gridSpan w:val="2"/>
          </w:tcPr>
          <w:p>
            <w:pPr>
              <w:ind w:left="440"/>
              <w:spacing w:after="0"/>
              <w:rPr>
                <w:sz w:val="20"/>
                <w:szCs w:val="20"/>
                <w:color w:val="auto"/>
              </w:rPr>
            </w:pPr>
            <w:r>
              <w:rPr>
                <w:rFonts w:ascii="Arial" w:cs="Arial" w:eastAsia="Arial" w:hAnsi="Arial"/>
                <w:sz w:val="18"/>
                <w:szCs w:val="18"/>
                <w:color w:val="auto"/>
              </w:rPr>
              <w:t>Producing</w:t>
            </w:r>
          </w:p>
        </w:tc>
        <w:tc>
          <w:tcPr>
            <w:tcW w:w="2220" w:type="dxa"/>
            <w:vAlign w:val="bottom"/>
            <w:gridSpan w:val="2"/>
          </w:tcPr>
          <w:p>
            <w:pPr>
              <w:ind w:left="340"/>
              <w:spacing w:after="0"/>
              <w:rPr>
                <w:sz w:val="20"/>
                <w:szCs w:val="20"/>
                <w:color w:val="auto"/>
              </w:rPr>
            </w:pPr>
            <w:r>
              <w:rPr>
                <w:rFonts w:ascii="Arial" w:cs="Arial" w:eastAsia="Arial" w:hAnsi="Arial"/>
                <w:sz w:val="18"/>
                <w:szCs w:val="18"/>
                <w:color w:val="auto"/>
              </w:rPr>
              <w:t>Non-Producing</w:t>
            </w: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Remaining Reserves</w:t>
            </w:r>
          </w:p>
        </w:tc>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60" w:type="dxa"/>
            <w:vAlign w:val="bottom"/>
            <w:gridSpan w:val="3"/>
            <w:vMerge w:val="continue"/>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Oil/Condensate – MBbl</w:t>
            </w:r>
          </w:p>
        </w:tc>
        <w:tc>
          <w:tcPr>
            <w:tcW w:w="3260" w:type="dxa"/>
            <w:vAlign w:val="bottom"/>
          </w:tcPr>
          <w:p>
            <w:pPr>
              <w:spacing w:after="0"/>
              <w:rPr>
                <w:sz w:val="24"/>
                <w:szCs w:val="24"/>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122,458</w:t>
            </w:r>
          </w:p>
        </w:tc>
        <w:tc>
          <w:tcPr>
            <w:tcW w:w="34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84,838</w:t>
            </w:r>
          </w:p>
        </w:tc>
        <w:tc>
          <w:tcPr>
            <w:tcW w:w="3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207,296</w:t>
            </w:r>
          </w:p>
        </w:tc>
        <w:tc>
          <w:tcPr>
            <w:tcW w:w="0" w:type="dxa"/>
            <w:vAlign w:val="bottom"/>
          </w:tcPr>
          <w:p>
            <w:pPr>
              <w:spacing w:after="0"/>
              <w:rPr>
                <w:sz w:val="1"/>
                <w:szCs w:val="1"/>
                <w:color w:val="auto"/>
              </w:rPr>
            </w:pPr>
          </w:p>
        </w:tc>
      </w:tr>
      <w:tr>
        <w:trPr>
          <w:trHeight w:val="270"/>
        </w:trPr>
        <w:tc>
          <w:tcPr>
            <w:tcW w:w="536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30,875</w:t>
            </w:r>
          </w:p>
        </w:tc>
        <w:tc>
          <w:tcPr>
            <w:tcW w:w="34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17,439</w:t>
            </w:r>
          </w:p>
        </w:tc>
        <w:tc>
          <w:tcPr>
            <w:tcW w:w="3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48,314</w:t>
            </w:r>
          </w:p>
        </w:tc>
        <w:tc>
          <w:tcPr>
            <w:tcW w:w="0" w:type="dxa"/>
            <w:vAlign w:val="bottom"/>
          </w:tcPr>
          <w:p>
            <w:pPr>
              <w:spacing w:after="0"/>
              <w:rPr>
                <w:sz w:val="1"/>
                <w:szCs w:val="1"/>
                <w:color w:val="auto"/>
              </w:rPr>
            </w:pPr>
          </w:p>
        </w:tc>
      </w:tr>
      <w:tr>
        <w:trPr>
          <w:trHeight w:val="270"/>
        </w:trPr>
        <w:tc>
          <w:tcPr>
            <w:tcW w:w="536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161,484</w:t>
            </w:r>
          </w:p>
        </w:tc>
        <w:tc>
          <w:tcPr>
            <w:tcW w:w="34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87,490</w:t>
            </w:r>
          </w:p>
        </w:tc>
        <w:tc>
          <w:tcPr>
            <w:tcW w:w="3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248,974</w:t>
            </w:r>
          </w:p>
        </w:tc>
        <w:tc>
          <w:tcPr>
            <w:tcW w:w="0" w:type="dxa"/>
            <w:vAlign w:val="bottom"/>
          </w:tcPr>
          <w:p>
            <w:pPr>
              <w:spacing w:after="0"/>
              <w:rPr>
                <w:sz w:val="1"/>
                <w:szCs w:val="1"/>
                <w:color w:val="auto"/>
              </w:rPr>
            </w:pPr>
          </w:p>
        </w:tc>
      </w:tr>
      <w:tr>
        <w:trPr>
          <w:trHeight w:val="270"/>
        </w:trPr>
        <w:tc>
          <w:tcPr>
            <w:tcW w:w="5360" w:type="dxa"/>
            <w:vAlign w:val="bottom"/>
            <w:gridSpan w:val="3"/>
          </w:tcPr>
          <w:p>
            <w:pPr>
              <w:spacing w:after="0"/>
              <w:rPr>
                <w:sz w:val="20"/>
                <w:szCs w:val="20"/>
                <w:color w:val="auto"/>
              </w:rPr>
            </w:pPr>
            <w:r>
              <w:rPr>
                <w:rFonts w:ascii="Arial" w:cs="Arial" w:eastAsia="Arial" w:hAnsi="Arial"/>
                <w:sz w:val="18"/>
                <w:szCs w:val="18"/>
                <w:color w:val="auto"/>
              </w:rPr>
              <w:t>MBOE</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180,247</w:t>
            </w:r>
          </w:p>
        </w:tc>
        <w:tc>
          <w:tcPr>
            <w:tcW w:w="34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116,859</w:t>
            </w:r>
          </w:p>
        </w:tc>
        <w:tc>
          <w:tcPr>
            <w:tcW w:w="3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297,106</w:t>
            </w:r>
          </w:p>
        </w:tc>
        <w:tc>
          <w:tcPr>
            <w:tcW w:w="0" w:type="dxa"/>
            <w:vAlign w:val="bottom"/>
          </w:tcPr>
          <w:p>
            <w:pPr>
              <w:spacing w:after="0"/>
              <w:rPr>
                <w:sz w:val="1"/>
                <w:szCs w:val="1"/>
                <w:color w:val="auto"/>
              </w:rPr>
            </w:pPr>
          </w:p>
        </w:tc>
      </w:tr>
      <w:tr>
        <w:trPr>
          <w:trHeight w:val="527"/>
        </w:trPr>
        <w:tc>
          <w:tcPr>
            <w:tcW w:w="5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6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$6,520,998</w:t>
            </w:r>
          </w:p>
        </w:tc>
        <w:tc>
          <w:tcPr>
            <w:tcW w:w="34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$4,382,901</w:t>
            </w:r>
          </w:p>
        </w:tc>
        <w:tc>
          <w:tcPr>
            <w:tcW w:w="3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$10,903,899</w:t>
            </w:r>
          </w:p>
        </w:tc>
        <w:tc>
          <w:tcPr>
            <w:tcW w:w="0" w:type="dxa"/>
            <w:vAlign w:val="bottom"/>
          </w:tcPr>
          <w:p>
            <w:pPr>
              <w:spacing w:after="0"/>
              <w:rPr>
                <w:sz w:val="1"/>
                <w:szCs w:val="1"/>
                <w:color w:val="auto"/>
              </w:rPr>
            </w:pPr>
          </w:p>
        </w:tc>
      </w:tr>
      <w:tr>
        <w:trPr>
          <w:trHeight w:val="270"/>
        </w:trPr>
        <w:tc>
          <w:tcPr>
            <w:tcW w:w="536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2,230,752</w:t>
            </w:r>
          </w:p>
        </w:tc>
        <w:tc>
          <w:tcPr>
            <w:tcW w:w="34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2,119,316</w:t>
            </w:r>
          </w:p>
        </w:tc>
        <w:tc>
          <w:tcPr>
            <w:tcW w:w="3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4,350,068</w:t>
            </w:r>
          </w:p>
        </w:tc>
        <w:tc>
          <w:tcPr>
            <w:tcW w:w="0" w:type="dxa"/>
            <w:vAlign w:val="bottom"/>
          </w:tcPr>
          <w:p>
            <w:pPr>
              <w:spacing w:after="0"/>
              <w:rPr>
                <w:sz w:val="1"/>
                <w:szCs w:val="1"/>
                <w:color w:val="auto"/>
              </w:rPr>
            </w:pPr>
          </w:p>
        </w:tc>
      </w:tr>
      <w:tr>
        <w:trPr>
          <w:trHeight w:val="27"/>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Future Net Income (FNI)</w:t>
            </w:r>
          </w:p>
        </w:tc>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gridSpan w:val="3"/>
            <w:vMerge w:val="continue"/>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$4,290,246</w:t>
            </w:r>
          </w:p>
        </w:tc>
        <w:tc>
          <w:tcPr>
            <w:tcW w:w="34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$2,263,585</w:t>
            </w:r>
          </w:p>
        </w:tc>
        <w:tc>
          <w:tcPr>
            <w:tcW w:w="3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$6,553,831</w:t>
            </w:r>
          </w:p>
        </w:tc>
        <w:tc>
          <w:tcPr>
            <w:tcW w:w="0" w:type="dxa"/>
            <w:vAlign w:val="bottom"/>
          </w:tcPr>
          <w:p>
            <w:pPr>
              <w:spacing w:after="0"/>
              <w:rPr>
                <w:sz w:val="1"/>
                <w:szCs w:val="1"/>
                <w:color w:val="auto"/>
              </w:rPr>
            </w:pPr>
          </w:p>
        </w:tc>
      </w:tr>
      <w:tr>
        <w:trPr>
          <w:trHeight w:val="567"/>
        </w:trPr>
        <w:tc>
          <w:tcPr>
            <w:tcW w:w="536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$2,329,892</w:t>
            </w:r>
          </w:p>
        </w:tc>
        <w:tc>
          <w:tcPr>
            <w:tcW w:w="34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$838,029</w:t>
            </w:r>
          </w:p>
        </w:tc>
        <w:tc>
          <w:tcPr>
            <w:tcW w:w="3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$3,167,921</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The net remaining reserves are also shown herein on an equivalent unit basis wherein natural gas is converted to oil equivalent using a factor of 6,000 cubic feet of natural gas per one barrel of oil equivalent. MBOE means thousands barrels of oil equivalent. In this report, the revenues, deductions, and income data are expressed as thousands of U.S. dollars ($M).</w:t>
      </w:r>
    </w:p>
    <w:p>
      <w:pPr>
        <w:spacing w:after="0" w:line="20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solely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gross revenue is after the deduction of production taxes. The deductions incorporate the normal direct costs of operating the wells, ad valorem taxes, recompletion costs, development costs, and certain abandonment costs net of salvage. Other costs shown in the cash flow are variable production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 reserves account for approximately 96 percent and gas reserves account for the remaining 4 percent of total future gross revenue from proved reserves.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63" w:right="239" w:bottom="1440" w:gutter="0" w:footer="0" w:header="0"/>
        </w:sectPr>
      </w:pPr>
    </w:p>
    <w:bookmarkStart w:id="148" w:name="page149"/>
    <w:bookmarkEnd w:id="148"/>
    <w:p>
      <w:pPr>
        <w:jc w:val="both"/>
        <w:ind w:firstLine="648"/>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217"/>
        </w:trPr>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Discounted Future Net Income (M$)</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As of December 31, 2017</w:t>
            </w:r>
          </w:p>
        </w:tc>
        <w:tc>
          <w:tcPr>
            <w:tcW w:w="0" w:type="dxa"/>
            <w:vAlign w:val="bottom"/>
          </w:tcPr>
          <w:p>
            <w:pPr>
              <w:spacing w:after="0"/>
              <w:rPr>
                <w:sz w:val="1"/>
                <w:szCs w:val="1"/>
                <w:color w:val="auto"/>
              </w:rPr>
            </w:pPr>
          </w:p>
        </w:tc>
      </w:tr>
      <w:tr>
        <w:trPr>
          <w:trHeight w:val="27"/>
        </w:trPr>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9"/>
              </w:rPr>
              <w:t>Discount Rate</w:t>
            </w:r>
          </w:p>
        </w:tc>
        <w:tc>
          <w:tcPr>
            <w:tcW w:w="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Percent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7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$4,262,105</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$2,536,634</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$2,125,329</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$1,618,661</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various proved reserve status categories are defined under the attachment entitled “Petroleum Reserves Status Definitions and Guidelines” in this report.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Diamondback’s request, this report addresses only the proved reserves attributable to the properties evaluated herein.</w:t>
      </w:r>
    </w:p>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49" w:name="page150"/>
    <w:bookmarkEnd w:id="149"/>
    <w:p>
      <w:pPr>
        <w:jc w:val="both"/>
        <w:ind w:firstLine="648"/>
        <w:spacing w:after="0"/>
        <w:rPr>
          <w:sz w:val="20"/>
          <w:szCs w:val="20"/>
          <w:color w:val="auto"/>
        </w:rPr>
      </w:pPr>
      <w:r>
        <w:rPr>
          <w:rFonts w:ascii="Arial" w:cs="Arial" w:eastAsia="Arial" w:hAnsi="Arial"/>
          <w:sz w:val="20"/>
          <w:szCs w:val="20"/>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Diamondback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50" w:name="page151"/>
    <w:bookmarkEnd w:id="150"/>
    <w:p>
      <w:pPr>
        <w:jc w:val="both"/>
        <w:spacing w:after="0" w:line="243" w:lineRule="auto"/>
        <w:rPr>
          <w:sz w:val="20"/>
          <w:szCs w:val="20"/>
          <w:color w:val="auto"/>
        </w:rPr>
      </w:pPr>
      <w:r>
        <w:rPr>
          <w:rFonts w:ascii="Arial" w:cs="Arial" w:eastAsia="Arial" w:hAnsi="Arial"/>
          <w:sz w:val="20"/>
          <w:szCs w:val="20"/>
          <w:color w:val="auto"/>
        </w:rPr>
        <w:t>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20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both methods. Approximately 83 percent of the proved producing reserves attributable to producing wells were estimated by performance methods. These performance methods include, but may not be limited to, decline curve analysis, which utilized extrapolations of historical production and pressure data available through December 2017 in those cases where such data were considered to be definitive. The data utilized in this analysis were furnished to Ryder Scott by Diamondback and were considered sufficient for the purpose thereof. The remaining 17 percent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51" w:name="page152"/>
    <w:bookmarkEnd w:id="151"/>
    <w:p>
      <w:pPr>
        <w:jc w:val="both"/>
        <w:spacing w:after="0" w:line="242" w:lineRule="auto"/>
        <w:rPr>
          <w:sz w:val="20"/>
          <w:szCs w:val="20"/>
          <w:color w:val="auto"/>
        </w:rPr>
      </w:pPr>
      <w:r>
        <w:rPr>
          <w:rFonts w:ascii="Arial" w:cs="Arial" w:eastAsia="Arial" w:hAnsi="Arial"/>
          <w:sz w:val="20"/>
          <w:szCs w:val="20"/>
          <w:color w:val="auto"/>
        </w:rPr>
        <w:t>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0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As noted above, Diamondback furnished us with the average prices in effect on December 31, 2017.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gathering and transportation fees and/or distance from market, referred to herein as “differentials.” The differentials used in the preparation of this report were furnished to us by Diamondback and were accepted as factual data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52" w:name="page153"/>
    <w:bookmarkEnd w:id="152"/>
    <w:p>
      <w:pPr>
        <w:jc w:val="both"/>
        <w:ind w:right="40"/>
        <w:spacing w:after="0" w:line="247" w:lineRule="auto"/>
        <w:rPr>
          <w:sz w:val="20"/>
          <w:szCs w:val="20"/>
          <w:color w:val="auto"/>
        </w:rPr>
      </w:pPr>
      <w:r>
        <w:rPr>
          <w:rFonts w:ascii="Arial" w:cs="Arial" w:eastAsia="Arial" w:hAnsi="Arial"/>
          <w:sz w:val="20"/>
          <w:szCs w:val="20"/>
          <w:color w:val="auto"/>
        </w:rPr>
        <w:t>and reviewed by us for their reasonableness; however, we have not conducted an independent verification of the data used by Diamondback to determine these differentials.</w:t>
      </w:r>
    </w:p>
    <w:p>
      <w:pPr>
        <w:spacing w:after="0" w:line="202"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900" w:type="dxa"/>
            <w:vAlign w:val="bottom"/>
            <w:tcBorders>
              <w:top w:val="single" w:sz="8" w:color="00000A"/>
              <w:left w:val="single" w:sz="8" w:color="00000A"/>
              <w:right w:val="single" w:sz="8" w:color="00000A"/>
            </w:tcBorders>
          </w:tcPr>
          <w:p>
            <w:pPr>
              <w:spacing w:after="0"/>
              <w:rPr>
                <w:sz w:val="22"/>
                <w:szCs w:val="22"/>
                <w:color w:val="auto"/>
              </w:rPr>
            </w:pPr>
          </w:p>
        </w:tc>
        <w:tc>
          <w:tcPr>
            <w:tcW w:w="2060" w:type="dxa"/>
            <w:vAlign w:val="bottom"/>
            <w:tcBorders>
              <w:top w:val="single" w:sz="8" w:color="00000A"/>
              <w:right w:val="single" w:sz="8" w:color="00000A"/>
            </w:tcBorders>
          </w:tcPr>
          <w:p>
            <w:pPr>
              <w:spacing w:after="0"/>
              <w:rPr>
                <w:sz w:val="22"/>
                <w:szCs w:val="22"/>
                <w:color w:val="auto"/>
              </w:rPr>
            </w:pPr>
          </w:p>
        </w:tc>
        <w:tc>
          <w:tcPr>
            <w:tcW w:w="2620" w:type="dxa"/>
            <w:vAlign w:val="bottom"/>
            <w:tcBorders>
              <w:top w:val="single" w:sz="8" w:color="00000A"/>
              <w:right w:val="single" w:sz="8" w:color="00000A"/>
            </w:tcBorders>
          </w:tcPr>
          <w:p>
            <w:pPr>
              <w:spacing w:after="0"/>
              <w:rPr>
                <w:sz w:val="22"/>
                <w:szCs w:val="22"/>
                <w:color w:val="auto"/>
              </w:rPr>
            </w:pPr>
          </w:p>
        </w:tc>
        <w:tc>
          <w:tcPr>
            <w:tcW w:w="1920" w:type="dxa"/>
            <w:vAlign w:val="bottom"/>
            <w:tcBorders>
              <w:top w:val="single" w:sz="8" w:color="00000A"/>
              <w:right w:val="single" w:sz="8" w:color="00000A"/>
            </w:tcBorders>
          </w:tcPr>
          <w:p>
            <w:pPr>
              <w:spacing w:after="0"/>
              <w:rPr>
                <w:sz w:val="22"/>
                <w:szCs w:val="22"/>
                <w:color w:val="auto"/>
              </w:rPr>
            </w:pPr>
          </w:p>
        </w:tc>
        <w:tc>
          <w:tcPr>
            <w:tcW w:w="19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Average Proved</w:t>
            </w: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2060" w:type="dxa"/>
            <w:vAlign w:val="bottom"/>
            <w:tcBorders>
              <w:right w:val="single" w:sz="8" w:color="00000A"/>
            </w:tcBorders>
          </w:tcPr>
          <w:p>
            <w:pPr>
              <w:spacing w:after="0"/>
              <w:rPr>
                <w:sz w:val="18"/>
                <w:szCs w:val="18"/>
                <w:color w:val="auto"/>
              </w:rPr>
            </w:pPr>
          </w:p>
        </w:tc>
        <w:tc>
          <w:tcPr>
            <w:tcW w:w="2620" w:type="dxa"/>
            <w:vAlign w:val="bottom"/>
            <w:tcBorders>
              <w:right w:val="single" w:sz="8" w:color="00000A"/>
            </w:tcBorders>
          </w:tcPr>
          <w:p>
            <w:pPr>
              <w:spacing w:after="0"/>
              <w:rPr>
                <w:sz w:val="18"/>
                <w:szCs w:val="18"/>
                <w:color w:val="auto"/>
              </w:rPr>
            </w:pP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Benchmark</w:t>
            </w:r>
          </w:p>
        </w:tc>
        <w:tc>
          <w:tcPr>
            <w:tcW w:w="19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7"/>
              </w:rPr>
              <w:t>Realized</w:t>
            </w:r>
          </w:p>
        </w:tc>
      </w:tr>
      <w:tr>
        <w:trPr>
          <w:trHeight w:val="216"/>
        </w:trPr>
        <w:tc>
          <w:tcPr>
            <w:tcW w:w="290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0"/>
                <w:szCs w:val="20"/>
                <w:color w:val="auto"/>
              </w:rPr>
              <w:t>Geographic</w:t>
            </w:r>
          </w:p>
        </w:tc>
        <w:tc>
          <w:tcPr>
            <w:tcW w:w="2060" w:type="dxa"/>
            <w:vAlign w:val="bottom"/>
            <w:tcBorders>
              <w:right w:val="single" w:sz="8" w:color="00000A"/>
            </w:tcBorders>
          </w:tcPr>
          <w:p>
            <w:pPr>
              <w:spacing w:after="0"/>
              <w:rPr>
                <w:sz w:val="18"/>
                <w:szCs w:val="18"/>
                <w:color w:val="auto"/>
              </w:rPr>
            </w:pPr>
          </w:p>
        </w:tc>
        <w:tc>
          <w:tcPr>
            <w:tcW w:w="26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7"/>
              </w:rPr>
              <w:t>Prices</w:t>
            </w:r>
          </w:p>
        </w:tc>
        <w:tc>
          <w:tcPr>
            <w:tcW w:w="19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Prices</w:t>
            </w:r>
          </w:p>
        </w:tc>
      </w:tr>
      <w:tr>
        <w:trPr>
          <w:trHeight w:val="242"/>
        </w:trPr>
        <w:tc>
          <w:tcPr>
            <w:tcW w:w="29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Area</w:t>
            </w:r>
          </w:p>
        </w:tc>
        <w:tc>
          <w:tcPr>
            <w:tcW w:w="2060" w:type="dxa"/>
            <w:vAlign w:val="bottom"/>
            <w:tcBorders>
              <w:bottom w:val="single" w:sz="8" w:color="00000A"/>
              <w:right w:val="single" w:sz="8" w:color="00000A"/>
            </w:tcBorders>
          </w:tcPr>
          <w:p>
            <w:pPr>
              <w:ind w:left="680"/>
              <w:spacing w:after="0"/>
              <w:rPr>
                <w:sz w:val="20"/>
                <w:szCs w:val="20"/>
                <w:color w:val="auto"/>
              </w:rPr>
            </w:pPr>
            <w:r>
              <w:rPr>
                <w:rFonts w:ascii="Arial" w:cs="Arial" w:eastAsia="Arial" w:hAnsi="Arial"/>
                <w:sz w:val="20"/>
                <w:szCs w:val="20"/>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Reference</w:t>
            </w:r>
          </w:p>
        </w:tc>
        <w:tc>
          <w:tcPr>
            <w:tcW w:w="1920" w:type="dxa"/>
            <w:vAlign w:val="bottom"/>
            <w:tcBorders>
              <w:bottom w:val="single" w:sz="8" w:color="00000A"/>
              <w:right w:val="single" w:sz="8" w:color="00000A"/>
            </w:tcBorders>
          </w:tcPr>
          <w:p>
            <w:pPr>
              <w:spacing w:after="0"/>
              <w:rPr>
                <w:sz w:val="21"/>
                <w:szCs w:val="21"/>
                <w:color w:val="auto"/>
              </w:rPr>
            </w:pPr>
          </w:p>
        </w:tc>
        <w:tc>
          <w:tcPr>
            <w:tcW w:w="1940" w:type="dxa"/>
            <w:vAlign w:val="bottom"/>
            <w:tcBorders>
              <w:bottom w:val="single" w:sz="8" w:color="00000A"/>
              <w:right w:val="single" w:sz="8" w:color="00000A"/>
            </w:tcBorders>
          </w:tcPr>
          <w:p>
            <w:pPr>
              <w:spacing w:after="0"/>
              <w:rPr>
                <w:sz w:val="21"/>
                <w:szCs w:val="21"/>
                <w:color w:val="auto"/>
              </w:rPr>
            </w:pPr>
          </w:p>
        </w:tc>
      </w:tr>
      <w:tr>
        <w:trPr>
          <w:trHeight w:val="264"/>
        </w:trPr>
        <w:tc>
          <w:tcPr>
            <w:tcW w:w="29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2060" w:type="dxa"/>
            <w:vAlign w:val="bottom"/>
            <w:tcBorders>
              <w:bottom w:val="single" w:sz="8" w:color="00000A"/>
              <w:right w:val="single" w:sz="8" w:color="00000A"/>
            </w:tcBorders>
          </w:tcPr>
          <w:p>
            <w:pPr>
              <w:spacing w:after="0"/>
              <w:rPr>
                <w:sz w:val="22"/>
                <w:szCs w:val="22"/>
                <w:color w:val="auto"/>
              </w:rPr>
            </w:pPr>
          </w:p>
        </w:tc>
        <w:tc>
          <w:tcPr>
            <w:tcW w:w="2620" w:type="dxa"/>
            <w:vAlign w:val="bottom"/>
            <w:tcBorders>
              <w:bottom w:val="single" w:sz="8" w:color="00000A"/>
              <w:right w:val="single" w:sz="8" w:color="00000A"/>
            </w:tcBorders>
          </w:tcPr>
          <w:p>
            <w:pPr>
              <w:spacing w:after="0"/>
              <w:rPr>
                <w:sz w:val="22"/>
                <w:szCs w:val="22"/>
                <w:color w:val="auto"/>
              </w:rPr>
            </w:pPr>
          </w:p>
        </w:tc>
        <w:tc>
          <w:tcPr>
            <w:tcW w:w="192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64"/>
        </w:trPr>
        <w:tc>
          <w:tcPr>
            <w:tcW w:w="2900" w:type="dxa"/>
            <w:vAlign w:val="bottom"/>
            <w:tcBorders>
              <w:left w:val="single" w:sz="8" w:color="00000A"/>
              <w:right w:val="single" w:sz="8" w:color="00000A"/>
            </w:tcBorders>
          </w:tcPr>
          <w:p>
            <w:pPr>
              <w:spacing w:after="0"/>
              <w:rPr>
                <w:sz w:val="22"/>
                <w:szCs w:val="22"/>
                <w:color w:val="auto"/>
              </w:rPr>
            </w:pPr>
          </w:p>
        </w:tc>
        <w:tc>
          <w:tcPr>
            <w:tcW w:w="20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$51.34/Bbl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$48.00/Bbl</w:t>
            </w:r>
          </w:p>
        </w:tc>
      </w:tr>
      <w:tr>
        <w:trPr>
          <w:trHeight w:val="264"/>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20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Propane, Mt. Belvieu</w:t>
            </w: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$31.82/Bbl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$21.01/Bbl</w:t>
            </w:r>
          </w:p>
        </w:tc>
      </w:tr>
      <w:tr>
        <w:trPr>
          <w:trHeight w:val="264"/>
        </w:trPr>
        <w:tc>
          <w:tcPr>
            <w:tcW w:w="2900" w:type="dxa"/>
            <w:vAlign w:val="bottom"/>
            <w:tcBorders>
              <w:left w:val="single" w:sz="8" w:color="00000A"/>
              <w:bottom w:val="single" w:sz="8" w:color="00000A"/>
              <w:right w:val="single" w:sz="8" w:color="00000A"/>
            </w:tcBorders>
          </w:tcPr>
          <w:p>
            <w:pPr>
              <w:spacing w:after="0"/>
              <w:rPr>
                <w:sz w:val="22"/>
                <w:szCs w:val="22"/>
                <w:color w:val="auto"/>
              </w:rPr>
            </w:pPr>
          </w:p>
        </w:tc>
        <w:tc>
          <w:tcPr>
            <w:tcW w:w="20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$2.98/MMBTU</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$2.05/MCF</w:t>
            </w:r>
          </w:p>
        </w:tc>
      </w:tr>
    </w:tbl>
    <w:p>
      <w:pPr>
        <w:spacing w:after="0" w:line="22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40"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Operating costs for the leases and wells in this report were furnished by Diamondback and are based on the operating expense reports of Diamondback and include only those costs directly applicable to the leases or wells. The operating costs include a portion of general and administrative costs allocated directly to the leases and wells. The operating costs furnished to us were accepted as factual data and reviewed by us for their reasonableness; however, we have not conducted an independent verification of the operating cost data used by Diamondback. No deduction was made for loan repayments, interest expenses, or exploration and development prepayments that were not charged directly to the leases or wells.</w:t>
      </w:r>
    </w:p>
    <w:p>
      <w:pPr>
        <w:spacing w:after="0" w:line="208"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Development costs were furnished to us by Diamondback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significant. The estimates of the net abandonment costs furnished by Diamondback were accepted without independent verification. Ryder Scott has not performed a detailed study of the abandonment costs or the salvage value and makes no warranty for Diamondback’s estimate.</w:t>
      </w:r>
    </w:p>
    <w:p>
      <w:pPr>
        <w:spacing w:after="0" w:line="21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The undeveloped reserves in this report have been incorporated herein in accordance with Diamondback’s plans to develop these reserves as of December 31, 2017.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Additionally,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40"/>
          </w:cols>
          <w:pgMar w:left="240" w:top="379" w:right="219" w:bottom="1440" w:gutter="0" w:footer="0" w:header="0"/>
        </w:sectPr>
      </w:pPr>
    </w:p>
    <w:bookmarkStart w:id="153" w:name="page154"/>
    <w:bookmarkEnd w:id="153"/>
    <w:p>
      <w:pPr>
        <w:jc w:val="both"/>
        <w:spacing w:after="0" w:line="243" w:lineRule="auto"/>
        <w:rPr>
          <w:sz w:val="20"/>
          <w:szCs w:val="20"/>
          <w:color w:val="auto"/>
        </w:rPr>
      </w:pPr>
      <w:r>
        <w:rPr>
          <w:rFonts w:ascii="Arial" w:cs="Arial" w:eastAsia="Arial" w:hAnsi="Arial"/>
          <w:sz w:val="20"/>
          <w:szCs w:val="20"/>
          <w:color w:val="auto"/>
        </w:rPr>
        <w:t>Diamondback has informed us that they are not aware of any legal, regulatory or political obstacles that would significantly alter their plans. While these plans could change from those under existing economic conditions as of December 31, 2017, such changes were, in accordance with rules adopted by the SEC, omitted from consideration in making this evaluation.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0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Diamondback.</w:t>
      </w:r>
    </w:p>
    <w:p>
      <w:pPr>
        <w:spacing w:after="0" w:line="20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54" w:name="page155"/>
    <w:bookmarkEnd w:id="154"/>
    <w:p>
      <w:pPr>
        <w:jc w:val="both"/>
        <w:spacing w:after="0" w:line="243" w:lineRule="auto"/>
        <w:rPr>
          <w:sz w:val="20"/>
          <w:szCs w:val="20"/>
          <w:color w:val="auto"/>
        </w:rPr>
      </w:pPr>
      <w:r>
        <w:rPr>
          <w:rFonts w:ascii="Arial" w:cs="Arial" w:eastAsia="Arial" w:hAnsi="Arial"/>
          <w:sz w:val="20"/>
          <w:szCs w:val="20"/>
          <w:color w:val="auto"/>
        </w:rPr>
        <w:t>to our name as well as to the references to our third party report for Diamondback, which appears in the December 31, 2017 annual report on Form 10-K of Diamondback. Our written consent for such use is included as a separate exhibit to the filings made with the SEC by Diamondback.</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Diamondback with a digital version of the original signed copy of this report letter. In the event there are any differences between the digital version included in filings made by Diamondback and the original signed report letter, the original signed report letter shall control and supersede the digital version.</w:t>
      </w:r>
    </w:p>
    <w:p>
      <w:pPr>
        <w:spacing w:after="0" w:line="20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192"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\s\ Val Rick Robinson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Val Rick Robinson, P.E.</w:t>
      </w:r>
    </w:p>
    <w:p>
      <w:pPr>
        <w:ind w:left="4540"/>
        <w:spacing w:after="0"/>
        <w:rPr>
          <w:sz w:val="20"/>
          <w:szCs w:val="20"/>
          <w:color w:val="auto"/>
        </w:rPr>
      </w:pPr>
      <w:r>
        <w:rPr>
          <w:rFonts w:ascii="Arial" w:cs="Arial" w:eastAsia="Arial" w:hAnsi="Arial"/>
          <w:sz w:val="20"/>
          <w:szCs w:val="20"/>
          <w:color w:val="auto"/>
        </w:rPr>
        <w:t>TBPE License No. 105137</w:t>
      </w:r>
    </w:p>
    <w:p>
      <w:pPr>
        <w:ind w:left="5200"/>
        <w:spacing w:after="0"/>
        <w:rPr>
          <w:sz w:val="20"/>
          <w:szCs w:val="20"/>
          <w:color w:val="auto"/>
        </w:rPr>
      </w:pPr>
      <w:r>
        <w:rPr>
          <w:rFonts w:ascii="Arial" w:cs="Arial" w:eastAsia="Arial" w:hAnsi="Arial"/>
          <w:sz w:val="20"/>
          <w:szCs w:val="20"/>
          <w:color w:val="auto"/>
        </w:rPr>
        <w:t>Managing Senior 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VRR (DPR)/pl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t>
      </w:r>
      <w:r>
        <w:rPr>
          <w:rFonts w:ascii="Arial" w:cs="Arial" w:eastAsia="Arial" w:hAnsi="Arial"/>
          <w:sz w:val="20"/>
          <w:szCs w:val="20"/>
          <w:u w:val="single" w:color="auto"/>
          <w:color w:val="0000FF"/>
        </w:rPr>
        <w:t>www.ryderscott.com</w:t>
      </w:r>
      <w:r>
        <w:rPr>
          <w:rFonts w:ascii="Arial" w:cs="Arial" w:eastAsia="Arial" w:hAnsi="Arial"/>
          <w:sz w:val="20"/>
          <w:szCs w:val="20"/>
          <w:color w:val="auto"/>
        </w:rPr>
        <w:t>.</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2017 continuing education hours, Mr. Robinson attended 28 hours of formalized training including the 2017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14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85" w:right="239" w:bottom="1440" w:gutter="0" w:footer="0" w:header="0"/>
        </w:sectPr>
      </w:pPr>
    </w:p>
    <w:bookmarkStart w:id="156" w:name="page157"/>
    <w:bookmarkEnd w:id="156"/>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17"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RYDER SCOTT COMPANY PETROLEUM CONSULTANTS</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RYDER SCOTT COMPANY PETROLEUM CONSULTANTS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9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608" w:right="239" w:bottom="1440" w:gutter="0" w:footer="0" w:header="0"/>
        </w:sectPr>
      </w:pPr>
    </w:p>
    <w:bookmarkStart w:id="157" w:name="page158"/>
    <w:bookmarkEnd w:id="157"/>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3"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5" w:lineRule="exact"/>
        <w:rPr>
          <w:rFonts w:ascii="Arial" w:cs="Arial" w:eastAsia="Arial" w:hAnsi="Arial"/>
          <w:sz w:val="20"/>
          <w:szCs w:val="20"/>
          <w:i w:val="1"/>
          <w:iCs w:val="1"/>
          <w:color w:val="auto"/>
        </w:rPr>
      </w:pPr>
    </w:p>
    <w:p>
      <w:pPr>
        <w:ind w:left="1620" w:hanging="315"/>
        <w:spacing w:after="0"/>
        <w:tabs>
          <w:tab w:leader="none" w:pos="1620" w:val="left"/>
        </w:tabs>
        <w:numPr>
          <w:ilvl w:val="1"/>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5" w:lineRule="exact"/>
        <w:rPr>
          <w:rFonts w:ascii="Arial" w:cs="Arial" w:eastAsia="Arial" w:hAnsi="Arial"/>
          <w:sz w:val="20"/>
          <w:szCs w:val="20"/>
          <w:i w:val="1"/>
          <w:iCs w:val="1"/>
          <w:color w:val="auto"/>
        </w:rPr>
      </w:pPr>
    </w:p>
    <w:p>
      <w:pPr>
        <w:ind w:left="1300" w:firstLine="5"/>
        <w:spacing w:after="0" w:line="267" w:lineRule="auto"/>
        <w:tabs>
          <w:tab w:leader="none" w:pos="1628" w:val="left"/>
        </w:tabs>
        <w:numPr>
          <w:ilvl w:val="1"/>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b w:val="1"/>
          <w:bCs w:val="1"/>
          <w:u w:val="single" w:color="auto"/>
          <w:color w:val="auto"/>
        </w:rPr>
        <w:t>PROVED RESERVES (SEC DEFINITIONS) CONTINUED</w:t>
      </w:r>
    </w:p>
    <w:p>
      <w:pPr>
        <w:spacing w:after="0" w:line="220" w:lineRule="exact"/>
        <w:rPr>
          <w:sz w:val="20"/>
          <w:szCs w:val="20"/>
          <w:color w:val="auto"/>
        </w:rPr>
      </w:pPr>
    </w:p>
    <w:p>
      <w:pPr>
        <w:jc w:val="both"/>
        <w:ind w:left="660" w:hanging="4"/>
        <w:spacing w:after="0" w:line="253" w:lineRule="auto"/>
        <w:tabs>
          <w:tab w:leader="none" w:pos="943"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77" w:lineRule="exact"/>
        <w:rPr>
          <w:rFonts w:ascii="Arial" w:cs="Arial" w:eastAsia="Arial" w:hAnsi="Arial"/>
          <w:sz w:val="20"/>
          <w:szCs w:val="20"/>
          <w:i w:val="1"/>
          <w:iCs w:val="1"/>
          <w:color w:val="auto"/>
        </w:rPr>
      </w:pPr>
    </w:p>
    <w:p>
      <w:pPr>
        <w:jc w:val="both"/>
        <w:ind w:left="660" w:hanging="4"/>
        <w:spacing w:after="0" w:line="249" w:lineRule="auto"/>
        <w:tabs>
          <w:tab w:leader="none" w:pos="1005"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80"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86"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63"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45"/>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RESOURCES MANAGEMENT SYSTEM (SPE-PRMS)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Sponsored and Approved by: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SOCIETY OF PETROLEUM ENGINEERS (SPE)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PETROLEUM COUNCIL (WPC)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16" w:lineRule="exact"/>
        <w:rPr>
          <w:sz w:val="20"/>
          <w:szCs w:val="20"/>
          <w:color w:val="auto"/>
        </w:rPr>
      </w:pPr>
    </w:p>
    <w:p>
      <w:pPr>
        <w:ind w:left="1300" w:firstLine="5"/>
        <w:spacing w:after="0" w:line="267" w:lineRule="auto"/>
        <w:tabs>
          <w:tab w:leader="none" w:pos="1569" w:val="left"/>
        </w:tabs>
        <w:numPr>
          <w:ilvl w:val="0"/>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63"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46"/>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to be recovered from completion intervals that are open and producing at the time of the estimate.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85" w:right="239" w:bottom="1440" w:gutter="0" w:footer="0" w:header="0"/>
        </w:sectPr>
      </w:pPr>
    </w:p>
    <w:bookmarkStart w:id="160" w:name="page161"/>
    <w:bookmarkEnd w:id="160"/>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i w:val="1"/>
          <w:iCs w:val="1"/>
          <w:color w:val="auto"/>
        </w:rPr>
        <w:t>completion intervals which are open at the time of the estimate, but which have not started producing;</w:t>
      </w: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i w:val="1"/>
          <w:iCs w:val="1"/>
          <w:color w:val="auto"/>
        </w:rPr>
        <w:t>wells not capable of production for mechanical reasons.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which will require additional completion work or future re-completion prior to start of production.</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64" w:lineRule="exact"/>
        <w:rPr>
          <w:sz w:val="20"/>
          <w:szCs w:val="20"/>
          <w:color w:val="auto"/>
        </w:rPr>
      </w:pPr>
    </w:p>
    <w:p>
      <w:pPr>
        <w:ind w:left="1960" w:right="260" w:hanging="682"/>
        <w:spacing w:after="0" w:line="253" w:lineRule="auto"/>
        <w:tabs>
          <w:tab w:leader="none" w:pos="1960" w:val="left"/>
        </w:tabs>
        <w:numPr>
          <w:ilvl w:val="0"/>
          <w:numId w:val="48"/>
        </w:numPr>
        <w:rPr>
          <w:rFonts w:ascii="Arial" w:cs="Arial" w:eastAsia="Arial" w:hAnsi="Arial"/>
          <w:sz w:val="18"/>
          <w:szCs w:val="18"/>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7" w:lineRule="exact"/>
        <w:rPr>
          <w:rFonts w:ascii="Arial" w:cs="Arial" w:eastAsia="Arial" w:hAnsi="Arial"/>
          <w:sz w:val="18"/>
          <w:szCs w:val="18"/>
          <w:color w:val="auto"/>
        </w:rPr>
      </w:pPr>
    </w:p>
    <w:p>
      <w:pPr>
        <w:jc w:val="both"/>
        <w:ind w:left="1300" w:firstLine="5"/>
        <w:spacing w:after="0" w:line="253" w:lineRule="auto"/>
        <w:tabs>
          <w:tab w:leader="none" w:pos="1610" w:val="left"/>
        </w:tabs>
        <w:numPr>
          <w:ilvl w:val="1"/>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7"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1"/>
          <w:numId w:val="48"/>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20"/>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 Val Rick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10795</wp:posOffset>
            </wp:positionV>
            <wp:extent cx="28130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Val Rick Robinson, P.E.</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TBPE License No. 105137</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RYDER SCOTT COMPANY, L.P.</w:t>
      </w:r>
    </w:p>
    <w:p>
      <w:pPr>
        <w:ind w:left="3140"/>
        <w:spacing w:after="0"/>
        <w:rPr>
          <w:sz w:val="20"/>
          <w:szCs w:val="20"/>
          <w:color w:val="auto"/>
        </w:rPr>
      </w:pPr>
      <w:r>
        <w:rPr>
          <w:rFonts w:ascii="Arial" w:cs="Arial" w:eastAsia="Arial" w:hAnsi="Arial"/>
          <w:sz w:val="20"/>
          <w:szCs w:val="20"/>
          <w:color w:val="auto"/>
        </w:rPr>
        <w:t>TBPE Firm License No. F-1580</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571"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0"/>
          <w:szCs w:val="20"/>
          <w:color w:val="auto"/>
        </w:rPr>
        <w:t>January 18, 2018</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2017.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16, 2018 and presented herein, was prepared for public disclosure in Viper’s filings made with the SEC in accordance with the disclosure requirements set forth in the SEC regulations.</w:t>
      </w: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2017.</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2017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Arial" w:cs="Arial" w:eastAsia="Arial" w:hAnsi="Arial"/>
                <w:sz w:val="14"/>
                <w:szCs w:val="14"/>
                <w:color w:val="auto"/>
                <w:w w:val="92"/>
              </w:rPr>
              <w:t>SUITE 600, 1015 4TH STREET, S.W.  CALGARY, ALBERTA T2R 1J4</w:t>
            </w:r>
          </w:p>
        </w:tc>
        <w:tc>
          <w:tcPr>
            <w:tcW w:w="1260" w:type="dxa"/>
            <w:vAlign w:val="bottom"/>
          </w:tcPr>
          <w:p>
            <w:pPr>
              <w:ind w:left="80"/>
              <w:spacing w:after="0"/>
              <w:rPr>
                <w:sz w:val="20"/>
                <w:szCs w:val="20"/>
                <w:color w:val="auto"/>
              </w:rPr>
            </w:pPr>
            <w:r>
              <w:rPr>
                <w:rFonts w:ascii="Arial" w:cs="Arial" w:eastAsia="Arial" w:hAnsi="Arial"/>
                <w:sz w:val="14"/>
                <w:szCs w:val="14"/>
                <w:color w:val="auto"/>
                <w:w w:val="92"/>
              </w:rPr>
              <w:t>TEL (403) 262-2799</w:t>
            </w:r>
          </w:p>
        </w:tc>
        <w:tc>
          <w:tcPr>
            <w:tcW w:w="1220" w:type="dxa"/>
            <w:vAlign w:val="bottom"/>
          </w:tcPr>
          <w:p>
            <w:pPr>
              <w:ind w:left="80"/>
              <w:spacing w:after="0"/>
              <w:rPr>
                <w:sz w:val="20"/>
                <w:szCs w:val="20"/>
                <w:color w:val="auto"/>
              </w:rPr>
            </w:pPr>
            <w:r>
              <w:rPr>
                <w:rFonts w:ascii="Arial" w:cs="Arial" w:eastAsia="Arial" w:hAnsi="Arial"/>
                <w:sz w:val="14"/>
                <w:szCs w:val="14"/>
                <w:color w:val="auto"/>
                <w:w w:val="88"/>
              </w:rPr>
              <w:t>FAX (403) 262-2790</w:t>
            </w:r>
          </w:p>
        </w:tc>
      </w:tr>
      <w:tr>
        <w:trPr>
          <w:trHeight w:val="172"/>
        </w:trPr>
        <w:tc>
          <w:tcPr>
            <w:tcW w:w="4060" w:type="dxa"/>
            <w:vAlign w:val="bottom"/>
          </w:tcPr>
          <w:p>
            <w:pPr>
              <w:spacing w:after="0"/>
              <w:rPr>
                <w:sz w:val="20"/>
                <w:szCs w:val="20"/>
                <w:color w:val="auto"/>
              </w:rPr>
            </w:pPr>
            <w:r>
              <w:rPr>
                <w:rFonts w:ascii="Arial" w:cs="Arial" w:eastAsia="Arial" w:hAnsi="Arial"/>
                <w:sz w:val="14"/>
                <w:szCs w:val="14"/>
                <w:color w:val="auto"/>
                <w:w w:val="92"/>
              </w:rPr>
              <w:t>621 17TH STREET, SUITE 1550  DENVER, COLORADO 80293-1501</w:t>
            </w:r>
          </w:p>
        </w:tc>
        <w:tc>
          <w:tcPr>
            <w:tcW w:w="1260" w:type="dxa"/>
            <w:vAlign w:val="bottom"/>
          </w:tcPr>
          <w:p>
            <w:pPr>
              <w:ind w:left="80"/>
              <w:spacing w:after="0"/>
              <w:rPr>
                <w:sz w:val="20"/>
                <w:szCs w:val="20"/>
                <w:color w:val="auto"/>
              </w:rPr>
            </w:pPr>
            <w:r>
              <w:rPr>
                <w:rFonts w:ascii="Arial" w:cs="Arial" w:eastAsia="Arial" w:hAnsi="Arial"/>
                <w:sz w:val="14"/>
                <w:szCs w:val="14"/>
                <w:color w:val="auto"/>
                <w:w w:val="92"/>
              </w:rPr>
              <w:t>TEL (303) 623-9147</w:t>
            </w:r>
          </w:p>
        </w:tc>
        <w:tc>
          <w:tcPr>
            <w:tcW w:w="1220" w:type="dxa"/>
            <w:vAlign w:val="bottom"/>
          </w:tcPr>
          <w:p>
            <w:pPr>
              <w:ind w:left="80"/>
              <w:spacing w:after="0"/>
              <w:rPr>
                <w:sz w:val="20"/>
                <w:szCs w:val="20"/>
                <w:color w:val="auto"/>
              </w:rPr>
            </w:pPr>
            <w:r>
              <w:rPr>
                <w:rFonts w:ascii="Arial" w:cs="Arial" w:eastAsia="Arial" w:hAnsi="Arial"/>
                <w:sz w:val="14"/>
                <w:szCs w:val="14"/>
                <w:color w:val="auto"/>
                <w:w w:val="88"/>
              </w:rPr>
              <w:t>FAX (303) 623-4258</w:t>
            </w:r>
          </w:p>
        </w:tc>
      </w:tr>
    </w:tbl>
    <w:p>
      <w:pPr>
        <w:sectPr>
          <w:pgSz w:w="11900" w:h="16838" w:orient="portrait"/>
          <w:cols w:equalWidth="0" w:num="1">
            <w:col w:w="11420"/>
          </w:cols>
          <w:pgMar w:left="240" w:top="379"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37"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19"/>
          <w:szCs w:val="19"/>
          <w:b w:val="1"/>
          <w:bCs w:val="1"/>
          <w:color w:val="auto"/>
        </w:rPr>
        <w:t>Viper Energy Partners, LP</w:t>
      </w:r>
    </w:p>
    <w:p>
      <w:pPr>
        <w:spacing w:after="0" w:line="16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45192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5">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Proved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Developed</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gridSpan w:val="2"/>
            <w:vMerge w:val="restart"/>
          </w:tcPr>
          <w:p>
            <w:pPr>
              <w:ind w:left="100"/>
              <w:spacing w:after="0"/>
              <w:rPr>
                <w:sz w:val="20"/>
                <w:szCs w:val="20"/>
                <w:color w:val="auto"/>
              </w:rPr>
            </w:pPr>
            <w:r>
              <w:rPr>
                <w:rFonts w:ascii="Arial" w:cs="Arial" w:eastAsia="Arial" w:hAnsi="Arial"/>
                <w:sz w:val="18"/>
                <w:szCs w:val="18"/>
                <w:color w:val="auto"/>
              </w:rPr>
              <w:t>Undeveloped</w:t>
            </w:r>
          </w:p>
        </w:tc>
        <w:tc>
          <w:tcPr>
            <w:tcW w:w="320" w:type="dxa"/>
            <w:vAlign w:val="bottom"/>
          </w:tcPr>
          <w:p>
            <w:pPr>
              <w:spacing w:after="0"/>
              <w:rPr>
                <w:sz w:val="2"/>
                <w:szCs w:val="2"/>
                <w:color w:val="auto"/>
              </w:rPr>
            </w:pP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rPr>
              <w:t>Producing</w:t>
            </w:r>
          </w:p>
        </w:tc>
        <w:tc>
          <w:tcPr>
            <w:tcW w:w="22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580" w:type="dxa"/>
            <w:vAlign w:val="bottom"/>
            <w:gridSpan w:val="3"/>
          </w:tcPr>
          <w:p>
            <w:pPr>
              <w:spacing w:after="0" w:line="189" w:lineRule="exact"/>
              <w:rPr>
                <w:sz w:val="20"/>
                <w:szCs w:val="20"/>
                <w:color w:val="auto"/>
              </w:rPr>
            </w:pPr>
            <w:r>
              <w:rPr>
                <w:rFonts w:ascii="Arial" w:cs="Arial" w:eastAsia="Arial" w:hAnsi="Arial"/>
                <w:sz w:val="18"/>
                <w:szCs w:val="18"/>
                <w:b w:val="1"/>
                <w:bCs w:val="1"/>
                <w:i w:val="1"/>
                <w:iCs w:val="1"/>
                <w:color w:val="auto"/>
              </w:rPr>
              <w:t>Net Remaining Reserves</w:t>
            </w: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Oil/Condensate – MBbl</w:t>
            </w:r>
          </w:p>
        </w:tc>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18,788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7,097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70"/>
        </w:trPr>
        <w:tc>
          <w:tcPr>
            <w:tcW w:w="558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2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4,536</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1,759</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70"/>
        </w:trPr>
        <w:tc>
          <w:tcPr>
            <w:tcW w:w="558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2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29,256</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7,139</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70"/>
        </w:trPr>
        <w:tc>
          <w:tcPr>
            <w:tcW w:w="5580" w:type="dxa"/>
            <w:vAlign w:val="bottom"/>
            <w:gridSpan w:val="3"/>
          </w:tcPr>
          <w:p>
            <w:pPr>
              <w:spacing w:after="0"/>
              <w:rPr>
                <w:sz w:val="20"/>
                <w:szCs w:val="20"/>
                <w:color w:val="auto"/>
              </w:rPr>
            </w:pPr>
            <w:r>
              <w:rPr>
                <w:rFonts w:ascii="Arial" w:cs="Arial" w:eastAsia="Arial" w:hAnsi="Arial"/>
                <w:sz w:val="18"/>
                <w:szCs w:val="18"/>
                <w:color w:val="auto"/>
              </w:rPr>
              <w:t>MBOE</w:t>
            </w:r>
          </w:p>
        </w:tc>
        <w:tc>
          <w:tcPr>
            <w:tcW w:w="2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28,200</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10,046</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527"/>
        </w:trPr>
        <w:tc>
          <w:tcPr>
            <w:tcW w:w="5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8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1,004,913</w:t>
            </w: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368,717</w:t>
            </w:r>
          </w:p>
        </w:tc>
        <w:tc>
          <w:tcPr>
            <w:tcW w:w="3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1,373,630</w:t>
            </w:r>
          </w:p>
        </w:tc>
        <w:tc>
          <w:tcPr>
            <w:tcW w:w="0" w:type="dxa"/>
            <w:vAlign w:val="bottom"/>
          </w:tcPr>
          <w:p>
            <w:pPr>
              <w:spacing w:after="0"/>
              <w:rPr>
                <w:sz w:val="1"/>
                <w:szCs w:val="1"/>
                <w:color w:val="auto"/>
              </w:rPr>
            </w:pPr>
          </w:p>
        </w:tc>
      </w:tr>
      <w:tr>
        <w:trPr>
          <w:trHeight w:val="270"/>
        </w:trPr>
        <w:tc>
          <w:tcPr>
            <w:tcW w:w="558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2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38,220</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15,091</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53,311</w:t>
            </w:r>
          </w:p>
        </w:tc>
        <w:tc>
          <w:tcPr>
            <w:tcW w:w="0" w:type="dxa"/>
            <w:vAlign w:val="bottom"/>
          </w:tcPr>
          <w:p>
            <w:pPr>
              <w:spacing w:after="0"/>
              <w:rPr>
                <w:sz w:val="1"/>
                <w:szCs w:val="1"/>
                <w:color w:val="auto"/>
              </w:rPr>
            </w:pPr>
          </w:p>
        </w:tc>
      </w:tr>
      <w:tr>
        <w:trPr>
          <w:trHeight w:val="27"/>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Future Net Income (FNI)</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gridSpan w:val="3"/>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966,693</w:t>
            </w:r>
          </w:p>
        </w:tc>
        <w:tc>
          <w:tcPr>
            <w:tcW w:w="3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353,626</w:t>
            </w:r>
          </w:p>
        </w:tc>
        <w:tc>
          <w:tcPr>
            <w:tcW w:w="3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1,320,319</w:t>
            </w:r>
          </w:p>
        </w:tc>
        <w:tc>
          <w:tcPr>
            <w:tcW w:w="0" w:type="dxa"/>
            <w:vAlign w:val="bottom"/>
          </w:tcPr>
          <w:p>
            <w:pPr>
              <w:spacing w:after="0"/>
              <w:rPr>
                <w:sz w:val="1"/>
                <w:szCs w:val="1"/>
                <w:color w:val="auto"/>
              </w:rPr>
            </w:pPr>
          </w:p>
        </w:tc>
      </w:tr>
      <w:tr>
        <w:trPr>
          <w:trHeight w:val="554"/>
        </w:trPr>
        <w:tc>
          <w:tcPr>
            <w:tcW w:w="558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456,837</w:t>
            </w: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171,829</w:t>
            </w:r>
          </w:p>
        </w:tc>
        <w:tc>
          <w:tcPr>
            <w:tcW w:w="3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628,666</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The net remaining reserves are also shown herein on an equivalent unit basis wherein natural gas is converted to oil equivalent using a factor of 6,000 cubic feet of natural gas per one barrel of oil equivalent. MBOE means thousands barrels of oil equivalent. In this report, the revenues, deductions, and income data are expressed as thousands of U.S. dollars ($M).</w:t>
      </w:r>
    </w:p>
    <w:p>
      <w:pPr>
        <w:spacing w:after="0" w:line="20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solely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The future gross revenue is after the deduction of production taxes. The deductions incorporate ad valorem taxes only.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18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 reserves account for approximately 95 percent and gas reserves account for the remaining 5 percent of total future gross revenue from proved reserves.</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63" w:right="239" w:bottom="1440" w:gutter="0" w:footer="0" w:header="0"/>
        </w:sectPr>
      </w:pPr>
    </w:p>
    <w:bookmarkStart w:id="164" w:name="page165"/>
    <w:bookmarkEnd w:id="164"/>
    <w:tbl>
      <w:tblPr>
        <w:tblLayout w:type="fixed"/>
        <w:tblInd w:w="1700" w:type="dxa"/>
        <w:tblCellMar>
          <w:top w:w="0" w:type="dxa"/>
          <w:left w:w="0" w:type="dxa"/>
          <w:bottom w:w="0" w:type="dxa"/>
          <w:right w:w="0" w:type="dxa"/>
        </w:tblCellMar>
      </w:tblPr>
      <w:tr>
        <w:trPr>
          <w:trHeight w:val="217"/>
        </w:trPr>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Discounted Future Net Income ($M)</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As of December 31, 2017</w:t>
            </w:r>
          </w:p>
        </w:tc>
        <w:tc>
          <w:tcPr>
            <w:tcW w:w="0" w:type="dxa"/>
            <w:vAlign w:val="bottom"/>
          </w:tcPr>
          <w:p>
            <w:pPr>
              <w:spacing w:after="0"/>
              <w:rPr>
                <w:sz w:val="1"/>
                <w:szCs w:val="1"/>
                <w:color w:val="auto"/>
              </w:rPr>
            </w:pPr>
          </w:p>
        </w:tc>
      </w:tr>
      <w:tr>
        <w:trPr>
          <w:trHeight w:val="27"/>
        </w:trPr>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9"/>
              </w:rPr>
              <w:t>Discount Rate</w:t>
            </w:r>
          </w:p>
        </w:tc>
        <w:tc>
          <w:tcPr>
            <w:tcW w:w="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Percent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7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$834,824</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$515,654</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$443,507</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$355,098</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various proved reserve status categories are defined under the attachment entitled “Petroleum Reserves Status Definitions and Guidelines” in this report.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Viper’s request, this report addresses only the proved reserves attributable to the properties evaluated herein.</w:t>
      </w:r>
    </w:p>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44" w:right="239" w:bottom="1440" w:gutter="0" w:footer="0" w:header="0"/>
        </w:sectPr>
      </w:pPr>
    </w:p>
    <w:bookmarkStart w:id="165" w:name="page166"/>
    <w:bookmarkEnd w:id="165"/>
    <w:p>
      <w:pPr>
        <w:jc w:val="both"/>
        <w:ind w:right="20"/>
        <w:spacing w:after="0" w:line="262" w:lineRule="auto"/>
        <w:rPr>
          <w:sz w:val="20"/>
          <w:szCs w:val="20"/>
          <w:color w:val="auto"/>
        </w:rPr>
      </w:pPr>
      <w:r>
        <w:rPr>
          <w:rFonts w:ascii="Arial" w:cs="Arial" w:eastAsia="Arial" w:hAnsi="Arial"/>
          <w:sz w:val="19"/>
          <w:szCs w:val="19"/>
          <w:color w:val="auto"/>
        </w:rPr>
        <w:t>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66" w:name="page167"/>
    <w:bookmarkEnd w:id="166"/>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both methods. Approximately 90 percent of the proved producing reserves attributable to producing wells were estimated by performance methods. These performance methods include, but may not be limited to, decline curve analysis, which utilized extrapolations of historical production and pressure data available through December 2017 in those cases where such data were considered to be definitive. The data utilized in this analysis were furnished to Ryder Scott by Diamondback and were considered sufficient for the purpose thereof. The remaining 10 percent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0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As noted above, Diamondback furnished us with the average prices in effect on December 31, 2017.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0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gathering and transportation fees and/or distance from market, referred to herein as “differentials.” The differentials used in the preparation of this report were furnished to us by Diamondback and were accepted as factual data and reviewed by us for their reasonableness; however, we have not conducted an independent verification of the data used by Diamondback to determine these differentials.</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788" w:right="239" w:bottom="1440" w:gutter="0" w:footer="0" w:header="0"/>
        </w:sectPr>
      </w:pPr>
    </w:p>
    <w:bookmarkStart w:id="168" w:name="page169"/>
    <w:bookmarkEnd w:id="168"/>
    <w:p>
      <w:pPr>
        <w:jc w:val="both"/>
        <w:spacing w:after="0" w:line="247" w:lineRule="auto"/>
        <w:rPr>
          <w:sz w:val="20"/>
          <w:szCs w:val="20"/>
          <w:color w:val="auto"/>
        </w:rPr>
      </w:pPr>
      <w:r>
        <w:rPr>
          <w:rFonts w:ascii="Arial" w:cs="Arial" w:eastAsia="Arial" w:hAnsi="Arial"/>
          <w:sz w:val="20"/>
          <w:szCs w:val="20"/>
          <w:color w:val="auto"/>
        </w:rPr>
        <w:t>total net reserves for the geographic area and presented in accordance with SEC disclosure requirements for each of the geographic areas included in the report.</w:t>
      </w:r>
    </w:p>
    <w:p>
      <w:pPr>
        <w:spacing w:after="0" w:line="348" w:lineRule="exact"/>
        <w:rPr>
          <w:sz w:val="20"/>
          <w:szCs w:val="20"/>
          <w:color w:val="auto"/>
        </w:rPr>
      </w:pPr>
    </w:p>
    <w:tbl>
      <w:tblPr>
        <w:tblLayout w:type="fixed"/>
        <w:tblInd w:w="350" w:type="dxa"/>
        <w:tblCellMar>
          <w:top w:w="0" w:type="dxa"/>
          <w:left w:w="0" w:type="dxa"/>
          <w:bottom w:w="0" w:type="dxa"/>
          <w:right w:w="0" w:type="dxa"/>
        </w:tblCellMar>
      </w:tblPr>
      <w:tr>
        <w:trPr>
          <w:trHeight w:val="253"/>
        </w:trPr>
        <w:tc>
          <w:tcPr>
            <w:tcW w:w="2100" w:type="dxa"/>
            <w:vAlign w:val="bottom"/>
            <w:tcBorders>
              <w:top w:val="single" w:sz="8" w:color="00000A"/>
              <w:left w:val="single" w:sz="8" w:color="00000A"/>
              <w:right w:val="single" w:sz="8" w:color="00000A"/>
            </w:tcBorders>
          </w:tcPr>
          <w:p>
            <w:pPr>
              <w:spacing w:after="0"/>
              <w:rPr>
                <w:sz w:val="22"/>
                <w:szCs w:val="22"/>
                <w:color w:val="auto"/>
              </w:rPr>
            </w:pPr>
          </w:p>
        </w:tc>
        <w:tc>
          <w:tcPr>
            <w:tcW w:w="2000" w:type="dxa"/>
            <w:vAlign w:val="bottom"/>
            <w:tcBorders>
              <w:top w:val="single" w:sz="8" w:color="00000A"/>
              <w:right w:val="single" w:sz="8" w:color="00000A"/>
            </w:tcBorders>
          </w:tcPr>
          <w:p>
            <w:pPr>
              <w:spacing w:after="0"/>
              <w:rPr>
                <w:sz w:val="22"/>
                <w:szCs w:val="22"/>
                <w:color w:val="auto"/>
              </w:rPr>
            </w:pPr>
          </w:p>
        </w:tc>
        <w:tc>
          <w:tcPr>
            <w:tcW w:w="2580" w:type="dxa"/>
            <w:vAlign w:val="bottom"/>
            <w:tcBorders>
              <w:top w:val="single" w:sz="8" w:color="00000A"/>
              <w:right w:val="single" w:sz="8" w:color="00000A"/>
            </w:tcBorders>
          </w:tcPr>
          <w:p>
            <w:pPr>
              <w:spacing w:after="0"/>
              <w:rPr>
                <w:sz w:val="22"/>
                <w:szCs w:val="22"/>
                <w:color w:val="auto"/>
              </w:rPr>
            </w:pPr>
          </w:p>
        </w:tc>
        <w:tc>
          <w:tcPr>
            <w:tcW w:w="1860" w:type="dxa"/>
            <w:vAlign w:val="bottom"/>
            <w:tcBorders>
              <w:top w:val="single" w:sz="8" w:color="00000A"/>
              <w:right w:val="single" w:sz="8" w:color="00000A"/>
            </w:tcBorders>
          </w:tcPr>
          <w:p>
            <w:pPr>
              <w:spacing w:after="0"/>
              <w:rPr>
                <w:sz w:val="22"/>
                <w:szCs w:val="22"/>
                <w:color w:val="auto"/>
              </w:rPr>
            </w:pPr>
          </w:p>
        </w:tc>
        <w:tc>
          <w:tcPr>
            <w:tcW w:w="18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Average Proved</w:t>
            </w:r>
          </w:p>
        </w:tc>
      </w:tr>
      <w:tr>
        <w:trPr>
          <w:trHeight w:val="216"/>
        </w:trPr>
        <w:tc>
          <w:tcPr>
            <w:tcW w:w="2100" w:type="dxa"/>
            <w:vAlign w:val="bottom"/>
            <w:tcBorders>
              <w:left w:val="single" w:sz="8" w:color="00000A"/>
              <w:right w:val="single" w:sz="8" w:color="00000A"/>
            </w:tcBorders>
          </w:tcPr>
          <w:p>
            <w:pPr>
              <w:spacing w:after="0"/>
              <w:rPr>
                <w:sz w:val="18"/>
                <w:szCs w:val="18"/>
                <w:color w:val="auto"/>
              </w:rPr>
            </w:pPr>
          </w:p>
        </w:tc>
        <w:tc>
          <w:tcPr>
            <w:tcW w:w="2000" w:type="dxa"/>
            <w:vAlign w:val="bottom"/>
            <w:tcBorders>
              <w:right w:val="single" w:sz="8" w:color="00000A"/>
            </w:tcBorders>
          </w:tcPr>
          <w:p>
            <w:pPr>
              <w:spacing w:after="0"/>
              <w:rPr>
                <w:sz w:val="18"/>
                <w:szCs w:val="18"/>
                <w:color w:val="auto"/>
              </w:rPr>
            </w:pPr>
          </w:p>
        </w:tc>
        <w:tc>
          <w:tcPr>
            <w:tcW w:w="2580" w:type="dxa"/>
            <w:vAlign w:val="bottom"/>
            <w:tcBorders>
              <w:right w:val="single" w:sz="8" w:color="00000A"/>
            </w:tcBorders>
          </w:tcPr>
          <w:p>
            <w:pPr>
              <w:spacing w:after="0"/>
              <w:rPr>
                <w:sz w:val="18"/>
                <w:szCs w:val="18"/>
                <w:color w:val="auto"/>
              </w:rPr>
            </w:pPr>
          </w:p>
        </w:tc>
        <w:tc>
          <w:tcPr>
            <w:tcW w:w="18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9"/>
              </w:rPr>
              <w:t>Average Benchmark</w:t>
            </w:r>
          </w:p>
        </w:tc>
        <w:tc>
          <w:tcPr>
            <w:tcW w:w="18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Realized</w:t>
            </w:r>
          </w:p>
        </w:tc>
      </w:tr>
      <w:tr>
        <w:trPr>
          <w:trHeight w:val="216"/>
        </w:trPr>
        <w:tc>
          <w:tcPr>
            <w:tcW w:w="210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0"/>
                <w:szCs w:val="20"/>
                <w:color w:val="auto"/>
              </w:rPr>
              <w:t>Geographic</w:t>
            </w:r>
          </w:p>
        </w:tc>
        <w:tc>
          <w:tcPr>
            <w:tcW w:w="2000" w:type="dxa"/>
            <w:vAlign w:val="bottom"/>
            <w:tcBorders>
              <w:right w:val="single" w:sz="8" w:color="00000A"/>
            </w:tcBorders>
          </w:tcPr>
          <w:p>
            <w:pPr>
              <w:spacing w:after="0"/>
              <w:rPr>
                <w:sz w:val="18"/>
                <w:szCs w:val="18"/>
                <w:color w:val="auto"/>
              </w:rPr>
            </w:pPr>
          </w:p>
        </w:tc>
        <w:tc>
          <w:tcPr>
            <w:tcW w:w="25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18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Prices</w:t>
            </w:r>
          </w:p>
        </w:tc>
        <w:tc>
          <w:tcPr>
            <w:tcW w:w="18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7"/>
              </w:rPr>
              <w:t>Prices</w:t>
            </w:r>
          </w:p>
        </w:tc>
      </w:tr>
      <w:tr>
        <w:trPr>
          <w:trHeight w:val="242"/>
        </w:trPr>
        <w:tc>
          <w:tcPr>
            <w:tcW w:w="21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Area</w:t>
            </w:r>
          </w:p>
        </w:tc>
        <w:tc>
          <w:tcPr>
            <w:tcW w:w="2000" w:type="dxa"/>
            <w:vAlign w:val="bottom"/>
            <w:tcBorders>
              <w:bottom w:val="single" w:sz="8" w:color="00000A"/>
              <w:right w:val="single" w:sz="8" w:color="00000A"/>
            </w:tcBorders>
          </w:tcPr>
          <w:p>
            <w:pPr>
              <w:ind w:left="640"/>
              <w:spacing w:after="0"/>
              <w:rPr>
                <w:sz w:val="20"/>
                <w:szCs w:val="20"/>
                <w:color w:val="auto"/>
              </w:rPr>
            </w:pPr>
            <w:r>
              <w:rPr>
                <w:rFonts w:ascii="Arial" w:cs="Arial" w:eastAsia="Arial" w:hAnsi="Arial"/>
                <w:sz w:val="20"/>
                <w:szCs w:val="20"/>
                <w:color w:val="auto"/>
              </w:rPr>
              <w:t>Product</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Reference</w:t>
            </w:r>
          </w:p>
        </w:tc>
        <w:tc>
          <w:tcPr>
            <w:tcW w:w="1860" w:type="dxa"/>
            <w:vAlign w:val="bottom"/>
            <w:tcBorders>
              <w:bottom w:val="single" w:sz="8" w:color="00000A"/>
              <w:right w:val="single" w:sz="8" w:color="00000A"/>
            </w:tcBorders>
          </w:tcPr>
          <w:p>
            <w:pPr>
              <w:spacing w:after="0"/>
              <w:rPr>
                <w:sz w:val="21"/>
                <w:szCs w:val="21"/>
                <w:color w:val="auto"/>
              </w:rPr>
            </w:pPr>
          </w:p>
        </w:tc>
        <w:tc>
          <w:tcPr>
            <w:tcW w:w="1880" w:type="dxa"/>
            <w:vAlign w:val="bottom"/>
            <w:tcBorders>
              <w:bottom w:val="single" w:sz="8" w:color="00000A"/>
              <w:right w:val="single" w:sz="8" w:color="00000A"/>
            </w:tcBorders>
          </w:tcPr>
          <w:p>
            <w:pPr>
              <w:spacing w:after="0"/>
              <w:rPr>
                <w:sz w:val="21"/>
                <w:szCs w:val="21"/>
                <w:color w:val="auto"/>
              </w:rPr>
            </w:pPr>
          </w:p>
        </w:tc>
      </w:tr>
      <w:tr>
        <w:trPr>
          <w:trHeight w:val="264"/>
        </w:trPr>
        <w:tc>
          <w:tcPr>
            <w:tcW w:w="21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2000" w:type="dxa"/>
            <w:vAlign w:val="bottom"/>
            <w:tcBorders>
              <w:bottom w:val="single" w:sz="8" w:color="00000A"/>
              <w:right w:val="single" w:sz="8" w:color="00000A"/>
            </w:tcBorders>
          </w:tcPr>
          <w:p>
            <w:pPr>
              <w:spacing w:after="0"/>
              <w:rPr>
                <w:sz w:val="22"/>
                <w:szCs w:val="22"/>
                <w:color w:val="auto"/>
              </w:rPr>
            </w:pPr>
          </w:p>
        </w:tc>
        <w:tc>
          <w:tcPr>
            <w:tcW w:w="2580" w:type="dxa"/>
            <w:vAlign w:val="bottom"/>
            <w:tcBorders>
              <w:bottom w:val="single" w:sz="8" w:color="00000A"/>
              <w:right w:val="single" w:sz="8" w:color="00000A"/>
            </w:tcBorders>
          </w:tcPr>
          <w:p>
            <w:pPr>
              <w:spacing w:after="0"/>
              <w:rPr>
                <w:sz w:val="22"/>
                <w:szCs w:val="22"/>
                <w:color w:val="auto"/>
              </w:rPr>
            </w:pPr>
          </w:p>
        </w:tc>
        <w:tc>
          <w:tcPr>
            <w:tcW w:w="1860" w:type="dxa"/>
            <w:vAlign w:val="bottom"/>
            <w:tcBorders>
              <w:bottom w:val="single" w:sz="8" w:color="00000A"/>
              <w:right w:val="single" w:sz="8" w:color="00000A"/>
            </w:tcBorders>
          </w:tcPr>
          <w:p>
            <w:pPr>
              <w:spacing w:after="0"/>
              <w:rPr>
                <w:sz w:val="22"/>
                <w:szCs w:val="22"/>
                <w:color w:val="auto"/>
              </w:rPr>
            </w:pPr>
          </w:p>
        </w:tc>
        <w:tc>
          <w:tcPr>
            <w:tcW w:w="1880" w:type="dxa"/>
            <w:vAlign w:val="bottom"/>
            <w:tcBorders>
              <w:bottom w:val="single" w:sz="8" w:color="00000A"/>
              <w:right w:val="single" w:sz="8" w:color="00000A"/>
            </w:tcBorders>
          </w:tcPr>
          <w:p>
            <w:pPr>
              <w:spacing w:after="0"/>
              <w:rPr>
                <w:sz w:val="22"/>
                <w:szCs w:val="22"/>
                <w:color w:val="auto"/>
              </w:rPr>
            </w:pPr>
          </w:p>
        </w:tc>
      </w:tr>
      <w:tr>
        <w:trPr>
          <w:trHeight w:val="264"/>
        </w:trPr>
        <w:tc>
          <w:tcPr>
            <w:tcW w:w="2100" w:type="dxa"/>
            <w:vAlign w:val="bottom"/>
            <w:tcBorders>
              <w:left w:val="single" w:sz="8" w:color="00000A"/>
              <w:right w:val="single" w:sz="8" w:color="00000A"/>
            </w:tcBorders>
          </w:tcPr>
          <w:p>
            <w:pPr>
              <w:spacing w:after="0"/>
              <w:rPr>
                <w:sz w:val="22"/>
                <w:szCs w:val="22"/>
                <w:color w:val="auto"/>
              </w:rPr>
            </w:pPr>
          </w:p>
        </w:tc>
        <w:tc>
          <w:tcPr>
            <w:tcW w:w="20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$51.34/Bbl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$48.21/Bbl</w:t>
            </w:r>
          </w:p>
        </w:tc>
      </w:tr>
      <w:tr>
        <w:trPr>
          <w:trHeight w:val="264"/>
        </w:trPr>
        <w:tc>
          <w:tcPr>
            <w:tcW w:w="21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20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Propane, Mt. Belvieu</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$31.82/Bbl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$19.15/Bbl</w:t>
            </w:r>
          </w:p>
        </w:tc>
      </w:tr>
      <w:tr>
        <w:trPr>
          <w:trHeight w:val="264"/>
        </w:trPr>
        <w:tc>
          <w:tcPr>
            <w:tcW w:w="2100" w:type="dxa"/>
            <w:vAlign w:val="bottom"/>
            <w:tcBorders>
              <w:left w:val="single" w:sz="8" w:color="00000A"/>
              <w:bottom w:val="single" w:sz="8" w:color="00000A"/>
              <w:right w:val="single" w:sz="8" w:color="00000A"/>
            </w:tcBorders>
          </w:tcPr>
          <w:p>
            <w:pPr>
              <w:spacing w:after="0"/>
              <w:rPr>
                <w:sz w:val="22"/>
                <w:szCs w:val="22"/>
                <w:color w:val="auto"/>
              </w:rPr>
            </w:pPr>
          </w:p>
        </w:tc>
        <w:tc>
          <w:tcPr>
            <w:tcW w:w="20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1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$2.98/MMBTU</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$2.13/MCF</w:t>
            </w:r>
          </w:p>
        </w:tc>
      </w:tr>
    </w:tbl>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undeveloped reserves in this report have been incorporated herein in accordance with Diamondback's plans to develop these reserves as of December 31, 2017.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Additionally, Diamondback has informed us that they are not aware of any legal, regulatory, or political obstacles that would significantly alter their plans. While these plans could change from those under existing economic conditions as of December 31, 2017, such changes were, in accordance with rules adopted by the SEC, omitted from consideration in making this evaluation.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69" w:name="page170"/>
    <w:bookmarkEnd w:id="169"/>
    <w:p>
      <w:pPr>
        <w:jc w:val="both"/>
        <w:ind w:firstLine="648"/>
        <w:spacing w:after="0" w:line="242"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Viper and Diamondback. Neither we nor any of our employees have any financial interest in the subject properties and neither the employment to do this work nor the compensation is contingent on our estimates of reserves for the properties which were reviewed.</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2017 annual report on Form 10-K of Viper. Our written consent for such use is included as a separate exhibit to the filings made with the SEC by Viper</w:t>
      </w:r>
      <w:r>
        <w:rPr>
          <w:rFonts w:ascii="Arial" w:cs="Arial" w:eastAsia="Arial" w:hAnsi="Arial"/>
          <w:sz w:val="20"/>
          <w:szCs w:val="20"/>
          <w:color w:val="606060"/>
        </w:rPr>
        <w: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0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192"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\s\ Val Rick Robinson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Val Rick Robinson, P.E.</w:t>
      </w:r>
    </w:p>
    <w:p>
      <w:pPr>
        <w:ind w:left="4540"/>
        <w:spacing w:after="0"/>
        <w:rPr>
          <w:sz w:val="20"/>
          <w:szCs w:val="20"/>
          <w:color w:val="auto"/>
        </w:rPr>
      </w:pPr>
      <w:r>
        <w:rPr>
          <w:rFonts w:ascii="Arial" w:cs="Arial" w:eastAsia="Arial" w:hAnsi="Arial"/>
          <w:sz w:val="20"/>
          <w:szCs w:val="20"/>
          <w:color w:val="auto"/>
        </w:rPr>
        <w:t>TBPE License No. 105137</w:t>
      </w:r>
    </w:p>
    <w:p>
      <w:pPr>
        <w:ind w:left="5200"/>
        <w:spacing w:after="0"/>
        <w:rPr>
          <w:sz w:val="20"/>
          <w:szCs w:val="20"/>
          <w:color w:val="auto"/>
        </w:rPr>
      </w:pPr>
      <w:r>
        <w:rPr>
          <w:rFonts w:ascii="Arial" w:cs="Arial" w:eastAsia="Arial" w:hAnsi="Arial"/>
          <w:sz w:val="20"/>
          <w:szCs w:val="20"/>
          <w:color w:val="auto"/>
        </w:rPr>
        <w:t>Managing Senior 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VRR (DPR)/pl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95"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t>
      </w:r>
      <w:r>
        <w:rPr>
          <w:rFonts w:ascii="Arial" w:cs="Arial" w:eastAsia="Arial" w:hAnsi="Arial"/>
          <w:sz w:val="20"/>
          <w:szCs w:val="20"/>
          <w:u w:val="single" w:color="auto"/>
          <w:color w:val="0000FF"/>
        </w:rPr>
        <w:t>www.ryderscott.com</w:t>
      </w:r>
      <w:r>
        <w:rPr>
          <w:rFonts w:ascii="Arial" w:cs="Arial" w:eastAsia="Arial" w:hAnsi="Arial"/>
          <w:sz w:val="20"/>
          <w:szCs w:val="20"/>
          <w:color w:val="auto"/>
        </w:rPr>
        <w:t>.</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2017 continuing education hours, Mr. Robinson attended 28 hours of formalized training including the 2017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14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85"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9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172" w:name="page173"/>
    <w:bookmarkEnd w:id="172"/>
    <w:p>
      <w:pPr>
        <w:jc w:val="both"/>
        <w:spacing w:after="0" w:line="247" w:lineRule="auto"/>
        <w:rPr>
          <w:sz w:val="20"/>
          <w:szCs w:val="20"/>
          <w:color w:val="auto"/>
        </w:rPr>
      </w:pPr>
      <w:r>
        <w:rPr>
          <w:rFonts w:ascii="Arial" w:cs="Arial" w:eastAsia="Arial" w:hAnsi="Arial"/>
          <w:sz w:val="20"/>
          <w:szCs w:val="20"/>
          <w:color w:val="auto"/>
        </w:rPr>
        <w:t>centered gas, shale gas, gas hydrates, natural bitumen and oil shale deposits. These unconventional accumulations may require specialized extraction technology and/or significant processing prior to sale.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3"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5" w:lineRule="exact"/>
        <w:rPr>
          <w:rFonts w:ascii="Arial" w:cs="Arial" w:eastAsia="Arial" w:hAnsi="Arial"/>
          <w:sz w:val="20"/>
          <w:szCs w:val="20"/>
          <w:i w:val="1"/>
          <w:iCs w:val="1"/>
          <w:color w:val="auto"/>
        </w:rPr>
      </w:pPr>
    </w:p>
    <w:p>
      <w:pPr>
        <w:ind w:left="1620" w:hanging="315"/>
        <w:spacing w:after="0"/>
        <w:tabs>
          <w:tab w:leader="none" w:pos="1620" w:val="left"/>
        </w:tabs>
        <w:numPr>
          <w:ilvl w:val="1"/>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5" w:lineRule="exact"/>
        <w:rPr>
          <w:rFonts w:ascii="Arial" w:cs="Arial" w:eastAsia="Arial" w:hAnsi="Arial"/>
          <w:sz w:val="20"/>
          <w:szCs w:val="20"/>
          <w:i w:val="1"/>
          <w:iCs w:val="1"/>
          <w:color w:val="auto"/>
        </w:rPr>
      </w:pPr>
    </w:p>
    <w:p>
      <w:pPr>
        <w:ind w:left="1300" w:firstLine="5"/>
        <w:spacing w:after="0" w:line="267" w:lineRule="auto"/>
        <w:tabs>
          <w:tab w:leader="none" w:pos="1628" w:val="left"/>
        </w:tabs>
        <w:numPr>
          <w:ilvl w:val="1"/>
          <w:numId w:val="49"/>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79" w:right="23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b w:val="1"/>
          <w:bCs w:val="1"/>
          <w:u w:val="single" w:color="auto"/>
          <w:color w:val="auto"/>
        </w:rPr>
        <w:t>PROVED RESERVES (SEC DEFINITIONS) CONTINUED</w:t>
      </w:r>
    </w:p>
    <w:p>
      <w:pPr>
        <w:spacing w:after="0" w:line="220" w:lineRule="exact"/>
        <w:rPr>
          <w:sz w:val="20"/>
          <w:szCs w:val="20"/>
          <w:color w:val="auto"/>
        </w:rPr>
      </w:pPr>
    </w:p>
    <w:p>
      <w:pPr>
        <w:jc w:val="both"/>
        <w:ind w:left="660" w:hanging="4"/>
        <w:spacing w:after="0" w:line="253" w:lineRule="auto"/>
        <w:tabs>
          <w:tab w:leader="none" w:pos="943" w:val="left"/>
        </w:tabs>
        <w:numPr>
          <w:ilvl w:val="0"/>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77" w:lineRule="exact"/>
        <w:rPr>
          <w:rFonts w:ascii="Arial" w:cs="Arial" w:eastAsia="Arial" w:hAnsi="Arial"/>
          <w:sz w:val="20"/>
          <w:szCs w:val="20"/>
          <w:i w:val="1"/>
          <w:iCs w:val="1"/>
          <w:color w:val="auto"/>
        </w:rPr>
      </w:pPr>
    </w:p>
    <w:p>
      <w:pPr>
        <w:jc w:val="both"/>
        <w:ind w:left="660" w:hanging="4"/>
        <w:spacing w:after="0" w:line="249" w:lineRule="auto"/>
        <w:tabs>
          <w:tab w:leader="none" w:pos="1005" w:val="left"/>
        </w:tabs>
        <w:numPr>
          <w:ilvl w:val="0"/>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80"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86"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63"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50"/>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RESOURCES MANAGEMENT SYSTEM (SPE-PRMS)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Sponsored and Approved by: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SOCIETY OF PETROLEUM ENGINEERS (SPE)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PETROLEUM COUNCIL (WPC)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200" w:lineRule="exact"/>
        <w:rPr>
          <w:sz w:val="20"/>
          <w:szCs w:val="20"/>
          <w:color w:val="auto"/>
        </w:rPr>
      </w:pPr>
    </w:p>
    <w:p>
      <w:pPr>
        <w:spacing w:after="0" w:line="342" w:lineRule="exact"/>
        <w:rPr>
          <w:sz w:val="20"/>
          <w:szCs w:val="20"/>
          <w:color w:val="auto"/>
        </w:rPr>
      </w:pPr>
    </w:p>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16" w:lineRule="exact"/>
        <w:rPr>
          <w:sz w:val="20"/>
          <w:szCs w:val="20"/>
          <w:color w:val="auto"/>
        </w:rPr>
      </w:pPr>
    </w:p>
    <w:p>
      <w:pPr>
        <w:ind w:left="1300" w:firstLine="5"/>
        <w:spacing w:after="0" w:line="267" w:lineRule="auto"/>
        <w:tabs>
          <w:tab w:leader="none" w:pos="1569" w:val="left"/>
        </w:tabs>
        <w:numPr>
          <w:ilvl w:val="0"/>
          <w:numId w:val="51"/>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63"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51"/>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to be recovered from completion intervals that are open and producing at the time of the estimate.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585" w:right="239" w:bottom="1440" w:gutter="0" w:footer="0" w:header="0"/>
        </w:sectPr>
      </w:pPr>
    </w:p>
    <w:bookmarkStart w:id="175" w:name="page176"/>
    <w:bookmarkEnd w:id="175"/>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20"/>
          <w:szCs w:val="20"/>
          <w:i w:val="1"/>
          <w:iCs w:val="1"/>
          <w:color w:val="auto"/>
        </w:rPr>
        <w:t>completion intervals which are open at the time of the estimate, but which have not started producing;</w:t>
      </w: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20"/>
          <w:szCs w:val="20"/>
          <w:i w:val="1"/>
          <w:iCs w:val="1"/>
          <w:color w:val="auto"/>
        </w:rPr>
        <w:t>wells not capable of production for mechanical reasons.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which will require additional completion work or future re-completion prior to start of production.</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2"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64" w:lineRule="exact"/>
        <w:rPr>
          <w:sz w:val="20"/>
          <w:szCs w:val="20"/>
          <w:color w:val="auto"/>
        </w:rPr>
      </w:pPr>
    </w:p>
    <w:p>
      <w:pPr>
        <w:jc w:val="both"/>
        <w:ind w:left="1960" w:hanging="682"/>
        <w:spacing w:after="0" w:line="253"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7" w:lineRule="exact"/>
        <w:rPr>
          <w:rFonts w:ascii="Arial" w:cs="Arial" w:eastAsia="Arial" w:hAnsi="Arial"/>
          <w:sz w:val="18"/>
          <w:szCs w:val="18"/>
          <w:color w:val="auto"/>
        </w:rPr>
      </w:pPr>
    </w:p>
    <w:p>
      <w:pPr>
        <w:jc w:val="both"/>
        <w:ind w:left="1300" w:firstLine="5"/>
        <w:spacing w:after="0" w:line="253" w:lineRule="auto"/>
        <w:tabs>
          <w:tab w:leader="none" w:pos="1610" w:val="left"/>
        </w:tabs>
        <w:numPr>
          <w:ilvl w:val="1"/>
          <w:numId w:val="53"/>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7"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1"/>
          <w:numId w:val="53"/>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lowerRoman"/>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lowerLetter"/>
      <w:start w:val="2"/>
    </w:lvl>
  </w:abstractNum>
  <w:abstractNum w:abstractNumId="29">
    <w:nsid w:val="3855585C"/>
    <w:multiLevelType w:val="hybridMultilevel"/>
    <w:lvl w:ilvl="0">
      <w:lvlJc w:val="left"/>
      <w:lvlText w:val="(%1)"/>
      <w:numFmt w:val="lowerLetter"/>
      <w:start w:val="2"/>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5"/>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lvl w:ilvl="1">
      <w:lvlJc w:val="left"/>
      <w:lvlText w:val="(%2)"/>
      <w:numFmt w:val="lowerLetter"/>
      <w:start w:val="1"/>
    </w:lvl>
  </w:abstractNum>
  <w:abstractNum w:abstractNumId="40">
    <w:nsid w:val="6DE91B18"/>
    <w:multiLevelType w:val="hybridMultilevel"/>
    <w:lvl w:ilvl="0">
      <w:lvlJc w:val="left"/>
      <w:lvlText w:val="%1."/>
      <w:numFmt w:val="decimal"/>
      <w:start w:val="1"/>
    </w:lvl>
    <w:lvl w:ilvl="1">
      <w:lvlJc w:val="left"/>
      <w:lvlText w:val="(%2)"/>
      <w:numFmt w:val="lowerLetter"/>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lowerRoman"/>
      <w:start w:val="1"/>
    </w:lvl>
    <w:lvl w:ilvl="1">
      <w:lvlJc w:val="left"/>
      <w:lvlText w:val="(%2)"/>
      <w:numFmt w:val="upperLetter"/>
      <w:start w:val="1"/>
    </w:lvl>
  </w:abstractNum>
  <w:abstractNum w:abstractNumId="44">
    <w:nsid w:val="684A481A"/>
    <w:multiLevelType w:val="hybridMultilevel"/>
    <w:lvl w:ilvl="0">
      <w:lvlJc w:val="left"/>
      <w:lvlText w:val="(%1)"/>
      <w:numFmt w:val="lowerRoman"/>
      <w:start w:val="2"/>
    </w:lvl>
    <w:lvl w:ilvl="1">
      <w:lvlJc w:val="left"/>
      <w:lvlText w:val="(%2)"/>
      <w:numFmt w:val="upperLetter"/>
      <w:start w:val="1"/>
    </w:lvl>
  </w:abstractNum>
  <w:abstractNum w:abstractNumId="45">
    <w:nsid w:val="579478FE"/>
    <w:multiLevelType w:val="hybridMultilevel"/>
    <w:lvl w:ilvl="0">
      <w:lvlJc w:val="left"/>
      <w:lvlText w:val="(%1)"/>
      <w:numFmt w:val="lowerRoman"/>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lowerRoman"/>
      <w:start w:val="1"/>
    </w:lvl>
    <w:lvl w:ilvl="1">
      <w:lvlJc w:val="left"/>
      <w:lvlText w:val="(%2)"/>
      <w:numFmt w:val="lowerRoman"/>
      <w:start w:val="2"/>
    </w:lvl>
  </w:abstractNum>
  <w:abstractNum w:abstractNumId="48">
    <w:nsid w:val="1BA026FA"/>
    <w:multiLevelType w:val="hybridMultilevel"/>
    <w:lvl w:ilvl="0">
      <w:lvlJc w:val="left"/>
      <w:lvlText w:val="(%1)"/>
      <w:numFmt w:val="lowerRoman"/>
      <w:start w:val="1"/>
    </w:lvl>
    <w:lvl w:ilvl="1">
      <w:lvlJc w:val="left"/>
      <w:lvlText w:val="(%2)"/>
      <w:numFmt w:val="upperLetter"/>
      <w:start w:val="1"/>
    </w:lvl>
  </w:abstractNum>
  <w:abstractNum w:abstractNumId="49">
    <w:nsid w:val="79A1DEAA"/>
    <w:multiLevelType w:val="hybridMultilevel"/>
    <w:lvl w:ilvl="0">
      <w:lvlJc w:val="left"/>
      <w:lvlText w:val="(%1)"/>
      <w:numFmt w:val="lowerRoman"/>
      <w:start w:val="2"/>
    </w:lvl>
    <w:lvl w:ilvl="1">
      <w:lvlJc w:val="left"/>
      <w:lvlText w:val="(%2)"/>
      <w:numFmt w:val="upperLetter"/>
      <w:start w:val="1"/>
    </w:lvl>
  </w:abstractNum>
  <w:abstractNum w:abstractNumId="50">
    <w:nsid w:val="75C6C33A"/>
    <w:multiLevelType w:val="hybridMultilevel"/>
    <w:lvl w:ilvl="0">
      <w:lvlJc w:val="left"/>
      <w:lvlText w:val="(%1)"/>
      <w:numFmt w:val="lowerRoman"/>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92" Type="http://schemas.openxmlformats.org/officeDocument/2006/relationships/image" Target="media/image16.png"/><Relationship Id="rId93" Type="http://schemas.openxmlformats.org/officeDocument/2006/relationships/image" Target="media/image17.png"/><Relationship Id="rId94" Type="http://schemas.openxmlformats.org/officeDocument/2006/relationships/image" Target="media/image18.png"/><Relationship Id="rId95" Type="http://schemas.openxmlformats.org/officeDocument/2006/relationships/image" Target="media/image19.png"/><Relationship Id="rId96" Type="http://schemas.openxmlformats.org/officeDocument/2006/relationships/image" Target="media/image20.png"/><Relationship Id="rId97" Type="http://schemas.openxmlformats.org/officeDocument/2006/relationships/image" Target="media/image21.png"/><Relationship Id="rId98" Type="http://schemas.openxmlformats.org/officeDocument/2006/relationships/image" Target="media/image22.png"/><Relationship Id="rId99" Type="http://schemas.openxmlformats.org/officeDocument/2006/relationships/image" Target="media/image23.png"/><Relationship Id="rId100" Type="http://schemas.openxmlformats.org/officeDocument/2006/relationships/image" Target="media/image24.png"/><Relationship Id="rId101" Type="http://schemas.openxmlformats.org/officeDocument/2006/relationships/image" Target="media/image25.png"/><Relationship Id="rId102" Type="http://schemas.openxmlformats.org/officeDocument/2006/relationships/image" Target="media/image26.png"/><Relationship Id="rId103" Type="http://schemas.openxmlformats.org/officeDocument/2006/relationships/image" Target="media/image27.png"/><Relationship Id="rId104" Type="http://schemas.openxmlformats.org/officeDocument/2006/relationships/image" Target="media/image28.png"/><Relationship Id="rId105" Type="http://schemas.openxmlformats.org/officeDocument/2006/relationships/image" Target="media/image29.png"/><Relationship Id="rId23" Type="http://schemas.openxmlformats.org/officeDocument/2006/relationships/hyperlink" Target="http://www.sec.gov/Archives/edgar/data/1539838/000119312514056306/d679610dex21.htm" TargetMode="External"/><Relationship Id="rId24" Type="http://schemas.openxmlformats.org/officeDocument/2006/relationships/hyperlink" Target="http://www.sec.gov/Archives/edgar/data/1539838/000119312514056306/d679610dex22.htm" TargetMode="External"/><Relationship Id="rId25" Type="http://schemas.openxmlformats.org/officeDocument/2006/relationships/hyperlink" Target="http://www.sec.gov/Archives/edgar/data/1539838/000153983814000070/ex2_1purchaseandsaleagreem.htm" TargetMode="External"/><Relationship Id="rId26" Type="http://schemas.openxmlformats.org/officeDocument/2006/relationships/hyperlink" Target="http://www.sec.gov/Archives/edgar/data/1539838/000119312516793063/d265514dex21.htm" TargetMode="External"/><Relationship Id="rId27" Type="http://schemas.openxmlformats.org/officeDocument/2006/relationships/hyperlink" Target="http://www.sec.gov/Archives/edgar/data/1539838/000153983812000004/exhibit31amendcertofincorp.htm" TargetMode="External"/><Relationship Id="rId28" Type="http://schemas.openxmlformats.org/officeDocument/2006/relationships/hyperlink" Target="http://www.sec.gov/Archives/edgar/data/1539838/000153983816000266/diamondbackex31-12x12x16.htm" TargetMode="External"/><Relationship Id="rId29" Type="http://schemas.openxmlformats.org/officeDocument/2006/relationships/hyperlink" Target="http://www.sec.gov/Archives/edgar/data/1539838/000153983812000004/exhibit32amendandrestatedb.htm" TargetMode="External"/><Relationship Id="rId30" Type="http://schemas.openxmlformats.org/officeDocument/2006/relationships/hyperlink" Target="http://www.sec.gov/Archives/edgar/data/1539838/000119312512360997/d295327dex41.htm" TargetMode="External"/><Relationship Id="rId31" Type="http://schemas.openxmlformats.org/officeDocument/2006/relationships/hyperlink" Target="http://www.sec.gov/Archives/edgar/data/1539838/000153983812000004/exhibit-registrationrights.htm" TargetMode="External"/><Relationship Id="rId32" Type="http://schemas.openxmlformats.org/officeDocument/2006/relationships/hyperlink" Target="http://www.sec.gov/Archives/edgar/data/1539838/000153983816000247/diamondbackex41-11x2x16.htm" TargetMode="External"/><Relationship Id="rId33" Type="http://schemas.openxmlformats.org/officeDocument/2006/relationships/hyperlink" Target="http://www.sec.gov/Archives/edgar/data/1539838/000153983816000272/diamondbackex41-12x21x16.htm" TargetMode="External"/><Relationship Id="rId34" Type="http://schemas.openxmlformats.org/officeDocument/2006/relationships/hyperlink" Target="http://www.sec.gov/Archives/edgar/data/1539838/000153983818000006/diamondbackex43-1x30x18.htm" TargetMode="External"/><Relationship Id="rId35" Type="http://schemas.openxmlformats.org/officeDocument/2006/relationships/hyperlink" Target="http://www.sec.gov/Archives/edgar/data/1539838/000153983818000006/diamondbackex41-1x30x18.htm" TargetMode="External"/><Relationship Id="rId36" Type="http://schemas.openxmlformats.org/officeDocument/2006/relationships/hyperlink" Target="http://www.sec.gov/Archives/edgar/data/1539838/000153983817000040/diamondbackex41-3x6x17.htm" TargetMode="External"/><Relationship Id="rId37" Type="http://schemas.openxmlformats.org/officeDocument/2006/relationships/hyperlink" Target="http://www.sec.gov/Archives/edgar/data/1539838/000153983816000181/a2016additionalproxymateri.htm" TargetMode="External"/><Relationship Id="rId38" Type="http://schemas.openxmlformats.org/officeDocument/2006/relationships/hyperlink" Target="http://www.sec.gov/Archives/edgar/data/1539838/000119312512360997/d295327dex1013.htm" TargetMode="External"/><Relationship Id="rId39" Type="http://schemas.openxmlformats.org/officeDocument/2006/relationships/hyperlink" Target="http://www.sec.gov/Archives/edgar/data/1539838/000119312512360997/d295327dex1014.htm" TargetMode="External"/><Relationship Id="rId40" Type="http://schemas.openxmlformats.org/officeDocument/2006/relationships/hyperlink" Target="http://www.sec.gov/Archives/edgar/data/1539838/000119312512360997/d295327dex1015.htm" TargetMode="External"/><Relationship Id="rId41" Type="http://schemas.openxmlformats.org/officeDocument/2006/relationships/hyperlink" Target="http://www.sec.gov/Archives/edgar/data/1539838/000153983812000004/exhibit-advisoryservicesag.htm" TargetMode="External"/><Relationship Id="rId42" Type="http://schemas.openxmlformats.org/officeDocument/2006/relationships/hyperlink" Target="http://www.sec.gov/Archives/edgar/data/1539838/000153983812000004/exhibit-mergeragreement.htm" TargetMode="External"/><Relationship Id="rId43" Type="http://schemas.openxmlformats.org/officeDocument/2006/relationships/hyperlink" Target="http://www.sec.gov/Archives/edgar/data/1539838/000153983814000054/ex10_2depllctravisstice201.htm" TargetMode="External"/><Relationship Id="rId44" Type="http://schemas.openxmlformats.org/officeDocument/2006/relationships/hyperlink" Target="http://www.sec.gov/Archives/edgar/data/1539838/000153983814000018/ex10_3diamondbackepllcempl.htm" TargetMode="External"/><Relationship Id="rId45" Type="http://schemas.openxmlformats.org/officeDocument/2006/relationships/hyperlink" Target="http://www.sec.gov/Archives/edgar/data/1539838/000153983814000018/ex10_4diamondbackepllcmich.htm" TargetMode="External"/><Relationship Id="rId46" Type="http://schemas.openxmlformats.org/officeDocument/2006/relationships/hyperlink" Target="http://www.sec.gov/Archives/edgar/data/1539838/000153983814000018/ex10_5diamondbackepllcjeff.htm" TargetMode="External"/><Relationship Id="rId47" Type="http://schemas.openxmlformats.org/officeDocument/2006/relationships/hyperlink" Target="http://www.sec.gov/Archives/edgar/data/1539838/000153983814000054/ex10_6depllcrussellpanterm.htm" TargetMode="External"/><Relationship Id="rId48" Type="http://schemas.openxmlformats.org/officeDocument/2006/relationships/hyperlink" Target="http://www.sec.gov/Archives/edgar/data/1539838/000153983814000043/ex10_1diamondback2014ex.htm" TargetMode="External"/><Relationship Id="rId49" Type="http://schemas.openxmlformats.org/officeDocument/2006/relationships/hyperlink" Target="http://www.sec.gov/Archives/edgar/data/1539838/000153983814000018/ex10_1db2014awardstimebase.htm" TargetMode="External"/><Relationship Id="rId50" Type="http://schemas.openxmlformats.org/officeDocument/2006/relationships/hyperlink" Target="http://www.sec.gov/Archives/edgar/data/1539838/000153983814000018/ex10_2db2014tsrperformance.htm" TargetMode="External"/><Relationship Id="rId51" Type="http://schemas.openxmlformats.org/officeDocument/2006/relationships/hyperlink" Target="http://www.sec.gov/Archives/edgar/data/1539838/000119312512265603/d295327dex107.htm" TargetMode="External"/><Relationship Id="rId52" Type="http://schemas.openxmlformats.org/officeDocument/2006/relationships/hyperlink" Target="http://www.sec.gov/Archives/edgar/data/1539838/000119312512215732/d295327dex108.htm" TargetMode="External"/><Relationship Id="rId53" Type="http://schemas.openxmlformats.org/officeDocument/2006/relationships/hyperlink" Target="http://www.sec.gov/Archives/edgar/data/1539838/000119312512215732/d295327dex109.htm" TargetMode="External"/><Relationship Id="rId54" Type="http://schemas.openxmlformats.org/officeDocument/2006/relationships/hyperlink" Target="http://www.sec.gov/Archives/edgar/data/1539838/000119312512215732/d295327dex1010.htm" TargetMode="External"/><Relationship Id="rId55" Type="http://schemas.openxmlformats.org/officeDocument/2006/relationships/hyperlink" Target="http://www.sec.gov/Archives/edgar/data/1539838/000119312512215732/d295327dex1011.htm" TargetMode="External"/><Relationship Id="rId56" Type="http://schemas.openxmlformats.org/officeDocument/2006/relationships/hyperlink" Target="http://www.sec.gov/Archives/edgar/data/1539838/000119312512412002/d295327dex1036.htm" TargetMode="External"/><Relationship Id="rId57" Type="http://schemas.openxmlformats.org/officeDocument/2006/relationships/hyperlink" Target="http://www.sec.gov/Archives/edgar/data/1539838/000119312512215732/d295327dex1018.htm" TargetMode="External"/><Relationship Id="rId58" Type="http://schemas.openxmlformats.org/officeDocument/2006/relationships/hyperlink" Target="http://www.sec.gov/Archives/edgar/data/1539838/000119312512215732/d295327dex1019.htm" TargetMode="External"/><Relationship Id="rId59" Type="http://schemas.openxmlformats.org/officeDocument/2006/relationships/hyperlink" Target="http://www.sec.gov/Archives/edgar/data/1539838/000119312512215732/d295327dex1020.htm" TargetMode="External"/><Relationship Id="rId60" Type="http://schemas.openxmlformats.org/officeDocument/2006/relationships/hyperlink" Target="http://www.sec.gov/Archives/edgar/data/1539838/000119312512215732/d295327dex1021.htm" TargetMode="External"/><Relationship Id="rId61" Type="http://schemas.openxmlformats.org/officeDocument/2006/relationships/hyperlink" Target="http://www.sec.gov/Archives/edgar/data/1539838/000119312512215732/d295327dex1022.htm" TargetMode="External"/><Relationship Id="rId62" Type="http://schemas.openxmlformats.org/officeDocument/2006/relationships/hyperlink" Target="http://www.sec.gov/Archives/edgar/data/1539838/000119312512360997/d295327dex1026.htm" TargetMode="External"/><Relationship Id="rId63" Type="http://schemas.openxmlformats.org/officeDocument/2006/relationships/hyperlink" Target="http://www.sec.gov/Archives/edgar/data/1539838/000119312513033148/d466231dex101.htm" TargetMode="External"/><Relationship Id="rId64" Type="http://schemas.openxmlformats.org/officeDocument/2006/relationships/hyperlink" Target="http://www.sec.gov/Archives/edgar/data/1539838/000119312513033148/d466231dex102.htm" TargetMode="External"/><Relationship Id="rId65" Type="http://schemas.openxmlformats.org/officeDocument/2006/relationships/hyperlink" Target="http://www.sec.gov/Archives/edgar/data/1539838/000153983813000004/dbex10351stamendmenttomast.htm" TargetMode="External"/><Relationship Id="rId66" Type="http://schemas.openxmlformats.org/officeDocument/2006/relationships/hyperlink" Target="http://www.sec.gov/Archives/edgar/data/1539838/000153983813000013/ex1038-formofamendemnttors.htm" TargetMode="External"/><Relationship Id="rId67" Type="http://schemas.openxmlformats.org/officeDocument/2006/relationships/hyperlink" Target="http://www.sec.gov/Archives/edgar/data/1539838/000153983813000013/ex1039.htm" TargetMode="External"/><Relationship Id="rId68" Type="http://schemas.openxmlformats.org/officeDocument/2006/relationships/hyperlink" Target="http://www.sec.gov/Archives/edgar/data/1539838/000153983813000053/ex10_4leaseamendment7fordi.htm" TargetMode="External"/><Relationship Id="rId69" Type="http://schemas.openxmlformats.org/officeDocument/2006/relationships/hyperlink" Target="http://www.sec.gov/Archives/edgar/data/1539838/000153983813000053/ex10_5leaseamendment8fordi.htm" TargetMode="External"/><Relationship Id="rId70" Type="http://schemas.openxmlformats.org/officeDocument/2006/relationships/hyperlink" Target="http://www.sec.gov/Archives/edgar/data/1539838/000153983813000093/ex10_6leaseamend9.htm" TargetMode="External"/><Relationship Id="rId71" Type="http://schemas.openxmlformats.org/officeDocument/2006/relationships/hyperlink" Target="http://www.sec.gov/Archives/edgar/data/1539838/000153983813000093/ex10_7leaseamendment10.htm" TargetMode="External"/><Relationship Id="rId72" Type="http://schemas.openxmlformats.org/officeDocument/2006/relationships/hyperlink" Target="http://www.sec.gov/Archives/edgar/data/1539838/000153983813000093/ex10_3diamondbacksecondame.htm" TargetMode="External"/><Relationship Id="rId73" Type="http://schemas.openxmlformats.org/officeDocument/2006/relationships/hyperlink" Target="http://www.sec.gov/Archives/edgar/data/1539838/000153983814000081/ex10_4firstamendmenttoseco.htm" TargetMode="External"/><Relationship Id="rId74" Type="http://schemas.openxmlformats.org/officeDocument/2006/relationships/hyperlink" Target="http://www.sec.gov/Archives/edgar/data/1539838/000119312514416704/d822128dex102.htm" TargetMode="External"/><Relationship Id="rId75" Type="http://schemas.openxmlformats.org/officeDocument/2006/relationships/hyperlink" Target="http://www.sec.gov/Archives/edgar/data/1539838/000153983816000195/diamondbackexhibit101-6x27.htm" TargetMode="External"/><Relationship Id="rId76" Type="http://schemas.openxmlformats.org/officeDocument/2006/relationships/hyperlink" Target="http://www.sec.gov/Archives/edgar/data/1539838/000153983816000270/diamondbackex102-12x20x16.htm" TargetMode="External"/><Relationship Id="rId77" Type="http://schemas.openxmlformats.org/officeDocument/2006/relationships/hyperlink" Target="http://www.sec.gov/Archives/edgar/data/1539838/000153983817000135/diamondbackex101-12x4x17.htm" TargetMode="External"/><Relationship Id="rId78" Type="http://schemas.openxmlformats.org/officeDocument/2006/relationships/hyperlink" Target="http://www.sec.gov/Archives/edgar/data/1602065/000160206514000004/ex10_1vipercreditagreement.htm" TargetMode="External"/><Relationship Id="rId79" Type="http://schemas.openxmlformats.org/officeDocument/2006/relationships/hyperlink" Target="http://www.sec.gov/Archives/edgar/data/1602065/000119312514245558/d743920dex101.htm" TargetMode="External"/><Relationship Id="rId80" Type="http://schemas.openxmlformats.org/officeDocument/2006/relationships/hyperlink" Target="http://www.sec.gov/Archives/edgar/data/1539838/000153983815000037/ex101viperfirstamendment81.htm" TargetMode="External"/><Relationship Id="rId81" Type="http://schemas.openxmlformats.org/officeDocument/2006/relationships/hyperlink" Target="http://www.sec.gov/Archives/edgar/data/1539838/000153983815000037/ex102vipersecondamendment5.htm" TargetMode="External"/><Relationship Id="rId82" Type="http://schemas.openxmlformats.org/officeDocument/2006/relationships/hyperlink" Target="http://www.sec.gov/Archives/edgar/data/1602065/000160206516000051/viperexhibit101-6x27x16.htm" TargetMode="External"/><Relationship Id="rId83" Type="http://schemas.openxmlformats.org/officeDocument/2006/relationships/hyperlink" Target="http://www.sec.gov/Archives/edgar/data/1602065/000160206516000071/viperex101-11x3x16.htm" TargetMode="External"/><Relationship Id="rId84" Type="http://schemas.openxmlformats.org/officeDocument/2006/relationships/hyperlink" Target="http://www.sec.gov/Archives/edgar/data/1602065/000160206517000076/viperex101-12x4x17.htm" TargetMode="External"/><Relationship Id="rId85" Type="http://schemas.openxmlformats.org/officeDocument/2006/relationships/hyperlink" Target="http://www.sec.gov/Archives/edgar/data/1539838/000153983815000071/q32015diamondbackex101.htm" TargetMode="External"/><Relationship Id="rId86" Type="http://schemas.openxmlformats.org/officeDocument/2006/relationships/hyperlink" Target="http://www.sec.gov/Archives/edgar/data/1539838/000153983815000071/q32015diamondbackex102.htm" TargetMode="External"/><Relationship Id="rId87" Type="http://schemas.openxmlformats.org/officeDocument/2006/relationships/hyperlink" Target="http://www.sec.gov/Archives/edgar/data/1539838/000153983815000071/q32015diamondbackex103.htm" TargetMode="External"/><Relationship Id="rId88" Type="http://schemas.openxmlformats.org/officeDocument/2006/relationships/hyperlink" Target="http://www.sec.gov/Archives/edgar/data/1539838/000153983815000071/q32015diamondbackex104.htm" TargetMode="External"/><Relationship Id="rId89" Type="http://schemas.openxmlformats.org/officeDocument/2006/relationships/hyperlink" Target="http://www.sec.gov/Archives/edgar/data/1539838/000153983815000071/q32015diamondbackex105.htm" TargetMode="External"/><Relationship Id="rId90" Type="http://schemas.openxmlformats.org/officeDocument/2006/relationships/hyperlink" Target="http://www.sec.gov/Archives/edgar/data/1539838/000153983815000071/q32015diamondbackex106.htm" TargetMode="External"/><Relationship Id="rId91" Type="http://schemas.openxmlformats.org/officeDocument/2006/relationships/hyperlink" Target="http://www.sec.gov/Archives/edgar/data/1539838/000153983815000071/q32015diamondback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2019-12-29T01:48:34Z</dcterms:created>
  <dcterms:modified xsi:type="dcterms:W3CDTF">2019-12-29T01:48:34Z</dcterms:modified>
</cp:coreProperties>
</file>