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ind w:left="6968"/>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File No. 333-268495</w:t>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8" w:right="80"/>
        <w:spacing w:after="0" w:line="246" w:lineRule="auto"/>
        <w:rPr>
          <w:sz w:val="20"/>
          <w:szCs w:val="20"/>
          <w:color w:val="auto"/>
        </w:rPr>
      </w:pPr>
      <w:r>
        <w:rPr>
          <w:rFonts w:ascii="Arial" w:cs="Arial" w:eastAsia="Arial" w:hAnsi="Arial"/>
          <w:sz w:val="18"/>
          <w:szCs w:val="18"/>
          <w:b w:val="1"/>
          <w:bCs w:val="1"/>
          <w:color w:val="FC0014"/>
        </w:rPr>
        <w:t>This preliminary prospectus supplement relates to an effective registration statement under the Securities Act of 1933, as amended, but the information in this preliminary prospectus supplement is not complete and may be changed. This preliminary prospectus supplement and the accompanying prospectus are not an offer to sell the securities described herein and are not soliciting an offer to buy such securities in any jurisdiction where such offer or sale is not permitted.</w:t>
      </w:r>
    </w:p>
    <w:p>
      <w:pPr>
        <w:spacing w:after="0" w:line="16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FC0014"/>
        </w:rPr>
        <w:t>SUBJECT TO COMPLETION, DATED MARCH 6, 2025</w:t>
      </w:r>
    </w:p>
    <w:p>
      <w:pPr>
        <w:spacing w:after="0" w:line="360" w:lineRule="exact"/>
        <w:rPr>
          <w:sz w:val="24"/>
          <w:szCs w:val="24"/>
          <w:color w:val="auto"/>
        </w:rPr>
      </w:pPr>
    </w:p>
    <w:p>
      <w:pPr>
        <w:ind w:left="2828"/>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ind w:left="3248"/>
        <w:spacing w:after="0"/>
        <w:rPr>
          <w:sz w:val="20"/>
          <w:szCs w:val="20"/>
          <w:color w:val="auto"/>
        </w:rPr>
      </w:pPr>
      <w:r>
        <w:rPr>
          <w:rFonts w:ascii="Times New Roman" w:cs="Times New Roman" w:eastAsia="Times New Roman" w:hAnsi="Times New Roman"/>
          <w:sz w:val="18"/>
          <w:szCs w:val="18"/>
          <w:color w:val="auto"/>
        </w:rPr>
        <w:t>(to Prospectus dated November 21, 2022)</w:t>
      </w:r>
    </w:p>
    <w:p>
      <w:pPr>
        <w:spacing w:after="0" w:line="129" w:lineRule="exact"/>
        <w:rPr>
          <w:sz w:val="24"/>
          <w:szCs w:val="24"/>
          <w:color w:val="auto"/>
        </w:rPr>
      </w:pPr>
    </w:p>
    <w:p>
      <w:pPr>
        <w:jc w:val="center"/>
        <w:ind w:right="192"/>
        <w:spacing w:after="0"/>
        <w:rPr>
          <w:sz w:val="20"/>
          <w:szCs w:val="20"/>
          <w:color w:val="auto"/>
        </w:rPr>
      </w:pP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25"/>
          <w:szCs w:val="25"/>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2383155</wp:posOffset>
            </wp:positionH>
            <wp:positionV relativeFrom="paragraph">
              <wp:posOffset>178435</wp:posOffset>
            </wp:positionV>
            <wp:extent cx="127698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98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8"/>
          <w:szCs w:val="18"/>
          <w:b w:val="1"/>
          <w:bCs w:val="1"/>
          <w:color w:val="auto"/>
        </w:rPr>
        <w:t>DIAMONDBACK ENERGY, INC.</w:t>
      </w:r>
    </w:p>
    <w:p>
      <w:pPr>
        <w:spacing w:after="0" w:line="31" w:lineRule="exact"/>
        <w:rPr>
          <w:sz w:val="24"/>
          <w:szCs w:val="24"/>
          <w:color w:val="auto"/>
        </w:rPr>
      </w:pPr>
    </w:p>
    <w:p>
      <w:pPr>
        <w:jc w:val="center"/>
        <w:ind w:right="132"/>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132"/>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 Senior Notes due </w:t>
      </w:r>
      <w:r>
        <w:rPr>
          <w:rFonts w:ascii="Times New Roman" w:cs="Times New Roman" w:eastAsia="Times New Roman" w:hAnsi="Times New Roman"/>
          <w:sz w:val="18"/>
          <w:szCs w:val="18"/>
          <w:color w:val="auto"/>
        </w:rPr>
        <w:t xml:space="preserve">          </w:t>
      </w:r>
    </w:p>
    <w:p>
      <w:pPr>
        <w:spacing w:after="0" w:line="73" w:lineRule="exact"/>
        <w:rPr>
          <w:sz w:val="24"/>
          <w:szCs w:val="24"/>
          <w:color w:val="auto"/>
        </w:rPr>
      </w:pPr>
    </w:p>
    <w:p>
      <w:pPr>
        <w:ind w:left="368"/>
        <w:spacing w:after="0"/>
        <w:rPr>
          <w:sz w:val="20"/>
          <w:szCs w:val="20"/>
          <w:color w:val="auto"/>
        </w:rPr>
      </w:pPr>
      <w:r>
        <w:rPr>
          <w:rFonts w:ascii="Times New Roman" w:cs="Times New Roman" w:eastAsia="Times New Roman" w:hAnsi="Times New Roman"/>
          <w:sz w:val="15"/>
          <w:szCs w:val="15"/>
          <w:color w:val="auto"/>
        </w:rPr>
        <w:t>Diamondback Energy, Inc., a Delaware Corporation (the “Company,” “Issuer,” “our,” “we,” or “us”) is offering $              aggregate principal</w:t>
      </w:r>
    </w:p>
    <w:p>
      <w:pPr>
        <w:spacing w:after="0" w:line="6" w:lineRule="exact"/>
        <w:rPr>
          <w:sz w:val="24"/>
          <w:szCs w:val="24"/>
          <w:color w:val="auto"/>
        </w:rPr>
      </w:pPr>
    </w:p>
    <w:tbl>
      <w:tblPr>
        <w:tblLayout w:type="fixed"/>
        <w:tblInd w:w="8" w:type="dxa"/>
        <w:tblCellMar>
          <w:top w:w="0" w:type="dxa"/>
          <w:left w:w="0" w:type="dxa"/>
          <w:bottom w:w="0" w:type="dxa"/>
          <w:right w:w="0" w:type="dxa"/>
        </w:tblCellMar>
      </w:tblPr>
      <w:tr>
        <w:trPr>
          <w:trHeight w:val="198"/>
        </w:trPr>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amount of its               % senior notes due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 </w:t>
            </w:r>
          </w:p>
        </w:tc>
        <w:tc>
          <w:tcPr>
            <w:tcW w:w="5760" w:type="dxa"/>
            <w:vAlign w:val="bottom"/>
          </w:tcPr>
          <w:p>
            <w:pPr>
              <w:spacing w:after="0"/>
              <w:rPr>
                <w:sz w:val="20"/>
                <w:szCs w:val="20"/>
                <w:color w:val="auto"/>
              </w:rPr>
            </w:pPr>
            <w:r>
              <w:rPr>
                <w:rFonts w:ascii="Times New Roman" w:cs="Times New Roman" w:eastAsia="Times New Roman" w:hAnsi="Times New Roman"/>
                <w:sz w:val="15"/>
                <w:szCs w:val="15"/>
                <w:color w:val="auto"/>
              </w:rPr>
              <w:t>(the “notes”).</w:t>
            </w:r>
          </w:p>
        </w:tc>
      </w:tr>
      <w:tr>
        <w:trPr>
          <w:trHeight w:val="218"/>
        </w:trPr>
        <w:tc>
          <w:tcPr>
            <w:tcW w:w="282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7"/>
              </w:rPr>
              <w:t>The notes will bear interest at a rate of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  % per year and will mature on               . Interest on the notes will accrue from               ,</w:t>
            </w:r>
          </w:p>
        </w:tc>
      </w:tr>
      <w:tr>
        <w:trPr>
          <w:trHeight w:val="178"/>
        </w:trPr>
        <w:tc>
          <w:tcPr>
            <w:tcW w:w="3280" w:type="dxa"/>
            <w:vAlign w:val="bottom"/>
            <w:gridSpan w:val="4"/>
          </w:tcPr>
          <w:p>
            <w:pPr>
              <w:spacing w:after="0"/>
              <w:rPr>
                <w:sz w:val="20"/>
                <w:szCs w:val="20"/>
                <w:color w:val="auto"/>
              </w:rPr>
            </w:pPr>
            <w:r>
              <w:rPr>
                <w:rFonts w:ascii="Times New Roman" w:cs="Times New Roman" w:eastAsia="Times New Roman" w:hAnsi="Times New Roman"/>
                <w:sz w:val="15"/>
                <w:szCs w:val="15"/>
                <w:color w:val="auto"/>
                <w:w w:val="99"/>
              </w:rPr>
              <w:t>2025, and will be payable in cash semi-annually on  </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xml:space="preserve">    </w:t>
            </w:r>
          </w:p>
        </w:tc>
        <w:tc>
          <w:tcPr>
            <w:tcW w:w="57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and                of each year, beginning               , 2025. The notes will be issued in</w:t>
            </w:r>
          </w:p>
        </w:tc>
      </w:tr>
    </w:tbl>
    <w:p>
      <w:pPr>
        <w:ind w:left="8"/>
        <w:spacing w:after="0"/>
        <w:rPr>
          <w:sz w:val="20"/>
          <w:szCs w:val="20"/>
          <w:color w:val="auto"/>
        </w:rPr>
      </w:pPr>
      <w:r>
        <w:rPr>
          <w:rFonts w:ascii="Times New Roman" w:cs="Times New Roman" w:eastAsia="Times New Roman" w:hAnsi="Times New Roman"/>
          <w:sz w:val="15"/>
          <w:szCs w:val="15"/>
          <w:color w:val="auto"/>
        </w:rPr>
        <w:t>minimum denominations of $2,000 and any integral multiple of $1,000 in excess of $2,000.</w:t>
      </w:r>
    </w:p>
    <w:p>
      <w:pPr>
        <w:spacing w:after="0" w:line="37" w:lineRule="exact"/>
        <w:rPr>
          <w:sz w:val="24"/>
          <w:szCs w:val="24"/>
          <w:color w:val="auto"/>
        </w:rPr>
      </w:pPr>
    </w:p>
    <w:p>
      <w:pPr>
        <w:ind w:left="8" w:right="480" w:firstLine="360"/>
        <w:spacing w:after="0" w:line="266" w:lineRule="auto"/>
        <w:rPr>
          <w:sz w:val="20"/>
          <w:szCs w:val="20"/>
          <w:color w:val="auto"/>
        </w:rPr>
      </w:pPr>
      <w:r>
        <w:rPr>
          <w:rFonts w:ascii="Times New Roman" w:cs="Times New Roman" w:eastAsia="Times New Roman" w:hAnsi="Times New Roman"/>
          <w:sz w:val="15"/>
          <w:szCs w:val="15"/>
          <w:color w:val="auto"/>
        </w:rPr>
        <w:t>At our option, we may redeem all or a part of the notes at any time at the redemption prices described under “</w:t>
      </w:r>
      <w:r>
        <w:rPr>
          <w:rFonts w:ascii="Times New Roman" w:cs="Times New Roman" w:eastAsia="Times New Roman" w:hAnsi="Times New Roman"/>
          <w:sz w:val="15"/>
          <w:szCs w:val="15"/>
          <w:i w:val="1"/>
          <w:iCs w:val="1"/>
          <w:color w:val="auto"/>
        </w:rPr>
        <w:t>Description of Notes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Optional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Redemption</w:t>
      </w:r>
      <w:r>
        <w:rPr>
          <w:rFonts w:ascii="Times New Roman" w:cs="Times New Roman" w:eastAsia="Times New Roman" w:hAnsi="Times New Roman"/>
          <w:sz w:val="15"/>
          <w:szCs w:val="15"/>
          <w:color w:val="auto"/>
        </w:rPr>
        <w:t>.”</w:t>
      </w:r>
    </w:p>
    <w:p>
      <w:pPr>
        <w:spacing w:after="0" w:line="13" w:lineRule="exact"/>
        <w:rPr>
          <w:sz w:val="24"/>
          <w:szCs w:val="24"/>
          <w:color w:val="auto"/>
        </w:rPr>
      </w:pPr>
    </w:p>
    <w:p>
      <w:pPr>
        <w:ind w:left="8" w:right="120" w:firstLine="360"/>
        <w:spacing w:after="0" w:line="238" w:lineRule="auto"/>
        <w:rPr>
          <w:sz w:val="20"/>
          <w:szCs w:val="20"/>
          <w:color w:val="auto"/>
        </w:rPr>
      </w:pPr>
      <w:r>
        <w:rPr>
          <w:rFonts w:ascii="Times New Roman" w:cs="Times New Roman" w:eastAsia="Times New Roman" w:hAnsi="Times New Roman"/>
          <w:sz w:val="15"/>
          <w:szCs w:val="15"/>
          <w:color w:val="auto"/>
        </w:rPr>
        <w:t>The notes will be guaranteed by Diamondback E&amp;P LLC (such entity during the period (and only during such period) that the subsidiary guarantee is in effect as to the notes, the “Subsidiary Guarantor” and the Subsidiary Guarantor’s guarantee of the notes, the “subsidiary guarantee”), and the subsidiary guarantee will be “full and unconditional,” as that term is used in Regulation S-X, Rule 3-10(b)(3). In the future, the subsidiary guarantee may be released or terminated under certain circumstances. See “</w:t>
      </w:r>
      <w:r>
        <w:rPr>
          <w:rFonts w:ascii="Times New Roman" w:cs="Times New Roman" w:eastAsia="Times New Roman" w:hAnsi="Times New Roman"/>
          <w:sz w:val="15"/>
          <w:szCs w:val="15"/>
          <w:i w:val="1"/>
          <w:iCs w:val="1"/>
          <w:color w:val="auto"/>
        </w:rPr>
        <w:t>Description of Notes—Subsidiary Guarantee</w:t>
      </w:r>
      <w:r>
        <w:rPr>
          <w:rFonts w:ascii="Times New Roman" w:cs="Times New Roman" w:eastAsia="Times New Roman" w:hAnsi="Times New Roman"/>
          <w:sz w:val="15"/>
          <w:szCs w:val="15"/>
          <w:color w:val="auto"/>
        </w:rPr>
        <w:t>.”</w:t>
      </w:r>
    </w:p>
    <w:p>
      <w:pPr>
        <w:spacing w:after="0" w:line="45" w:lineRule="exact"/>
        <w:rPr>
          <w:sz w:val="24"/>
          <w:szCs w:val="24"/>
          <w:color w:val="auto"/>
        </w:rPr>
      </w:pPr>
    </w:p>
    <w:p>
      <w:pPr>
        <w:ind w:left="8" w:firstLine="360"/>
        <w:spacing w:after="0" w:line="235" w:lineRule="auto"/>
        <w:rPr>
          <w:sz w:val="20"/>
          <w:szCs w:val="20"/>
          <w:color w:val="auto"/>
        </w:rPr>
      </w:pPr>
      <w:r>
        <w:rPr>
          <w:rFonts w:ascii="Times New Roman" w:cs="Times New Roman" w:eastAsia="Times New Roman" w:hAnsi="Times New Roman"/>
          <w:sz w:val="15"/>
          <w:szCs w:val="15"/>
          <w:color w:val="auto"/>
        </w:rPr>
        <w:t>The notes and the subsidiary guarantee will be our and the Subsidiary Guarantor’s respective senior unsecured obligations and will rank equally in right of payment with all of our and the Subsidiary Guarantor’s respective existing and future senior indebtedness, including our outstanding senior notes, and the Subsidiary Guarantor’s guarantees thereof and all of the Subsidiary Guarantor’s obligations under its revolving credit facility, term loan facility and (if obtained and funded) proposed term loan facility (as defined below) and our guarantees thereof, and senior in right of payment to any of our and the Subsidiary Guarantor’s future indebtedness that is expressly subordinated in right of payment to the notes and the subsidiary guarantee, respectively.</w:t>
      </w:r>
    </w:p>
    <w:p>
      <w:pPr>
        <w:spacing w:after="0" w:line="33" w:lineRule="exact"/>
        <w:rPr>
          <w:sz w:val="24"/>
          <w:szCs w:val="24"/>
          <w:color w:val="auto"/>
        </w:rPr>
      </w:pPr>
    </w:p>
    <w:p>
      <w:pPr>
        <w:ind w:left="8" w:right="160" w:firstLine="360"/>
        <w:spacing w:after="0" w:line="243" w:lineRule="auto"/>
        <w:rPr>
          <w:sz w:val="20"/>
          <w:szCs w:val="20"/>
          <w:color w:val="auto"/>
        </w:rPr>
      </w:pPr>
      <w:r>
        <w:rPr>
          <w:rFonts w:ascii="Times New Roman" w:cs="Times New Roman" w:eastAsia="Times New Roman" w:hAnsi="Times New Roman"/>
          <w:sz w:val="15"/>
          <w:szCs w:val="15"/>
          <w:color w:val="auto"/>
        </w:rPr>
        <w:t>The notes and the subsidiary guarantee will be effectively subordinated to any of our and the Subsidiary Guarantor’s existing and future secured indebtedness, if any, to the extent of the value of the collateral securing such indebtedness, and will be structurally subordinated to all of the existing and future indebtedness and other liabilities (including trade payables) of each of our subsidiaries that is not a guarantor of the notes.</w:t>
      </w:r>
    </w:p>
    <w:p>
      <w:pPr>
        <w:spacing w:after="0" w:line="26" w:lineRule="exact"/>
        <w:rPr>
          <w:sz w:val="24"/>
          <w:szCs w:val="24"/>
          <w:color w:val="auto"/>
        </w:rPr>
      </w:pPr>
    </w:p>
    <w:p>
      <w:pPr>
        <w:ind w:left="8" w:right="200" w:firstLine="360"/>
        <w:spacing w:after="0" w:line="246" w:lineRule="auto"/>
        <w:rPr>
          <w:sz w:val="20"/>
          <w:szCs w:val="20"/>
          <w:color w:val="auto"/>
        </w:rPr>
      </w:pPr>
      <w:r>
        <w:rPr>
          <w:rFonts w:ascii="Times New Roman" w:cs="Times New Roman" w:eastAsia="Times New Roman" w:hAnsi="Times New Roman"/>
          <w:sz w:val="15"/>
          <w:szCs w:val="15"/>
          <w:b w:val="1"/>
          <w:bCs w:val="1"/>
          <w:color w:val="auto"/>
        </w:rPr>
        <w:t>Investing in the notes involves risks. You should read this prospectus supplement and the accompanying prospectus carefully before you invest in the notes. See “</w:t>
      </w:r>
      <w:r>
        <w:rPr>
          <w:rFonts w:ascii="Times New Roman" w:cs="Times New Roman" w:eastAsia="Times New Roman" w:hAnsi="Times New Roman"/>
          <w:sz w:val="15"/>
          <w:szCs w:val="15"/>
          <w:b w:val="1"/>
          <w:bCs w:val="1"/>
          <w:i w:val="1"/>
          <w:iCs w:val="1"/>
          <w:color w:val="auto"/>
        </w:rPr>
        <w:t>Risk Factors</w:t>
      </w:r>
      <w:r>
        <w:rPr>
          <w:rFonts w:ascii="Times New Roman" w:cs="Times New Roman" w:eastAsia="Times New Roman" w:hAnsi="Times New Roman"/>
          <w:sz w:val="15"/>
          <w:szCs w:val="15"/>
          <w:b w:val="1"/>
          <w:bCs w:val="1"/>
          <w:color w:val="auto"/>
        </w:rPr>
        <w:t>” on page S-</w:t>
      </w:r>
      <w:r>
        <w:rPr>
          <w:rFonts w:ascii="Times New Roman" w:cs="Times New Roman" w:eastAsia="Times New Roman" w:hAnsi="Times New Roman"/>
          <w:sz w:val="15"/>
          <w:szCs w:val="15"/>
          <w:b w:val="1"/>
          <w:bCs w:val="1"/>
          <w:u w:val="single" w:color="auto"/>
          <w:color w:val="0000EE"/>
        </w:rPr>
        <w:t>7</w:t>
      </w:r>
      <w:r>
        <w:rPr>
          <w:rFonts w:ascii="Times New Roman" w:cs="Times New Roman" w:eastAsia="Times New Roman" w:hAnsi="Times New Roman"/>
          <w:sz w:val="15"/>
          <w:szCs w:val="15"/>
          <w:b w:val="1"/>
          <w:bCs w:val="1"/>
          <w:color w:val="auto"/>
        </w:rPr>
        <w:t xml:space="preserve"> for a discussion of certain risks that you should consider in connection with an investment in the notes.</w:t>
      </w:r>
    </w:p>
    <w:p>
      <w:pPr>
        <w:spacing w:after="0" w:line="48" w:lineRule="exact"/>
        <w:rPr>
          <w:sz w:val="24"/>
          <w:szCs w:val="24"/>
          <w:color w:val="auto"/>
        </w:rPr>
      </w:pPr>
    </w:p>
    <w:tbl>
      <w:tblPr>
        <w:tblLayout w:type="fixed"/>
        <w:tblInd w:w="8"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5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56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Proceeds, before</w:t>
            </w:r>
          </w:p>
        </w:tc>
        <w:tc>
          <w:tcPr>
            <w:tcW w:w="0" w:type="dxa"/>
            <w:vAlign w:val="bottom"/>
          </w:tcPr>
          <w:p>
            <w:pPr>
              <w:spacing w:after="0"/>
              <w:rPr>
                <w:sz w:val="1"/>
                <w:szCs w:val="1"/>
                <w:color w:val="auto"/>
              </w:rPr>
            </w:pPr>
          </w:p>
        </w:tc>
      </w:tr>
      <w:tr>
        <w:trPr>
          <w:trHeight w:val="146"/>
        </w:trPr>
        <w:tc>
          <w:tcPr>
            <w:tcW w:w="5520" w:type="dxa"/>
            <w:vAlign w:val="bottom"/>
          </w:tcPr>
          <w:p>
            <w:pPr>
              <w:spacing w:after="0"/>
              <w:rPr>
                <w:sz w:val="12"/>
                <w:szCs w:val="12"/>
                <w:color w:val="auto"/>
              </w:rPr>
            </w:pPr>
          </w:p>
        </w:tc>
        <w:tc>
          <w:tcPr>
            <w:tcW w:w="980" w:type="dxa"/>
            <w:vAlign w:val="bottom"/>
          </w:tcPr>
          <w:p>
            <w:pPr>
              <w:ind w:left="240"/>
              <w:spacing w:after="0" w:line="146"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5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980" w:type="dxa"/>
            <w:vAlign w:val="bottom"/>
            <w:tcBorders>
              <w:bottom w:val="single" w:sz="8" w:color="auto"/>
            </w:tcBorders>
          </w:tcPr>
          <w:p>
            <w:pPr>
              <w:ind w:left="260"/>
              <w:spacing w:after="0" w:line="216" w:lineRule="exact"/>
              <w:rPr>
                <w:sz w:val="20"/>
                <w:szCs w:val="20"/>
                <w:color w:val="auto"/>
              </w:rPr>
            </w:pPr>
            <w:r>
              <w:rPr>
                <w:rFonts w:ascii="Times New Roman" w:cs="Times New Roman" w:eastAsia="Times New Roman" w:hAnsi="Times New Roman"/>
                <w:sz w:val="14"/>
                <w:szCs w:val="14"/>
                <w:b w:val="1"/>
                <w:bCs w:val="1"/>
                <w:color w:val="auto"/>
              </w:rPr>
              <w:t>price</w:t>
            </w:r>
            <w:r>
              <w:rPr>
                <w:rFonts w:ascii="Times New Roman" w:cs="Times New Roman" w:eastAsia="Times New Roman" w:hAnsi="Times New Roman"/>
                <w:sz w:val="23"/>
                <w:szCs w:val="23"/>
                <w:b w:val="1"/>
                <w:bCs w:val="1"/>
                <w:color w:val="auto"/>
                <w:vertAlign w:val="superscript"/>
              </w:rPr>
              <w:t>(1)</w:t>
            </w:r>
          </w:p>
        </w:tc>
        <w:tc>
          <w:tcPr>
            <w:tcW w:w="560" w:type="dxa"/>
            <w:vAlign w:val="bottom"/>
          </w:tcPr>
          <w:p>
            <w:pPr>
              <w:spacing w:after="0"/>
              <w:rPr>
                <w:sz w:val="18"/>
                <w:szCs w:val="18"/>
                <w:color w:val="auto"/>
              </w:rPr>
            </w:pPr>
          </w:p>
        </w:tc>
        <w:tc>
          <w:tcPr>
            <w:tcW w:w="8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6"/>
              </w:rPr>
              <w:t>discount</w:t>
            </w:r>
            <w:r>
              <w:rPr>
                <w:rFonts w:ascii="Times New Roman" w:cs="Times New Roman" w:eastAsia="Times New Roman" w:hAnsi="Times New Roman"/>
                <w:sz w:val="23"/>
                <w:szCs w:val="23"/>
                <w:b w:val="1"/>
                <w:bCs w:val="1"/>
                <w:color w:val="auto"/>
                <w:w w:val="96"/>
                <w:vertAlign w:val="superscript"/>
              </w:rPr>
              <w:t>(2)</w:t>
            </w:r>
          </w:p>
        </w:tc>
        <w:tc>
          <w:tcPr>
            <w:tcW w:w="56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 to us</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Per note</w:t>
            </w:r>
          </w:p>
        </w:tc>
        <w:tc>
          <w:tcPr>
            <w:tcW w:w="980" w:type="dxa"/>
            <w:vAlign w:val="bottom"/>
            <w:shd w:val="clear" w:color="auto" w:fill="CCEEFF"/>
          </w:tcPr>
          <w:p>
            <w:pPr>
              <w:jc w:val="right"/>
              <w:ind w:right="406"/>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Totals</w:t>
            </w:r>
          </w:p>
        </w:tc>
        <w:tc>
          <w:tcPr>
            <w:tcW w:w="980" w:type="dxa"/>
            <w:vAlign w:val="bottom"/>
          </w:tcPr>
          <w:p>
            <w:pPr>
              <w:jc w:val="right"/>
              <w:ind w:right="526"/>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tcPr>
          <w:p>
            <w:pPr>
              <w:jc w:val="right"/>
              <w:ind w:right="468"/>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548"/>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8229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99" w:lineRule="exact"/>
        <w:rPr>
          <w:sz w:val="24"/>
          <w:szCs w:val="24"/>
          <w:color w:val="auto"/>
        </w:rPr>
      </w:pPr>
    </w:p>
    <w:p>
      <w:pPr>
        <w:ind w:left="348" w:hanging="348"/>
        <w:spacing w:after="0"/>
        <w:tabs>
          <w:tab w:leader="none" w:pos="34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Plus accrued interest, if any, from               , 2025.</w:t>
      </w:r>
    </w:p>
    <w:p>
      <w:pPr>
        <w:spacing w:after="0" w:line="41" w:lineRule="exact"/>
        <w:rPr>
          <w:rFonts w:ascii="Times New Roman" w:cs="Times New Roman" w:eastAsia="Times New Roman" w:hAnsi="Times New Roman"/>
          <w:sz w:val="14"/>
          <w:szCs w:val="14"/>
          <w:color w:val="auto"/>
        </w:rPr>
      </w:pPr>
    </w:p>
    <w:p>
      <w:pPr>
        <w:ind w:left="348" w:hanging="348"/>
        <w:spacing w:after="0"/>
        <w:tabs>
          <w:tab w:leader="none" w:pos="34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refer you to the section entitled “Underwriting” for additional information regarding underwriting compensation.</w:t>
      </w:r>
    </w:p>
    <w:p>
      <w:pPr>
        <w:spacing w:after="0" w:line="74" w:lineRule="exact"/>
        <w:rPr>
          <w:sz w:val="24"/>
          <w:szCs w:val="24"/>
          <w:color w:val="auto"/>
        </w:rPr>
      </w:pPr>
    </w:p>
    <w:p>
      <w:pPr>
        <w:ind w:left="368"/>
        <w:spacing w:after="0"/>
        <w:rPr>
          <w:sz w:val="20"/>
          <w:szCs w:val="20"/>
          <w:color w:val="auto"/>
        </w:rPr>
      </w:pPr>
      <w:r>
        <w:rPr>
          <w:rFonts w:ascii="Times New Roman" w:cs="Times New Roman" w:eastAsia="Times New Roman" w:hAnsi="Times New Roman"/>
          <w:sz w:val="15"/>
          <w:szCs w:val="15"/>
          <w:color w:val="auto"/>
        </w:rPr>
        <w:t>The notes will be a new issue of securities with no established trading market. We do not intend to apply to list the notes on any securities exchange.</w:t>
      </w:r>
    </w:p>
    <w:p>
      <w:pPr>
        <w:spacing w:after="0" w:line="57" w:lineRule="exact"/>
        <w:rPr>
          <w:sz w:val="24"/>
          <w:szCs w:val="24"/>
          <w:color w:val="auto"/>
        </w:rPr>
      </w:pPr>
    </w:p>
    <w:p>
      <w:pPr>
        <w:ind w:left="368"/>
        <w:spacing w:after="0"/>
        <w:tabs>
          <w:tab w:leader="none" w:pos="6528" w:val="left"/>
        </w:tabs>
        <w:rPr>
          <w:sz w:val="20"/>
          <w:szCs w:val="20"/>
          <w:color w:val="auto"/>
        </w:rPr>
      </w:pPr>
      <w:r>
        <w:rPr>
          <w:rFonts w:ascii="Times New Roman" w:cs="Times New Roman" w:eastAsia="Times New Roman" w:hAnsi="Times New Roman"/>
          <w:sz w:val="15"/>
          <w:szCs w:val="15"/>
          <w:color w:val="auto"/>
        </w:rPr>
        <w:t xml:space="preserve">It is expected that delivery of the notes will be made against payment therefor on or about           </w:t>
        <w:tab/>
        <w:t>, 2025, which will be the               business</w:t>
      </w:r>
    </w:p>
    <w:p>
      <w:pPr>
        <w:spacing w:after="0" w:line="6" w:lineRule="exact"/>
        <w:rPr>
          <w:sz w:val="24"/>
          <w:szCs w:val="24"/>
          <w:color w:val="auto"/>
        </w:rPr>
      </w:pPr>
    </w:p>
    <w:p>
      <w:pPr>
        <w:ind w:left="8" w:right="60"/>
        <w:spacing w:after="0" w:line="229" w:lineRule="auto"/>
        <w:rPr>
          <w:sz w:val="20"/>
          <w:szCs w:val="20"/>
          <w:color w:val="auto"/>
        </w:rPr>
      </w:pPr>
      <w:r>
        <w:rPr>
          <w:rFonts w:ascii="Times New Roman" w:cs="Times New Roman" w:eastAsia="Times New Roman" w:hAnsi="Times New Roman"/>
          <w:sz w:val="15"/>
          <w:szCs w:val="15"/>
          <w:color w:val="auto"/>
        </w:rPr>
        <w:t>day following the date of pricing of the notes (such settlement cycle being referred to as “T+          ”). Pursuant to Rule 15c6-1 under the Securities Exchange Act of 1934, as amended, trades in the secondary market generally are required to settle in one business day, unless the parties to any such trade expressly agree otherwise. Accordingly, purchasers who wish to trade the notes on any date prior to the business day before the settlement date will be required to specify alternative settlement arrangements at the time of any such trade to prevent a failed settlement. Purchasers of the notes who wish to trade the notes prior to the business day before the date of delivery should consult their own advisors. It is expected that delivery of the notes will be made in book entry form, through The Depository Trust Company, or “DTC,” for the account of its participants, including Clearstream Banking, société anonyme and Euroclear Bank SA/NV.</w:t>
      </w:r>
    </w:p>
    <w:p>
      <w:pPr>
        <w:spacing w:after="0" w:line="29" w:lineRule="exact"/>
        <w:rPr>
          <w:sz w:val="24"/>
          <w:szCs w:val="24"/>
          <w:color w:val="auto"/>
        </w:rPr>
      </w:pPr>
    </w:p>
    <w:p>
      <w:pPr>
        <w:jc w:val="both"/>
        <w:ind w:left="8" w:right="240" w:firstLine="360"/>
        <w:spacing w:after="0" w:line="246"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determined if this prospectus supplement or the accompanying prospectus to which it relates is truthful or complete. Any representation to the contrary is a criminal offense.</w:t>
      </w:r>
    </w:p>
    <w:p>
      <w:pPr>
        <w:spacing w:after="0" w:line="29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27" w:lineRule="exact"/>
        <w:rPr>
          <w:sz w:val="24"/>
          <w:szCs w:val="24"/>
          <w:color w:val="auto"/>
        </w:rPr>
      </w:pPr>
    </w:p>
    <w:p>
      <w:pPr>
        <w:ind w:left="8"/>
        <w:spacing w:after="0"/>
        <w:tabs>
          <w:tab w:leader="none" w:pos="2548" w:val="left"/>
          <w:tab w:leader="none" w:pos="4648" w:val="left"/>
          <w:tab w:leader="none" w:pos="8228" w:val="left"/>
        </w:tabs>
        <w:rPr>
          <w:sz w:val="20"/>
          <w:szCs w:val="20"/>
          <w:color w:val="auto"/>
        </w:rPr>
      </w:pPr>
      <w:r>
        <w:rPr>
          <w:rFonts w:ascii="Times New Roman" w:cs="Times New Roman" w:eastAsia="Times New Roman" w:hAnsi="Times New Roman"/>
          <w:sz w:val="22"/>
          <w:szCs w:val="22"/>
          <w:b w:val="1"/>
          <w:bCs w:val="1"/>
          <w:color w:val="auto"/>
        </w:rPr>
        <w:t>BofA Securities</w:t>
      </w:r>
      <w:r>
        <w:rPr>
          <w:sz w:val="20"/>
          <w:szCs w:val="20"/>
          <w:color w:val="auto"/>
        </w:rPr>
        <w:tab/>
      </w:r>
      <w:r>
        <w:rPr>
          <w:rFonts w:ascii="Times New Roman" w:cs="Times New Roman" w:eastAsia="Times New Roman" w:hAnsi="Times New Roman"/>
          <w:sz w:val="22"/>
          <w:szCs w:val="22"/>
          <w:b w:val="1"/>
          <w:bCs w:val="1"/>
          <w:color w:val="auto"/>
        </w:rPr>
        <w:t>Barclays</w:t>
      </w:r>
      <w:r>
        <w:rPr>
          <w:sz w:val="20"/>
          <w:szCs w:val="20"/>
          <w:color w:val="auto"/>
        </w:rPr>
        <w:tab/>
      </w:r>
      <w:r>
        <w:rPr>
          <w:rFonts w:ascii="Times New Roman" w:cs="Times New Roman" w:eastAsia="Times New Roman" w:hAnsi="Times New Roman"/>
          <w:sz w:val="22"/>
          <w:szCs w:val="22"/>
          <w:b w:val="1"/>
          <w:bCs w:val="1"/>
          <w:color w:val="auto"/>
        </w:rPr>
        <w:t>PNC Capital Markets LLC</w:t>
      </w:r>
      <w:r>
        <w:rPr>
          <w:sz w:val="20"/>
          <w:szCs w:val="20"/>
          <w:color w:val="auto"/>
        </w:rPr>
        <w:tab/>
      </w:r>
      <w:r>
        <w:rPr>
          <w:rFonts w:ascii="Times New Roman" w:cs="Times New Roman" w:eastAsia="Times New Roman" w:hAnsi="Times New Roman"/>
          <w:sz w:val="21"/>
          <w:szCs w:val="21"/>
          <w:b w:val="1"/>
          <w:bCs w:val="1"/>
          <w:color w:val="auto"/>
        </w:rPr>
        <w:t>TD Securities</w:t>
      </w:r>
    </w:p>
    <w:p>
      <w:pPr>
        <w:sectPr>
          <w:pgSz w:w="11900" w:h="16838" w:orient="portrait"/>
          <w:cols w:equalWidth="0" w:num="1">
            <w:col w:w="9508"/>
          </w:cols>
          <w:pgMar w:left="1192" w:top="223" w:right="1199" w:bottom="184" w:gutter="0" w:footer="0" w:header="0"/>
        </w:sectPr>
      </w:pPr>
    </w:p>
    <w:p>
      <w:pPr>
        <w:spacing w:after="0" w:line="153"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5"/>
          <w:szCs w:val="15"/>
          <w:color w:val="auto"/>
        </w:rPr>
        <w:t>The date of this prospectus supplement is                  ,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-479425</wp:posOffset>
            </wp:positionH>
            <wp:positionV relativeFrom="paragraph">
              <wp:posOffset>124460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23" w:right="1199" w:bottom="184"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980" w:type="dxa"/>
            <w:vAlign w:val="bottom"/>
            <w:gridSpan w:val="2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100" w:type="dxa"/>
            <w:vAlign w:val="bottom"/>
            <w:shd w:val="clear" w:color="auto" w:fill="CCEEFF"/>
          </w:tcPr>
          <w:p>
            <w:pPr>
              <w:spacing w:after="0"/>
              <w:rPr>
                <w:sz w:val="17"/>
                <w:szCs w:val="17"/>
                <w:color w:val="auto"/>
              </w:rPr>
            </w:pPr>
          </w:p>
        </w:tc>
        <w:tc>
          <w:tcPr>
            <w:tcW w:w="360" w:type="dxa"/>
            <w:vAlign w:val="bottom"/>
            <w:gridSpan w:val="7"/>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S-iii</w:t>
            </w:r>
          </w:p>
        </w:tc>
        <w:tc>
          <w:tcPr>
            <w:tcW w:w="0" w:type="dxa"/>
            <w:vAlign w:val="bottom"/>
          </w:tcPr>
          <w:p>
            <w:pPr>
              <w:spacing w:after="0"/>
              <w:rPr>
                <w:sz w:val="1"/>
                <w:szCs w:val="1"/>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98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00" w:type="dxa"/>
            <w:vAlign w:val="bottom"/>
          </w:tcPr>
          <w:p>
            <w:pPr>
              <w:spacing w:after="0"/>
              <w:rPr>
                <w:sz w:val="16"/>
                <w:szCs w:val="16"/>
                <w:color w:val="auto"/>
              </w:rPr>
            </w:pPr>
          </w:p>
        </w:tc>
        <w:tc>
          <w:tcPr>
            <w:tcW w:w="360" w:type="dxa"/>
            <w:vAlign w:val="bottom"/>
            <w:gridSpan w:val="7"/>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w w:val="99"/>
              </w:rPr>
              <w:t>S-iv</w:t>
            </w:r>
          </w:p>
        </w:tc>
        <w:tc>
          <w:tcPr>
            <w:tcW w:w="0" w:type="dxa"/>
            <w:vAlign w:val="bottom"/>
          </w:tcPr>
          <w:p>
            <w:pPr>
              <w:spacing w:after="0"/>
              <w:rPr>
                <w:sz w:val="1"/>
                <w:szCs w:val="1"/>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760" w:type="dxa"/>
            <w:vAlign w:val="bottom"/>
            <w:tcBorders>
              <w:top w:val="single" w:sz="8" w:color="0000EE"/>
            </w:tcBorders>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SUMMARY</w:t>
            </w:r>
          </w:p>
        </w:tc>
        <w:tc>
          <w:tcPr>
            <w:tcW w:w="7060" w:type="dxa"/>
            <w:vAlign w:val="bottom"/>
            <w:gridSpan w:val="22"/>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gridSpan w:val="6"/>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S-1</w:t>
            </w:r>
          </w:p>
        </w:tc>
        <w:tc>
          <w:tcPr>
            <w:tcW w:w="0" w:type="dxa"/>
            <w:vAlign w:val="bottom"/>
          </w:tcPr>
          <w:p>
            <w:pPr>
              <w:spacing w:after="0"/>
              <w:rPr>
                <w:sz w:val="1"/>
                <w:szCs w:val="1"/>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98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gridSpan w:val="6"/>
          </w:tcPr>
          <w:p>
            <w:pPr>
              <w:jc w:val="right"/>
              <w:ind w:right="40"/>
              <w:spacing w:after="0" w:line="189" w:lineRule="exact"/>
              <w:rPr>
                <w:sz w:val="20"/>
                <w:szCs w:val="20"/>
                <w:color w:val="auto"/>
              </w:rPr>
            </w:pPr>
            <w:r>
              <w:rPr>
                <w:rFonts w:ascii="Times New Roman" w:cs="Times New Roman" w:eastAsia="Times New Roman" w:hAnsi="Times New Roman"/>
                <w:sz w:val="18"/>
                <w:szCs w:val="18"/>
                <w:color w:val="0000EE"/>
              </w:rPr>
              <w:t>S-7</w:t>
            </w:r>
          </w:p>
        </w:tc>
        <w:tc>
          <w:tcPr>
            <w:tcW w:w="0" w:type="dxa"/>
            <w:vAlign w:val="bottom"/>
          </w:tcPr>
          <w:p>
            <w:pPr>
              <w:spacing w:after="0"/>
              <w:rPr>
                <w:sz w:val="1"/>
                <w:szCs w:val="1"/>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5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400" w:type="dxa"/>
            <w:vAlign w:val="bottom"/>
            <w:gridSpan w:val="14"/>
            <w:shd w:val="clear" w:color="auto" w:fill="CCEEFF"/>
          </w:tcPr>
          <w:p>
            <w:pPr>
              <w:spacing w:after="0"/>
              <w:rPr>
                <w:sz w:val="16"/>
                <w:szCs w:val="16"/>
                <w:color w:val="auto"/>
              </w:rPr>
            </w:pPr>
          </w:p>
        </w:tc>
        <w:tc>
          <w:tcPr>
            <w:tcW w:w="460" w:type="dxa"/>
            <w:vAlign w:val="bottom"/>
            <w:gridSpan w:val="8"/>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S-11</w:t>
            </w:r>
          </w:p>
        </w:tc>
        <w:tc>
          <w:tcPr>
            <w:tcW w:w="0" w:type="dxa"/>
            <w:vAlign w:val="bottom"/>
          </w:tcPr>
          <w:p>
            <w:pPr>
              <w:spacing w:after="0"/>
              <w:rPr>
                <w:sz w:val="1"/>
                <w:szCs w:val="1"/>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5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CAPITALIZATION</w:t>
            </w:r>
          </w:p>
        </w:tc>
        <w:tc>
          <w:tcPr>
            <w:tcW w:w="6400" w:type="dxa"/>
            <w:vAlign w:val="bottom"/>
            <w:gridSpan w:val="14"/>
          </w:tcPr>
          <w:p>
            <w:pPr>
              <w:spacing w:after="0"/>
              <w:rPr>
                <w:sz w:val="16"/>
                <w:szCs w:val="16"/>
                <w:color w:val="auto"/>
              </w:rPr>
            </w:pPr>
          </w:p>
        </w:tc>
        <w:tc>
          <w:tcPr>
            <w:tcW w:w="460" w:type="dxa"/>
            <w:vAlign w:val="bottom"/>
            <w:gridSpan w:val="8"/>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S-12</w:t>
            </w:r>
          </w:p>
        </w:tc>
        <w:tc>
          <w:tcPr>
            <w:tcW w:w="0" w:type="dxa"/>
            <w:vAlign w:val="bottom"/>
          </w:tcPr>
          <w:p>
            <w:pPr>
              <w:spacing w:after="0"/>
              <w:rPr>
                <w:sz w:val="1"/>
                <w:szCs w:val="1"/>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98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NOTES</w:t>
            </w:r>
          </w:p>
        </w:tc>
        <w:tc>
          <w:tcPr>
            <w:tcW w:w="460" w:type="dxa"/>
            <w:vAlign w:val="bottom"/>
            <w:gridSpan w:val="8"/>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S-13</w:t>
            </w:r>
          </w:p>
        </w:tc>
        <w:tc>
          <w:tcPr>
            <w:tcW w:w="0" w:type="dxa"/>
            <w:vAlign w:val="bottom"/>
          </w:tcPr>
          <w:p>
            <w:pPr>
              <w:spacing w:after="0"/>
              <w:rPr>
                <w:sz w:val="1"/>
                <w:szCs w:val="1"/>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98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BOOK-ENTRY, DELIVERY AND FORM</w:t>
            </w:r>
          </w:p>
        </w:tc>
        <w:tc>
          <w:tcPr>
            <w:tcW w:w="460" w:type="dxa"/>
            <w:vAlign w:val="bottom"/>
            <w:gridSpan w:val="8"/>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S-26</w:t>
            </w:r>
          </w:p>
        </w:tc>
        <w:tc>
          <w:tcPr>
            <w:tcW w:w="0" w:type="dxa"/>
            <w:vAlign w:val="bottom"/>
          </w:tcPr>
          <w:p>
            <w:pPr>
              <w:spacing w:after="0"/>
              <w:rPr>
                <w:sz w:val="1"/>
                <w:szCs w:val="1"/>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98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U.S. FEDERAL INCOME TAX CONSEQUENCES</w:t>
            </w:r>
          </w:p>
        </w:tc>
        <w:tc>
          <w:tcPr>
            <w:tcW w:w="460" w:type="dxa"/>
            <w:vAlign w:val="bottom"/>
            <w:gridSpan w:val="8"/>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S-30</w:t>
            </w:r>
          </w:p>
        </w:tc>
        <w:tc>
          <w:tcPr>
            <w:tcW w:w="0" w:type="dxa"/>
            <w:vAlign w:val="bottom"/>
          </w:tcPr>
          <w:p>
            <w:pPr>
              <w:spacing w:after="0"/>
              <w:rPr>
                <w:sz w:val="1"/>
                <w:szCs w:val="1"/>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58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UNDERWRITING</w:t>
            </w:r>
          </w:p>
        </w:tc>
        <w:tc>
          <w:tcPr>
            <w:tcW w:w="3400" w:type="dxa"/>
            <w:vAlign w:val="bottom"/>
            <w:gridSpan w:val="2"/>
          </w:tcPr>
          <w:p>
            <w:pPr>
              <w:spacing w:after="0"/>
              <w:rPr>
                <w:sz w:val="16"/>
                <w:szCs w:val="16"/>
                <w:color w:val="auto"/>
              </w:rPr>
            </w:pPr>
          </w:p>
        </w:tc>
        <w:tc>
          <w:tcPr>
            <w:tcW w:w="460" w:type="dxa"/>
            <w:vAlign w:val="bottom"/>
            <w:gridSpan w:val="8"/>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S-34</w:t>
            </w:r>
          </w:p>
        </w:tc>
        <w:tc>
          <w:tcPr>
            <w:tcW w:w="0" w:type="dxa"/>
            <w:vAlign w:val="bottom"/>
          </w:tcPr>
          <w:p>
            <w:pPr>
              <w:spacing w:after="0"/>
              <w:rPr>
                <w:sz w:val="1"/>
                <w:szCs w:val="1"/>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98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460" w:type="dxa"/>
            <w:vAlign w:val="bottom"/>
            <w:gridSpan w:val="8"/>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S-40</w:t>
            </w:r>
          </w:p>
        </w:tc>
        <w:tc>
          <w:tcPr>
            <w:tcW w:w="0" w:type="dxa"/>
            <w:vAlign w:val="bottom"/>
          </w:tcPr>
          <w:p>
            <w:pPr>
              <w:spacing w:after="0"/>
              <w:rPr>
                <w:sz w:val="1"/>
                <w:szCs w:val="1"/>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540" w:type="dxa"/>
            <w:vAlign w:val="bottom"/>
            <w:gridSpan w:val="15"/>
          </w:tcPr>
          <w:p>
            <w:pPr>
              <w:spacing w:after="0"/>
              <w:rPr>
                <w:sz w:val="16"/>
                <w:szCs w:val="16"/>
                <w:color w:val="auto"/>
              </w:rPr>
            </w:pPr>
          </w:p>
        </w:tc>
        <w:tc>
          <w:tcPr>
            <w:tcW w:w="460" w:type="dxa"/>
            <w:vAlign w:val="bottom"/>
            <w:gridSpan w:val="8"/>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S-40</w:t>
            </w:r>
          </w:p>
        </w:tc>
        <w:tc>
          <w:tcPr>
            <w:tcW w:w="0" w:type="dxa"/>
            <w:vAlign w:val="bottom"/>
          </w:tcPr>
          <w:p>
            <w:pPr>
              <w:spacing w:after="0"/>
              <w:rPr>
                <w:sz w:val="1"/>
                <w:szCs w:val="1"/>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98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460" w:type="dxa"/>
            <w:vAlign w:val="bottom"/>
            <w:gridSpan w:val="8"/>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S-41</w:t>
            </w:r>
          </w:p>
        </w:tc>
        <w:tc>
          <w:tcPr>
            <w:tcW w:w="0" w:type="dxa"/>
            <w:vAlign w:val="bottom"/>
          </w:tcPr>
          <w:p>
            <w:pPr>
              <w:spacing w:after="0"/>
              <w:rPr>
                <w:sz w:val="1"/>
                <w:szCs w:val="1"/>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1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540"/>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16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6340" w:type="dxa"/>
            <w:vAlign w:val="bottom"/>
            <w:gridSpan w:val="12"/>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ii</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98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79"/>
              </w:rPr>
              <w:t>iii</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Borders>
              <w:bottom w:val="single" w:sz="8" w:color="0000EE"/>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Our Company</w:t>
            </w:r>
          </w:p>
        </w:tc>
        <w:tc>
          <w:tcPr>
            <w:tcW w:w="6960" w:type="dxa"/>
            <w:vAlign w:val="bottom"/>
            <w:tcBorders>
              <w:bottom w:val="single" w:sz="8" w:color="CCEEFF"/>
            </w:tcBorders>
            <w:gridSpan w:val="20"/>
            <w:shd w:val="clear" w:color="auto" w:fill="CCEEFF"/>
          </w:tcPr>
          <w:p>
            <w:pPr>
              <w:spacing w:after="0"/>
              <w:rPr>
                <w:sz w:val="19"/>
                <w:szCs w:val="19"/>
                <w:color w:val="auto"/>
              </w:rPr>
            </w:pPr>
          </w:p>
        </w:tc>
        <w:tc>
          <w:tcPr>
            <w:tcW w:w="320" w:type="dxa"/>
            <w:vAlign w:val="bottom"/>
            <w:tcBorders>
              <w:bottom w:val="single" w:sz="8" w:color="CCEEFF"/>
            </w:tcBorders>
            <w:gridSpan w:val="6"/>
            <w:shd w:val="clear" w:color="auto" w:fill="CCEEFF"/>
          </w:tcPr>
          <w:p>
            <w:pPr>
              <w:spacing w:after="0"/>
              <w:rPr>
                <w:sz w:val="19"/>
                <w:szCs w:val="19"/>
                <w:color w:val="auto"/>
              </w:rPr>
            </w:pPr>
          </w:p>
        </w:tc>
        <w:tc>
          <w:tcPr>
            <w:tcW w:w="120" w:type="dxa"/>
            <w:vAlign w:val="bottom"/>
            <w:tcBorders>
              <w:bottom w:val="single" w:sz="8" w:color="0000EE"/>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98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Subsidiary Guarantors</w:t>
            </w:r>
          </w:p>
        </w:tc>
        <w:tc>
          <w:tcPr>
            <w:tcW w:w="440" w:type="dxa"/>
            <w:vAlign w:val="bottom"/>
            <w:gridSpan w:val="7"/>
          </w:tcPr>
          <w:p>
            <w:pPr>
              <w:jc w:val="right"/>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tcBorders>
              <w:bottom w:val="single" w:sz="8" w:color="0000EE"/>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Risk Factors</w:t>
            </w:r>
          </w:p>
        </w:tc>
        <w:tc>
          <w:tcPr>
            <w:tcW w:w="7080" w:type="dxa"/>
            <w:vAlign w:val="bottom"/>
            <w:tcBorders>
              <w:bottom w:val="single" w:sz="8" w:color="CCEEFF"/>
            </w:tcBorders>
            <w:gridSpan w:val="23"/>
            <w:shd w:val="clear" w:color="auto" w:fill="CCEEFF"/>
          </w:tcPr>
          <w:p>
            <w:pPr>
              <w:spacing w:after="0"/>
              <w:rPr>
                <w:sz w:val="19"/>
                <w:szCs w:val="19"/>
                <w:color w:val="auto"/>
              </w:rPr>
            </w:pPr>
          </w:p>
        </w:tc>
        <w:tc>
          <w:tcPr>
            <w:tcW w:w="320" w:type="dxa"/>
            <w:vAlign w:val="bottom"/>
            <w:tcBorders>
              <w:bottom w:val="single" w:sz="8" w:color="CCEEFF"/>
            </w:tcBorders>
            <w:gridSpan w:val="6"/>
            <w:shd w:val="clear" w:color="auto" w:fill="CCEEFF"/>
          </w:tcPr>
          <w:p>
            <w:pPr>
              <w:spacing w:after="0"/>
              <w:rPr>
                <w:sz w:val="19"/>
                <w:szCs w:val="19"/>
                <w:color w:val="auto"/>
              </w:rPr>
            </w:pPr>
          </w:p>
        </w:tc>
        <w:tc>
          <w:tcPr>
            <w:tcW w:w="120" w:type="dxa"/>
            <w:vAlign w:val="bottom"/>
            <w:tcBorders>
              <w:bottom w:val="single" w:sz="8" w:color="0000EE"/>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98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440" w:type="dxa"/>
            <w:vAlign w:val="bottom"/>
            <w:gridSpan w:val="7"/>
          </w:tcPr>
          <w:p>
            <w:pPr>
              <w:jc w:val="right"/>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180" w:type="dxa"/>
            <w:vAlign w:val="bottom"/>
            <w:tcBorders>
              <w:bottom w:val="single" w:sz="8" w:color="0000EE"/>
            </w:tcBorders>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5800" w:type="dxa"/>
            <w:vAlign w:val="bottom"/>
            <w:tcBorders>
              <w:bottom w:val="single" w:sz="8" w:color="CCEEFF"/>
            </w:tcBorders>
            <w:gridSpan w:val="9"/>
            <w:shd w:val="clear" w:color="auto" w:fill="CCEEFF"/>
          </w:tcPr>
          <w:p>
            <w:pPr>
              <w:spacing w:after="0"/>
              <w:rPr>
                <w:sz w:val="19"/>
                <w:szCs w:val="19"/>
                <w:color w:val="auto"/>
              </w:rPr>
            </w:pPr>
          </w:p>
        </w:tc>
        <w:tc>
          <w:tcPr>
            <w:tcW w:w="320" w:type="dxa"/>
            <w:vAlign w:val="bottom"/>
            <w:tcBorders>
              <w:bottom w:val="single" w:sz="8" w:color="CCEEFF"/>
            </w:tcBorders>
            <w:gridSpan w:val="6"/>
            <w:shd w:val="clear" w:color="auto" w:fill="CCEEFF"/>
          </w:tcPr>
          <w:p>
            <w:pPr>
              <w:spacing w:after="0"/>
              <w:rPr>
                <w:sz w:val="19"/>
                <w:szCs w:val="19"/>
                <w:color w:val="auto"/>
              </w:rPr>
            </w:pPr>
          </w:p>
        </w:tc>
        <w:tc>
          <w:tcPr>
            <w:tcW w:w="120" w:type="dxa"/>
            <w:vAlign w:val="bottom"/>
            <w:tcBorders>
              <w:bottom w:val="single" w:sz="8" w:color="0000EE"/>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98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40" w:type="dxa"/>
            <w:vAlign w:val="bottom"/>
            <w:gridSpan w:val="7"/>
          </w:tcPr>
          <w:p>
            <w:pPr>
              <w:jc w:val="right"/>
              <w:spacing w:after="0" w:line="189" w:lineRule="exact"/>
              <w:rPr>
                <w:sz w:val="20"/>
                <w:szCs w:val="20"/>
                <w:color w:val="auto"/>
              </w:rPr>
            </w:pPr>
            <w:r>
              <w:rPr>
                <w:rFonts w:ascii="Times New Roman" w:cs="Times New Roman" w:eastAsia="Times New Roman" w:hAnsi="Times New Roman"/>
                <w:sz w:val="18"/>
                <w:szCs w:val="18"/>
                <w:color w:val="0000EE"/>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98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440" w:type="dxa"/>
            <w:vAlign w:val="bottom"/>
            <w:tcBorders>
              <w:right w:val="single" w:sz="8" w:color="CCEEFF"/>
            </w:tcBorders>
            <w:gridSpan w:val="7"/>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98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40" w:type="dxa"/>
            <w:vAlign w:val="bottom"/>
            <w:gridSpan w:val="7"/>
          </w:tcPr>
          <w:p>
            <w:pPr>
              <w:jc w:val="right"/>
              <w:spacing w:after="0" w:line="189" w:lineRule="exact"/>
              <w:rPr>
                <w:sz w:val="20"/>
                <w:szCs w:val="20"/>
                <w:color w:val="auto"/>
              </w:rPr>
            </w:pPr>
            <w:r>
              <w:rPr>
                <w:rFonts w:ascii="Times New Roman" w:cs="Times New Roman" w:eastAsia="Times New Roman" w:hAnsi="Times New Roman"/>
                <w:sz w:val="18"/>
                <w:szCs w:val="18"/>
                <w:color w:val="0000EE"/>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Borders>
              <w:bottom w:val="single" w:sz="8" w:color="0000EE"/>
            </w:tcBorders>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Information Incorporated by Reference</w:t>
            </w:r>
          </w:p>
        </w:tc>
        <w:tc>
          <w:tcPr>
            <w:tcW w:w="5160" w:type="dxa"/>
            <w:vAlign w:val="bottom"/>
            <w:tcBorders>
              <w:bottom w:val="single" w:sz="8" w:color="CCEEFF"/>
            </w:tcBorders>
            <w:gridSpan w:val="8"/>
            <w:shd w:val="clear" w:color="auto" w:fill="CCEEFF"/>
          </w:tcPr>
          <w:p>
            <w:pPr>
              <w:spacing w:after="0"/>
              <w:rPr>
                <w:sz w:val="19"/>
                <w:szCs w:val="19"/>
                <w:color w:val="auto"/>
              </w:rPr>
            </w:pPr>
          </w:p>
        </w:tc>
        <w:tc>
          <w:tcPr>
            <w:tcW w:w="240" w:type="dxa"/>
            <w:vAlign w:val="bottom"/>
            <w:tcBorders>
              <w:bottom w:val="single" w:sz="8" w:color="CCEEFF"/>
            </w:tcBorders>
            <w:gridSpan w:val="4"/>
            <w:shd w:val="clear" w:color="auto" w:fill="CCEEFF"/>
          </w:tcPr>
          <w:p>
            <w:pPr>
              <w:spacing w:after="0"/>
              <w:rPr>
                <w:sz w:val="19"/>
                <w:szCs w:val="19"/>
                <w:color w:val="auto"/>
              </w:rPr>
            </w:pPr>
          </w:p>
        </w:tc>
        <w:tc>
          <w:tcPr>
            <w:tcW w:w="200" w:type="dxa"/>
            <w:vAlign w:val="bottom"/>
            <w:tcBorders>
              <w:bottom w:val="single" w:sz="8" w:color="0000EE"/>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98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440" w:type="dxa"/>
            <w:vAlign w:val="bottom"/>
            <w:gridSpan w:val="7"/>
          </w:tcPr>
          <w:p>
            <w:pPr>
              <w:jc w:val="right"/>
              <w:spacing w:after="0" w:line="189"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98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440" w:type="dxa"/>
            <w:vAlign w:val="bottom"/>
            <w:tcBorders>
              <w:right w:val="single" w:sz="8" w:color="CCEEFF"/>
            </w:tcBorders>
            <w:gridSpan w:val="7"/>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1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In making your investment decision, you should rely only on the information included or incorporated by reference in this prospectus supplement or to which this prospectus supplement refers or that is contained in any free writing prospectus relating to the notes. Neither we nor the underwriters have authorized anyone to provide you with information that is different from that contained in or incorporated by reference into this prospectus supplement or the accompanying prospectus or in any free writing prospectus we may authorize to be delivered or made available to you. We and the underwriters take no responsibility for, and can provide no assurance as to the reliability of, any other information that others may give you. We are not, and the underwriters are not, making an offer of these notes in any jurisdiction where the offer or sale is not permitted. You should not assume that the information provided by this prospectus supplement, the accompanying prospectus or the documents incorporated by reference herein or therein is accurate as of any date other than the respective dates of such documents. Our business, financial condition, results of operations and prospects may have changed since those dates.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Securities and Exchange Commission, or the “SEC,” utilizing a “shelf” registration process. This document is in two parts. The first part is this prospectus supplement, which describes the specific terms of the notes we are offering and certain other matters. The second part, the accompanying prospectus dated November 21, 2022, provides more general information about the debt securities that we may offer from time to time, some of which information may not apply to the notes we are offering hereby. Generally when we refer to this “prospectus,” we are referring to both this prospectus supplement and the accompanying prospectus combined. We urge you to read carefully this prospectus supplement, the accompanying prospectus, the information incorporated by reference herein and therein, and any free writing prospectus that we authorize to be distributed to you before buying any of the notes being offered under this prospectus supplement.</w:t>
      </w:r>
    </w:p>
    <w:p>
      <w:pPr>
        <w:spacing w:after="0" w:line="86" w:lineRule="exact"/>
        <w:rPr>
          <w:sz w:val="20"/>
          <w:szCs w:val="20"/>
          <w:color w:val="auto"/>
        </w:rPr>
      </w:pPr>
    </w:p>
    <w:p>
      <w:pPr>
        <w:ind w:left="300" w:right="559" w:firstLine="360"/>
        <w:spacing w:after="0" w:line="256" w:lineRule="auto"/>
        <w:rPr>
          <w:sz w:val="20"/>
          <w:szCs w:val="20"/>
          <w:color w:val="auto"/>
        </w:rPr>
      </w:pPr>
      <w:r>
        <w:rPr>
          <w:rFonts w:ascii="Times New Roman" w:cs="Times New Roman" w:eastAsia="Times New Roman" w:hAnsi="Times New Roman"/>
          <w:sz w:val="18"/>
          <w:szCs w:val="18"/>
          <w:color w:val="auto"/>
        </w:rPr>
        <w:t>This prospectus supplement may supplement, update or change information contained in the accompanying prospectus. To the extent that any statement that we make or other information in this prospectus supplement is inconsistent with statements made or other information in the accompanying prospectus or any documents incorporated by reference therein, the statements made or other information in this prospectus supplement will be deemed to modify or supersede those made or contained in the accompanying prospectus and such documents incorporated by reference therein.</w:t>
      </w:r>
    </w:p>
    <w:p>
      <w:pPr>
        <w:spacing w:after="0" w:line="79" w:lineRule="exact"/>
        <w:rPr>
          <w:sz w:val="20"/>
          <w:szCs w:val="20"/>
          <w:color w:val="auto"/>
        </w:rPr>
      </w:pPr>
    </w:p>
    <w:p>
      <w:pPr>
        <w:ind w:left="300" w:right="379" w:firstLine="360"/>
        <w:spacing w:after="0" w:line="277" w:lineRule="auto"/>
        <w:rPr>
          <w:sz w:val="20"/>
          <w:szCs w:val="20"/>
          <w:color w:val="auto"/>
        </w:rPr>
      </w:pPr>
      <w:r>
        <w:rPr>
          <w:rFonts w:ascii="Times New Roman" w:cs="Times New Roman" w:eastAsia="Times New Roman" w:hAnsi="Times New Roman"/>
          <w:sz w:val="17"/>
          <w:szCs w:val="17"/>
          <w:color w:val="auto"/>
        </w:rPr>
        <w:t>Before you invest in the notes, you should carefully read the registration statement described in the accompanying prospectus (including the exhibits thereto) of which this prospectus supplement and the accompanying prospectus form a part, as well as this prospectus supplement, the accompanying prospectus and the documents incorporated by reference herein and therein. The documents incorporated by reference into this prospectus supplement are described under “</w:t>
      </w:r>
      <w:r>
        <w:rPr>
          <w:rFonts w:ascii="Times New Roman" w:cs="Times New Roman" w:eastAsia="Times New Roman" w:hAnsi="Times New Roman"/>
          <w:sz w:val="17"/>
          <w:szCs w:val="17"/>
          <w:i w:val="1"/>
          <w:iCs w:val="1"/>
          <w:color w:val="auto"/>
        </w:rPr>
        <w:t>Information Incorporated by Reference</w:t>
      </w:r>
      <w:r>
        <w:rPr>
          <w:rFonts w:ascii="Times New Roman" w:cs="Times New Roman" w:eastAsia="Times New Roman" w:hAnsi="Times New Roman"/>
          <w:sz w:val="17"/>
          <w:szCs w:val="17"/>
          <w:color w:val="auto"/>
        </w:rPr>
        <w:t>” in this prospectus supplement.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Certain information in this prospectus supplement constitutes “forward-looking statements” within the meaning of Section 27A of the Securities Act and Section 21E of the Securities Exchange Act of 1934, as amended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or other effects of strategic transactions (including the recently completed acquisition of Endeavor Parent, LLC and the pending Double Eagle Acquisition and other acquisitions or divestitures, including the pending 2025 Drop Down); and plans and objectives of management (including plans for future cash flow from operations and for executing environmental strategies) are forward-looking statements. When used in this prospectus supplement or documents incorporated by reference therein,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future performance and our actual outcomes could differ materially from what we have expressed in our forward-looking statements. Factors that could cause our actual results to differ materially from these forward-looking statements may include, without limitation:</w:t>
      </w:r>
    </w:p>
    <w:p>
      <w:pPr>
        <w:spacing w:after="0" w:line="81" w:lineRule="exact"/>
        <w:rPr>
          <w:sz w:val="20"/>
          <w:szCs w:val="20"/>
          <w:color w:val="auto"/>
        </w:rPr>
      </w:pPr>
    </w:p>
    <w:p>
      <w:pPr>
        <w:ind w:left="1000" w:right="43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supply and demand levels for oil, natural gas, and natural gas liquids, and the resulting impact on the price for those commodities;</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including epidemic or pandemic diseases and any related company or government policies or actions;</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members of OPEC and Russia affecting the production and pricing of oil, as well as other domestic and global political, economic or diplomatic developments;</w:t>
      </w:r>
    </w:p>
    <w:p>
      <w:pPr>
        <w:spacing w:after="0" w:line="53"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or industry conditions, including changes in foreign currency exchange rates interest rates, and inflation rates, instability in the financial sector;</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supply and demand factors, including delays, curtailment delays or interruptions of production, or governmental orders, rules or regulations that impose production limits;</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legislative and regulatory initiatives relating to hydraulic fracturing, including the effect of existing and future laws and governmental regulations;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and transition risks relating to climate change;</w:t>
      </w:r>
    </w:p>
    <w:p>
      <w:pPr>
        <w:spacing w:after="0" w:line="117" w:lineRule="exact"/>
        <w:rPr>
          <w:rFonts w:ascii="Times New Roman" w:cs="Times New Roman" w:eastAsia="Times New Roman" w:hAnsi="Times New Roman"/>
          <w:sz w:val="18"/>
          <w:szCs w:val="18"/>
          <w:color w:val="auto"/>
        </w:rPr>
      </w:pPr>
    </w:p>
    <w:p>
      <w:pPr>
        <w:jc w:val="both"/>
        <w:ind w:left="1000" w:right="53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water, including limits on the use of produced water and a moratorium on new produced water well permits recently imposed by the Texas Railroad Commission in an effort to control induced seismicity in the Permian Basin;</w:t>
      </w:r>
    </w:p>
    <w:p>
      <w:pPr>
        <w:spacing w:after="0" w:line="6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declines in prices for oil, natural gas, or natural gas liquids, which could (among other things) require recognition of significant impairment charges;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energy, environmental, monetary and trade policies;</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capital, financial and credit markets, including the availability and pricing of capital for drilling and development operations and our environmental and social responsibility projects;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employee retention and an increasingly competitive labor market;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or cost of rigs, equipment, raw materials, supplies, oilfield services;</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safety, health, environmental, tax and other regulations or requirements (including those addressing air emissions, water management or the impact of global climate change);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9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threats, including cybersecurity threats and disruptions to our business and operations from breaches of our information technology systems, or from breaches of information technology systems of third parties with whom we transact business;</w:t>
      </w:r>
    </w:p>
    <w:p>
      <w:pPr>
        <w:spacing w:after="0" w:line="6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or disruption in, access to adequate and reliable transportation, processing, storage and other facilities for our oil, natural gas and natural gas liquids;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necessary approvals and permits;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 and natural disasters;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terrorist acts and the governmental or military response thereto;</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strength of counterparties to our credit agreement and hedging contracts;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recently completed acquisition of Endeavor Parent, LLC, the pending Double Eagle Acquisition and the pending 2025 Drop Down (each as defined herein);</w:t>
      </w:r>
    </w:p>
    <w:p>
      <w:pPr>
        <w:spacing w:after="0" w:line="5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in the section of this prospectus supplement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w:t>
      </w:r>
    </w:p>
    <w:p>
      <w:pPr>
        <w:spacing w:after="0" w:line="119"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factors discussed in Item 1A of Part I of our Annual Report on Form 10-K incorporated by reference into this prospectus supplement.</w:t>
      </w:r>
    </w:p>
    <w:p>
      <w:pPr>
        <w:spacing w:after="0" w:line="54"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The foregoing list of factors should not be construed as exhaustive. We can give no assurance that the expectations expressed or implied in the forward-looking statements contained herein will be attained. The statements made in this prospectus supplement are current as of the date of this prospectus supplement only. We undertake no obligation to publicly update or revise any forward-looking statements or any other information contained herein, whether as a result of new information, future events or otherwise, except as required by law. Readers are cautioned not to place undue reliance on these forward-looking statements that speak only as of the date hereof.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56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9" w:lineRule="exact"/>
        <w:rPr>
          <w:sz w:val="20"/>
          <w:szCs w:val="20"/>
          <w:color w:val="auto"/>
        </w:rPr>
      </w:pPr>
    </w:p>
    <w:p>
      <w:pPr>
        <w:ind w:left="32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supplement, the accompanying prospectus and the documents we incorporate by reference. It does not contain all of the information you should consider before making an investment decision. You should read the entire prospectus supplement, the accompanying prospectus, the documents incorporated by reference and the other documents to which we refer for a more complete understanding of our business and this offering. Please read the section entitled “Risk Factors” of this prospectus supplement and additional information contained in our Annual Report on Form 10-K for the year ended December 31, 2024 and other filings we make with the SEC, which information is incorporated by reference in this prospectus supplement, for financial and other important information you should consider before investing in the notes.</w:t>
      </w:r>
    </w:p>
    <w:p>
      <w:pPr>
        <w:spacing w:after="0" w:line="80" w:lineRule="exact"/>
        <w:rPr>
          <w:sz w:val="20"/>
          <w:szCs w:val="20"/>
          <w:color w:val="auto"/>
        </w:rPr>
      </w:pPr>
    </w:p>
    <w:p>
      <w:pPr>
        <w:ind w:left="320" w:right="3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In this prospectus supplement, unless otherwise indicated or the context otherwise requires, the terms “Diamondback Energy,” the “Company,” “we,” “our” and “us” refer to Diamondback Energy, Inc. and its consolidated subsidiaries. References to “underwriters” refer to the firms listed on the cover page of this prospectus supplement.</w:t>
      </w:r>
    </w:p>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left="320" w:right="359" w:firstLine="360"/>
        <w:spacing w:after="0" w:line="256" w:lineRule="auto"/>
        <w:rPr>
          <w:sz w:val="20"/>
          <w:szCs w:val="20"/>
          <w:color w:val="auto"/>
        </w:rPr>
      </w:pPr>
      <w:r>
        <w:rPr>
          <w:rFonts w:ascii="Times New Roman" w:cs="Times New Roman" w:eastAsia="Times New Roman" w:hAnsi="Times New Roman"/>
          <w:sz w:val="18"/>
          <w:szCs w:val="18"/>
          <w:color w:val="auto"/>
        </w:rPr>
        <w:t>We are an independent oil and natural gas company focused on the acquisition, development, exploration and exploitation of unconventional, onshore oil and natural gas reserves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 We report operations in one reportable segment, the upstream segment.</w:t>
      </w:r>
    </w:p>
    <w:p>
      <w:pPr>
        <w:spacing w:after="0" w:line="79" w:lineRule="exact"/>
        <w:rPr>
          <w:sz w:val="20"/>
          <w:szCs w:val="20"/>
          <w:color w:val="auto"/>
        </w:rPr>
      </w:pPr>
    </w:p>
    <w:p>
      <w:pPr>
        <w:ind w:left="320" w:right="419" w:firstLine="360"/>
        <w:spacing w:after="0" w:line="258" w:lineRule="auto"/>
        <w:rPr>
          <w:sz w:val="20"/>
          <w:szCs w:val="20"/>
          <w:color w:val="auto"/>
        </w:rPr>
      </w:pPr>
      <w:r>
        <w:rPr>
          <w:rFonts w:ascii="Times New Roman" w:cs="Times New Roman" w:eastAsia="Times New Roman" w:hAnsi="Times New Roman"/>
          <w:sz w:val="18"/>
          <w:szCs w:val="18"/>
          <w:color w:val="auto"/>
        </w:rPr>
        <w:t>Our activities are primarily focused on horizontal development of the Spraberry and Wolfcamp formations of the Midland Basin and the Wolfcamp and Bone Spring formations of the Delaware Basin, both of which are part of the larger Permian Basin in West Texas and New Mexico. These formations are characterized by a high concentration of oil and liquids rich natural gas, multiple vertical and horizontal target horizons, extensive production history, long-lived reserves and high drilling success rates.</w:t>
      </w:r>
    </w:p>
    <w:p>
      <w:pPr>
        <w:spacing w:after="0" w:line="75" w:lineRule="exact"/>
        <w:rPr>
          <w:sz w:val="20"/>
          <w:szCs w:val="20"/>
          <w:color w:val="auto"/>
        </w:rPr>
      </w:pPr>
    </w:p>
    <w:p>
      <w:pPr>
        <w:ind w:left="320" w:right="439" w:firstLine="360"/>
        <w:spacing w:after="0" w:line="258" w:lineRule="auto"/>
        <w:rPr>
          <w:sz w:val="20"/>
          <w:szCs w:val="20"/>
          <w:color w:val="auto"/>
        </w:rPr>
      </w:pPr>
      <w:r>
        <w:rPr>
          <w:rFonts w:ascii="Times New Roman" w:cs="Times New Roman" w:eastAsia="Times New Roman" w:hAnsi="Times New Roman"/>
          <w:sz w:val="18"/>
          <w:szCs w:val="18"/>
          <w:color w:val="auto"/>
        </w:rPr>
        <w:t>As of December 31, 2024, our total acreage position in the Permian Basin was approximately 1,077,697 gross (860,719 net) acres, which consisted primarily of 910,991 gross (737,181 net) acres in the Midland Basin and 161,981 gross (123,218 net) acres in the Delaware Basin. In addition, our publicly traded subsidiary Viper Energy, Inc. (“Viper”), owns mineral interests primarily in the Permian Basin. As of December 31, 2024, we own approximately 45% of Viper’s outstanding shares of common stock.</w:t>
      </w:r>
    </w:p>
    <w:p>
      <w:pPr>
        <w:spacing w:after="0" w:line="75" w:lineRule="exact"/>
        <w:rPr>
          <w:sz w:val="20"/>
          <w:szCs w:val="20"/>
          <w:color w:val="auto"/>
        </w:rPr>
      </w:pPr>
    </w:p>
    <w:p>
      <w:pPr>
        <w:ind w:left="320" w:right="379" w:firstLine="360"/>
        <w:spacing w:after="0" w:line="256" w:lineRule="auto"/>
        <w:rPr>
          <w:sz w:val="20"/>
          <w:szCs w:val="20"/>
          <w:color w:val="auto"/>
        </w:rPr>
      </w:pPr>
      <w:r>
        <w:rPr>
          <w:rFonts w:ascii="Times New Roman" w:cs="Times New Roman" w:eastAsia="Times New Roman" w:hAnsi="Times New Roman"/>
          <w:sz w:val="18"/>
          <w:szCs w:val="18"/>
          <w:color w:val="auto"/>
        </w:rPr>
        <w:t>As of December 31, 2024, our estimated proved oil and natural gas reserves were 3,557,416 MBOE (which includes estimated reserves of 195,873 MBOE attributable to the mineral interests owned by Viper). As of December 31, 2024, approximately 67% are classified as proved developed producing. Proved undeveloped, or PUD, reserves included in this estimate are from 1,381 gross (1,258 net) horizontal well locations in which we have a working interest. As of December 31, 2024, our estimated proved reserves were approximately 50% oil, 23% natural gas and 27% natural gas liquids.</w:t>
      </w:r>
    </w:p>
    <w:p>
      <w:pPr>
        <w:spacing w:after="0" w:line="79" w:lineRule="exact"/>
        <w:rPr>
          <w:sz w:val="20"/>
          <w:szCs w:val="20"/>
          <w:color w:val="auto"/>
        </w:rPr>
      </w:pPr>
    </w:p>
    <w:p>
      <w:pPr>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500 West Texas Ave, Suite 100, Midland, TX 79701 and our telephone number is (432) 221-7400. Our common stock is listed on Nasdaq under the trading symbol “FANG.” Our website address is www.diamondbackenergy.com. Information contained on our website does not constitute part of this prospectus supplement.</w:t>
      </w: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Pending Double Eagle Acquisition</w:t>
      </w:r>
    </w:p>
    <w:p>
      <w:pPr>
        <w:spacing w:after="0" w:line="121" w:lineRule="exact"/>
        <w:rPr>
          <w:sz w:val="20"/>
          <w:szCs w:val="20"/>
          <w:color w:val="auto"/>
        </w:rPr>
      </w:pPr>
    </w:p>
    <w:p>
      <w:pPr>
        <w:ind w:left="320" w:right="339" w:firstLine="360"/>
        <w:spacing w:after="0" w:line="256" w:lineRule="auto"/>
        <w:rPr>
          <w:sz w:val="20"/>
          <w:szCs w:val="20"/>
          <w:color w:val="auto"/>
        </w:rPr>
      </w:pPr>
      <w:r>
        <w:rPr>
          <w:rFonts w:ascii="Times New Roman" w:cs="Times New Roman" w:eastAsia="Times New Roman" w:hAnsi="Times New Roman"/>
          <w:sz w:val="18"/>
          <w:szCs w:val="18"/>
          <w:color w:val="auto"/>
        </w:rPr>
        <w:t>On February 14, 2025, we and Diamondback E&amp;P LLC, our wholly owned subsidiary, entered into a definitive securities purchase agreement with Double Eagle IV Midco, LLC (“Double Eagle”), to acquire all of the issued and outstanding interests of DE Permian, LLC, a Texas limited liability company, DE IV Combo, LLC, a Delaware limited liability company, and DE IV Operating, LLC, a Texas limited liability company, each of which is a wholly owned subsidiary of Double Eagle (the “Double Eagle Acquisition”). The pending Double Eagle Acquisition consists of approximately 67,700 gross (40,000 net) acres, which are primarily located in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4590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3405" cy="45904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19"/>
        <w:spacing w:after="0" w:line="258" w:lineRule="auto"/>
        <w:rPr>
          <w:sz w:val="20"/>
          <w:szCs w:val="20"/>
          <w:color w:val="auto"/>
        </w:rPr>
      </w:pPr>
      <w:r>
        <w:rPr>
          <w:rFonts w:ascii="Times New Roman" w:cs="Times New Roman" w:eastAsia="Times New Roman" w:hAnsi="Times New Roman"/>
          <w:sz w:val="18"/>
          <w:szCs w:val="18"/>
          <w:color w:val="auto"/>
        </w:rPr>
        <w:t>Midland Basin, and approximately 407 gross (342 net) horizontal locations in primary development targets. Consideration for the Double Eagle Acquisition consists of $3.0 billion in cash and approximately 6.9 million shares of our common stock, subject to customary adjustments. The Double Eagle Acquisition is expected to close in the second quarter of 2025, subject to the satisfaction of customary closing conditions and regulatory approval. This offering is not contingent upon the closing of the Double Eagle Acquisition.</w:t>
      </w:r>
    </w:p>
    <w:p>
      <w:pPr>
        <w:spacing w:after="0" w:line="75" w:lineRule="exact"/>
        <w:rPr>
          <w:sz w:val="20"/>
          <w:szCs w:val="20"/>
          <w:color w:val="auto"/>
        </w:rPr>
      </w:pPr>
    </w:p>
    <w:p>
      <w:pPr>
        <w:jc w:val="both"/>
        <w:ind w:left="320" w:right="439" w:firstLine="360"/>
        <w:spacing w:after="0" w:line="255" w:lineRule="auto"/>
        <w:rPr>
          <w:sz w:val="20"/>
          <w:szCs w:val="20"/>
          <w:color w:val="auto"/>
        </w:rPr>
      </w:pPr>
      <w:r>
        <w:rPr>
          <w:rFonts w:ascii="Times New Roman" w:cs="Times New Roman" w:eastAsia="Times New Roman" w:hAnsi="Times New Roman"/>
          <w:sz w:val="18"/>
          <w:szCs w:val="18"/>
          <w:color w:val="auto"/>
        </w:rPr>
        <w:t>The cash portion of the Double Eagle Acquisition is expected to be funded through a combination of cash on hand and/or proceeds from the proposed term loan (as defined below) and this offering. On February 28, 2025, we entered into a Term Loan Engagement Letter (as amended, modified or supplemented on or prior to the date of this prospectus supplement, the “Engagement Letter”) with BofA Securities, Inc. and Bank of America, N.A.</w:t>
      </w:r>
    </w:p>
    <w:p>
      <w:pPr>
        <w:spacing w:after="0" w:line="3" w:lineRule="exact"/>
        <w:rPr>
          <w:sz w:val="20"/>
          <w:szCs w:val="20"/>
          <w:color w:val="auto"/>
        </w:rPr>
      </w:pPr>
    </w:p>
    <w:p>
      <w:pPr>
        <w:ind w:left="320" w:right="399"/>
        <w:spacing w:after="0" w:line="251" w:lineRule="auto"/>
        <w:rPr>
          <w:sz w:val="20"/>
          <w:szCs w:val="20"/>
          <w:color w:val="auto"/>
        </w:rPr>
      </w:pPr>
      <w:r>
        <w:rPr>
          <w:rFonts w:ascii="Times New Roman" w:cs="Times New Roman" w:eastAsia="Times New Roman" w:hAnsi="Times New Roman"/>
          <w:sz w:val="18"/>
          <w:szCs w:val="18"/>
          <w:color w:val="auto"/>
        </w:rPr>
        <w:t>(collectively, with their applicable affiliates, the “Lead Arranger”), pursuant to which the Lead Arranger agreed to use commercially reasonable efforts to form a syndicate of banks and financial institutions to provide necessary commitments for a two-year senior unsecured delayed draw term loan facility in an aggregate principal amount of $1,500,000,000 (the “proposed term loan facility”). The funding of the term loan under the proposed term loan facility (the “proposed term loan”) would be subject to the satisfaction of customary closing conditions and the proceeds thereof would be used for financing a portion of the cash consideration payable by us in connection with the Double Eagle Acquisition and/or otherwise paying related fees, costs and expenses. No lenders have committed to fund any portion of the proposed term loan. Our ability to obtain the proposed term loan will depend on many factors, including lender demand and market conditions, and we cannot assure you that it or other additional permanent financing will be available to us on favorable terms, if at all. This offering is not conditioned upon the consummation of the proposed term loan.</w:t>
      </w:r>
    </w:p>
    <w:p>
      <w:pPr>
        <w:spacing w:after="0" w:line="3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Pending 2025 Drop Down Transaction</w:t>
      </w:r>
    </w:p>
    <w:p>
      <w:pPr>
        <w:spacing w:after="0" w:line="121" w:lineRule="exact"/>
        <w:rPr>
          <w:sz w:val="20"/>
          <w:szCs w:val="20"/>
          <w:color w:val="auto"/>
        </w:rPr>
      </w:pPr>
    </w:p>
    <w:p>
      <w:pPr>
        <w:ind w:left="320" w:right="319" w:firstLine="360"/>
        <w:spacing w:after="0" w:line="273" w:lineRule="auto"/>
        <w:rPr>
          <w:sz w:val="20"/>
          <w:szCs w:val="20"/>
          <w:color w:val="auto"/>
        </w:rPr>
      </w:pPr>
      <w:r>
        <w:rPr>
          <w:rFonts w:ascii="Times New Roman" w:cs="Times New Roman" w:eastAsia="Times New Roman" w:hAnsi="Times New Roman"/>
          <w:sz w:val="17"/>
          <w:szCs w:val="17"/>
          <w:color w:val="auto"/>
        </w:rPr>
        <w:t>On January 30, 2025, Endeavor Energy Resources, LP (“EER LP”) and 1979 Royalties, LP and 1979 Royalties GP, LLC (collectively, the “Endeavor Subsidiaries”), each of which is our subsidiary, entered into a definitive equity purchase agreement with Viper and Viper LLC to divest the Endeavor Subsidiaries from EER LP to Viper in exchange for consideration consisting of (i) $1.0 billion in cash and (ii) the issuance of 69.63 million Viper LLC units and an equal number of shares of Viper’s Class B common stock, in each case subject to customary closing adjustments, including, among other things, for net title benefits (such transaction, the “pending 2025 Drop Down”). The pending 2025 Drop Down is expected to close in the second quarter of 2025, subject to certain conditions.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4847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3405" cy="4847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HISTORICAL FINANCIAL DATA OF DIAMONDBACK</w:t>
      </w:r>
    </w:p>
    <w:p>
      <w:pPr>
        <w:spacing w:after="0" w:line="121" w:lineRule="exact"/>
        <w:rPr>
          <w:sz w:val="20"/>
          <w:szCs w:val="20"/>
          <w:color w:val="auto"/>
        </w:rPr>
      </w:pPr>
    </w:p>
    <w:p>
      <w:pPr>
        <w:ind w:left="1320" w:right="1280" w:firstLine="360"/>
        <w:spacing w:after="0" w:line="277" w:lineRule="auto"/>
        <w:rPr>
          <w:sz w:val="20"/>
          <w:szCs w:val="20"/>
          <w:color w:val="auto"/>
        </w:rPr>
      </w:pPr>
      <w:r>
        <w:rPr>
          <w:rFonts w:ascii="Times New Roman" w:cs="Times New Roman" w:eastAsia="Times New Roman" w:hAnsi="Times New Roman"/>
          <w:sz w:val="17"/>
          <w:szCs w:val="17"/>
          <w:color w:val="auto"/>
        </w:rPr>
        <w:t>The following summary historical financial data of Diamondback is derived from Diamondback’s historical consolidated financial statements. You should read the summary historical financial data of Diamondback in conjunction with our historical consolidated financial statements and related notes thereto and “Management’s Discussion and Analysis of Financial Condition and Results of Operations” found in our Annual Report on Form 10-K for the fiscal year ended December 31, 2024, which is incorporated by reference into this prospectus supplement.</w:t>
      </w:r>
    </w:p>
    <w:p>
      <w:pPr>
        <w:spacing w:after="0" w:line="17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r>
      <w:tr>
        <w:trPr>
          <w:trHeight w:val="186"/>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r>
      <w:tr>
        <w:trPr>
          <w:trHeight w:val="23"/>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1,621</w:t>
            </w:r>
          </w:p>
        </w:tc>
      </w:tr>
      <w:tr>
        <w:trPr>
          <w:trHeight w:val="24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4,811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2,108</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8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$12,075</w:t>
            </w: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6,641</w:t>
            </w:r>
          </w:p>
        </w:tc>
      </w:tr>
      <w:tr>
        <w:trPr>
          <w:trHeight w:val="24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9,826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2,449</w:t>
            </w: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Diamondback Energy, Inc. stockholders’ equity</w:t>
            </w: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$37,736</w:t>
            </w:r>
          </w:p>
        </w:tc>
        <w:tc>
          <w:tcPr>
            <w:tcW w:w="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$16,625</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4"/>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$67,292</w:t>
            </w: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$29,001</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8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24"/>
                <w:szCs w:val="24"/>
                <w:color w:val="auto"/>
              </w:rPr>
            </w:pPr>
          </w:p>
        </w:tc>
      </w:tr>
      <w:tr>
        <w:trPr>
          <w:trHeight w:val="190"/>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6"/>
              </w:rPr>
              <w:t>11,066</w:t>
            </w:r>
          </w:p>
        </w:tc>
        <w:tc>
          <w:tcPr>
            <w:tcW w:w="140" w:type="dxa"/>
            <w:vAlign w:val="bottom"/>
          </w:tcPr>
          <w:p>
            <w:pPr>
              <w:spacing w:after="0"/>
              <w:rPr>
                <w:sz w:val="20"/>
                <w:szCs w:val="20"/>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$ 8,412</w:t>
            </w: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$ 9,643</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7"/>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4,396</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$ 4,570</w:t>
            </w:r>
          </w:p>
        </w:tc>
        <w:tc>
          <w:tcPr>
            <w:tcW w:w="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$ 6,508</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3,701</w:t>
            </w:r>
          </w:p>
        </w:tc>
        <w:tc>
          <w:tcPr>
            <w:tcW w:w="140" w:type="dxa"/>
            <w:vAlign w:val="bottom"/>
          </w:tcPr>
          <w:p>
            <w:pPr>
              <w:spacing w:after="0"/>
              <w:rPr>
                <w:sz w:val="20"/>
                <w:szCs w:val="20"/>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$ 3,336</w:t>
            </w: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$ 4,562</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7"/>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6,413</w:t>
            </w:r>
          </w:p>
        </w:tc>
        <w:tc>
          <w:tcPr>
            <w:tcW w:w="140" w:type="dxa"/>
            <w:vAlign w:val="bottom"/>
          </w:tcPr>
          <w:p>
            <w:pPr>
              <w:spacing w:after="0"/>
              <w:rPr>
                <w:sz w:val="20"/>
                <w:szCs w:val="20"/>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$ 5,920</w:t>
            </w: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$ 6,325</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7"/>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$(11,221)</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$(3,323)</w:t>
            </w:r>
          </w:p>
        </w:tc>
        <w:tc>
          <w:tcPr>
            <w:tcW w:w="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$(3,330)</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4"/>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4,387</w:t>
            </w:r>
          </w:p>
        </w:tc>
        <w:tc>
          <w:tcPr>
            <w:tcW w:w="140" w:type="dxa"/>
            <w:vAlign w:val="bottom"/>
          </w:tcPr>
          <w:p>
            <w:pPr>
              <w:spacing w:after="0"/>
              <w:rPr>
                <w:sz w:val="20"/>
                <w:szCs w:val="20"/>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$(2,176)</w:t>
            </w: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$(3,503)</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5"/>
        </w:trPr>
        <w:tc>
          <w:tcPr>
            <w:tcW w:w="10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56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Pr>
          <w:p>
            <w:pPr>
              <w:spacing w:after="0"/>
              <w:rPr>
                <w:sz w:val="23"/>
                <w:szCs w:val="23"/>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S-3</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9" w:name="page10"/>
    <w:bookmarkEnd w:id="9"/>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7967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3405" cy="79679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1320" w:right="1420" w:firstLine="360"/>
        <w:spacing w:after="0" w:line="261" w:lineRule="auto"/>
        <w:rPr>
          <w:sz w:val="20"/>
          <w:szCs w:val="20"/>
          <w:color w:val="auto"/>
        </w:rPr>
      </w:pPr>
      <w:r>
        <w:rPr>
          <w:rFonts w:ascii="Times New Roman" w:cs="Times New Roman" w:eastAsia="Times New Roman" w:hAnsi="Times New Roman"/>
          <w:sz w:val="18"/>
          <w:szCs w:val="18"/>
          <w:color w:val="auto"/>
        </w:rPr>
        <w:t>The following summary contains basic information about the notes, but may not contain all of the information that may be important to you. For a more complete understanding of the notes, please refer to the section entitled “</w:t>
      </w:r>
      <w:r>
        <w:rPr>
          <w:rFonts w:ascii="Times New Roman" w:cs="Times New Roman" w:eastAsia="Times New Roman" w:hAnsi="Times New Roman"/>
          <w:sz w:val="18"/>
          <w:szCs w:val="18"/>
          <w:i w:val="1"/>
          <w:iCs w:val="1"/>
          <w:color w:val="auto"/>
        </w:rPr>
        <w:t>Description of Notes</w:t>
      </w:r>
      <w:r>
        <w:rPr>
          <w:rFonts w:ascii="Times New Roman" w:cs="Times New Roman" w:eastAsia="Times New Roman" w:hAnsi="Times New Roman"/>
          <w:sz w:val="18"/>
          <w:szCs w:val="18"/>
          <w:color w:val="auto"/>
        </w:rPr>
        <w:t>” in this prospectus supplement and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in the accompanying prospectus.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3380" w:type="dxa"/>
            <w:vAlign w:val="bottom"/>
            <w:gridSpan w:val="10"/>
          </w:tcPr>
          <w:p>
            <w:pPr>
              <w:ind w:left="1400"/>
              <w:spacing w:after="0"/>
              <w:rPr>
                <w:sz w:val="20"/>
                <w:szCs w:val="20"/>
                <w:color w:val="auto"/>
              </w:rPr>
            </w:pPr>
            <w:r>
              <w:rPr>
                <w:rFonts w:ascii="Times New Roman" w:cs="Times New Roman" w:eastAsia="Times New Roman" w:hAnsi="Times New Roman"/>
                <w:sz w:val="18"/>
                <w:szCs w:val="18"/>
                <w:color w:val="auto"/>
              </w:rPr>
              <w:t>Diamondback Energy, Inc.</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Securities Offered</w:t>
            </w:r>
          </w:p>
        </w:tc>
        <w:tc>
          <w:tcPr>
            <w:tcW w:w="15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Pr>
          <w:p>
            <w:pPr>
              <w:spacing w:after="0"/>
              <w:rPr>
                <w:sz w:val="24"/>
                <w:szCs w:val="24"/>
                <w:color w:val="auto"/>
              </w:rPr>
            </w:pPr>
          </w:p>
        </w:tc>
        <w:tc>
          <w:tcPr>
            <w:tcW w:w="264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 xml:space="preserve">aggregate principal amount of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84"/>
              </w:rPr>
              <w:t>  %</w:t>
            </w:r>
          </w:p>
        </w:tc>
        <w:tc>
          <w:tcPr>
            <w:tcW w:w="104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780" w:type="dxa"/>
            <w:vAlign w:val="bottom"/>
            <w:gridSpan w:val="7"/>
          </w:tcPr>
          <w:p>
            <w:pPr>
              <w:ind w:left="1400"/>
              <w:spacing w:after="0"/>
              <w:rPr>
                <w:sz w:val="20"/>
                <w:szCs w:val="20"/>
                <w:color w:val="auto"/>
              </w:rPr>
            </w:pPr>
            <w:r>
              <w:rPr>
                <w:rFonts w:ascii="Times New Roman" w:cs="Times New Roman" w:eastAsia="Times New Roman" w:hAnsi="Times New Roman"/>
                <w:sz w:val="18"/>
                <w:szCs w:val="18"/>
                <w:color w:val="auto"/>
                <w:w w:val="92"/>
              </w:rPr>
              <w:t>Senior Notes due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4"/>
        </w:trPr>
        <w:tc>
          <w:tcPr>
            <w:tcW w:w="1080" w:type="dxa"/>
            <w:vAlign w:val="bottom"/>
          </w:tcPr>
          <w:p>
            <w:pPr>
              <w:spacing w:after="0"/>
              <w:rPr>
                <w:sz w:val="24"/>
                <w:szCs w:val="24"/>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1540" w:type="dxa"/>
            <w:vAlign w:val="bottom"/>
          </w:tcPr>
          <w:p>
            <w:pPr>
              <w:ind w:left="140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1"/>
        </w:trPr>
        <w:tc>
          <w:tcPr>
            <w:tcW w:w="1080" w:type="dxa"/>
            <w:vAlign w:val="bottom"/>
          </w:tcPr>
          <w:p>
            <w:pPr>
              <w:spacing w:after="0"/>
              <w:rPr>
                <w:sz w:val="24"/>
                <w:szCs w:val="24"/>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540" w:type="dxa"/>
            <w:vAlign w:val="bottom"/>
          </w:tcPr>
          <w:p>
            <w:pPr>
              <w:ind w:left="140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2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 per annum.</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6"/>
        </w:trPr>
        <w:tc>
          <w:tcPr>
            <w:tcW w:w="1080" w:type="dxa"/>
            <w:vAlign w:val="bottom"/>
          </w:tcPr>
          <w:p>
            <w:pPr>
              <w:spacing w:after="0"/>
              <w:rPr>
                <w:sz w:val="24"/>
                <w:szCs w:val="24"/>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3380" w:type="dxa"/>
            <w:vAlign w:val="bottom"/>
            <w:gridSpan w:val="10"/>
          </w:tcPr>
          <w:p>
            <w:pPr>
              <w:ind w:left="1400"/>
              <w:spacing w:after="0"/>
              <w:rPr>
                <w:sz w:val="20"/>
                <w:szCs w:val="20"/>
                <w:color w:val="auto"/>
              </w:rPr>
            </w:pPr>
            <w:r>
              <w:rPr>
                <w:rFonts w:ascii="Times New Roman" w:cs="Times New Roman" w:eastAsia="Times New Roman" w:hAnsi="Times New Roman"/>
                <w:sz w:val="18"/>
                <w:szCs w:val="18"/>
                <w:color w:val="auto"/>
                <w:w w:val="93"/>
              </w:rPr>
              <w:t>Payable semi-annually on  </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            and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7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40" w:type="dxa"/>
            <w:vAlign w:val="bottom"/>
          </w:tcPr>
          <w:p>
            <w:pPr>
              <w:ind w:left="140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Pr>
          <w:p>
            <w:pPr>
              <w:spacing w:after="0"/>
              <w:rPr>
                <w:sz w:val="18"/>
                <w:szCs w:val="18"/>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8"/>
              </w:rPr>
              <w:t>commencing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3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 2025, and interest will</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420" w:type="dxa"/>
            <w:vAlign w:val="bottom"/>
            <w:gridSpan w:val="5"/>
          </w:tcPr>
          <w:p>
            <w:pPr>
              <w:ind w:left="1400"/>
              <w:spacing w:after="0"/>
              <w:rPr>
                <w:sz w:val="20"/>
                <w:szCs w:val="20"/>
                <w:color w:val="auto"/>
              </w:rPr>
            </w:pPr>
            <w:r>
              <w:rPr>
                <w:rFonts w:ascii="Times New Roman" w:cs="Times New Roman" w:eastAsia="Times New Roman" w:hAnsi="Times New Roman"/>
                <w:sz w:val="18"/>
                <w:szCs w:val="18"/>
                <w:color w:val="auto"/>
                <w:w w:val="91"/>
              </w:rPr>
              <w:t>accrue from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2025.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5740" w:type="dxa"/>
            <w:vAlign w:val="bottom"/>
            <w:gridSpan w:val="14"/>
          </w:tcPr>
          <w:p>
            <w:pPr>
              <w:ind w:left="1400"/>
              <w:spacing w:after="0"/>
              <w:rPr>
                <w:sz w:val="20"/>
                <w:szCs w:val="20"/>
                <w:color w:val="auto"/>
              </w:rPr>
            </w:pPr>
            <w:r>
              <w:rPr>
                <w:rFonts w:ascii="Times New Roman" w:cs="Times New Roman" w:eastAsia="Times New Roman" w:hAnsi="Times New Roman"/>
                <w:sz w:val="18"/>
                <w:szCs w:val="18"/>
                <w:color w:val="auto"/>
              </w:rPr>
              <w:t>At our option, we may redeem all or a part of the notes</w:t>
            </w:r>
          </w:p>
        </w:tc>
        <w:tc>
          <w:tcPr>
            <w:tcW w:w="1040" w:type="dxa"/>
            <w:vAlign w:val="bottom"/>
          </w:tcPr>
          <w:p>
            <w:pPr>
              <w:spacing w:after="0"/>
              <w:rPr>
                <w:sz w:val="24"/>
                <w:szCs w:val="24"/>
                <w:color w:val="auto"/>
              </w:rPr>
            </w:pPr>
          </w:p>
        </w:tc>
      </w:tr>
      <w:tr>
        <w:trPr>
          <w:trHeight w:val="214"/>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740" w:type="dxa"/>
            <w:vAlign w:val="bottom"/>
            <w:gridSpan w:val="14"/>
          </w:tcPr>
          <w:p>
            <w:pPr>
              <w:ind w:left="1400"/>
              <w:spacing w:after="0"/>
              <w:rPr>
                <w:sz w:val="20"/>
                <w:szCs w:val="20"/>
                <w:color w:val="auto"/>
              </w:rPr>
            </w:pPr>
            <w:r>
              <w:rPr>
                <w:rFonts w:ascii="Times New Roman" w:cs="Times New Roman" w:eastAsia="Times New Roman" w:hAnsi="Times New Roman"/>
                <w:sz w:val="18"/>
                <w:szCs w:val="18"/>
                <w:color w:val="auto"/>
              </w:rPr>
              <w:t>at any time at the redemption prices set forth in this</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740" w:type="dxa"/>
            <w:vAlign w:val="bottom"/>
            <w:gridSpan w:val="14"/>
          </w:tcPr>
          <w:p>
            <w:pPr>
              <w:ind w:left="1400"/>
              <w:spacing w:after="0"/>
              <w:rPr>
                <w:sz w:val="20"/>
                <w:szCs w:val="20"/>
                <w:color w:val="auto"/>
              </w:rPr>
            </w:pPr>
            <w:r>
              <w:rPr>
                <w:rFonts w:ascii="Times New Roman" w:cs="Times New Roman" w:eastAsia="Times New Roman" w:hAnsi="Times New Roman"/>
                <w:sz w:val="18"/>
                <w:szCs w:val="18"/>
                <w:color w:val="auto"/>
              </w:rPr>
              <w:t>prospectus supplement. See “</w:t>
            </w:r>
            <w:r>
              <w:rPr>
                <w:rFonts w:ascii="Times New Roman" w:cs="Times New Roman" w:eastAsia="Times New Roman" w:hAnsi="Times New Roman"/>
                <w:sz w:val="18"/>
                <w:szCs w:val="18"/>
                <w:i w:val="1"/>
                <w:iCs w:val="1"/>
                <w:color w:val="auto"/>
              </w:rPr>
              <w:t>Description of Notes</w:t>
            </w: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r>
      <w:tr>
        <w:trPr>
          <w:trHeight w:val="236"/>
        </w:trPr>
        <w:tc>
          <w:tcPr>
            <w:tcW w:w="10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200" w:type="dxa"/>
            <w:vAlign w:val="bottom"/>
            <w:gridSpan w:val="9"/>
          </w:tcPr>
          <w:p>
            <w:pPr>
              <w:ind w:left="1400"/>
              <w:spacing w:after="0"/>
              <w:rPr>
                <w:sz w:val="20"/>
                <w:szCs w:val="20"/>
                <w:color w:val="auto"/>
              </w:rPr>
            </w:pP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3"/>
        </w:trPr>
        <w:tc>
          <w:tcPr>
            <w:tcW w:w="1080" w:type="dxa"/>
            <w:vAlign w:val="bottom"/>
          </w:tcPr>
          <w:p>
            <w:pPr>
              <w:spacing w:after="0"/>
              <w:rPr>
                <w:sz w:val="24"/>
                <w:szCs w:val="24"/>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Subsidiary Guarantor</w:t>
            </w:r>
          </w:p>
        </w:tc>
        <w:tc>
          <w:tcPr>
            <w:tcW w:w="5740" w:type="dxa"/>
            <w:vAlign w:val="bottom"/>
            <w:gridSpan w:val="14"/>
          </w:tcPr>
          <w:p>
            <w:pPr>
              <w:ind w:left="1400"/>
              <w:spacing w:after="0"/>
              <w:rPr>
                <w:sz w:val="20"/>
                <w:szCs w:val="20"/>
                <w:color w:val="auto"/>
              </w:rPr>
            </w:pPr>
            <w:r>
              <w:rPr>
                <w:rFonts w:ascii="Times New Roman" w:cs="Times New Roman" w:eastAsia="Times New Roman" w:hAnsi="Times New Roman"/>
                <w:sz w:val="18"/>
                <w:szCs w:val="18"/>
                <w:color w:val="auto"/>
              </w:rPr>
              <w:t>The notes will be guaranteed by Diamondback E&amp;P</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740" w:type="dxa"/>
            <w:vAlign w:val="bottom"/>
            <w:gridSpan w:val="14"/>
          </w:tcPr>
          <w:p>
            <w:pPr>
              <w:ind w:left="1400"/>
              <w:spacing w:after="0"/>
              <w:rPr>
                <w:sz w:val="20"/>
                <w:szCs w:val="20"/>
                <w:color w:val="auto"/>
              </w:rPr>
            </w:pPr>
            <w:r>
              <w:rPr>
                <w:rFonts w:ascii="Times New Roman" w:cs="Times New Roman" w:eastAsia="Times New Roman" w:hAnsi="Times New Roman"/>
                <w:sz w:val="18"/>
                <w:szCs w:val="18"/>
                <w:color w:val="auto"/>
              </w:rPr>
              <w:t>LLC (such entity during the period (and only during</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740" w:type="dxa"/>
            <w:vAlign w:val="bottom"/>
            <w:gridSpan w:val="14"/>
          </w:tcPr>
          <w:p>
            <w:pPr>
              <w:ind w:left="1400"/>
              <w:spacing w:after="0"/>
              <w:rPr>
                <w:sz w:val="20"/>
                <w:szCs w:val="20"/>
                <w:color w:val="auto"/>
              </w:rPr>
            </w:pPr>
            <w:r>
              <w:rPr>
                <w:rFonts w:ascii="Times New Roman" w:cs="Times New Roman" w:eastAsia="Times New Roman" w:hAnsi="Times New Roman"/>
                <w:sz w:val="18"/>
                <w:szCs w:val="18"/>
                <w:color w:val="auto"/>
              </w:rPr>
              <w:t>such period) that the subsidiary guarantee is in effect as</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980" w:type="dxa"/>
            <w:vAlign w:val="bottom"/>
            <w:gridSpan w:val="13"/>
          </w:tcPr>
          <w:p>
            <w:pPr>
              <w:ind w:left="1400"/>
              <w:spacing w:after="0"/>
              <w:rPr>
                <w:sz w:val="20"/>
                <w:szCs w:val="20"/>
                <w:color w:val="auto"/>
              </w:rPr>
            </w:pPr>
            <w:r>
              <w:rPr>
                <w:rFonts w:ascii="Times New Roman" w:cs="Times New Roman" w:eastAsia="Times New Roman" w:hAnsi="Times New Roman"/>
                <w:sz w:val="18"/>
                <w:szCs w:val="18"/>
                <w:color w:val="auto"/>
              </w:rPr>
              <w:t>to the notes, the “Subsidiary Guarantor” and the</w:t>
            </w: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740" w:type="dxa"/>
            <w:vAlign w:val="bottom"/>
            <w:gridSpan w:val="14"/>
          </w:tcPr>
          <w:p>
            <w:pPr>
              <w:ind w:left="1400"/>
              <w:spacing w:after="0"/>
              <w:rPr>
                <w:sz w:val="20"/>
                <w:szCs w:val="20"/>
                <w:color w:val="auto"/>
              </w:rPr>
            </w:pPr>
            <w:r>
              <w:rPr>
                <w:rFonts w:ascii="Times New Roman" w:cs="Times New Roman" w:eastAsia="Times New Roman" w:hAnsi="Times New Roman"/>
                <w:sz w:val="18"/>
                <w:szCs w:val="18"/>
                <w:color w:val="auto"/>
              </w:rPr>
              <w:t>Subsidiary Guarantor’s guarantee of the notes, the</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740" w:type="dxa"/>
            <w:vAlign w:val="bottom"/>
            <w:gridSpan w:val="14"/>
          </w:tcPr>
          <w:p>
            <w:pPr>
              <w:ind w:left="1400"/>
              <w:spacing w:after="0"/>
              <w:rPr>
                <w:sz w:val="20"/>
                <w:szCs w:val="20"/>
                <w:color w:val="auto"/>
              </w:rPr>
            </w:pPr>
            <w:r>
              <w:rPr>
                <w:rFonts w:ascii="Times New Roman" w:cs="Times New Roman" w:eastAsia="Times New Roman" w:hAnsi="Times New Roman"/>
                <w:sz w:val="18"/>
                <w:szCs w:val="18"/>
                <w:color w:val="auto"/>
              </w:rPr>
              <w:t>“subsidiary guarantee”), and the subsidiary guarantee</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740" w:type="dxa"/>
            <w:vAlign w:val="bottom"/>
            <w:gridSpan w:val="14"/>
          </w:tcPr>
          <w:p>
            <w:pPr>
              <w:ind w:left="1400"/>
              <w:spacing w:after="0"/>
              <w:rPr>
                <w:sz w:val="20"/>
                <w:szCs w:val="20"/>
                <w:color w:val="auto"/>
              </w:rPr>
            </w:pPr>
            <w:r>
              <w:rPr>
                <w:rFonts w:ascii="Times New Roman" w:cs="Times New Roman" w:eastAsia="Times New Roman" w:hAnsi="Times New Roman"/>
                <w:sz w:val="18"/>
                <w:szCs w:val="18"/>
                <w:color w:val="auto"/>
              </w:rPr>
              <w:t>will be “full and unconditional,” as that term is used in</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740" w:type="dxa"/>
            <w:vAlign w:val="bottom"/>
            <w:gridSpan w:val="14"/>
          </w:tcPr>
          <w:p>
            <w:pPr>
              <w:ind w:left="1400"/>
              <w:spacing w:after="0"/>
              <w:rPr>
                <w:sz w:val="20"/>
                <w:szCs w:val="20"/>
                <w:color w:val="auto"/>
              </w:rPr>
            </w:pPr>
            <w:r>
              <w:rPr>
                <w:rFonts w:ascii="Times New Roman" w:cs="Times New Roman" w:eastAsia="Times New Roman" w:hAnsi="Times New Roman"/>
                <w:sz w:val="18"/>
                <w:szCs w:val="18"/>
                <w:color w:val="auto"/>
              </w:rPr>
              <w:t>Regulation S-X, Rule 3-10(b)(3). In the future, the</w:t>
            </w:r>
          </w:p>
        </w:tc>
        <w:tc>
          <w:tcPr>
            <w:tcW w:w="1040" w:type="dxa"/>
            <w:vAlign w:val="bottom"/>
          </w:tcPr>
          <w:p>
            <w:pPr>
              <w:spacing w:after="0"/>
              <w:rPr>
                <w:sz w:val="18"/>
                <w:szCs w:val="18"/>
                <w:color w:val="auto"/>
              </w:rPr>
            </w:pPr>
          </w:p>
        </w:tc>
      </w:tr>
      <w:tr>
        <w:trPr>
          <w:trHeight w:val="214"/>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740" w:type="dxa"/>
            <w:vAlign w:val="bottom"/>
            <w:gridSpan w:val="14"/>
          </w:tcPr>
          <w:p>
            <w:pPr>
              <w:ind w:left="1400"/>
              <w:spacing w:after="0"/>
              <w:rPr>
                <w:sz w:val="20"/>
                <w:szCs w:val="20"/>
                <w:color w:val="auto"/>
              </w:rPr>
            </w:pPr>
            <w:r>
              <w:rPr>
                <w:rFonts w:ascii="Times New Roman" w:cs="Times New Roman" w:eastAsia="Times New Roman" w:hAnsi="Times New Roman"/>
                <w:sz w:val="18"/>
                <w:szCs w:val="18"/>
                <w:color w:val="auto"/>
              </w:rPr>
              <w:t>subsidiary guarantee may be released or terminated</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740" w:type="dxa"/>
            <w:vAlign w:val="bottom"/>
            <w:gridSpan w:val="14"/>
          </w:tcPr>
          <w:p>
            <w:pPr>
              <w:ind w:left="1400"/>
              <w:spacing w:after="0"/>
              <w:rPr>
                <w:sz w:val="20"/>
                <w:szCs w:val="20"/>
                <w:color w:val="auto"/>
              </w:rPr>
            </w:pPr>
            <w:r>
              <w:rPr>
                <w:rFonts w:ascii="Times New Roman" w:cs="Times New Roman" w:eastAsia="Times New Roman" w:hAnsi="Times New Roman"/>
                <w:sz w:val="18"/>
                <w:szCs w:val="18"/>
                <w:color w:val="auto"/>
              </w:rPr>
              <w:t>under certain circumstances. See “</w:t>
            </w:r>
            <w:r>
              <w:rPr>
                <w:rFonts w:ascii="Times New Roman" w:cs="Times New Roman" w:eastAsia="Times New Roman" w:hAnsi="Times New Roman"/>
                <w:sz w:val="18"/>
                <w:szCs w:val="18"/>
                <w:i w:val="1"/>
                <w:iCs w:val="1"/>
                <w:color w:val="auto"/>
              </w:rPr>
              <w:t>Description of Notes</w:t>
            </w:r>
          </w:p>
        </w:tc>
        <w:tc>
          <w:tcPr>
            <w:tcW w:w="1040" w:type="dxa"/>
            <w:vAlign w:val="bottom"/>
          </w:tcPr>
          <w:p>
            <w:pPr>
              <w:spacing w:after="0"/>
              <w:rPr>
                <w:sz w:val="18"/>
                <w:szCs w:val="18"/>
                <w:color w:val="auto"/>
              </w:rPr>
            </w:pPr>
          </w:p>
        </w:tc>
      </w:tr>
      <w:tr>
        <w:trPr>
          <w:trHeight w:val="236"/>
        </w:trPr>
        <w:tc>
          <w:tcPr>
            <w:tcW w:w="10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380" w:type="dxa"/>
            <w:vAlign w:val="bottom"/>
            <w:gridSpan w:val="10"/>
          </w:tcPr>
          <w:p>
            <w:pPr>
              <w:ind w:left="1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Ranking</w:t>
            </w:r>
          </w:p>
        </w:tc>
        <w:tc>
          <w:tcPr>
            <w:tcW w:w="5740" w:type="dxa"/>
            <w:vAlign w:val="bottom"/>
            <w:gridSpan w:val="14"/>
          </w:tcPr>
          <w:p>
            <w:pPr>
              <w:ind w:left="1400"/>
              <w:spacing w:after="0"/>
              <w:rPr>
                <w:sz w:val="20"/>
                <w:szCs w:val="20"/>
                <w:color w:val="auto"/>
              </w:rPr>
            </w:pPr>
            <w:r>
              <w:rPr>
                <w:rFonts w:ascii="Times New Roman" w:cs="Times New Roman" w:eastAsia="Times New Roman" w:hAnsi="Times New Roman"/>
                <w:sz w:val="18"/>
                <w:szCs w:val="18"/>
                <w:color w:val="auto"/>
              </w:rPr>
              <w:t>The notes and the subsidiary guarantee will be our and</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740" w:type="dxa"/>
            <w:vAlign w:val="bottom"/>
            <w:gridSpan w:val="14"/>
          </w:tcPr>
          <w:p>
            <w:pPr>
              <w:ind w:left="1400"/>
              <w:spacing w:after="0"/>
              <w:rPr>
                <w:sz w:val="20"/>
                <w:szCs w:val="20"/>
                <w:color w:val="auto"/>
              </w:rPr>
            </w:pPr>
            <w:r>
              <w:rPr>
                <w:rFonts w:ascii="Times New Roman" w:cs="Times New Roman" w:eastAsia="Times New Roman" w:hAnsi="Times New Roman"/>
                <w:sz w:val="18"/>
                <w:szCs w:val="18"/>
                <w:color w:val="auto"/>
              </w:rPr>
              <w:t>the Subsidiary Guarantor’s respective senior unsecured</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000" w:type="dxa"/>
            <w:vAlign w:val="bottom"/>
            <w:gridSpan w:val="8"/>
          </w:tcPr>
          <w:p>
            <w:pPr>
              <w:ind w:left="1400"/>
              <w:spacing w:after="0"/>
              <w:rPr>
                <w:sz w:val="20"/>
                <w:szCs w:val="20"/>
                <w:color w:val="auto"/>
              </w:rPr>
            </w:pPr>
            <w:r>
              <w:rPr>
                <w:rFonts w:ascii="Times New Roman" w:cs="Times New Roman" w:eastAsia="Times New Roman" w:hAnsi="Times New Roman"/>
                <w:sz w:val="18"/>
                <w:szCs w:val="18"/>
                <w:color w:val="auto"/>
              </w:rPr>
              <w:t>obligations and will:</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06"/>
        </w:trPr>
        <w:tc>
          <w:tcPr>
            <w:tcW w:w="10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5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10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rank equally in right of payment with all of our and</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the Subsidiary Guarantor’s respective existing and</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future senior indebtedness, including our</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outstanding senior notes and the Subsidiary</w:t>
            </w: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Guarantor’s guarantees thereof and all of the</w:t>
            </w: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Subsidiary Guarantor’s obligations under its</w:t>
            </w: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revolving credit facility, term loan facility and (if</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obtained and funded) proposed term loan facility</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and our guarantees thereof;</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06"/>
        </w:trPr>
        <w:tc>
          <w:tcPr>
            <w:tcW w:w="10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5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10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rank senior in right of payment to any of our and</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the Subsidiary Guarantor’s future indebtedness that</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is expressly subordinated in right of payment to the</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0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notes and the subsidiary guarantee, respectively;</w:t>
            </w:r>
          </w:p>
        </w:tc>
        <w:tc>
          <w:tcPr>
            <w:tcW w:w="1040" w:type="dxa"/>
            <w:vAlign w:val="bottom"/>
          </w:tcPr>
          <w:p>
            <w:pPr>
              <w:spacing w:after="0"/>
              <w:rPr>
                <w:sz w:val="20"/>
                <w:szCs w:val="20"/>
                <w:color w:val="auto"/>
              </w:rPr>
            </w:pPr>
          </w:p>
        </w:tc>
      </w:tr>
      <w:tr>
        <w:trPr>
          <w:trHeight w:val="306"/>
        </w:trPr>
        <w:tc>
          <w:tcPr>
            <w:tcW w:w="10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5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10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be effectively subordinated to any of our and the</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Subsidiary Guarantor’s existing and future secured</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indebtedness, if any, to the extent of the value of</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0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the collateral securing such indebtedness; and</w:t>
            </w:r>
          </w:p>
        </w:tc>
        <w:tc>
          <w:tcPr>
            <w:tcW w:w="1040" w:type="dxa"/>
            <w:vAlign w:val="bottom"/>
          </w:tcPr>
          <w:p>
            <w:pPr>
              <w:spacing w:after="0"/>
              <w:rPr>
                <w:sz w:val="20"/>
                <w:szCs w:val="20"/>
                <w:color w:val="auto"/>
              </w:rPr>
            </w:pPr>
          </w:p>
        </w:tc>
      </w:tr>
      <w:tr>
        <w:trPr>
          <w:trHeight w:val="213"/>
        </w:trPr>
        <w:tc>
          <w:tcPr>
            <w:tcW w:w="1080" w:type="dxa"/>
            <w:vAlign w:val="bottom"/>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0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5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10" w:name="page11"/>
    <w:bookmarkEnd w:id="10"/>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100" w:type="dxa"/>
            <w:vAlign w:val="bottom"/>
            <w:tcBorders>
              <w:right w:val="single" w:sz="8" w:color="auto"/>
            </w:tcBorders>
          </w:tcPr>
          <w:p>
            <w:pPr>
              <w:spacing w:after="0"/>
              <w:rPr>
                <w:sz w:val="24"/>
                <w:szCs w:val="24"/>
                <w:color w:val="auto"/>
              </w:rPr>
            </w:pPr>
          </w:p>
        </w:tc>
        <w:tc>
          <w:tcPr>
            <w:tcW w:w="35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4140" w:type="dxa"/>
            <w:vAlign w:val="bottom"/>
            <w:tcBorders>
              <w:top w:val="single" w:sz="8" w:color="auto"/>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be structurally subordinated to all of the existing</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14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and future indebtedness and other liabilities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14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(including trade payables) of each of our</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14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subsidiaries that is not a guarantor of the notes.</w:t>
            </w:r>
          </w:p>
        </w:tc>
        <w:tc>
          <w:tcPr>
            <w:tcW w:w="1040" w:type="dxa"/>
            <w:vAlign w:val="bottom"/>
          </w:tcPr>
          <w:p>
            <w:pPr>
              <w:spacing w:after="0"/>
              <w:rPr>
                <w:sz w:val="20"/>
                <w:szCs w:val="20"/>
                <w:color w:val="auto"/>
              </w:rPr>
            </w:pPr>
          </w:p>
        </w:tc>
      </w:tr>
      <w:tr>
        <w:trPr>
          <w:trHeight w:val="306"/>
        </w:trPr>
        <w:tc>
          <w:tcPr>
            <w:tcW w:w="1100" w:type="dxa"/>
            <w:vAlign w:val="bottom"/>
            <w:tcBorders>
              <w:right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As of December 31, 2024, after giving effect to this</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offering and assuming the incurrence of the proposed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term loan, in each case as described in this prospectus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supplement, our non-guarantor subsidiaries collectively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25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xml:space="preserve">would have had $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0"/>
              </w:rPr>
              <w:t> </w:t>
            </w:r>
          </w:p>
        </w:tc>
        <w:tc>
          <w:tcPr>
            <w:tcW w:w="22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billion of indebtedness and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other liabilities outstanding, and the Company and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Subsidiary Guarantor would have had no secured</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560" w:type="dxa"/>
            <w:vAlign w:val="bottom"/>
          </w:tcPr>
          <w:p>
            <w:pPr>
              <w:spacing w:after="0"/>
              <w:rPr>
                <w:sz w:val="20"/>
                <w:szCs w:val="20"/>
                <w:color w:val="auto"/>
              </w:rPr>
            </w:pPr>
          </w:p>
        </w:tc>
        <w:tc>
          <w:tcPr>
            <w:tcW w:w="286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w w:val="99"/>
              </w:rPr>
              <w:t>indebtedness outstanding.</w:t>
            </w:r>
          </w:p>
        </w:tc>
        <w:tc>
          <w:tcPr>
            <w:tcW w:w="18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1040" w:type="dxa"/>
            <w:vAlign w:val="bottom"/>
          </w:tcPr>
          <w:p>
            <w:pPr>
              <w:spacing w:after="0"/>
              <w:rPr>
                <w:sz w:val="20"/>
                <w:szCs w:val="20"/>
                <w:color w:val="auto"/>
              </w:rPr>
            </w:pPr>
          </w:p>
        </w:tc>
      </w:tr>
      <w:tr>
        <w:trPr>
          <w:trHeight w:val="333"/>
        </w:trPr>
        <w:tc>
          <w:tcPr>
            <w:tcW w:w="1100" w:type="dxa"/>
            <w:vAlign w:val="bottom"/>
            <w:tcBorders>
              <w:right w:val="single" w:sz="8" w:color="auto"/>
            </w:tcBorders>
          </w:tcPr>
          <w:p>
            <w:pPr>
              <w:spacing w:after="0"/>
              <w:rPr>
                <w:sz w:val="24"/>
                <w:szCs w:val="24"/>
                <w:color w:val="auto"/>
              </w:rPr>
            </w:pP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Covenants</w:t>
            </w: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We will issue the notes under the Indenture (as defined</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below), with Computershare Trust Company, National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Association, as trustee. The Indenture will, among other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things, limit our ability and the ability of our restricted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subsidiaries to incur liens securing indebtedness and our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ability to consolidate, merge or sell, convey, transfer or</w:t>
            </w:r>
          </w:p>
        </w:tc>
        <w:tc>
          <w:tcPr>
            <w:tcW w:w="1040" w:type="dxa"/>
            <w:vAlign w:val="bottom"/>
          </w:tcPr>
          <w:p>
            <w:pPr>
              <w:spacing w:after="0"/>
              <w:rPr>
                <w:sz w:val="18"/>
                <w:szCs w:val="18"/>
                <w:color w:val="auto"/>
              </w:rPr>
            </w:pPr>
          </w:p>
        </w:tc>
      </w:tr>
      <w:tr>
        <w:trPr>
          <w:trHeight w:val="214"/>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lease all or substantially all of our assets. See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Notes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Debt</w:t>
            </w:r>
          </w:p>
        </w:tc>
        <w:tc>
          <w:tcPr>
            <w:tcW w:w="1040" w:type="dxa"/>
            <w:vAlign w:val="bottom"/>
          </w:tcPr>
          <w:p>
            <w:pPr>
              <w:spacing w:after="0"/>
              <w:rPr>
                <w:sz w:val="18"/>
                <w:szCs w:val="18"/>
                <w:color w:val="auto"/>
              </w:rPr>
            </w:pPr>
          </w:p>
        </w:tc>
      </w:tr>
      <w:tr>
        <w:trPr>
          <w:trHeight w:val="236"/>
        </w:trPr>
        <w:tc>
          <w:tcPr>
            <w:tcW w:w="1100" w:type="dxa"/>
            <w:vAlign w:val="bottom"/>
            <w:tcBorders>
              <w:right w:val="single" w:sz="8" w:color="auto"/>
            </w:tcBorders>
          </w:tcPr>
          <w:p>
            <w:pPr>
              <w:spacing w:after="0"/>
              <w:rPr>
                <w:sz w:val="20"/>
                <w:szCs w:val="20"/>
                <w:color w:val="auto"/>
              </w:rPr>
            </w:pPr>
          </w:p>
        </w:tc>
        <w:tc>
          <w:tcPr>
            <w:tcW w:w="3560" w:type="dxa"/>
            <w:vAlign w:val="bottom"/>
          </w:tcPr>
          <w:p>
            <w:pPr>
              <w:spacing w:after="0"/>
              <w:rPr>
                <w:sz w:val="20"/>
                <w:szCs w:val="20"/>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in the accompanying prospectus.</w:t>
            </w:r>
          </w:p>
        </w:tc>
        <w:tc>
          <w:tcPr>
            <w:tcW w:w="1040" w:type="dxa"/>
            <w:vAlign w:val="bottom"/>
          </w:tcPr>
          <w:p>
            <w:pPr>
              <w:spacing w:after="0"/>
              <w:rPr>
                <w:sz w:val="20"/>
                <w:szCs w:val="20"/>
                <w:color w:val="auto"/>
              </w:rPr>
            </w:pPr>
          </w:p>
        </w:tc>
      </w:tr>
      <w:tr>
        <w:trPr>
          <w:trHeight w:val="346"/>
        </w:trPr>
        <w:tc>
          <w:tcPr>
            <w:tcW w:w="1100" w:type="dxa"/>
            <w:vAlign w:val="bottom"/>
            <w:tcBorders>
              <w:right w:val="single" w:sz="8" w:color="auto"/>
            </w:tcBorders>
          </w:tcPr>
          <w:p>
            <w:pPr>
              <w:spacing w:after="0"/>
              <w:rPr>
                <w:sz w:val="24"/>
                <w:szCs w:val="24"/>
                <w:color w:val="auto"/>
              </w:rPr>
            </w:pP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Absence of Public Market</w:t>
            </w: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The notes will be a new issue of securities with no</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established trading market. We do not intend to apply for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a listing of the notes on any securities exchange.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Accordingly, there can be no assurance as to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development or liquidity of any market for the notes.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The underwriters have advised us that they currently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intend to make a market in the notes. However, they are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not obligated to do so, and any market making with</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560" w:type="dxa"/>
            <w:vAlign w:val="bottom"/>
          </w:tcPr>
          <w:p>
            <w:pPr>
              <w:spacing w:after="0"/>
              <w:rPr>
                <w:sz w:val="20"/>
                <w:szCs w:val="20"/>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respect to the notes may be discontinued without notice.</w:t>
            </w:r>
          </w:p>
        </w:tc>
        <w:tc>
          <w:tcPr>
            <w:tcW w:w="1040" w:type="dxa"/>
            <w:vAlign w:val="bottom"/>
          </w:tcPr>
          <w:p>
            <w:pPr>
              <w:spacing w:after="0"/>
              <w:rPr>
                <w:sz w:val="20"/>
                <w:szCs w:val="20"/>
                <w:color w:val="auto"/>
              </w:rPr>
            </w:pPr>
          </w:p>
        </w:tc>
      </w:tr>
      <w:tr>
        <w:trPr>
          <w:trHeight w:val="346"/>
        </w:trPr>
        <w:tc>
          <w:tcPr>
            <w:tcW w:w="1100" w:type="dxa"/>
            <w:vAlign w:val="bottom"/>
            <w:tcBorders>
              <w:right w:val="single" w:sz="8" w:color="auto"/>
            </w:tcBorders>
          </w:tcPr>
          <w:p>
            <w:pPr>
              <w:spacing w:after="0"/>
              <w:rPr>
                <w:sz w:val="24"/>
                <w:szCs w:val="24"/>
                <w:color w:val="auto"/>
              </w:rPr>
            </w:pP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We estimate that the net proceeds from this offering will</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25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xml:space="preserve">be approximately $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2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billion, after deducting</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the underwriters’ discounts and estimated offering</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expenses. We intend to use the net proceeds from this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offering for general corporate purposes, including,</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without limitation, paying a portion of the cash</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consideration for the Double Eagle Acquisition and/or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paying related fees, costs and expenses. This offering is</w:t>
            </w:r>
          </w:p>
        </w:tc>
        <w:tc>
          <w:tcPr>
            <w:tcW w:w="1040" w:type="dxa"/>
            <w:vAlign w:val="bottom"/>
          </w:tcPr>
          <w:p>
            <w:pPr>
              <w:spacing w:after="0"/>
              <w:rPr>
                <w:sz w:val="18"/>
                <w:szCs w:val="18"/>
                <w:color w:val="auto"/>
              </w:rPr>
            </w:pPr>
          </w:p>
        </w:tc>
      </w:tr>
      <w:tr>
        <w:trPr>
          <w:trHeight w:val="214"/>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not contingent upon the closing of the Double Eagle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Acquisition. See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Pending</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i w:val="1"/>
                <w:iCs w:val="1"/>
                <w:color w:val="auto"/>
              </w:rPr>
              <w:t>Double Eagle Acquisition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and</w:t>
            </w:r>
          </w:p>
        </w:tc>
        <w:tc>
          <w:tcPr>
            <w:tcW w:w="1040" w:type="dxa"/>
            <w:vAlign w:val="bottom"/>
          </w:tcPr>
          <w:p>
            <w:pPr>
              <w:spacing w:after="0"/>
              <w:rPr>
                <w:sz w:val="18"/>
                <w:szCs w:val="18"/>
                <w:color w:val="auto"/>
              </w:rPr>
            </w:pPr>
          </w:p>
        </w:tc>
      </w:tr>
      <w:tr>
        <w:trPr>
          <w:trHeight w:val="236"/>
        </w:trPr>
        <w:tc>
          <w:tcPr>
            <w:tcW w:w="1100" w:type="dxa"/>
            <w:vAlign w:val="bottom"/>
            <w:tcBorders>
              <w:right w:val="single" w:sz="8" w:color="auto"/>
            </w:tcBorders>
          </w:tcPr>
          <w:p>
            <w:pPr>
              <w:spacing w:after="0"/>
              <w:rPr>
                <w:sz w:val="20"/>
                <w:szCs w:val="20"/>
                <w:color w:val="auto"/>
              </w:rPr>
            </w:pPr>
          </w:p>
        </w:tc>
        <w:tc>
          <w:tcPr>
            <w:tcW w:w="3560" w:type="dxa"/>
            <w:vAlign w:val="bottom"/>
          </w:tcPr>
          <w:p>
            <w:pPr>
              <w:spacing w:after="0"/>
              <w:rPr>
                <w:sz w:val="20"/>
                <w:szCs w:val="20"/>
                <w:color w:val="auto"/>
              </w:rPr>
            </w:pPr>
          </w:p>
        </w:tc>
        <w:tc>
          <w:tcPr>
            <w:tcW w:w="25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1040" w:type="dxa"/>
            <w:vAlign w:val="bottom"/>
          </w:tcPr>
          <w:p>
            <w:pPr>
              <w:spacing w:after="0"/>
              <w:rPr>
                <w:sz w:val="20"/>
                <w:szCs w:val="20"/>
                <w:color w:val="auto"/>
              </w:rPr>
            </w:pPr>
          </w:p>
        </w:tc>
      </w:tr>
      <w:tr>
        <w:trPr>
          <w:trHeight w:val="351"/>
        </w:trPr>
        <w:tc>
          <w:tcPr>
            <w:tcW w:w="1100" w:type="dxa"/>
            <w:vAlign w:val="bottom"/>
            <w:tcBorders>
              <w:right w:val="single" w:sz="8" w:color="auto"/>
            </w:tcBorders>
          </w:tcPr>
          <w:p>
            <w:pPr>
              <w:spacing w:after="0"/>
              <w:rPr>
                <w:sz w:val="24"/>
                <w:szCs w:val="24"/>
                <w:color w:val="auto"/>
              </w:rPr>
            </w:pP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25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State of New York.</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365"/>
        </w:trPr>
        <w:tc>
          <w:tcPr>
            <w:tcW w:w="1100" w:type="dxa"/>
            <w:vAlign w:val="bottom"/>
            <w:tcBorders>
              <w:right w:val="single" w:sz="8" w:color="auto"/>
            </w:tcBorders>
          </w:tcPr>
          <w:p>
            <w:pPr>
              <w:spacing w:after="0"/>
              <w:rPr>
                <w:sz w:val="24"/>
                <w:szCs w:val="24"/>
                <w:color w:val="auto"/>
              </w:rPr>
            </w:pP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Computershare Trust Company, National Association.</w:t>
            </w:r>
          </w:p>
        </w:tc>
        <w:tc>
          <w:tcPr>
            <w:tcW w:w="1040" w:type="dxa"/>
            <w:vAlign w:val="bottom"/>
          </w:tcPr>
          <w:p>
            <w:pPr>
              <w:spacing w:after="0"/>
              <w:rPr>
                <w:sz w:val="24"/>
                <w:szCs w:val="24"/>
                <w:color w:val="auto"/>
              </w:rPr>
            </w:pPr>
          </w:p>
        </w:tc>
      </w:tr>
      <w:tr>
        <w:trPr>
          <w:trHeight w:val="346"/>
        </w:trPr>
        <w:tc>
          <w:tcPr>
            <w:tcW w:w="1100" w:type="dxa"/>
            <w:vAlign w:val="bottom"/>
            <w:tcBorders>
              <w:right w:val="single" w:sz="8" w:color="auto"/>
            </w:tcBorders>
          </w:tcPr>
          <w:p>
            <w:pPr>
              <w:spacing w:after="0"/>
              <w:rPr>
                <w:sz w:val="24"/>
                <w:szCs w:val="24"/>
                <w:color w:val="auto"/>
              </w:rPr>
            </w:pPr>
          </w:p>
        </w:tc>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Form, Delivery and Denomination</w:t>
            </w: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The notes will be represented by one or more global</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notes registered in the name of DTC or its nominee.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Beneficial interests in the notes will be evidenced by,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and transfers thereof will be effected only through,</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records maintained by participants in DTC. The notes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560" w:type="dxa"/>
            <w:vAlign w:val="bottom"/>
          </w:tcPr>
          <w:p>
            <w:pPr>
              <w:spacing w:after="0"/>
              <w:rPr>
                <w:sz w:val="18"/>
                <w:szCs w:val="18"/>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will be issued in minimum denominations of $2,000 and</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560" w:type="dxa"/>
            <w:vAlign w:val="bottom"/>
          </w:tcPr>
          <w:p>
            <w:pPr>
              <w:spacing w:after="0"/>
              <w:rPr>
                <w:sz w:val="20"/>
                <w:szCs w:val="20"/>
                <w:color w:val="auto"/>
              </w:rPr>
            </w:pPr>
          </w:p>
        </w:tc>
        <w:tc>
          <w:tcPr>
            <w:tcW w:w="5320" w:type="dxa"/>
            <w:vAlign w:val="bottom"/>
            <w:tcBorders>
              <w:right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color w:val="auto"/>
              </w:rPr>
              <w:t>any integral multiple of $1,000 in excess thereof.</w:t>
            </w:r>
          </w:p>
        </w:tc>
        <w:tc>
          <w:tcPr>
            <w:tcW w:w="1040" w:type="dxa"/>
            <w:vAlign w:val="bottom"/>
          </w:tcPr>
          <w:p>
            <w:pPr>
              <w:spacing w:after="0"/>
              <w:rPr>
                <w:sz w:val="20"/>
                <w:szCs w:val="20"/>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3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S-5</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110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1" w:name="page12"/>
    <w:bookmarkEnd w:id="11"/>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100" w:type="dxa"/>
            <w:vAlign w:val="bottom"/>
            <w:tcBorders>
              <w:right w:val="single" w:sz="8" w:color="auto"/>
            </w:tcBorders>
          </w:tcPr>
          <w:p>
            <w:pPr>
              <w:spacing w:after="0"/>
              <w:rPr>
                <w:sz w:val="24"/>
                <w:szCs w:val="24"/>
                <w:color w:val="auto"/>
              </w:rPr>
            </w:pPr>
          </w:p>
        </w:tc>
        <w:tc>
          <w:tcPr>
            <w:tcW w:w="334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Issuance of Additional Notes</w:t>
            </w:r>
          </w:p>
        </w:tc>
        <w:tc>
          <w:tcPr>
            <w:tcW w:w="5540" w:type="dxa"/>
            <w:vAlign w:val="bottom"/>
            <w:tcBorders>
              <w:top w:val="single" w:sz="8" w:color="auto"/>
              <w:right w:val="single" w:sz="8" w:color="auto"/>
            </w:tcBorders>
            <w:gridSpan w:val="4"/>
          </w:tcPr>
          <w:p>
            <w:pPr>
              <w:ind w:left="1200"/>
              <w:spacing w:after="0"/>
              <w:rPr>
                <w:sz w:val="20"/>
                <w:szCs w:val="20"/>
                <w:color w:val="auto"/>
              </w:rPr>
            </w:pPr>
            <w:r>
              <w:rPr>
                <w:rFonts w:ascii="Times New Roman" w:cs="Times New Roman" w:eastAsia="Times New Roman" w:hAnsi="Times New Roman"/>
                <w:sz w:val="18"/>
                <w:szCs w:val="18"/>
                <w:color w:val="auto"/>
              </w:rPr>
              <w:t>We may issue an unlimited principal amount of</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5540" w:type="dxa"/>
            <w:vAlign w:val="bottom"/>
            <w:tcBorders>
              <w:right w:val="single" w:sz="8" w:color="auto"/>
            </w:tcBorders>
            <w:gridSpan w:val="4"/>
          </w:tcPr>
          <w:p>
            <w:pPr>
              <w:ind w:left="1200"/>
              <w:spacing w:after="0"/>
              <w:rPr>
                <w:sz w:val="20"/>
                <w:szCs w:val="20"/>
                <w:color w:val="auto"/>
              </w:rPr>
            </w:pPr>
            <w:r>
              <w:rPr>
                <w:rFonts w:ascii="Times New Roman" w:cs="Times New Roman" w:eastAsia="Times New Roman" w:hAnsi="Times New Roman"/>
                <w:sz w:val="18"/>
                <w:szCs w:val="18"/>
                <w:color w:val="auto"/>
              </w:rPr>
              <w:t>additional notes having identical terms and conditions as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5540" w:type="dxa"/>
            <w:vAlign w:val="bottom"/>
            <w:tcBorders>
              <w:right w:val="single" w:sz="8" w:color="auto"/>
            </w:tcBorders>
            <w:gridSpan w:val="4"/>
          </w:tcPr>
          <w:p>
            <w:pPr>
              <w:ind w:left="1200"/>
              <w:spacing w:after="0"/>
              <w:rPr>
                <w:sz w:val="20"/>
                <w:szCs w:val="20"/>
                <w:color w:val="auto"/>
              </w:rPr>
            </w:pPr>
            <w:r>
              <w:rPr>
                <w:rFonts w:ascii="Times New Roman" w:cs="Times New Roman" w:eastAsia="Times New Roman" w:hAnsi="Times New Roman"/>
                <w:sz w:val="18"/>
                <w:szCs w:val="18"/>
                <w:color w:val="auto"/>
              </w:rPr>
              <w:t>the notes, other than issue date, issue price,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5540" w:type="dxa"/>
            <w:vAlign w:val="bottom"/>
            <w:tcBorders>
              <w:right w:val="single" w:sz="8" w:color="auto"/>
            </w:tcBorders>
            <w:gridSpan w:val="4"/>
          </w:tcPr>
          <w:p>
            <w:pPr>
              <w:ind w:left="1200"/>
              <w:spacing w:after="0"/>
              <w:rPr>
                <w:sz w:val="20"/>
                <w:szCs w:val="20"/>
                <w:color w:val="auto"/>
              </w:rPr>
            </w:pPr>
            <w:r>
              <w:rPr>
                <w:rFonts w:ascii="Times New Roman" w:cs="Times New Roman" w:eastAsia="Times New Roman" w:hAnsi="Times New Roman"/>
                <w:sz w:val="18"/>
                <w:szCs w:val="18"/>
                <w:color w:val="auto"/>
              </w:rPr>
              <w:t>first interest payment date and the date from which</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5540" w:type="dxa"/>
            <w:vAlign w:val="bottom"/>
            <w:tcBorders>
              <w:right w:val="single" w:sz="8" w:color="auto"/>
            </w:tcBorders>
            <w:gridSpan w:val="4"/>
          </w:tcPr>
          <w:p>
            <w:pPr>
              <w:ind w:left="1200"/>
              <w:spacing w:after="0"/>
              <w:rPr>
                <w:sz w:val="20"/>
                <w:szCs w:val="20"/>
                <w:color w:val="auto"/>
              </w:rPr>
            </w:pPr>
            <w:r>
              <w:rPr>
                <w:rFonts w:ascii="Times New Roman" w:cs="Times New Roman" w:eastAsia="Times New Roman" w:hAnsi="Times New Roman"/>
                <w:sz w:val="18"/>
                <w:szCs w:val="18"/>
                <w:color w:val="auto"/>
              </w:rPr>
              <w:t>interest shall accrue, and any such additional notes will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5540" w:type="dxa"/>
            <w:vAlign w:val="bottom"/>
            <w:tcBorders>
              <w:right w:val="single" w:sz="8" w:color="auto"/>
            </w:tcBorders>
            <w:gridSpan w:val="4"/>
          </w:tcPr>
          <w:p>
            <w:pPr>
              <w:ind w:left="1200"/>
              <w:spacing w:after="0"/>
              <w:rPr>
                <w:sz w:val="20"/>
                <w:szCs w:val="20"/>
                <w:color w:val="auto"/>
              </w:rPr>
            </w:pPr>
            <w:r>
              <w:rPr>
                <w:rFonts w:ascii="Times New Roman" w:cs="Times New Roman" w:eastAsia="Times New Roman" w:hAnsi="Times New Roman"/>
                <w:sz w:val="18"/>
                <w:szCs w:val="18"/>
                <w:color w:val="auto"/>
              </w:rPr>
              <w:t>be part of the notes that we are currently offering and</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5540" w:type="dxa"/>
            <w:vAlign w:val="bottom"/>
            <w:tcBorders>
              <w:right w:val="single" w:sz="8" w:color="auto"/>
            </w:tcBorders>
            <w:gridSpan w:val="4"/>
          </w:tcPr>
          <w:p>
            <w:pPr>
              <w:ind w:left="1200"/>
              <w:spacing w:after="0"/>
              <w:rPr>
                <w:sz w:val="20"/>
                <w:szCs w:val="20"/>
                <w:color w:val="auto"/>
              </w:rPr>
            </w:pPr>
            <w:r>
              <w:rPr>
                <w:rFonts w:ascii="Times New Roman" w:cs="Times New Roman" w:eastAsia="Times New Roman" w:hAnsi="Times New Roman"/>
                <w:sz w:val="18"/>
                <w:szCs w:val="18"/>
                <w:color w:val="auto"/>
              </w:rPr>
              <w:t>will vote on all matters with the holders of the notes.</w:t>
            </w:r>
          </w:p>
        </w:tc>
        <w:tc>
          <w:tcPr>
            <w:tcW w:w="1040" w:type="dxa"/>
            <w:vAlign w:val="bottom"/>
          </w:tcPr>
          <w:p>
            <w:pPr>
              <w:spacing w:after="0"/>
              <w:rPr>
                <w:sz w:val="20"/>
                <w:szCs w:val="20"/>
                <w:color w:val="auto"/>
              </w:rPr>
            </w:pPr>
          </w:p>
        </w:tc>
      </w:tr>
      <w:tr>
        <w:trPr>
          <w:trHeight w:val="333"/>
        </w:trPr>
        <w:tc>
          <w:tcPr>
            <w:tcW w:w="1100" w:type="dxa"/>
            <w:vAlign w:val="bottom"/>
            <w:tcBorders>
              <w:right w:val="single" w:sz="8" w:color="auto"/>
            </w:tcBorders>
          </w:tcPr>
          <w:p>
            <w:pPr>
              <w:spacing w:after="0"/>
              <w:rPr>
                <w:sz w:val="24"/>
                <w:szCs w:val="24"/>
                <w:color w:val="auto"/>
              </w:rPr>
            </w:pPr>
          </w:p>
        </w:tc>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5540" w:type="dxa"/>
            <w:vAlign w:val="bottom"/>
            <w:tcBorders>
              <w:right w:val="single" w:sz="8" w:color="auto"/>
            </w:tcBorders>
            <w:gridSpan w:val="4"/>
          </w:tcPr>
          <w:p>
            <w:pPr>
              <w:ind w:left="1200"/>
              <w:spacing w:after="0"/>
              <w:rPr>
                <w:sz w:val="20"/>
                <w:szCs w:val="20"/>
                <w:color w:val="auto"/>
              </w:rPr>
            </w:pPr>
            <w:r>
              <w:rPr>
                <w:rFonts w:ascii="Times New Roman" w:cs="Times New Roman" w:eastAsia="Times New Roman" w:hAnsi="Times New Roman"/>
                <w:sz w:val="18"/>
                <w:szCs w:val="18"/>
                <w:color w:val="auto"/>
              </w:rPr>
              <w:t>In evaluating an investment in the notes, prospective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5540" w:type="dxa"/>
            <w:vAlign w:val="bottom"/>
            <w:tcBorders>
              <w:right w:val="single" w:sz="8" w:color="auto"/>
            </w:tcBorders>
            <w:gridSpan w:val="4"/>
          </w:tcPr>
          <w:p>
            <w:pPr>
              <w:ind w:left="1200"/>
              <w:spacing w:after="0"/>
              <w:rPr>
                <w:sz w:val="20"/>
                <w:szCs w:val="20"/>
                <w:color w:val="auto"/>
              </w:rPr>
            </w:pPr>
            <w:r>
              <w:rPr>
                <w:rFonts w:ascii="Times New Roman" w:cs="Times New Roman" w:eastAsia="Times New Roman" w:hAnsi="Times New Roman"/>
                <w:sz w:val="18"/>
                <w:szCs w:val="18"/>
                <w:color w:val="auto"/>
              </w:rPr>
              <w:t>investors should carefully consider, along with the other</w:t>
            </w:r>
          </w:p>
        </w:tc>
        <w:tc>
          <w:tcPr>
            <w:tcW w:w="1040" w:type="dxa"/>
            <w:vAlign w:val="bottom"/>
          </w:tcPr>
          <w:p>
            <w:pPr>
              <w:spacing w:after="0"/>
              <w:rPr>
                <w:sz w:val="18"/>
                <w:szCs w:val="18"/>
                <w:color w:val="auto"/>
              </w:rPr>
            </w:pPr>
          </w:p>
        </w:tc>
      </w:tr>
      <w:tr>
        <w:trPr>
          <w:trHeight w:val="214"/>
        </w:trPr>
        <w:tc>
          <w:tcPr>
            <w:tcW w:w="1100" w:type="dxa"/>
            <w:vAlign w:val="bottom"/>
            <w:tcBorders>
              <w:right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5540" w:type="dxa"/>
            <w:vAlign w:val="bottom"/>
            <w:tcBorders>
              <w:right w:val="single" w:sz="8" w:color="auto"/>
            </w:tcBorders>
            <w:gridSpan w:val="4"/>
          </w:tcPr>
          <w:p>
            <w:pPr>
              <w:ind w:left="1200"/>
              <w:spacing w:after="0"/>
              <w:rPr>
                <w:sz w:val="20"/>
                <w:szCs w:val="20"/>
                <w:color w:val="auto"/>
              </w:rPr>
            </w:pPr>
            <w:r>
              <w:rPr>
                <w:rFonts w:ascii="Times New Roman" w:cs="Times New Roman" w:eastAsia="Times New Roman" w:hAnsi="Times New Roman"/>
                <w:sz w:val="18"/>
                <w:szCs w:val="18"/>
                <w:color w:val="auto"/>
              </w:rPr>
              <w:t>information contained or incorporated in this prospectus,</w:t>
            </w:r>
          </w:p>
        </w:tc>
        <w:tc>
          <w:tcPr>
            <w:tcW w:w="1040" w:type="dxa"/>
            <w:vAlign w:val="bottom"/>
          </w:tcPr>
          <w:p>
            <w:pPr>
              <w:spacing w:after="0"/>
              <w:rPr>
                <w:sz w:val="18"/>
                <w:szCs w:val="18"/>
                <w:color w:val="auto"/>
              </w:rPr>
            </w:pPr>
          </w:p>
        </w:tc>
      </w:tr>
      <w:tr>
        <w:trPr>
          <w:trHeight w:val="218"/>
        </w:trPr>
        <w:tc>
          <w:tcPr>
            <w:tcW w:w="1100" w:type="dxa"/>
            <w:vAlign w:val="bottom"/>
            <w:tcBorders>
              <w:right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5540" w:type="dxa"/>
            <w:vAlign w:val="bottom"/>
            <w:tcBorders>
              <w:right w:val="single" w:sz="8" w:color="auto"/>
            </w:tcBorders>
            <w:gridSpan w:val="4"/>
          </w:tcPr>
          <w:p>
            <w:pPr>
              <w:ind w:left="1200"/>
              <w:spacing w:after="0"/>
              <w:rPr>
                <w:sz w:val="20"/>
                <w:szCs w:val="20"/>
                <w:color w:val="auto"/>
              </w:rPr>
            </w:pPr>
            <w:r>
              <w:rPr>
                <w:rFonts w:ascii="Times New Roman" w:cs="Times New Roman" w:eastAsia="Times New Roman" w:hAnsi="Times New Roman"/>
                <w:sz w:val="18"/>
                <w:szCs w:val="18"/>
                <w:color w:val="auto"/>
              </w:rPr>
              <w:t>the specific factors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5540" w:type="dxa"/>
            <w:vAlign w:val="bottom"/>
            <w:tcBorders>
              <w:right w:val="single" w:sz="8" w:color="auto"/>
            </w:tcBorders>
            <w:gridSpan w:val="4"/>
          </w:tcPr>
          <w:p>
            <w:pPr>
              <w:ind w:left="1200"/>
              <w:spacing w:after="0"/>
              <w:rPr>
                <w:sz w:val="20"/>
                <w:szCs w:val="20"/>
                <w:color w:val="auto"/>
              </w:rPr>
            </w:pPr>
            <w:r>
              <w:rPr>
                <w:rFonts w:ascii="Times New Roman" w:cs="Times New Roman" w:eastAsia="Times New Roman" w:hAnsi="Times New Roman"/>
                <w:sz w:val="18"/>
                <w:szCs w:val="18"/>
                <w:color w:val="auto"/>
              </w:rPr>
              <w:t>prospectus supplement for risks involved with an</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3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investment in the notes.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1040" w:type="dxa"/>
            <w:vAlign w:val="bottom"/>
          </w:tcPr>
          <w:p>
            <w:pPr>
              <w:spacing w:after="0"/>
              <w:rPr>
                <w:sz w:val="20"/>
                <w:szCs w:val="20"/>
                <w:color w:val="auto"/>
              </w:rPr>
            </w:pPr>
          </w:p>
        </w:tc>
      </w:tr>
      <w:tr>
        <w:trPr>
          <w:trHeight w:val="346"/>
        </w:trPr>
        <w:tc>
          <w:tcPr>
            <w:tcW w:w="1100" w:type="dxa"/>
            <w:vAlign w:val="bottom"/>
            <w:tcBorders>
              <w:right w:val="single" w:sz="8" w:color="auto"/>
            </w:tcBorders>
          </w:tcPr>
          <w:p>
            <w:pPr>
              <w:spacing w:after="0"/>
              <w:rPr>
                <w:sz w:val="24"/>
                <w:szCs w:val="24"/>
                <w:color w:val="auto"/>
              </w:rPr>
            </w:pPr>
          </w:p>
        </w:tc>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5540" w:type="dxa"/>
            <w:vAlign w:val="bottom"/>
            <w:tcBorders>
              <w:right w:val="single" w:sz="8" w:color="auto"/>
            </w:tcBorders>
            <w:gridSpan w:val="4"/>
          </w:tcPr>
          <w:p>
            <w:pPr>
              <w:ind w:left="1200"/>
              <w:spacing w:after="0"/>
              <w:rPr>
                <w:sz w:val="20"/>
                <w:szCs w:val="20"/>
                <w:color w:val="auto"/>
              </w:rPr>
            </w:pPr>
            <w:r>
              <w:rPr>
                <w:rFonts w:ascii="Times New Roman" w:cs="Times New Roman" w:eastAsia="Times New Roman" w:hAnsi="Times New Roman"/>
                <w:sz w:val="18"/>
                <w:szCs w:val="18"/>
                <w:color w:val="auto"/>
              </w:rPr>
              <w:t>It is expected that delivery of the notes will be made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5540" w:type="dxa"/>
            <w:vAlign w:val="bottom"/>
            <w:tcBorders>
              <w:right w:val="single" w:sz="8" w:color="auto"/>
            </w:tcBorders>
            <w:gridSpan w:val="4"/>
          </w:tcPr>
          <w:p>
            <w:pPr>
              <w:ind w:left="1200"/>
              <w:spacing w:after="0"/>
              <w:rPr>
                <w:sz w:val="20"/>
                <w:szCs w:val="20"/>
                <w:color w:val="auto"/>
              </w:rPr>
            </w:pPr>
            <w:r>
              <w:rPr>
                <w:rFonts w:ascii="Times New Roman" w:cs="Times New Roman" w:eastAsia="Times New Roman" w:hAnsi="Times New Roman"/>
                <w:sz w:val="18"/>
                <w:szCs w:val="18"/>
                <w:color w:val="auto"/>
              </w:rPr>
              <w:t>against payment therefor on or about                , 2025,</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3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xml:space="preserve">which will be the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business day following</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5540" w:type="dxa"/>
            <w:vAlign w:val="bottom"/>
            <w:tcBorders>
              <w:right w:val="single" w:sz="8" w:color="auto"/>
            </w:tcBorders>
            <w:gridSpan w:val="4"/>
          </w:tcPr>
          <w:p>
            <w:pPr>
              <w:ind w:left="1200"/>
              <w:spacing w:after="0"/>
              <w:rPr>
                <w:sz w:val="20"/>
                <w:szCs w:val="20"/>
                <w:color w:val="auto"/>
              </w:rPr>
            </w:pPr>
            <w:r>
              <w:rPr>
                <w:rFonts w:ascii="Times New Roman" w:cs="Times New Roman" w:eastAsia="Times New Roman" w:hAnsi="Times New Roman"/>
                <w:sz w:val="18"/>
                <w:szCs w:val="18"/>
                <w:color w:val="auto"/>
              </w:rPr>
              <w:t>the date of pricing of the notes (such settlement cycle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30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3"/>
              </w:rPr>
              <w:t>being referred to as “T+ 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 Pursuant to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5540" w:type="dxa"/>
            <w:vAlign w:val="bottom"/>
            <w:tcBorders>
              <w:right w:val="single" w:sz="8" w:color="auto"/>
            </w:tcBorders>
            <w:gridSpan w:val="4"/>
          </w:tcPr>
          <w:p>
            <w:pPr>
              <w:ind w:left="1200"/>
              <w:spacing w:after="0"/>
              <w:rPr>
                <w:sz w:val="20"/>
                <w:szCs w:val="20"/>
                <w:color w:val="auto"/>
              </w:rPr>
            </w:pPr>
            <w:r>
              <w:rPr>
                <w:rFonts w:ascii="Times New Roman" w:cs="Times New Roman" w:eastAsia="Times New Roman" w:hAnsi="Times New Roman"/>
                <w:sz w:val="18"/>
                <w:szCs w:val="18"/>
                <w:color w:val="auto"/>
              </w:rPr>
              <w:t>Rule 15c6-1 under the Exchange Act, trades in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5540" w:type="dxa"/>
            <w:vAlign w:val="bottom"/>
            <w:tcBorders>
              <w:right w:val="single" w:sz="8" w:color="auto"/>
            </w:tcBorders>
            <w:gridSpan w:val="4"/>
          </w:tcPr>
          <w:p>
            <w:pPr>
              <w:ind w:left="1200"/>
              <w:spacing w:after="0"/>
              <w:rPr>
                <w:sz w:val="20"/>
                <w:szCs w:val="20"/>
                <w:color w:val="auto"/>
              </w:rPr>
            </w:pPr>
            <w:r>
              <w:rPr>
                <w:rFonts w:ascii="Times New Roman" w:cs="Times New Roman" w:eastAsia="Times New Roman" w:hAnsi="Times New Roman"/>
                <w:sz w:val="18"/>
                <w:szCs w:val="18"/>
                <w:color w:val="auto"/>
              </w:rPr>
              <w:t>secondary market generally are required to settle in one</w:t>
            </w:r>
          </w:p>
        </w:tc>
        <w:tc>
          <w:tcPr>
            <w:tcW w:w="1040" w:type="dxa"/>
            <w:vAlign w:val="bottom"/>
          </w:tcPr>
          <w:p>
            <w:pPr>
              <w:spacing w:after="0"/>
              <w:rPr>
                <w:sz w:val="18"/>
                <w:szCs w:val="18"/>
                <w:color w:val="auto"/>
              </w:rPr>
            </w:pPr>
          </w:p>
        </w:tc>
      </w:tr>
      <w:tr>
        <w:trPr>
          <w:trHeight w:val="214"/>
        </w:trPr>
        <w:tc>
          <w:tcPr>
            <w:tcW w:w="1100" w:type="dxa"/>
            <w:vAlign w:val="bottom"/>
            <w:tcBorders>
              <w:right w:val="single" w:sz="8" w:color="auto"/>
            </w:tcBorders>
          </w:tcPr>
          <w:p>
            <w:pPr>
              <w:spacing w:after="0"/>
              <w:rPr>
                <w:sz w:val="18"/>
                <w:szCs w:val="18"/>
                <w:color w:val="auto"/>
              </w:rPr>
            </w:pPr>
          </w:p>
        </w:tc>
        <w:tc>
          <w:tcPr>
            <w:tcW w:w="3340" w:type="dxa"/>
            <w:vAlign w:val="bottom"/>
          </w:tcPr>
          <w:p>
            <w:pPr>
              <w:spacing w:after="0"/>
              <w:rPr>
                <w:sz w:val="18"/>
                <w:szCs w:val="18"/>
                <w:color w:val="auto"/>
              </w:rPr>
            </w:pPr>
          </w:p>
        </w:tc>
        <w:tc>
          <w:tcPr>
            <w:tcW w:w="5540" w:type="dxa"/>
            <w:vAlign w:val="bottom"/>
            <w:tcBorders>
              <w:right w:val="single" w:sz="8" w:color="auto"/>
            </w:tcBorders>
            <w:gridSpan w:val="4"/>
          </w:tcPr>
          <w:p>
            <w:pPr>
              <w:ind w:left="1200"/>
              <w:spacing w:after="0"/>
              <w:rPr>
                <w:sz w:val="20"/>
                <w:szCs w:val="20"/>
                <w:color w:val="auto"/>
              </w:rPr>
            </w:pPr>
            <w:r>
              <w:rPr>
                <w:rFonts w:ascii="Times New Roman" w:cs="Times New Roman" w:eastAsia="Times New Roman" w:hAnsi="Times New Roman"/>
                <w:sz w:val="18"/>
                <w:szCs w:val="18"/>
                <w:color w:val="auto"/>
              </w:rPr>
              <w:t>business day, unless the parties to any such trade</w:t>
            </w:r>
          </w:p>
        </w:tc>
        <w:tc>
          <w:tcPr>
            <w:tcW w:w="1040" w:type="dxa"/>
            <w:vAlign w:val="bottom"/>
          </w:tcPr>
          <w:p>
            <w:pPr>
              <w:spacing w:after="0"/>
              <w:rPr>
                <w:sz w:val="18"/>
                <w:szCs w:val="18"/>
                <w:color w:val="auto"/>
              </w:rPr>
            </w:pPr>
          </w:p>
        </w:tc>
      </w:tr>
      <w:tr>
        <w:trPr>
          <w:trHeight w:val="236"/>
        </w:trPr>
        <w:tc>
          <w:tcPr>
            <w:tcW w:w="1100" w:type="dxa"/>
            <w:vAlign w:val="bottom"/>
            <w:tcBorders>
              <w:right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5540" w:type="dxa"/>
            <w:vAlign w:val="bottom"/>
            <w:tcBorders>
              <w:right w:val="single" w:sz="8" w:color="auto"/>
            </w:tcBorders>
            <w:gridSpan w:val="4"/>
          </w:tcPr>
          <w:p>
            <w:pPr>
              <w:ind w:left="1200"/>
              <w:spacing w:after="0"/>
              <w:rPr>
                <w:sz w:val="20"/>
                <w:szCs w:val="20"/>
                <w:color w:val="auto"/>
              </w:rPr>
            </w:pPr>
            <w:r>
              <w:rPr>
                <w:rFonts w:ascii="Times New Roman" w:cs="Times New Roman" w:eastAsia="Times New Roman" w:hAnsi="Times New Roman"/>
                <w:sz w:val="18"/>
                <w:szCs w:val="18"/>
                <w:color w:val="auto"/>
              </w:rPr>
              <w:t>expressly agree otherwise. See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0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S-6</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110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419" w:firstLine="360"/>
        <w:spacing w:after="0" w:line="272" w:lineRule="auto"/>
        <w:rPr>
          <w:sz w:val="20"/>
          <w:szCs w:val="20"/>
          <w:color w:val="auto"/>
        </w:rPr>
      </w:pPr>
      <w:r>
        <w:rPr>
          <w:rFonts w:ascii="Times New Roman" w:cs="Times New Roman" w:eastAsia="Times New Roman" w:hAnsi="Times New Roman"/>
          <w:sz w:val="17"/>
          <w:szCs w:val="17"/>
          <w:i w:val="1"/>
          <w:iCs w:val="1"/>
          <w:color w:val="auto"/>
        </w:rPr>
        <w:t>An investment in the notes involves a high degree of risk. You should carefully consider the following risks, as well as the risks described in our most recent Annual Report on Form 10-K and other filings we make with the SEC incorporated by reference into this prospectus supplement and the accompanying prospectus, and all of the other information contained in or incorporated by reference into this prospectus supplement and the accompanying prospectus, before deciding to invest in the notes. Our business, financial condition and results of operations could be materially and adversely affected by any of these risks. The risks described below and those incorporated by reference into this prospectus supplement and the accompanying prospectus are not the only ones facing us. Additional risks not presently known to us or which we currently consider immaterial also may adversely affect us.</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Relating to the Notes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enough cash flow to meet our debt obligations.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expect our earnings and cash flow to vary significantly from year to year due to the nature of our industry. As a result, the amount of debt that we can manage in some periods may not be appropriate for us in other periods. Additionally, our future cash flow may be insufficient to meet our debt obligations and other commitments, including our obligations under the notes. Any insufficiency could negatively impact our business. A range of economic, competitive, business and industry factors and the commodity pricing environment will affect our future financial performance, and, as a result, our ability to generate cash flow from operations and to service our debt, including our obligations under the notes. If we do not generate enough cash flow from operations to satisfy our debt obligations, we may have to undertake alternative financing plans, such as:</w:t>
      </w:r>
    </w:p>
    <w:p>
      <w:pPr>
        <w:spacing w:after="0" w:line="84"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 or restructuring our debt;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assets;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or delaying capital investments;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w:t>
      </w:r>
    </w:p>
    <w:p>
      <w:pPr>
        <w:spacing w:after="0" w:line="117" w:lineRule="exact"/>
        <w:rPr>
          <w:sz w:val="20"/>
          <w:szCs w:val="20"/>
          <w:color w:val="auto"/>
        </w:rPr>
      </w:pPr>
    </w:p>
    <w:p>
      <w:pPr>
        <w:ind w:left="300" w:right="499"/>
        <w:spacing w:after="0" w:line="281" w:lineRule="auto"/>
        <w:rPr>
          <w:sz w:val="20"/>
          <w:szCs w:val="20"/>
          <w:color w:val="auto"/>
        </w:rPr>
      </w:pPr>
      <w:r>
        <w:rPr>
          <w:rFonts w:ascii="Times New Roman" w:cs="Times New Roman" w:eastAsia="Times New Roman" w:hAnsi="Times New Roman"/>
          <w:sz w:val="17"/>
          <w:szCs w:val="17"/>
          <w:color w:val="auto"/>
        </w:rPr>
        <w:t>However, we cannot assure you that we will be able to obtain alternative financing or that undertaking alternative financing plans, if necessary, would allow us to meet our debt obligations. Our inability to generate sufficient cash flow to satisfy our debt obligations, including our obligations under the notes, or to obtain alternative financing, could materially and adversely affect our business, financial condition, results of operations and prospects.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and our subsidiaries may incur substantially more debt.</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As of December 31, 2024, after giving effect to this offering and assuming the incurrence of the proposed the term loan facility, in each case as described in this prospectus supplement, we and the Subsidiary Guarantor would have had approximately $          billion in total debt outstanding, and we and the Subsidiary Guarantor would have had no secured debt outstanding. As of December 31, 2024, the Subsidiary Guarantor had approximately (i) $900 million of term loans outstanding, which is included in the aforementioned $          billion in total debt outstanding and which we guarantee, and (ii) $2.5 billion available for future borrowings under its revolving credit facility, which we also guarantee. We and our subsidiaries may be able to incur significant additional indebtedness in the future and the indenture governing the notes will not limit the amount of unsecured indebtedness that we or our subsidiaries may incur. Although the Subsidiary Guarantor’s revolving credit agreement and term loan agreement contain restrictions on the incurrence of additional indebtedness by certain of our subsidiaries, they do not restrict the Company or the Subsidiary Guarantor from incurring additional debt, the restrictions are subject to a number of qualifications and exceptions, and the additional indebtedness incurred in compliance with these restrictions could be substantial. In addition, if we or the Subsidiary Guarantor incur any additional indebtedness that ranks equally with the notes (or with the subsidiary guarantee), the holders of that debt will be entitled to share ratably with you in any proceeds distributed in connection with any insolvency, liquidation, reorganization, dissolution or other winding up of the Company or the Subsidiary Guarantor. This may have the effect of reducing the amount of proceeds paid to you. These restrictions also will not prevent us from incurring obligations that do not constitute indebtedness or funded debt, as defined in the applicable agreements. Further, if new debt is added to our current debt levels, the related risks that we now face could intensify.</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structurally subordinated to indebtedness of our subsidiaries that do not guarantee the notes.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Our subsidiaries are separate and distinct legal entities. Our subsidiaries (other than the Subsidiary Guarantor) have no obligation to pay amounts due on the notes. Holders of the notes will not have any claim as a creditor against any of our subsidiaries (other than the Subsidiary Guarantor), and indebtedness and other liabilities, including trade payables, of those subsidiaries will be structurally senior to claims of holders of the notes against those subsidiaries. Under certain circumstances, the Subsidiary Guarantor may be released as a guarantor under the Indenture, and upon such release, the Subsidiary Guarantor will have no obligation to pay the amounts due under the notes and the notes will be structurally subordinated to the indebtedness and other liabilities of the Subsidiary Guarantor, including its existing term loan facility and any indebtedness incurred under its existing revolving credit facility and (if obtained and funded) the proposed term loan.</w:t>
      </w:r>
    </w:p>
    <w:p>
      <w:pPr>
        <w:spacing w:after="0" w:line="8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Viper’s operating subsidiary, Viper Energy Partners LLC (“Viper OpCo”), is the borrower under a secured revolving credit facility. The obligations under Viper OpCo’s revolving credit facility are guaranteed by Viper and are secured by substantially all the assets of Viper and Viper OpCo. Accordingly, claims of lenders under Viper OpCo’s revolving credit facility will be structurally senior to claims of holders of the notes against Viper and Viper OpCo. In addition, the outstanding 5.375% Senior Notes due 2027 in aggregate principal amount of $430 million and 7.375% Senior Notes due 2031 in aggregate principal amount of $400 million (together, the “Viper notes”), which are guaranteed by Viper OpCo, are structurally senior to claims of holders of the notes offered in this offering. As of December 31, 2024, Viper had approximately $1.09 billion of total indebtedness (consisting of approximately $830 million aggregate principal amount of the Viper notes and $261.0 million in outstanding borrowings under Viper OpCo’s revolving credit facility), and Viper OpCo had $1.0 billion of available borrowing capacity under its revolving credit facility.</w:t>
      </w:r>
    </w:p>
    <w:p>
      <w:pPr>
        <w:spacing w:after="0" w:line="84"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QEP Resources, Inc. (“QEP”) became our wholly owned subsidiary as a result of our merger with QEP in March 2021 and, as of December 31, 2024, remained the issuer of 5.625% Senior Notes due 2026 (the “QEP notes”). As of December 31, 2024, there was approximately $14 million in aggregate principal amount of the QEP notes outstanding. The outstanding QEP notes are structurally senior to claims of holders of the notes offered in this offering.</w:t>
      </w:r>
    </w:p>
    <w:p>
      <w:pPr>
        <w:spacing w:after="0" w:line="75"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A significant portion of our operations is conducted through our subsidiaries. As a result, our ability to service our debt is largely dependent on the earnings of our subsidiaries and the payment of those earnings to us in the form of dividends, distributions, loans or advances and through repayment of loans or advances from us. The Subsidiary Guarantor will guarantee our obligations under the notes. However, our other subsidiaries do not have any obligation to pay amounts due on the notes or our other indebtedness or to make funds available for that purpose. Payments to us by our subsidiaries will be contingent upon our subsidiaries’ earnings and other business considerations and may be subject to statutory or contractual restrictions.</w:t>
      </w:r>
    </w:p>
    <w:p>
      <w:pPr>
        <w:spacing w:after="0" w:line="185" w:lineRule="exact"/>
        <w:rPr>
          <w:sz w:val="20"/>
          <w:szCs w:val="20"/>
          <w:color w:val="auto"/>
        </w:rPr>
      </w:pPr>
    </w:p>
    <w:p>
      <w:pPr>
        <w:ind w:left="300" w:right="9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notes will be unsecured and effectively subordinated to the claims of any existing and future secured creditors to the extent of the value of the collateral pledged to such creditors.</w:t>
      </w:r>
    </w:p>
    <w:p>
      <w:pPr>
        <w:spacing w:after="0" w:line="51"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color w:val="auto"/>
        </w:rPr>
        <w:t>The notes and the subsidiary guarantee will be our and the Subsidiary Guarantor’s respective senior unsecured obligations. The notes and the subsidiary guarantee will be effectively subordinated to any of our and the Subsidiary Guarantor’s existing and future secured indebtedness, if any, to the extent of the value of the collateral securing such indebtedness. In the event of bankruptcy, liquidation, reorganization or other winding up of the Company or the Subsidiary Guarantor or upon a default in payment with respect to, or the acceleration of, any senior secured indebtedness, the assets of the Company or the Subsidiary Guarantor that secure such senior secured indebtedness will be available to pay obligations on the notes and the subsidiary guarantee only after all obligations under such senior secured indebtedness have been repaid in full from such assets. We advise you that there may not be sufficient assets remaining to pay amounts due on any or all of the notes then outstanding and the subsidiary guarantee. As of December 31, 2024, the Company and the Subsidiary Guarantor had no secured indebtedness outstanding.</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credit ratings or the debt markets may adversely affect the market price of the notes.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market price for the notes will depend on a number of factors, including:</w:t>
      </w:r>
    </w:p>
    <w:p>
      <w:pPr>
        <w:spacing w:after="0" w:line="117"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ratings with major credit rating agencies;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interest rates being paid by other companies similar to 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operating performance and future prospects;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condition of the financial markets and global and domestic economies.</w:t>
      </w:r>
    </w:p>
    <w:p>
      <w:pPr>
        <w:spacing w:after="0" w:line="117"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condition of the financial markets and prevailing interest rates have fluctuated in the past and are likely to fluctuate in the future. Such fluctuations could have an adverse effect on the price of the notes. In addition, credit rating agencies continually review their ratings for the companies that they follow, including us. The credit rating agencies also evaluate the industries in which we operate as a whole and may change their credit rating for us based on their overall view of such industries. A negative change in our rating could have an adverse effect on the price of the notes.</w:t>
      </w:r>
    </w:p>
    <w:p>
      <w:pPr>
        <w:spacing w:after="0" w:line="345" w:lineRule="exact"/>
        <w:rPr>
          <w:sz w:val="20"/>
          <w:szCs w:val="20"/>
          <w:color w:val="auto"/>
        </w:rPr>
      </w:pPr>
    </w:p>
    <w:p>
      <w:pPr>
        <w:ind w:left="30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guarantee provided by the Subsidiary Guarantor may not be enforceable and, under specific circumstances, federal and state courts may void the guarantee and require holders to return payments received from the Subsidiary Guarantor.</w:t>
      </w:r>
    </w:p>
    <w:p>
      <w:pPr>
        <w:spacing w:after="0" w:line="67"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Although the notes will be guaranteed by the Subsidiary Guarantor, a court could void or subordinate the guarantee of the Subsidiary Guarantor under federal or state fraudulent conveyance laws if existing or future creditors of the Subsidiary Guarantor were successful in establishing that the guarantee was incurred with fraudulent intent or the Subsidiary Guarantor did not receive fair consideration or reasonably equivalent value for issuing the guarantee and either:</w:t>
      </w:r>
    </w:p>
    <w:p>
      <w:pPr>
        <w:spacing w:after="0" w:line="75" w:lineRule="exact"/>
        <w:rPr>
          <w:sz w:val="20"/>
          <w:szCs w:val="20"/>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insolvent or rendered insolvent by reason of such incurrence or subsequently became insolvent for other reasons;</w:t>
      </w:r>
    </w:p>
    <w:p>
      <w:pPr>
        <w:spacing w:after="0" w:line="53" w:lineRule="exact"/>
        <w:rPr>
          <w:rFonts w:ascii="Times New Roman" w:cs="Times New Roman" w:eastAsia="Times New Roman" w:hAnsi="Times New Roman"/>
          <w:sz w:val="18"/>
          <w:szCs w:val="18"/>
          <w:color w:val="auto"/>
        </w:rPr>
      </w:pPr>
    </w:p>
    <w:p>
      <w:pPr>
        <w:ind w:left="1000" w:right="105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engaged in a business or transaction for which its remaining assets constituted unreasonably small capital;</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intended to, or believed or reasonably should have believed that it would, incur debts beyond its ability to pay such debts as they mature;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a defendant in an action for money damages, or had a judgment for money damages docketed against it if, in either case, after final judgment, the judgment is unsatisfied (as all of the foregoing terms may be defined in or interpreted under the relevant fraudulent transfer or conveyance statutes).</w:t>
      </w:r>
    </w:p>
    <w:p>
      <w:pPr>
        <w:spacing w:after="0" w:line="72" w:lineRule="exact"/>
        <w:rPr>
          <w:sz w:val="20"/>
          <w:szCs w:val="20"/>
          <w:color w:val="auto"/>
        </w:rPr>
      </w:pPr>
    </w:p>
    <w:p>
      <w:pPr>
        <w:ind w:left="300" w:right="519" w:firstLine="360"/>
        <w:spacing w:after="0" w:line="256" w:lineRule="auto"/>
        <w:rPr>
          <w:sz w:val="20"/>
          <w:szCs w:val="20"/>
          <w:color w:val="auto"/>
        </w:rPr>
      </w:pPr>
      <w:r>
        <w:rPr>
          <w:rFonts w:ascii="Times New Roman" w:cs="Times New Roman" w:eastAsia="Times New Roman" w:hAnsi="Times New Roman"/>
          <w:sz w:val="18"/>
          <w:szCs w:val="18"/>
          <w:color w:val="auto"/>
        </w:rPr>
        <w:t>In such event, any payment by the Subsidiary Guarantor pursuant to the guarantee could be subordinated or voided and required to be returned to the Subsidiary Guarantor or to a fund for the benefit of the Subsidiary Guarantor’s creditors. The measures of insolvency for purposes of determining whether a fraudulent conveyance occurred would vary depending upon the laws of the relevant jurisdiction and upon the valuation assumptions and methodology applied by the court. Generally, however, a company would be considered insolvent for purposes of the foregoing if:</w:t>
      </w:r>
    </w:p>
    <w:p>
      <w:pPr>
        <w:spacing w:after="0" w:line="79" w:lineRule="exact"/>
        <w:rPr>
          <w:sz w:val="20"/>
          <w:szCs w:val="20"/>
          <w:color w:val="auto"/>
        </w:rPr>
      </w:pPr>
    </w:p>
    <w:p>
      <w:pPr>
        <w:ind w:left="1000" w:right="5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company’s debts, including contingent, unliquidated and unmatured liabilities, is greater than such company’s property at fair valuation;</w:t>
      </w:r>
    </w:p>
    <w:p>
      <w:pPr>
        <w:spacing w:after="0" w:line="53"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saleable value of the company’s assets is less than the amount that will be required to pay the probable liability on its existing debts, including contingent liabilities, as they become absolute and matured;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could not pay its debts or contingent liabilities as they become due.</w:t>
      </w:r>
    </w:p>
    <w:p>
      <w:pPr>
        <w:spacing w:after="0" w:line="117"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We have no assurance as to what standard a court would use to determine whether or not the Subsidiary Guarantor would be solvent at the relevant time, or regardless of the standard used, that its guarantee would not be voided or subordinated to the Subsidiary Guarantor’s other debt. If such a case were to occur, the guarantee could be subject to the claim that, since the guarantee was incurred for the benefit of the Company and only indirectly for the benefit of the Subsidiary Guarantor, the obligations of the Subsidiary Guarantor were incurred for less than fair consideration.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If the guarantee of the Subsidiary Guarantor is voided as a fraudulent conveyance or found to be unenforceable for any other reason, holders of the notes will not have a claim against the Subsidiary Guarantor and will only be a creditor of the Company. The notes then would in effect be structurally subordinated to all liabilities of the Subsidiary Guarantor.</w:t>
      </w:r>
    </w:p>
    <w:p>
      <w:pPr>
        <w:spacing w:after="0" w:line="72"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Energen Corporation (“Energen”) became our wholly owned subsidiary as a result of our merger with Energen Resources, Inc. in November 2018 and, at the time, remained the issuer of its 7.125% Medium-term Notes, Series B, due 2028 (the “Energen notes”). In connection with the internal restructuring of our subsidiaries completed as of June 30, 2021, the Subsidiary Guarantor became the successor issuer under the indenture governing the Energen notes. As of December 31, 2024, there was $73.0 million of the Energen notes outstanding.</w:t>
      </w:r>
    </w:p>
    <w:p>
      <w:pPr>
        <w:spacing w:after="0" w:line="341" w:lineRule="exact"/>
        <w:rPr>
          <w:sz w:val="20"/>
          <w:szCs w:val="20"/>
          <w:color w:val="auto"/>
        </w:rPr>
      </w:pPr>
    </w:p>
    <w:p>
      <w:pPr>
        <w:ind w:left="30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 active trading market does not develop for the notes, you may be unable to sell your notes or to sell your notes at a price that you deem sufficient.</w:t>
      </w:r>
    </w:p>
    <w:p>
      <w:pPr>
        <w:spacing w:after="0" w:line="5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notes will be a new issue of securities for which there currently is no established trading markets. We do not intend to apply for the listing of the notes on any securities exchange. While the underwriters of the notes have advised us that they intend to make a market in the notes, the underwriters will not be obligated to do so and may discontinue any market making activities at any time in their sole discretion and without notice. No assurance can be given:</w:t>
      </w:r>
    </w:p>
    <w:p>
      <w:pPr>
        <w:spacing w:after="0" w:line="75"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trading market for the notes will develop or continue;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liquidity of any market that does develop;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your ability to sell any notes you may own or the price at which you may be able to sell your notes.</w:t>
      </w:r>
    </w:p>
    <w:p>
      <w:pPr>
        <w:spacing w:after="0" w:line="117"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If an active trading market for the notes does not develop, the market price and liquidity of the notes may be adversely affected.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          billion, after deducting the underwriters’ discounts and estimated offering expenses.</w:t>
      </w:r>
    </w:p>
    <w:p>
      <w:pPr>
        <w:spacing w:after="0" w:line="54"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purposes, including, without limitation, paying a portion of the cash consideration for the Double Eagle Acquisition and/or paying related fees, costs and expenses. This offering is not contingent upon the closing of the Double Eagle Acquisition. See “</w:t>
      </w:r>
      <w:r>
        <w:rPr>
          <w:rFonts w:ascii="Times New Roman" w:cs="Times New Roman" w:eastAsia="Times New Roman" w:hAnsi="Times New Roman"/>
          <w:sz w:val="18"/>
          <w:szCs w:val="18"/>
          <w:i w:val="1"/>
          <w:iCs w:val="1"/>
          <w:color w:val="auto"/>
        </w:rPr>
        <w:t>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Developments—Pending Double Eagle Acquisition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December 31, 2024, our cash and cash equivalents and capitalization (i) on a historical basis and (ii) on an as adjusted basis to give effect to this offering and assuming the incurrence of the proposed term loan and the application of the net proceeds therefrom to fund the cash consideration for the Double Eagle Acquisition as described in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You should read this table along with “Use of Proceeds” in this prospectus supplement and the “Management’s Discussion and Analysis of Financial Condition and Results of Operations” and our consolidated financial statements and the related notes and the other financial information contained in our Annual Report on Form 10-K for the year ended December 31, 2024, which are incorporated by reference into this prospectus supplement.</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bottom w:val="single" w:sz="8" w:color="auto"/>
            </w:tcBorders>
            <w:gridSpan w:val="5"/>
          </w:tcPr>
          <w:p>
            <w:pPr>
              <w:jc w:val="center"/>
              <w:ind w:right="20"/>
              <w:spacing w:after="0" w:line="189" w:lineRule="exact"/>
              <w:rPr>
                <w:sz w:val="20"/>
                <w:szCs w:val="20"/>
                <w:color w:val="auto"/>
              </w:rPr>
            </w:pPr>
            <w:r>
              <w:rPr>
                <w:rFonts w:ascii="Times New Roman" w:cs="Times New Roman" w:eastAsia="Times New Roman" w:hAnsi="Times New Roman"/>
                <w:sz w:val="13"/>
                <w:szCs w:val="13"/>
                <w:b w:val="1"/>
                <w:bCs w:val="1"/>
                <w:color w:val="auto"/>
              </w:rPr>
              <w:t>Adjusted</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2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70"/>
        </w:trPr>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161</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7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7"/>
                <w:szCs w:val="17"/>
                <w:color w:val="auto"/>
              </w:rPr>
              <w:t>Long-term debt (including current maturities of long-term debt):</w:t>
            </w: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9"/>
              </w:rPr>
              <w:t>3.250%</w:t>
            </w:r>
          </w:p>
        </w:tc>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due 2026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9"/>
              </w:rPr>
              <w:t>5.625%</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Senior Notes due 2026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9"/>
              </w:rPr>
              <w:t>5.200%</w:t>
            </w:r>
          </w:p>
        </w:tc>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due 2027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9"/>
              </w:rPr>
              <w:t>7.125%</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Medium-term Notes, Series B, due 2028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9"/>
              </w:rPr>
              <w:t>3.500%</w:t>
            </w:r>
          </w:p>
        </w:tc>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due 2029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915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9"/>
              </w:rPr>
              <w:t>5.150%</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Senior Notes due 2030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5"/>
          </w:tcPr>
          <w:p>
            <w:pPr>
              <w:jc w:val="right"/>
              <w:ind w:right="80"/>
              <w:spacing w:after="0"/>
              <w:rPr>
                <w:sz w:val="20"/>
                <w:szCs w:val="20"/>
                <w:color w:val="auto"/>
              </w:rPr>
            </w:pPr>
            <w:r>
              <w:rPr>
                <w:rFonts w:ascii="Times New Roman" w:cs="Times New Roman" w:eastAsia="Times New Roman" w:hAnsi="Times New Roman"/>
                <w:sz w:val="17"/>
                <w:szCs w:val="17"/>
                <w:color w:val="auto"/>
              </w:rPr>
              <w:t>850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9"/>
              </w:rPr>
              <w:t>3.125%</w:t>
            </w:r>
          </w:p>
        </w:tc>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due 2031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767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9"/>
              </w:rPr>
              <w:t>6.250%</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Senior Notes due 2033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9"/>
              </w:rPr>
              <w:t>5.400%</w:t>
            </w:r>
          </w:p>
        </w:tc>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due 2034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9"/>
              </w:rPr>
              <w:t>4.400%</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Senior Notes due 2051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5"/>
          </w:tcPr>
          <w:p>
            <w:pPr>
              <w:jc w:val="right"/>
              <w:ind w:right="80"/>
              <w:spacing w:after="0"/>
              <w:rPr>
                <w:sz w:val="20"/>
                <w:szCs w:val="20"/>
                <w:color w:val="auto"/>
              </w:rPr>
            </w:pPr>
            <w:r>
              <w:rPr>
                <w:rFonts w:ascii="Times New Roman" w:cs="Times New Roman" w:eastAsia="Times New Roman" w:hAnsi="Times New Roman"/>
                <w:sz w:val="17"/>
                <w:szCs w:val="17"/>
                <w:color w:val="auto"/>
              </w:rPr>
              <w:t>650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9"/>
              </w:rPr>
              <w:t>4.250%</w:t>
            </w:r>
          </w:p>
        </w:tc>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due 2052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9"/>
              </w:rPr>
              <w:t>6.250%</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Senior Notes due 2053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5"/>
          </w:tcPr>
          <w:p>
            <w:pPr>
              <w:jc w:val="right"/>
              <w:ind w:right="80"/>
              <w:spacing w:after="0"/>
              <w:rPr>
                <w:sz w:val="20"/>
                <w:szCs w:val="20"/>
                <w:color w:val="auto"/>
              </w:rPr>
            </w:pPr>
            <w:r>
              <w:rPr>
                <w:rFonts w:ascii="Times New Roman" w:cs="Times New Roman" w:eastAsia="Times New Roman" w:hAnsi="Times New Roman"/>
                <w:sz w:val="17"/>
                <w:szCs w:val="17"/>
                <w:color w:val="auto"/>
              </w:rPr>
              <w:t>650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9"/>
              </w:rPr>
              <w:t>5.750%</w:t>
            </w:r>
          </w:p>
        </w:tc>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due 2054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9"/>
              </w:rPr>
              <w:t>5.900%</w:t>
            </w:r>
          </w:p>
        </w:tc>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Senior Notes due 2064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3"/>
            <w:shd w:val="clear" w:color="auto" w:fill="CCEEFF"/>
          </w:tcPr>
          <w:p>
            <w:pPr>
              <w:ind w:left="360"/>
              <w:spacing w:after="0" w:line="202" w:lineRule="exact"/>
              <w:rPr>
                <w:sz w:val="20"/>
                <w:szCs w:val="20"/>
                <w:color w:val="auto"/>
              </w:rPr>
            </w:pPr>
            <w:r>
              <w:rPr>
                <w:rFonts w:ascii="Times New Roman" w:cs="Times New Roman" w:eastAsia="Times New Roman" w:hAnsi="Times New Roman"/>
                <w:sz w:val="15"/>
                <w:szCs w:val="15"/>
                <w:color w:val="auto"/>
              </w:rPr>
              <w:t>Notes offered hereby</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8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 xml:space="preserve">   % Senior Notes due 20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Tranche A Loans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Viper’s 5.375% Senior Notes due 2027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5"/>
          </w:tcPr>
          <w:p>
            <w:pPr>
              <w:jc w:val="right"/>
              <w:ind w:right="80"/>
              <w:spacing w:after="0"/>
              <w:rPr>
                <w:sz w:val="20"/>
                <w:szCs w:val="20"/>
                <w:color w:val="auto"/>
              </w:rPr>
            </w:pPr>
            <w:r>
              <w:rPr>
                <w:rFonts w:ascii="Times New Roman" w:cs="Times New Roman" w:eastAsia="Times New Roman" w:hAnsi="Times New Roman"/>
                <w:sz w:val="17"/>
                <w:szCs w:val="17"/>
                <w:color w:val="auto"/>
              </w:rPr>
              <w:t>430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Viper’s 7.375% Senior Notes due 2031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Unamortized discount costs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9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Unamortized premium costs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3"/>
            <w:shd w:val="clear" w:color="auto" w:fill="CCEEFF"/>
          </w:tcPr>
          <w:p>
            <w:pPr>
              <w:ind w:left="360"/>
              <w:spacing w:after="0" w:line="202" w:lineRule="exact"/>
              <w:rPr>
                <w:sz w:val="20"/>
                <w:szCs w:val="20"/>
                <w:color w:val="auto"/>
              </w:rPr>
            </w:pPr>
            <w:r>
              <w:rPr>
                <w:rFonts w:ascii="Times New Roman" w:cs="Times New Roman" w:eastAsia="Times New Roman" w:hAnsi="Times New Roman"/>
                <w:sz w:val="15"/>
                <w:szCs w:val="15"/>
                <w:color w:val="auto"/>
              </w:rPr>
              <w:t>Proposed Term Loan</w:t>
            </w:r>
            <w:r>
              <w:rPr>
                <w:rFonts w:ascii="Times New Roman" w:cs="Times New Roman" w:eastAsia="Times New Roman" w:hAnsi="Times New Roman"/>
                <w:sz w:val="23"/>
                <w:szCs w:val="23"/>
                <w:color w:val="auto"/>
                <w:vertAlign w:val="superscript"/>
              </w:rPr>
              <w:t>(3)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Unamortized basis adjustment of dedesignated interest rate swap agreements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Subsidiary Guarantor’s revolving credit facility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gridSpan w:val="3"/>
          </w:tcPr>
          <w:p>
            <w:pPr>
              <w:ind w:left="360"/>
              <w:spacing w:after="0" w:line="230" w:lineRule="exact"/>
              <w:rPr>
                <w:sz w:val="20"/>
                <w:szCs w:val="20"/>
                <w:color w:val="auto"/>
              </w:rPr>
            </w:pPr>
            <w:r>
              <w:rPr>
                <w:rFonts w:ascii="Times New Roman" w:cs="Times New Roman" w:eastAsia="Times New Roman" w:hAnsi="Times New Roman"/>
                <w:sz w:val="16"/>
                <w:szCs w:val="16"/>
                <w:color w:val="auto"/>
              </w:rPr>
              <w:t>Viper revolving credit facility</w:t>
            </w:r>
            <w:r>
              <w:rPr>
                <w:rFonts w:ascii="Times New Roman" w:cs="Times New Roman" w:eastAsia="Times New Roman" w:hAnsi="Times New Roman"/>
                <w:sz w:val="26"/>
                <w:szCs w:val="26"/>
                <w:color w:val="auto"/>
                <w:vertAlign w:val="superscript"/>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5"/>
          </w:tcPr>
          <w:p>
            <w:pPr>
              <w:jc w:val="right"/>
              <w:ind w:right="80"/>
              <w:spacing w:after="0"/>
              <w:rPr>
                <w:sz w:val="20"/>
                <w:szCs w:val="20"/>
                <w:color w:val="auto"/>
              </w:rPr>
            </w:pPr>
            <w:r>
              <w:rPr>
                <w:rFonts w:ascii="Times New Roman" w:cs="Times New Roman" w:eastAsia="Times New Roman" w:hAnsi="Times New Roman"/>
                <w:sz w:val="17"/>
                <w:szCs w:val="17"/>
                <w:color w:val="auto"/>
              </w:rPr>
              <w:t>261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780" w:type="dxa"/>
            <w:vAlign w:val="bottom"/>
            <w:tcBorders>
              <w:top w:val="single" w:sz="8" w:color="CCEEFF"/>
              <w:bottom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Total debt, net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780" w:type="dxa"/>
            <w:vAlign w:val="bottom"/>
            <w:tcBorders>
              <w:top w:val="single" w:sz="8" w:color="CCEEFF"/>
            </w:tcBorders>
            <w:gridSpan w:val="3"/>
          </w:tcPr>
          <w:p>
            <w:pPr>
              <w:spacing w:after="0" w:line="183" w:lineRule="exact"/>
              <w:rPr>
                <w:sz w:val="20"/>
                <w:szCs w:val="20"/>
                <w:color w:val="auto"/>
              </w:rPr>
            </w:pPr>
            <w:r>
              <w:rPr>
                <w:rFonts w:ascii="Times New Roman" w:cs="Times New Roman" w:eastAsia="Times New Roman" w:hAnsi="Times New Roman"/>
                <w:sz w:val="17"/>
                <w:szCs w:val="17"/>
                <w:color w:val="auto"/>
              </w:rPr>
              <w:t>Stockholders’ equity:</w:t>
            </w: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80" w:type="dxa"/>
            <w:vAlign w:val="bottom"/>
            <w:gridSpan w:val="3"/>
            <w:shd w:val="clear" w:color="auto" w:fill="CCEEFF"/>
          </w:tcPr>
          <w:p>
            <w:pPr>
              <w:ind w:left="180"/>
              <w:spacing w:after="0" w:line="181" w:lineRule="exact"/>
              <w:rPr>
                <w:sz w:val="20"/>
                <w:szCs w:val="20"/>
                <w:color w:val="auto"/>
              </w:rPr>
            </w:pPr>
            <w:r>
              <w:rPr>
                <w:rFonts w:ascii="Times New Roman" w:cs="Times New Roman" w:eastAsia="Times New Roman" w:hAnsi="Times New Roman"/>
                <w:sz w:val="17"/>
                <w:szCs w:val="17"/>
                <w:color w:val="auto"/>
              </w:rPr>
              <w:t>Common stock, $0.01 par value, 800,000,000 shares authorized, 290,984,373 shares issued</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7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and outstanding (actual)</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78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33,501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5"/>
          </w:tcPr>
          <w:p>
            <w:pPr>
              <w:jc w:val="right"/>
              <w:ind w:right="80"/>
              <w:spacing w:after="0"/>
              <w:rPr>
                <w:sz w:val="20"/>
                <w:szCs w:val="20"/>
                <w:color w:val="auto"/>
              </w:rPr>
            </w:pPr>
            <w:r>
              <w:rPr>
                <w:rFonts w:ascii="Times New Roman" w:cs="Times New Roman" w:eastAsia="Times New Roman" w:hAnsi="Times New Roman"/>
                <w:sz w:val="17"/>
                <w:szCs w:val="17"/>
                <w:color w:val="auto"/>
              </w:rPr>
              <w:t>33,501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Retained earnings (accumulated deficit)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4,238</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(6)</w:t>
            </w:r>
          </w:p>
        </w:tc>
        <w:tc>
          <w:tcPr>
            <w:tcW w:w="94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Diamondback Energy, Inc. stockholders’ equity</w:t>
            </w: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37,736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37,736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78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Non-controlling interest</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2,126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Total equity</w:t>
            </w: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39,862</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39,862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7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capitalization</w:t>
            </w:r>
          </w:p>
        </w:tc>
        <w:tc>
          <w:tcPr>
            <w:tcW w:w="20" w:type="dxa"/>
            <w:vAlign w:val="bottom"/>
            <w:tcBorders>
              <w:bottom w:val="single" w:sz="8" w:color="auto"/>
            </w:tcBorders>
          </w:tcPr>
          <w:p>
            <w:pPr>
              <w:spacing w:after="0"/>
              <w:rPr>
                <w:sz w:val="17"/>
                <w:szCs w:val="17"/>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u w:val="single" w:color="auto"/>
                <w:color w:val="auto"/>
                <w:w w:val="94"/>
              </w:rPr>
              <w:t>$</w:t>
            </w:r>
            <w:r>
              <w:rPr>
                <w:rFonts w:ascii="Times New Roman" w:cs="Times New Roman" w:eastAsia="Times New Roman" w:hAnsi="Times New Roman"/>
                <w:sz w:val="17"/>
                <w:szCs w:val="17"/>
                <w:color w:val="auto"/>
                <w:w w:val="94"/>
              </w:rPr>
              <w:t>52,837</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9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399" w:hanging="348"/>
        <w:spacing w:after="0" w:line="24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net proceeds from this offering and (if obtained and funded) borrowings under the proposed term loan facility, we expect to fund the cash consideration for the Double Eagle Acquisition with cash on hand and borrowings under the Subsidiary Guarantor’s revolving credit facility.</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notes offered hereby are issued at par.</w:t>
      </w:r>
    </w:p>
    <w:p>
      <w:pPr>
        <w:spacing w:after="0" w:line="41" w:lineRule="exact"/>
        <w:rPr>
          <w:rFonts w:ascii="Times New Roman" w:cs="Times New Roman" w:eastAsia="Times New Roman" w:hAnsi="Times New Roman"/>
          <w:sz w:val="14"/>
          <w:szCs w:val="14"/>
          <w:color w:val="auto"/>
        </w:rPr>
      </w:pPr>
    </w:p>
    <w:p>
      <w:pPr>
        <w:ind w:left="640" w:right="439" w:hanging="348"/>
        <w:spacing w:after="0" w:line="26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principal amount of debt we expect to incur under the proposed term loan facility (if obtained and funded) in connection with the Double Eagle Acquisition. See “</w:t>
      </w:r>
      <w:r>
        <w:rPr>
          <w:rFonts w:ascii="Times New Roman" w:cs="Times New Roman" w:eastAsia="Times New Roman" w:hAnsi="Times New Roman"/>
          <w:sz w:val="14"/>
          <w:szCs w:val="14"/>
          <w:i w:val="1"/>
          <w:iCs w:val="1"/>
          <w:color w:val="auto"/>
        </w:rPr>
        <w:t>Recent Developments—Pending Double Eagle Acquisition</w:t>
      </w:r>
      <w:r>
        <w:rPr>
          <w:rFonts w:ascii="Times New Roman" w:cs="Times New Roman" w:eastAsia="Times New Roman" w:hAnsi="Times New Roman"/>
          <w:sz w:val="14"/>
          <w:szCs w:val="14"/>
          <w:color w:val="auto"/>
        </w:rPr>
        <w:t>.”</w:t>
      </w:r>
    </w:p>
    <w:p>
      <w:pPr>
        <w:ind w:left="640" w:right="399" w:hanging="348"/>
        <w:spacing w:after="0" w:line="26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Viper OpCo had approximately $261.0 million of borrowings outstanding under its revolving credit facility and unused borrowing availability under such revolving credit facility of approximately $1.0 billion.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119"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The Company will issue the notes (as defined below) under a supplemental indenture (the “Supplemental Indenture”), to be dated as of the Issue Date, among itself, Diamondback E&amp;P LLC (such entity during the period (and only during such period) that the subsidiary guarantee (as defined below) is in effect as to the notes, the “Subsidiary Guarantor”) and Computershare Trust Company, National Association, as trustee (the “Trustee”), supplementing that certain Indenture, dated as of December 13, 2022 (the “Base Indenture” and, together with the Supplemental Indenture, the “Indenture”). The terms of the notes include those expressly set forth in the Indenture and those made part of the Indenture by reference to the Trust Indenture Act of 1939, as amended (the “Trust Indenture Act”). The notes will be a new series of our debt securities described in the Base Prospectus. The notes issued in this offering will be limited to $    in aggregate principal amount of senior notes due     (the “notes”), although we may issue an unlimited principal amount of additional notes having identical terms and conditions as the notes, other than issue date, issue price, the first interest payment date and the date from which interest shall accrue (“Additional Notes”). Any Additional Notes will be part of the notes that we are currently offering and will vote on all matters with the holders of the notes. We may from time to time issue other series of debt securities under the Base Indenture, in unlimited principal amount. The notes will be guaranteed by the Subsidiary Guarantor (the “subsidiary guarantee”), and the subsidiary guarantee will be “full and unconditional,” as that term is used in Regulation S-X, Rule 3-10(b)(3). In the future, the subsidiary guarantee may be released or terminated under certain circumstances described under the heading “—Subsidiary Guarantee.”</w:t>
      </w:r>
    </w:p>
    <w:p>
      <w:pPr>
        <w:spacing w:after="0" w:line="85"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This Description of Notes is intended to be a useful overview of the material provisions of the notes and the Indenture. This Description of Notes is only a summary. You should also refer to the section entitled “Description of Debt Securities” in the Base Prospectus for a summary description of other material terms of the notes and the Base Indenture. To the extent that any terms of the notes set forth in this Description of Notes are different than the terms described in the Base Prospectus, the terms in this Description of Notes will govern. For more information, we refer you to the notes, the Supplemental Indenture and the Base Indenture filed, or incorporated by reference, as exhibits to the registration statement, which includes this prospectus supplement, or available by request.</w:t>
      </w:r>
    </w:p>
    <w:p>
      <w:pPr>
        <w:spacing w:after="0" w:line="75"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You will find the definitions of certain capitalized terms used in this Description of Notes under the heading “— Certain Definitions.” For purposes of this Description of Notes, references to “the Company,” “we,” “our” and “us” refer only to Diamondback Energy, Inc. and not to its Subsidiaries (as defined below). Certain defined terms used in this Description of Notes but not defined herein have the meanings assigned to them in the Indenture.</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121" w:lineRule="exact"/>
        <w:rPr>
          <w:sz w:val="20"/>
          <w:szCs w:val="20"/>
          <w:color w:val="auto"/>
        </w:rPr>
      </w:pPr>
    </w:p>
    <w:p>
      <w:pPr>
        <w:ind w:left="660"/>
        <w:spacing w:after="0"/>
        <w:tabs>
          <w:tab w:leader="none" w:pos="7120" w:val="left"/>
        </w:tabs>
        <w:rPr>
          <w:sz w:val="20"/>
          <w:szCs w:val="20"/>
          <w:color w:val="auto"/>
        </w:rPr>
      </w:pPr>
      <w:r>
        <w:rPr>
          <w:rFonts w:ascii="Times New Roman" w:cs="Times New Roman" w:eastAsia="Times New Roman" w:hAnsi="Times New Roman"/>
          <w:sz w:val="18"/>
          <w:szCs w:val="18"/>
          <w:color w:val="auto"/>
        </w:rPr>
        <w:t xml:space="preserve">The notes will be issued in an initial maximum aggregate principal amount of $          </w:t>
        <w:tab/>
        <w:t>, will bear interest at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rate of       % per year and will mature on       .</w:t>
      </w:r>
    </w:p>
    <w:p>
      <w:pPr>
        <w:spacing w:after="0" w:line="99" w:lineRule="exact"/>
        <w:rPr>
          <w:sz w:val="20"/>
          <w:szCs w:val="20"/>
          <w:color w:val="auto"/>
        </w:rPr>
      </w:pPr>
    </w:p>
    <w:p>
      <w:pPr>
        <w:ind w:left="660"/>
        <w:spacing w:after="0"/>
        <w:tabs>
          <w:tab w:leader="none" w:pos="7960" w:val="left"/>
        </w:tabs>
        <w:rPr>
          <w:sz w:val="20"/>
          <w:szCs w:val="20"/>
          <w:color w:val="auto"/>
        </w:rPr>
      </w:pPr>
      <w:r>
        <w:rPr>
          <w:rFonts w:ascii="Times New Roman" w:cs="Times New Roman" w:eastAsia="Times New Roman" w:hAnsi="Times New Roman"/>
          <w:sz w:val="18"/>
          <w:szCs w:val="18"/>
          <w:color w:val="auto"/>
        </w:rPr>
        <w:t xml:space="preserve">Interest on the notes will accrue from       , 2025, and will be payable in cash semi-annually on     </w:t>
        <w:tab/>
        <w:t xml:space="preserve">and     </w:t>
      </w:r>
    </w:p>
    <w:p>
      <w:pPr>
        <w:spacing w:after="0" w:line="27"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of each year, beginning     , 2025. The notes will be issued in minimum denominations of $2,000 and any integral multiple of $1,000 in excess of $2,000. We will make each interest payment on the notes to the holders of record on the     or     immediately preceding the related interest payment date (whether or not a business day). Interest on the notes will accrue from the date of original issuance or, if interest has already been paid, from the most recent interest payment date. Interest will be computed on the basis of a 360-day year comprising twelve 30-day months.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Payments on the Notes; Paying Agent and Security Registrar</w:t>
      </w:r>
    </w:p>
    <w:p>
      <w:pPr>
        <w:spacing w:after="0" w:line="121"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We will pay principal of, premium, if any, and interest on the notes at the office or agency designated by the Company, which is initially the corporate trust office of the trustee in St. Paul, Minnesota. We will pay principal of, premium, if any, and interest on the notes in global form registered in the name of or held by The Depository Trust Company or its nominee in immediately available funds to The Depository Trust Company or its nominee, as the case may be, as the registered holder of such Global Note (as defined herein). The Company shall make all payments in respect of a Certificated Note (as defined herein) by mailing a check to the registered address of each holder thereof as such address shall appear in the Security Registrar’s books;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payments on the notes represented by Certificated Notes may also be made, in the case of a holder of at least $1,000,000 aggregate principal amount of notes represented by Certificated Notes, by wire transfer to 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312" w:lineRule="auto"/>
        <w:rPr>
          <w:sz w:val="20"/>
          <w:szCs w:val="20"/>
          <w:color w:val="auto"/>
        </w:rPr>
      </w:pPr>
      <w:r>
        <w:rPr>
          <w:rFonts w:ascii="Times New Roman" w:cs="Times New Roman" w:eastAsia="Times New Roman" w:hAnsi="Times New Roman"/>
          <w:sz w:val="17"/>
          <w:szCs w:val="17"/>
          <w:color w:val="auto"/>
        </w:rPr>
        <w:t>U.S. dollar account maintained by the payee with a bank in the United States if such holder elects payment by wire transfer by giving written notice to the Trustee or the Paying Agent in accordance with the terms of the Indenture.</w:t>
      </w:r>
    </w:p>
    <w:p>
      <w:pPr>
        <w:spacing w:after="0" w:line="32" w:lineRule="exact"/>
        <w:rPr>
          <w:sz w:val="20"/>
          <w:szCs w:val="20"/>
          <w:color w:val="auto"/>
        </w:rPr>
      </w:pPr>
    </w:p>
    <w:p>
      <w:pPr>
        <w:jc w:val="both"/>
        <w:ind w:left="300" w:right="419" w:firstLine="360"/>
        <w:spacing w:after="0" w:line="289" w:lineRule="auto"/>
        <w:rPr>
          <w:sz w:val="20"/>
          <w:szCs w:val="20"/>
          <w:color w:val="auto"/>
        </w:rPr>
      </w:pPr>
      <w:r>
        <w:rPr>
          <w:rFonts w:ascii="Times New Roman" w:cs="Times New Roman" w:eastAsia="Times New Roman" w:hAnsi="Times New Roman"/>
          <w:sz w:val="17"/>
          <w:szCs w:val="17"/>
          <w:color w:val="auto"/>
        </w:rPr>
        <w:t>We have initially designated the Trustee to act as our Paying Agent and Security Registrar with respect to any Global Notes. We may, however, appoint and change the Paying Agent or Security Registrar without prior notice to the holders of the notes, and the Company or any of its Subsidiaries may act as Paying Agent or Security Registrar.</w:t>
      </w:r>
    </w:p>
    <w:p>
      <w:pPr>
        <w:spacing w:after="0" w:line="50"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If any scheduled date for a payment on the notes is not a business day, then the payment will be paid on the next succeeding business day without additional interest in respect of such delay.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A holder may transfer or exchange the notes in accordance with the Indenture. The Security Registrar and the Trustee may require a holder, among other things, to furnish appropriate endorsements and transfer documents. No service charge will be imposed by the Company, the Trustee or the Security Registrar for any registration of transfer or exchange of notes, but the Company may require a holder to pay a sum sufficient to cover any transfer tax or other governmental taxes and fees required by law or permitted by the Indenture. The Company is not required to transfer or exchange any note selected for redemption or any note for a period of 15 days before a selection of the notes to be redeemed.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registered holder of a note will be treated as the owner of it for all purposes.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jc w:val="both"/>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Prior to     ,     (    months before the Maturity Date)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68" w:lineRule="exact"/>
        <w:rPr>
          <w:sz w:val="20"/>
          <w:szCs w:val="20"/>
          <w:color w:val="auto"/>
        </w:rPr>
      </w:pPr>
    </w:p>
    <w:p>
      <w:pPr>
        <w:ind w:left="1000" w:right="319" w:hanging="348"/>
        <w:spacing w:after="0" w:line="272" w:lineRule="auto"/>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sum of the present values of the remaining scheduled payments of principal and interest on the notes to be redeemed discounted to the redemption date (assuming the notes matured on the Par Call Date) on a semi-annual basis (assuming a 360-day year consisting of twelve 30-day months) at the Treasury Rate</w:t>
      </w:r>
    </w:p>
    <w:p>
      <w:pPr>
        <w:spacing w:after="0" w:line="2" w:lineRule="exact"/>
        <w:rPr>
          <w:sz w:val="20"/>
          <w:szCs w:val="20"/>
          <w:color w:val="auto"/>
        </w:rPr>
      </w:pPr>
    </w:p>
    <w:p>
      <w:pPr>
        <w:ind w:left="660" w:right="2459" w:firstLine="351"/>
        <w:spacing w:after="0" w:line="386" w:lineRule="auto"/>
        <w:rPr>
          <w:sz w:val="20"/>
          <w:szCs w:val="20"/>
          <w:color w:val="auto"/>
        </w:rPr>
      </w:pPr>
      <w:r>
        <w:rPr>
          <w:rFonts w:ascii="Times New Roman" w:cs="Times New Roman" w:eastAsia="Times New Roman" w:hAnsi="Times New Roman"/>
          <w:sz w:val="18"/>
          <w:szCs w:val="18"/>
          <w:color w:val="auto"/>
        </w:rPr>
        <w:t>plus     basis points less (b) interest accrued to the date of redemption; and (2) 100% of the principal amount of the notes to be redeemed,</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not including the redemption date.</w:t>
      </w:r>
    </w:p>
    <w:p>
      <w:pPr>
        <w:spacing w:after="0" w:line="117"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notes, in whole or in part, at any time and from time to time, at a redemption price equal to 100% of the principal amount of the notes being redeemed plus accrued and unpaid interest thereon to but not including the redemption date.</w:t>
      </w:r>
    </w:p>
    <w:p>
      <w:pPr>
        <w:spacing w:after="0" w:line="68" w:lineRule="exact"/>
        <w:rPr>
          <w:sz w:val="20"/>
          <w:szCs w:val="20"/>
          <w:color w:val="auto"/>
        </w:rPr>
      </w:pPr>
    </w:p>
    <w:p>
      <w:pPr>
        <w:ind w:left="300" w:right="899" w:firstLine="360"/>
        <w:spacing w:after="0" w:line="28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w:t>
      </w:r>
    </w:p>
    <w:p>
      <w:pPr>
        <w:spacing w:after="0" w:line="54"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applicable procedures) at least 10 days but not more than 60 days before the redemption date to each holder of notes to be redeemed.</w:t>
      </w:r>
    </w:p>
    <w:p>
      <w:pPr>
        <w:spacing w:after="0" w:line="68" w:lineRule="exact"/>
        <w:rPr>
          <w:sz w:val="20"/>
          <w:szCs w:val="20"/>
          <w:color w:val="auto"/>
        </w:rPr>
      </w:pPr>
    </w:p>
    <w:p>
      <w:pPr>
        <w:jc w:val="both"/>
        <w:ind w:left="300" w:right="339" w:firstLine="360"/>
        <w:spacing w:after="0" w:line="289" w:lineRule="auto"/>
        <w:rPr>
          <w:sz w:val="20"/>
          <w:szCs w:val="20"/>
          <w:color w:val="auto"/>
        </w:rPr>
      </w:pPr>
      <w:r>
        <w:rPr>
          <w:rFonts w:ascii="Times New Roman" w:cs="Times New Roman" w:eastAsia="Times New Roman" w:hAnsi="Times New Roman"/>
          <w:sz w:val="17"/>
          <w:szCs w:val="17"/>
          <w:color w:val="auto"/>
        </w:rPr>
        <w:t>Notwithstanding anything herein to the contrary, notices may be sent more than 60 days prior to the redemption date if the notice is issued in connection with a covenant defeasance or legal defeasance with respect to the notes or a satisfaction and discharge of the Indenture with respect to the notes or in accordance with the following paragraph.</w:t>
      </w:r>
    </w:p>
    <w:p>
      <w:pPr>
        <w:spacing w:after="0" w:line="50"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Notice of any redemption may, at the Company’s discretion, be subject to one or more conditions precedent. If any such condition precedent has not been satisfied or waived, the Company shall provide written notice to the Trustee prior to the close of business one business day prior to the redemption date (or such shorter period as may be acceptable to the Trustee). Upon receipt of such notice, notwithstanding anything herein to the contrary, the notice of redemption shall be rescinded or delayed, and the redemption of the notes shall be rescinded or delayed as provided in such notice. Upon receipt, the Trustee shall provide such notice to each Holder in the same manner in which the notice of redemption was given. A notice of redemption need not set forth the exact redemption price but only the manner of calculation thereof.</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subject to the last sentence of this paragraph. No notes of a principal amount of $2,000 or less will be redeemed in part. If any of the notes is to be redeemed in part only, the notice of redemption that relates to the notes will state the portion of the principal amount of the notes to be redeemed. A new note in a principal amount equal to the unredeemed portion of the note will be issued in the name of the holder of the note upon surrender for cancellation of the original note. For so long as the notes are held by the Depositary, the redemption of the notes shall be done in accordance with the policies and procedures of such Depositary.</w:t>
      </w:r>
    </w:p>
    <w:p>
      <w:pPr>
        <w:spacing w:after="0" w:line="84"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or any conditions precedent described in the notice of redemption are not satisfied or waived and the notice of redemption is rescinded in accordance with the seventh paragraph under the heading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 on and after the redemption date interest will cease to accrue on the notes or portions thereof called for redemption.</w:t>
      </w:r>
    </w:p>
    <w:p>
      <w:pPr>
        <w:spacing w:after="0" w:line="70" w:lineRule="exact"/>
        <w:rPr>
          <w:sz w:val="20"/>
          <w:szCs w:val="20"/>
          <w:color w:val="auto"/>
        </w:rPr>
      </w:pPr>
    </w:p>
    <w:p>
      <w:pPr>
        <w:ind w:left="300" w:right="71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for the notes, the yield applicable to the notes determined by the Company in accordance with the following two paragraphs.</w:t>
      </w:r>
    </w:p>
    <w:p>
      <w:pPr>
        <w:spacing w:after="0" w:line="52"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Treasury Rate applicable to the notes shall be determined by the Company after 4:15 p.m., New York City time (or after such time as yields on U.S. government securities are posted daily by the Board of Governors of the Federal Reserve System), on the third business day preceding the date of the notice of redemption relating to such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84"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If on the third business day preceding the date of the notice of redemption relating to such redemption date H.15 TCM is no longer published, the Company shall calculate the Treasury Rate based on the rate per annum equal to the semi-annual equivalent yield to maturity at 11:00 a.m., New York City time, on the second business day preceding the date of such notice of redemption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87"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The Company is not required to make mandatory redemption payments or sinking fund payments with respect to the notes. Accordingly, Article XII of the Base Indenture shall not apply to the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and affiliates may acquire the notes by means other than a redemption, whether by tender offer, open market purchases, negotiated transactions or otherwise, in accordance with applicable securities laws.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The notes and the subsidiary guarantee will be our and the Subsidiary Guarantor’s respective senior unsecured obligations and will (i) rank equally in right of payment with all of the Company’s and the Subsidiary Guarantor’s respective existing and future senior indebtedness (including the obligations under the Subsidiary Guarantor’s revolving credit facility, term loan facility and (if funded and obtained) the proposed term loan facility (as defined in the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of this prospectus supplement) and our guarantees thereof, the Subsidiary Guarantor’s 7.125% Medium-term Notes, Series B, due 2028 and our 3.250% Senior Notes due 2026, 5.200% Senior Notes due 2027, 3.500% Senior Notes due 2029, 5.150% Senior Notes due 2030, 3.125% Senior Notes due 2031, 6.250% Senior Notes due 2033, 5.400% Senior Notes due 2034, 4.400% Senior Notes due 2051, 4.250% Senior Notes due 2052, 6.250% Senior Notes due 2053, 5.750% Senior Notes due 2054 and 5.900% Senior Notes due 2064 and the Subsidiary Guarantor’s guarantees thereof), (ii) rank senior in right of payment to any of the Company’s and the Subsidiary Guarantor’s future indebtedness that is expressly subordinated in right of payment to the notes and the subsidiary guarantee, respectively, (iii) be effectively subordinated to any of our and the Subsidiary Guarantor’s existing and future secured indebtedness, if any, to the extent of the value of the collateral securing such indebtedness and (iv) be structurally subordinated to all of the existing and future indebtedness and other liabilities (including trade payables) of each of our Subsidiaries that is not a guarantor of the notes (including the revolving credit facility of Viper OpCo, the outstanding QEP notes and Viper notes (each as defined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prospectus supplement)). In the event of bankruptcy, liquidation, reorganization or other winding up of the Company or the Subsidiary Guarantor or upon a default in payment with respect to, or the acceleration of, any senior secured indebtedness, the assets of the Company or the Subsidiary Guarantor that secure such senior secured indebtedness will be available to pay obligations on the notes and the subsidiary guarantee only after all obligations under such senior secured indebtedness have been repaid in full from such assets. We advise you that there may not be sufficient assets remaining to pay amounts due on any or all of the notes then outstanding and the subsidiary guarantee.</w:t>
      </w:r>
    </w:p>
    <w:p>
      <w:pPr>
        <w:spacing w:after="0" w:line="9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As of December 31, 2024, after giving effect to this offering and assuming the incurrence of the proposed term loan, each as described in this prospectus supplement, we and the Subsidiary Guarantor would have had approximately $    billion in total debt outstanding, and we and the Subsidiary Guarantor would have had no secured debt outstanding. As of December 31, 2024, the Subsidiary Guarantor had approximately (i) $900 million of term loans outstanding, which is included in the aforementioned $    billion in total debt outstanding and which we guarantee, and (ii) $2.5 billion available for future borrowings under its revolving credit facility, which we also guarantee. As of December 31, 2024, Viper had approximately $1.09 billion of total indebtedness (consisting of approximately $830 million aggregate principal amount of the Viper notes and $261.0 million in outstanding borrowings under Viper OpCo’s revolving credit facility), and Viper OpCo had $1.0 billion of available borrowing capacity under its revolving credit facility. As of December 31, 2024, there was approximately $14 million in aggregate principal amount of the QEP notes outstanding.</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Subsidiary Guarantee</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The Subsidiary Guarantor will guarantee on a senior unsecured basis our obligations under the notes and all of our other obligations under the Indenture, and the Subsidiary Guarantor’s guarantee of the notes will be “full and unconditional,” as that term is used in Regulation S-X, Rule 3-10(b)(3). In the future, the subsidiary guarantee in respect of the notes may be released or terminated under certain circumstances set forth below.</w:t>
      </w:r>
    </w:p>
    <w:p>
      <w:pPr>
        <w:spacing w:after="0" w:line="72"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The obligations of the Subsidiary Guarantor under the subsidiary guarantee will be limited in a manner designed to prevent the subsidiary guarantee from constituting a fraudulent conveyance or fraudulent transfer under applicable law, although no assurance can be given that a court would give the holder the benefit of such provision. See “</w:t>
      </w:r>
      <w:r>
        <w:rPr>
          <w:rFonts w:ascii="Times New Roman" w:cs="Times New Roman" w:eastAsia="Times New Roman" w:hAnsi="Times New Roman"/>
          <w:sz w:val="18"/>
          <w:szCs w:val="18"/>
          <w:i w:val="1"/>
          <w:iCs w:val="1"/>
          <w:color w:val="auto"/>
        </w:rPr>
        <w:t>Risk Factors—Risks Relating to the Notes</w:t>
      </w:r>
      <w:r>
        <w:rPr>
          <w:rFonts w:ascii="Times New Roman" w:cs="Times New Roman" w:eastAsia="Times New Roman" w:hAnsi="Times New Roman"/>
          <w:sz w:val="18"/>
          <w:szCs w:val="18"/>
          <w:color w:val="auto"/>
        </w:rPr>
        <w:t>.” If the subsidiary guarantee were rendered voidable, it could be subordinated by a court to all other indebtedness (including guarantees and other contingent liabilities) of the Subsidiary Guarantor, and, depending on the amount of such indebtedness, the Subsidiary Guarantor’s liability on the subsidiary guarantee could be reduced to zero.</w:t>
      </w:r>
    </w:p>
    <w:p>
      <w:pPr>
        <w:spacing w:after="0" w:line="8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the event that the Subsidiary Guarantor is sold or disposed of (whether by merger, consolidation, the sale of a sufficient amount of its (or an intermediate holding company’s) Capital Stock so that the Subsidiary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Guarantor no longer constitutes a Subsidiary of ours or the sale of all or substantially all of its assets (other than by lease)), and whether or not the Subsidiary Guarantor is the surviving entity in such transaction, to a Person that is not (and does not thereupon become) the Company or a Subsidiary of the Company, the Subsidiary Guarantor will be released and discharged automatically and unconditionally from all its obligations under the subsidiary guarantee and will cease to be the Subsidiary Guarantor, without any further action required on the part of the Trustee or any holder.</w:t>
      </w:r>
    </w:p>
    <w:p>
      <w:pPr>
        <w:spacing w:after="0" w:line="79" w:lineRule="exact"/>
        <w:rPr>
          <w:sz w:val="20"/>
          <w:szCs w:val="20"/>
          <w:color w:val="auto"/>
        </w:rPr>
      </w:pPr>
    </w:p>
    <w:p>
      <w:pPr>
        <w:ind w:left="300" w:right="479" w:firstLine="360"/>
        <w:spacing w:after="0" w:line="270" w:lineRule="auto"/>
        <w:rPr>
          <w:sz w:val="20"/>
          <w:szCs w:val="20"/>
          <w:color w:val="auto"/>
        </w:rPr>
      </w:pPr>
      <w:r>
        <w:rPr>
          <w:rFonts w:ascii="Times New Roman" w:cs="Times New Roman" w:eastAsia="Times New Roman" w:hAnsi="Times New Roman"/>
          <w:sz w:val="17"/>
          <w:szCs w:val="17"/>
          <w:color w:val="auto"/>
        </w:rPr>
        <w:t>In addition, the Subsidiary Guarantor will be released and discharged automatically and unconditionally from all its obligations under the Indenture and the subsidiary guarantee and will cease to be a guarantor with respect to the notes, without any further action required on the part of the Trustee or any holder, (i) upon the release or discharge of the Company’s guarantee of the Subsidiary Guarantor’s obligations under its revolving credit facility (as amended, modified, restated, amended and restated or otherwise replaced or refinanced from time to time), (ii) upon the release or discharge of the Subsidiary Guarantor’s obligations under its revolving credit facility (as amended, modified, restated, amended and restated or otherwise refinanced or replaced from time to time), (iii) in connection with any covenant defeasance, legal defeasance or satisfaction and discharge of the notes as provided below under the captions “—</w:t>
      </w:r>
      <w:r>
        <w:rPr>
          <w:rFonts w:ascii="Times New Roman" w:cs="Times New Roman" w:eastAsia="Times New Roman" w:hAnsi="Times New Roman"/>
          <w:sz w:val="17"/>
          <w:szCs w:val="17"/>
          <w:i w:val="1"/>
          <w:iCs w:val="1"/>
          <w:color w:val="auto"/>
        </w:rPr>
        <w:t>Defeasance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Satisfaction and Discharge</w:t>
      </w:r>
      <w:r>
        <w:rPr>
          <w:rFonts w:ascii="Times New Roman" w:cs="Times New Roman" w:eastAsia="Times New Roman" w:hAnsi="Times New Roman"/>
          <w:sz w:val="17"/>
          <w:szCs w:val="17"/>
          <w:color w:val="auto"/>
        </w:rPr>
        <w:t>,” or (iv) if no Event of Default has occurred and is then continuing, upon the liquidation or dissolution of the Subsidiary Guarantor.</w:t>
      </w:r>
    </w:p>
    <w:p>
      <w:pPr>
        <w:spacing w:after="0" w:line="6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Upon delivery by the Company to the Trustee of an Officer’s Certificate and an Opinion of Counsel to the effect that any of the conditions described above has occurred, the Trustee shall execute any supplemental indenture or other documents reasonably requested by the Company in order to evidence the release of the Subsidiary Guarantor from its obligations under the subsidiary guarantee and the Indenture as to the notes.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121"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The Company will not, and will not permit any of its Restricted Subsidiaries to, create, Incur, or suffer or permit to exist, any Lien securing Funded Debt (other than Permitted Liens) upon any Principal Property, whether owned on the Issue Date or acquired after that date, unless the Indebtedness due under the Indenture (as it relates to the notes and the subsidiary guarantee), the notes and the subsidiary guarantee (if any) are secured equally and ratably with (or senior in priority to in the case of Liens with respect to Funded Debt that is expressly subordinated to the notes or the subsidiary guarantee) the Funded Debt secured by such Lien for so long as such Funded Debt is so secured.</w:t>
      </w:r>
    </w:p>
    <w:p>
      <w:pPr>
        <w:spacing w:after="0" w:line="8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Notwithstanding the preceding paragraph, we may, and may permit any Restricted Subsidiary of ours to, create, Incur, or suffer or permit to exist, any Lien securing Funded Debt upon any Principal Property without securing the Indebtedness due under the Indenture, the notes and the subsidiary guarantee if the aggregate principal amount of such Funded Debt secured by such Lien upon such Principal Property, together with the aggregate outstanding principal amount of all other Funded Debt of ours and of any Restricted Subsidiary of ours secured by any Liens (other than Permitted Liens) upon Principal Property, does not at the time such Funded Debt is created, Incurred or assumed (or, if later, at the time such Lien is created, Incurred or assumed) exceed the greater of (i) 15% of Consolidated Net Tangible Assets at such time and (ii) $9.25 billion.</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Reports</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Company will furnish or file with the Trustee, (i) within 15 days after it files the same with the SEC, copies of the annual reports and the information, documents and other reports (or copies of such portions of any of the foregoing as the SEC may by rules and regulations prescribe) that the Company is required to file with the SEC pursuant to Section 13 or 15(d) of the Exchange Act and (ii) other information, documents, or reports as may be required pursuant to the Trust Indenture Act at the times and in the manner provided in the Trust Indenture Act. For purposes of this covenant, the Company will be deemed to have furnished such reports and information to, or filed such reports and information with, the Trustee (and, if applicable, any other Persons) as required by this covenant if it has filed such reports or information with the SEC via the EDGAR filing system or otherwise made such reports or information publicly available on a freely accessible page on the Company’s website. The Trustee shall have no obligation whatsoever to determine whether or not such reports and information have been filed or have been posted on such website.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The Company also shall furnish to the Trustee, within 120 days after the end of each fiscal year of the Company, a brief certificate from the principal executive officer, principal financial officer or principal accounting officer as to his or her knowledge of the Company’s compliance with all conditions and covenants under the Indenture.</w:t>
      </w:r>
    </w:p>
    <w:p>
      <w:pPr>
        <w:spacing w:after="0" w:line="70"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Delivery of any reports, information and documents under this caption “—</w:t>
      </w:r>
      <w:r>
        <w:rPr>
          <w:rFonts w:ascii="Times New Roman" w:cs="Times New Roman" w:eastAsia="Times New Roman" w:hAnsi="Times New Roman"/>
          <w:sz w:val="18"/>
          <w:szCs w:val="18"/>
          <w:i w:val="1"/>
          <w:iCs w:val="1"/>
          <w:color w:val="auto"/>
        </w:rPr>
        <w:t>Reports</w:t>
      </w:r>
      <w:r>
        <w:rPr>
          <w:rFonts w:ascii="Times New Roman" w:cs="Times New Roman" w:eastAsia="Times New Roman" w:hAnsi="Times New Roman"/>
          <w:sz w:val="18"/>
          <w:szCs w:val="18"/>
          <w:color w:val="auto"/>
        </w:rPr>
        <w:t>” to the Trustee is for informational purposes only and the Trustee’s receipt of such shall not constitute notice, constructive or otherwise, of any information contained therein or determinable from information contained therein, including the compliance by the Company with any of the Company’s covenants (as to which the Trustee is entitled to rely exclusively on certificates described in the second paragraph under this caption “—</w:t>
      </w:r>
      <w:r>
        <w:rPr>
          <w:rFonts w:ascii="Times New Roman" w:cs="Times New Roman" w:eastAsia="Times New Roman" w:hAnsi="Times New Roman"/>
          <w:sz w:val="18"/>
          <w:szCs w:val="18"/>
          <w:i w:val="1"/>
          <w:iCs w:val="1"/>
          <w:color w:val="auto"/>
        </w:rPr>
        <w:t>Reports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Unrestricted Subsidiaries</w:t>
      </w:r>
    </w:p>
    <w:p>
      <w:pPr>
        <w:spacing w:after="0" w:line="12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may after the Issue Date designate any Subsidiary as an “Unrestricted Subsidiary” if: (1) no Default or Event of Default shall have occurred and be continuing at the time of or after giving effect to such designation; and (2) such Subsidiary has no Indebtedness other than Non-Recourse Debt.</w:t>
      </w:r>
    </w:p>
    <w:p>
      <w:pPr>
        <w:spacing w:after="0" w:line="68"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Company may at any time, subject to the following sentence, designate any Unrestricted Subsidiary to be a Restricted Subsidiary of the Company. Any such designation will be deemed to be an incurrence of Funded Debt and Liens by a Restricted Subsidiary of the Company of any outstanding Funded Debt and Liens, respectively, of such Unrestricted Subsidiary, and such designation will only be permitted if no Default or Event of Default would be in existence following such designation.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following is an Event of Default with respect to the notes:</w:t>
      </w:r>
    </w:p>
    <w:p>
      <w:pPr>
        <w:spacing w:after="0" w:line="117"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when due and payable, continued for 30 days;</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premium, if any, on any note when due and payable at its Stated Maturity, upon optional redemption, upon acceleration or otherwise;</w:t>
      </w:r>
    </w:p>
    <w:p>
      <w:pPr>
        <w:spacing w:after="0" w:line="53"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by the Company to comply, for 180 days after notice as provided below, with the covenant described under “—</w:t>
      </w:r>
      <w:r>
        <w:rPr>
          <w:rFonts w:ascii="Times New Roman" w:cs="Times New Roman" w:eastAsia="Times New Roman" w:hAnsi="Times New Roman"/>
          <w:sz w:val="18"/>
          <w:szCs w:val="18"/>
          <w:i w:val="1"/>
          <w:iCs w:val="1"/>
          <w:color w:val="auto"/>
        </w:rPr>
        <w:t>Certain Covenants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Reports</w:t>
      </w:r>
      <w:r>
        <w:rPr>
          <w:rFonts w:ascii="Times New Roman" w:cs="Times New Roman" w:eastAsia="Times New Roman" w:hAnsi="Times New Roman"/>
          <w:sz w:val="18"/>
          <w:szCs w:val="18"/>
          <w:color w:val="auto"/>
        </w:rPr>
        <w:t>”; or</w:t>
      </w:r>
    </w:p>
    <w:p>
      <w:pPr>
        <w:spacing w:after="0" w:line="53" w:lineRule="exact"/>
        <w:rPr>
          <w:rFonts w:ascii="Times New Roman" w:cs="Times New Roman" w:eastAsia="Times New Roman" w:hAnsi="Times New Roman"/>
          <w:sz w:val="18"/>
          <w:szCs w:val="18"/>
          <w:color w:val="auto"/>
        </w:rPr>
      </w:pPr>
    </w:p>
    <w:p>
      <w:pPr>
        <w:jc w:val="both"/>
        <w:ind w:left="1360" w:right="579" w:hanging="348"/>
        <w:spacing w:after="0" w:line="266" w:lineRule="auto"/>
        <w:tabs>
          <w:tab w:leader="none" w:pos="13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by the Company to comply, for 90 days after notice as provided below, with its agreements (other than the agreements that are the subject of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(3)(a)</w:t>
      </w:r>
      <w:r>
        <w:rPr>
          <w:rFonts w:ascii="Times New Roman" w:cs="Times New Roman" w:eastAsia="Times New Roman" w:hAnsi="Times New Roman"/>
          <w:sz w:val="18"/>
          <w:szCs w:val="18"/>
          <w:color w:val="auto"/>
        </w:rPr>
        <w:t xml:space="preserve"> above) contained in the Indenture (as it relates to the notes) or the notes;</w:t>
      </w:r>
    </w:p>
    <w:p>
      <w:pPr>
        <w:spacing w:after="0" w:line="67" w:lineRule="exact"/>
        <w:rPr>
          <w:rFonts w:ascii="Times New Roman" w:cs="Times New Roman" w:eastAsia="Times New Roman" w:hAnsi="Times New Roman"/>
          <w:sz w:val="18"/>
          <w:szCs w:val="18"/>
          <w:color w:val="auto"/>
        </w:rPr>
      </w:pPr>
    </w:p>
    <w:p>
      <w:pPr>
        <w:ind w:left="1000" w:right="399" w:hanging="348"/>
        <w:spacing w:after="0" w:line="258"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similar instrument under which there is issued or by which there is secured or evidenced any Indebtedness for money borrowed by the Company or the Subsidiary Guarantor (or the payment of which is guaranteed by the Company or the Subsidiary Guarantor), other than Indebtedness owed to a Subsidiary, whether such Indebtedness or guarantee now exists or is created after the Issue Date, which default:</w:t>
      </w:r>
    </w:p>
    <w:p>
      <w:pPr>
        <w:spacing w:after="0" w:line="75" w:lineRule="exact"/>
        <w:rPr>
          <w:rFonts w:ascii="Times New Roman" w:cs="Times New Roman" w:eastAsia="Times New Roman" w:hAnsi="Times New Roman"/>
          <w:sz w:val="18"/>
          <w:szCs w:val="18"/>
          <w:color w:val="auto"/>
        </w:rPr>
      </w:pPr>
    </w:p>
    <w:p>
      <w:pPr>
        <w:ind w:left="1360" w:right="359" w:hanging="348"/>
        <w:spacing w:after="0" w:line="282" w:lineRule="auto"/>
        <w:tabs>
          <w:tab w:leader="none" w:pos="13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caused by a failure to pay principal of, or interest or premium, if any, on such Indebtedness prior to the expiration of the grace period provided in such Indebtedness (“payment default”); or</w:t>
      </w:r>
    </w:p>
    <w:p>
      <w:pPr>
        <w:spacing w:after="0" w:line="53" w:lineRule="exact"/>
        <w:rPr>
          <w:rFonts w:ascii="Times New Roman" w:cs="Times New Roman" w:eastAsia="Times New Roman" w:hAnsi="Times New Roman"/>
          <w:sz w:val="18"/>
          <w:szCs w:val="18"/>
          <w:color w:val="auto"/>
        </w:rPr>
      </w:pPr>
    </w:p>
    <w:p>
      <w:pPr>
        <w:ind w:left="1360" w:right="399" w:hanging="348"/>
        <w:spacing w:after="0" w:line="261" w:lineRule="auto"/>
        <w:tabs>
          <w:tab w:leader="none" w:pos="13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acceleration of such Indebtedness prior to its maturity; and, in each case, the principal amount of any such Indebtedness, together with the principal amount of any other such Indebtedness under which there is an outstanding uncured payment default or the maturity of which has been and remains so accelerated, as applicable, aggregates to $250.0 million or more;</w:t>
      </w:r>
    </w:p>
    <w:p>
      <w:pPr>
        <w:spacing w:after="0" w:line="71"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the Company (the “bankruptcy provisions”); or</w:t>
      </w:r>
    </w:p>
    <w:p>
      <w:pPr>
        <w:spacing w:after="0" w:line="53" w:lineRule="exact"/>
        <w:rPr>
          <w:rFonts w:ascii="Times New Roman" w:cs="Times New Roman" w:eastAsia="Times New Roman" w:hAnsi="Times New Roman"/>
          <w:sz w:val="18"/>
          <w:szCs w:val="18"/>
          <w:color w:val="auto"/>
        </w:rPr>
      </w:pPr>
    </w:p>
    <w:p>
      <w:pPr>
        <w:ind w:left="1000" w:right="539" w:hanging="348"/>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guarantee ceases to be in full force and effect (except as contemplated by the terms of the Indenture) or is declared null and void in a judicial proceeding or the Subsidiary Guarantor denies or disaffirms its obligations under the Indenture (as it relates to the notes) or such subsidiary guarantee, in each case unless such subsidiary guarantee has been released pursuant to the terms of the Indenture.</w:t>
      </w:r>
    </w:p>
    <w:p>
      <w:pPr>
        <w:spacing w:after="0" w:line="72" w:lineRule="exact"/>
        <w:rPr>
          <w:sz w:val="20"/>
          <w:szCs w:val="20"/>
          <w:color w:val="auto"/>
        </w:rPr>
      </w:pPr>
    </w:p>
    <w:p>
      <w:pPr>
        <w:ind w:left="300" w:right="779" w:firstLine="360"/>
        <w:spacing w:after="0" w:line="312" w:lineRule="auto"/>
        <w:rPr>
          <w:sz w:val="20"/>
          <w:szCs w:val="20"/>
          <w:color w:val="auto"/>
        </w:rPr>
      </w:pPr>
      <w:r>
        <w:rPr>
          <w:rFonts w:ascii="Times New Roman" w:cs="Times New Roman" w:eastAsia="Times New Roman" w:hAnsi="Times New Roman"/>
          <w:sz w:val="17"/>
          <w:szCs w:val="17"/>
          <w:color w:val="auto"/>
        </w:rPr>
        <w:t xml:space="preserve">However, a Default under </w:t>
      </w:r>
      <w:r>
        <w:rPr>
          <w:rFonts w:ascii="Times New Roman" w:cs="Times New Roman" w:eastAsia="Times New Roman" w:hAnsi="Times New Roman"/>
          <w:sz w:val="17"/>
          <w:szCs w:val="17"/>
          <w:u w:val="single" w:color="auto"/>
          <w:color w:val="auto"/>
        </w:rPr>
        <w:t>clause (3)</w:t>
      </w:r>
      <w:r>
        <w:rPr>
          <w:rFonts w:ascii="Times New Roman" w:cs="Times New Roman" w:eastAsia="Times New Roman" w:hAnsi="Times New Roman"/>
          <w:sz w:val="17"/>
          <w:szCs w:val="17"/>
          <w:color w:val="auto"/>
        </w:rPr>
        <w:t xml:space="preserve"> above will not constitute an Event of Default as to the notes until the Trustee or the holders of at least 25% in principal amount of the then outstanding notes notify the Company in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 xml:space="preserve">writing of the Default and the Company does not cure such Default within the applicable time specified in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above after receipt of such notice. Such notice must specify the Default, demand that it be remedied, and state that such notice is a “Notice of Default.”</w:t>
      </w:r>
    </w:p>
    <w:p>
      <w:pPr>
        <w:spacing w:after="0" w:line="68"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If an Event of Default (other than an Event of Default described in </w:t>
      </w:r>
      <w:r>
        <w:rPr>
          <w:rFonts w:ascii="Times New Roman" w:cs="Times New Roman" w:eastAsia="Times New Roman" w:hAnsi="Times New Roman"/>
          <w:sz w:val="18"/>
          <w:szCs w:val="18"/>
          <w:u w:val="single" w:color="auto"/>
          <w:color w:val="auto"/>
        </w:rPr>
        <w:t>clause (5)</w:t>
      </w:r>
      <w:r>
        <w:rPr>
          <w:rFonts w:ascii="Times New Roman" w:cs="Times New Roman" w:eastAsia="Times New Roman" w:hAnsi="Times New Roman"/>
          <w:sz w:val="18"/>
          <w:szCs w:val="18"/>
          <w:color w:val="auto"/>
        </w:rPr>
        <w:t xml:space="preserve"> above) occurs and is continuing as to the notes, the Trustee by written notice to the Company, or holders of at least 25% in principal amount of the then outstanding notes by written notice to the Company and the Trustee, may, and the Trustee at the request of holders of at least 25% in principal amount of the then outstanding notes shall, declare the principal, premium, if any, and accrued and unpaid interest, if any, on all the notes to be due and payable. Such notice must specify the Event of Default and state that such notice is a “Notice of Acceleration.” Upon such a declaration, such principal, premium, if any, and accrued and unpaid interest in respect of the notes will be due and payable immediately.</w:t>
      </w:r>
    </w:p>
    <w:p>
      <w:pPr>
        <w:spacing w:after="0" w:line="81" w:lineRule="exact"/>
        <w:rPr>
          <w:sz w:val="20"/>
          <w:szCs w:val="20"/>
          <w:color w:val="auto"/>
        </w:rPr>
      </w:pPr>
    </w:p>
    <w:p>
      <w:pPr>
        <w:ind w:left="300" w:right="459" w:firstLine="360"/>
        <w:spacing w:after="0" w:line="276" w:lineRule="auto"/>
        <w:rPr>
          <w:sz w:val="20"/>
          <w:szCs w:val="20"/>
          <w:color w:val="auto"/>
        </w:rPr>
      </w:pPr>
      <w:r>
        <w:rPr>
          <w:rFonts w:ascii="Times New Roman" w:cs="Times New Roman" w:eastAsia="Times New Roman" w:hAnsi="Times New Roman"/>
          <w:sz w:val="17"/>
          <w:szCs w:val="17"/>
          <w:color w:val="auto"/>
        </w:rPr>
        <w:t xml:space="preserve">In the event of a declaration of acceleration of the notes because an Event of Default described in </w:t>
      </w:r>
      <w:r>
        <w:rPr>
          <w:rFonts w:ascii="Times New Roman" w:cs="Times New Roman" w:eastAsia="Times New Roman" w:hAnsi="Times New Roman"/>
          <w:sz w:val="17"/>
          <w:szCs w:val="17"/>
          <w:u w:val="single" w:color="auto"/>
          <w:color w:val="auto"/>
        </w:rPr>
        <w:t>clause (4)</w:t>
      </w:r>
      <w:r>
        <w:rPr>
          <w:rFonts w:ascii="Times New Roman" w:cs="Times New Roman" w:eastAsia="Times New Roman" w:hAnsi="Times New Roman"/>
          <w:sz w:val="17"/>
          <w:szCs w:val="17"/>
          <w:color w:val="auto"/>
        </w:rPr>
        <w:t xml:space="preserve"> above has occurred and is continuing, the declaration of acceleration of the notes shall be automatically annulled if</w:t>
      </w:r>
    </w:p>
    <w:p>
      <w:pPr>
        <w:spacing w:after="0" w:line="1" w:lineRule="exact"/>
        <w:rPr>
          <w:sz w:val="20"/>
          <w:szCs w:val="20"/>
          <w:color w:val="auto"/>
        </w:rPr>
      </w:pPr>
    </w:p>
    <w:p>
      <w:pPr>
        <w:ind w:left="540" w:hanging="248"/>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or guarantee is discharged in full (other than customary surviving contingent obligations) or</w:t>
      </w:r>
    </w:p>
    <w:p>
      <w:pPr>
        <w:spacing w:after="0" w:line="9" w:lineRule="exact"/>
        <w:rPr>
          <w:rFonts w:ascii="Times New Roman" w:cs="Times New Roman" w:eastAsia="Times New Roman" w:hAnsi="Times New Roman"/>
          <w:sz w:val="18"/>
          <w:szCs w:val="18"/>
          <w:color w:val="auto"/>
        </w:rPr>
      </w:pPr>
    </w:p>
    <w:p>
      <w:pPr>
        <w:ind w:left="300" w:right="319" w:hanging="8"/>
        <w:spacing w:after="0" w:line="250" w:lineRule="auto"/>
        <w:tabs>
          <w:tab w:leader="none" w:pos="5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Default triggering such Event of Default pursuant to </w:t>
      </w:r>
      <w:r>
        <w:rPr>
          <w:rFonts w:ascii="Times New Roman" w:cs="Times New Roman" w:eastAsia="Times New Roman" w:hAnsi="Times New Roman"/>
          <w:sz w:val="18"/>
          <w:szCs w:val="18"/>
          <w:u w:val="single" w:color="auto"/>
          <w:color w:val="auto"/>
        </w:rPr>
        <w:t>clause (4)</w:t>
      </w:r>
      <w:r>
        <w:rPr>
          <w:rFonts w:ascii="Times New Roman" w:cs="Times New Roman" w:eastAsia="Times New Roman" w:hAnsi="Times New Roman"/>
          <w:sz w:val="18"/>
          <w:szCs w:val="18"/>
          <w:color w:val="auto"/>
        </w:rPr>
        <w:t xml:space="preserve"> shall be remedied or cured by the Company or waived by the holders of the relevant Indebtedness, in each case within 60 days after the written notice of declaration of acceleration of the notes with respect thereto is received by the Company and if (1) the annulment of the acceleration of the notes would not conflict with any judgment or decree of a court of competent jurisdiction and</w:t>
      </w:r>
    </w:p>
    <w:p>
      <w:pPr>
        <w:spacing w:after="0" w:line="1" w:lineRule="exact"/>
        <w:rPr>
          <w:rFonts w:ascii="Times New Roman" w:cs="Times New Roman" w:eastAsia="Times New Roman" w:hAnsi="Times New Roman"/>
          <w:sz w:val="18"/>
          <w:szCs w:val="18"/>
          <w:color w:val="auto"/>
        </w:rPr>
      </w:pPr>
    </w:p>
    <w:p>
      <w:pPr>
        <w:ind w:left="300" w:right="7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all existing Events of Default, except nonpayment of principal, premium, if any, or interest on the notes that became due solely because of the acceleration of the notes, have been cured or waived.</w:t>
      </w:r>
    </w:p>
    <w:p>
      <w:pPr>
        <w:spacing w:after="0" w:line="73"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If an Event of Default described in </w:t>
      </w:r>
      <w:r>
        <w:rPr>
          <w:rFonts w:ascii="Times New Roman" w:cs="Times New Roman" w:eastAsia="Times New Roman" w:hAnsi="Times New Roman"/>
          <w:sz w:val="18"/>
          <w:szCs w:val="18"/>
          <w:u w:val="single" w:color="auto"/>
          <w:color w:val="auto"/>
        </w:rPr>
        <w:t>clause (5)</w:t>
      </w:r>
      <w:r>
        <w:rPr>
          <w:rFonts w:ascii="Times New Roman" w:cs="Times New Roman" w:eastAsia="Times New Roman" w:hAnsi="Times New Roman"/>
          <w:sz w:val="18"/>
          <w:szCs w:val="18"/>
          <w:color w:val="auto"/>
        </w:rPr>
        <w:t xml:space="preserve"> above occurs, the principal, premium, if any, and accrued and unpaid interest on all the notes will become and be immediately due and payable without any declaration or other act on the part of the Trustee or any holders.</w:t>
      </w:r>
    </w:p>
    <w:p>
      <w:pPr>
        <w:spacing w:after="0" w:line="68"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At any time after a declaration of acceleration as to the notes, but before a judgment or decree for the payment of the money due has been obtained by the Trustee, holders of a majority in principal amount of the outstanding notes may by notice to the Trustee and the Company (including, without limitation, waivers and consents obtained in connection with a purchase of, or tender offer or exchange offer for, notes) waive all past defaults (except with respect to nonpayment of principal, premium, if any, or interest) and rescind any such acceleration with respect to the notes and its consequences if rescission would not conflict with any judgment or decree of a court of competent jurisdiction.</w:t>
      </w:r>
    </w:p>
    <w:p>
      <w:pPr>
        <w:spacing w:after="0" w:line="81" w:lineRule="exact"/>
        <w:rPr>
          <w:sz w:val="20"/>
          <w:szCs w:val="20"/>
          <w:color w:val="auto"/>
        </w:rPr>
      </w:pPr>
    </w:p>
    <w:p>
      <w:pPr>
        <w:ind w:left="300" w:right="739" w:firstLine="360"/>
        <w:spacing w:after="0" w:line="266" w:lineRule="auto"/>
        <w:rPr>
          <w:sz w:val="20"/>
          <w:szCs w:val="20"/>
          <w:color w:val="auto"/>
        </w:rPr>
      </w:pPr>
      <w:r>
        <w:rPr>
          <w:rFonts w:ascii="Times New Roman" w:cs="Times New Roman" w:eastAsia="Times New Roman" w:hAnsi="Times New Roman"/>
          <w:sz w:val="18"/>
          <w:szCs w:val="18"/>
          <w:color w:val="auto"/>
        </w:rPr>
        <w:t>Certain provisions relating to the rights and remedies of holders of notes and the rights, remedies and obligations of the Trustee are described in the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set forth in the Base Prospectus under the caption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Solely with respect to the notes and except as provided in the next two succeeding paragraphs, the Company and the Trustee may amend or supplement the Supplemental Indenture and the Base Indenture (in each case, as it relates to the notes and including the subsidiary guarantee) and the notes with the consent of the holders of a majority in principal amount of the notes then outstanding voting as a single class (including, without limitation, consents obtained in connection with a purchase of, or tender offer or exchange offer for, notes) and any past default or compliance with any provisions of the Supplemental Indenture and the Base Indenture (in each case, as it relates to the notes and including the subsidiary guarantee) and the notes may be waived with the consent of the holders of a majority in principal amount of the notes then outstanding voting as a single class (including, without limitation, consents obtained in connection with a purchase of, or tender offer or exchange offer for, notes).</w:t>
      </w:r>
    </w:p>
    <w:p>
      <w:pPr>
        <w:spacing w:after="0" w:line="80"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However, without the consent of each holder of an outstanding note affected, no amendment, supplement or waiver may (with respect to any notes held by a non-consenting holder):</w:t>
      </w:r>
    </w:p>
    <w:p>
      <w:pPr>
        <w:spacing w:after="0" w:line="54"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whose holders must consent to an amendment, supplement or waiver;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stated rate of interest or extend the stated time for payment of interest on any note;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extend the Stated Maturity of any note;</w:t>
      </w:r>
    </w:p>
    <w:p>
      <w:pPr>
        <w:spacing w:after="0" w:line="117" w:lineRule="exact"/>
        <w:rPr>
          <w:rFonts w:ascii="Times New Roman" w:cs="Times New Roman" w:eastAsia="Times New Roman" w:hAnsi="Times New Roman"/>
          <w:sz w:val="18"/>
          <w:szCs w:val="18"/>
          <w:color w:val="auto"/>
        </w:rPr>
      </w:pPr>
    </w:p>
    <w:p>
      <w:pPr>
        <w:ind w:left="1000" w:right="719" w:hanging="348"/>
        <w:spacing w:after="0" w:line="312" w:lineRule="auto"/>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Default or Event of Default in the payment of principal of, premium, if any, or interest on the notes (except a rescission of acceleration of the notes by holders of a majority in aggregate principal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539"/>
        <w:spacing w:after="0" w:line="282" w:lineRule="auto"/>
        <w:rPr>
          <w:sz w:val="20"/>
          <w:szCs w:val="20"/>
          <w:color w:val="auto"/>
        </w:rPr>
      </w:pPr>
      <w:r>
        <w:rPr>
          <w:rFonts w:ascii="Times New Roman" w:cs="Times New Roman" w:eastAsia="Times New Roman" w:hAnsi="Times New Roman"/>
          <w:sz w:val="18"/>
          <w:szCs w:val="18"/>
          <w:color w:val="auto"/>
        </w:rPr>
        <w:t>amount of the then outstanding notes with respect to a nonpayment default and a waiver of the payment default that resulted from such acceleration);</w:t>
      </w:r>
    </w:p>
    <w:p>
      <w:pPr>
        <w:spacing w:after="0" w:line="54" w:lineRule="exact"/>
        <w:rPr>
          <w:sz w:val="20"/>
          <w:szCs w:val="20"/>
          <w:color w:val="auto"/>
        </w:rPr>
      </w:pPr>
    </w:p>
    <w:p>
      <w:pPr>
        <w:ind w:left="1000" w:right="31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premium payable upon the redemption of any note or change the time at which any note may be redeemed as described above under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 whether through an amendment or waiver of provisions in the Indenture, related definitions or otherwise;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other than that stated in the note;</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to receive payment of principal, premium, if any, and interest on such holder’s notes on or after the due dates therefor or to institute suit for the enforcement of any payment on or with respect to such holder’s notes;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subsidiary guarantee in any manner adverse to the holders of the notes;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amendment or waiver provisions that require each holder’s consent.</w:t>
      </w:r>
    </w:p>
    <w:p>
      <w:pPr>
        <w:spacing w:after="0" w:line="117"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Notwithstanding the foregoing, without the consent of any holder of notes, the Company and the Trustee may amend or supplement the Supplemental Indenture and the Base Indenture (in each case, as it relates to the notes and including the subsidiary guarantee) and the notes to:</w:t>
      </w:r>
    </w:p>
    <w:p>
      <w:pPr>
        <w:spacing w:after="0" w:line="68"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defect or inconsistency;</w:t>
      </w:r>
    </w:p>
    <w:p>
      <w:pPr>
        <w:spacing w:after="0" w:line="117" w:lineRule="exact"/>
        <w:rPr>
          <w:rFonts w:ascii="Times New Roman" w:cs="Times New Roman" w:eastAsia="Times New Roman" w:hAnsi="Times New Roman"/>
          <w:sz w:val="18"/>
          <w:szCs w:val="18"/>
          <w:color w:val="auto"/>
        </w:rPr>
      </w:pPr>
    </w:p>
    <w:p>
      <w:pPr>
        <w:ind w:left="1000" w:right="519" w:hanging="348"/>
        <w:spacing w:after="0" w:line="26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for the assumption by a successor entity of the obligations of the Company under the Supplemental Indenture and the Base Indenture (in each case, as it relates to the notes) or the notes in accordance with the covenant described under the caption </w:t>
      </w:r>
      <w:r>
        <w:rPr>
          <w:rFonts w:ascii="Times New Roman" w:cs="Times New Roman" w:eastAsia="Times New Roman" w:hAnsi="Times New Roman"/>
          <w:sz w:val="18"/>
          <w:szCs w:val="18"/>
          <w:i w:val="1"/>
          <w:iCs w:val="1"/>
          <w:color w:val="auto"/>
        </w:rPr>
        <w:t>“Certain Covenants—Consolidation,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Sale, Conveyance, Transfer or Lease” </w:t>
      </w:r>
      <w:r>
        <w:rPr>
          <w:rFonts w:ascii="Times New Roman" w:cs="Times New Roman" w:eastAsia="Times New Roman" w:hAnsi="Times New Roman"/>
          <w:sz w:val="18"/>
          <w:szCs w:val="18"/>
          <w:color w:val="auto"/>
        </w:rPr>
        <w:t>in the Base Prospectus;</w:t>
      </w:r>
    </w:p>
    <w:p>
      <w:pPr>
        <w:spacing w:after="0" w:line="71" w:lineRule="exact"/>
        <w:rPr>
          <w:rFonts w:ascii="Times New Roman" w:cs="Times New Roman" w:eastAsia="Times New Roman" w:hAnsi="Times New Roman"/>
          <w:sz w:val="18"/>
          <w:szCs w:val="18"/>
          <w:color w:val="auto"/>
        </w:rPr>
      </w:pPr>
    </w:p>
    <w:p>
      <w:pPr>
        <w:jc w:val="both"/>
        <w:ind w:left="1000" w:right="47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or facilitate the issuance of uncertificated notes in addition to or in place of certificated notes (provided that the uncertificated notes are issued in registered form for purposes of Section 163(f) of the Code);</w:t>
      </w:r>
    </w:p>
    <w:p>
      <w:pPr>
        <w:spacing w:after="0" w:line="67"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notes, evidence the release of a Guarantor from its Guarantee or provide for the assumption by a successor entity of the obligations of a Guarantor in accordance with the applicable provisions of the Indenture;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notes or any Guarantee thereof;</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covenants of the Company or other obligor under the Indenture (as it relates to the notes) or the notes or any Guarantee, as the case may be or Events of Default for the benefit of the holders of the notes or any Guarantee or to make other changes that would provide additional rights to the holders of the notes or to surrender any right or power conferred upon the Company or other such obligor;</w:t>
      </w:r>
    </w:p>
    <w:p>
      <w:pPr>
        <w:spacing w:after="0" w:line="71"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legal or contractual rights of any holder under the Indenture (as it relates to the notes) or the notes;</w:t>
      </w:r>
    </w:p>
    <w:p>
      <w:pPr>
        <w:spacing w:after="0" w:line="53" w:lineRule="exact"/>
        <w:rPr>
          <w:rFonts w:ascii="Times New Roman" w:cs="Times New Roman" w:eastAsia="Times New Roman" w:hAnsi="Times New Roman"/>
          <w:sz w:val="18"/>
          <w:szCs w:val="18"/>
          <w:color w:val="auto"/>
        </w:rPr>
      </w:pPr>
    </w:p>
    <w:p>
      <w:pPr>
        <w:jc w:val="both"/>
        <w:ind w:left="1000" w:right="4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an appointment under the Indenture (as it relates to the notes) of a successor trustee; provided that the successor trustee is otherwise qualified and eligible to act as such under the terms of the Indenture (as it relates to the notes);</w:t>
      </w:r>
    </w:p>
    <w:p>
      <w:pPr>
        <w:spacing w:after="0" w:line="6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Additional Notes permitted to be issued under the Indenture (as it relates to the notes);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of any applicable securities depositary;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55"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text of the Supplemental Indenture or the Base Indenture (in each case, as it relates to the notes and including the subsidiary guarantee), the notes or the subsidiary guarantee to any provision of this “</w:t>
      </w:r>
      <w:r>
        <w:rPr>
          <w:rFonts w:ascii="Times New Roman" w:cs="Times New Roman" w:eastAsia="Times New Roman" w:hAnsi="Times New Roman"/>
          <w:sz w:val="18"/>
          <w:szCs w:val="18"/>
          <w:i w:val="1"/>
          <w:iCs w:val="1"/>
          <w:color w:val="auto"/>
        </w:rPr>
        <w:t>Description of Notes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set forth in the Base Prospectus to the extent that such provision in this “</w:t>
      </w:r>
      <w:r>
        <w:rPr>
          <w:rFonts w:ascii="Times New Roman" w:cs="Times New Roman" w:eastAsia="Times New Roman" w:hAnsi="Times New Roman"/>
          <w:sz w:val="18"/>
          <w:szCs w:val="18"/>
          <w:i w:val="1"/>
          <w:iCs w:val="1"/>
          <w:color w:val="auto"/>
        </w:rPr>
        <w:t>Description of Notes</w:t>
      </w:r>
      <w:r>
        <w:rPr>
          <w:rFonts w:ascii="Times New Roman" w:cs="Times New Roman" w:eastAsia="Times New Roman" w:hAnsi="Times New Roman"/>
          <w:sz w:val="18"/>
          <w:szCs w:val="18"/>
          <w:color w:val="auto"/>
        </w:rPr>
        <w:t>” or such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was intended to be a verbatim recitation of a provision of the Indenture (as it relates to the notes or the subsidiary guarantee), the notes or the subsidiary guarantee, which intent shall be established by an Officer’s Certificate.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consent of the holders is not necessary under the Indenture to approve the particular form of any proposed amendment, supplement or waiver. It is sufficient if such consent approves the substance of the proposed amendment, supplement or waiver. A consent to any amendment, supplement or waiver under the Indenture by any holder of notes given in connection with a tender of such holder’s notes will not be rendered invalid by such tender. After an amendment, supplement or waiver under the Indenture becomes effective, the Company is required to send to the applicable holders a notice briefly describing such amendment, supplement or waiver. However, the failure to give such notice to all the holders of the notes, or any defect in the notice, will not impair or affect the validity of any amendment, supplement or waiver.</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1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legal defeasance and covenant defeasance provisions described under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Defeasance</w:t>
      </w:r>
      <w:r>
        <w:rPr>
          <w:rFonts w:ascii="Times New Roman" w:cs="Times New Roman" w:eastAsia="Times New Roman" w:hAnsi="Times New Roman"/>
          <w:sz w:val="18"/>
          <w:szCs w:val="18"/>
          <w:color w:val="auto"/>
        </w:rPr>
        <w:t>” in the Base Prospectus shall be applicable to the notes and any Guarantee thereof. In the case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covenant defeasance, the Company may terminate its obligations to comply with the covenant described under “— </w:t>
      </w:r>
      <w:r>
        <w:rPr>
          <w:rFonts w:ascii="Times New Roman" w:cs="Times New Roman" w:eastAsia="Times New Roman" w:hAnsi="Times New Roman"/>
          <w:sz w:val="18"/>
          <w:szCs w:val="18"/>
          <w:i w:val="1"/>
          <w:iCs w:val="1"/>
          <w:color w:val="auto"/>
        </w:rPr>
        <w:t>Certain Covenants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Limitation on Liens</w:t>
      </w:r>
      <w:r>
        <w:rPr>
          <w:rFonts w:ascii="Times New Roman" w:cs="Times New Roman" w:eastAsia="Times New Roman" w:hAnsi="Times New Roman"/>
          <w:sz w:val="18"/>
          <w:szCs w:val="18"/>
          <w:color w:val="auto"/>
        </w:rPr>
        <w:t>” and the subsidiary guarantee provision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w:t>
      </w:r>
      <w:r>
        <w:rPr>
          <w:rFonts w:ascii="Times New Roman" w:cs="Times New Roman" w:eastAsia="Times New Roman" w:hAnsi="Times New Roman"/>
          <w:sz w:val="18"/>
          <w:szCs w:val="18"/>
          <w:i w:val="1"/>
          <w:iCs w:val="1"/>
          <w:color w:val="auto"/>
        </w:rPr>
        <w:t xml:space="preserve"> Events of Default</w:t>
      </w:r>
      <w:r>
        <w:rPr>
          <w:rFonts w:ascii="Times New Roman" w:cs="Times New Roman" w:eastAsia="Times New Roman" w:hAnsi="Times New Roman"/>
          <w:sz w:val="18"/>
          <w:szCs w:val="18"/>
          <w:color w:val="auto"/>
        </w:rPr>
        <w:t>” above in this Description of Notes and certain covenants described under “—</w:t>
      </w:r>
      <w:r>
        <w:rPr>
          <w:rFonts w:ascii="Times New Roman" w:cs="Times New Roman" w:eastAsia="Times New Roman" w:hAnsi="Times New Roman"/>
          <w:sz w:val="18"/>
          <w:szCs w:val="18"/>
          <w:i w:val="1"/>
          <w:iCs w:val="1"/>
          <w:color w:val="auto"/>
        </w:rPr>
        <w:t>Certain Covenants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the Description of Debt Securities in the Base Prospectus, other than the covenant described under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Consolidation, Merger, Sale, Conveyance, Transfer or Lease</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300" w:right="759" w:firstLine="360"/>
        <w:spacing w:after="0" w:line="282" w:lineRule="auto"/>
        <w:rPr>
          <w:sz w:val="20"/>
          <w:szCs w:val="20"/>
          <w:color w:val="auto"/>
        </w:rPr>
      </w:pPr>
      <w:r>
        <w:rPr>
          <w:rFonts w:ascii="Times New Roman" w:cs="Times New Roman" w:eastAsia="Times New Roman" w:hAnsi="Times New Roman"/>
          <w:sz w:val="18"/>
          <w:szCs w:val="18"/>
          <w:color w:val="auto"/>
        </w:rPr>
        <w:t>If the Company exercises its legal defeasance or its covenant defeasance option in respect of the notes, all Guarantees in respect of the notes (if any are in effect at such time) will terminate.</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The satisfaction and discharge provisions described under “Description of Debt Securities—Satisfaction and Discharge” in the Base Prospectus shall be applicable to the notes and any Guarantee thereof.</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Computershare Trust Company, National Association is the Trustee under the Indenture and has been appointed by the Company as Security Registrar and Paying Agent with regard to the notes.</w:t>
      </w:r>
    </w:p>
    <w:p>
      <w:pPr>
        <w:spacing w:after="0" w:line="54"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The Trustee has not provided or approved of any information in this prospectus supplement in respect of the terms and provisions of the Indenture or the notes, takes no responsibility for any information contained in this prospectus supplement in respect of such terms, the Indenture, or the notes, and makes no representation as to the contents of this prospectus supplement in respect of such terms, the Indenture, or the notes.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The Indenture provides that it, the notes and any Guarantees will be governed by, and construed in accordance with, the laws of the State of New York.</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Prospectus</w:t>
      </w:r>
      <w:r>
        <w:rPr>
          <w:rFonts w:ascii="Times New Roman" w:cs="Times New Roman" w:eastAsia="Times New Roman" w:hAnsi="Times New Roman"/>
          <w:sz w:val="18"/>
          <w:szCs w:val="18"/>
          <w:color w:val="auto"/>
        </w:rPr>
        <w:t>” means the prospectus that describes the Base Indenture.</w:t>
      </w:r>
    </w:p>
    <w:p>
      <w:pPr>
        <w:spacing w:after="0" w:line="117"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of any Person means any and all shares, interests, rights to purchase, warrants, options, participations or other equivalents of or interests in (however designated) equity of such Person, including, without limitation, any preferred stock and limited liability company or partnership interests (whether general or limited) of such Person, but excluding any debt securities convertible or exchangeable into such equity.</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399" w:firstLine="3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means at any date of determination, the total amount of assets of the Company and its Restricted Subsidiaries (less applicable depreciation and valuation reserves and other reserves and items deductible from the gross book value of specific asset accounts under GAAP) after deducting therefrom:</w:t>
      </w:r>
    </w:p>
    <w:p>
      <w:pPr>
        <w:spacing w:after="0" w:line="67" w:lineRule="exact"/>
        <w:rPr>
          <w:sz w:val="20"/>
          <w:szCs w:val="20"/>
          <w:color w:val="auto"/>
        </w:rPr>
      </w:pPr>
    </w:p>
    <w:p>
      <w:pPr>
        <w:ind w:left="1000" w:right="45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 (A) any current liabilities that by their terms are extendable or renewable at the option of the obligor thereon to a time more than 12 months after the time as of which the amount thereof is being computed, and (B) current maturities of Funded Debt); and</w:t>
      </w:r>
    </w:p>
    <w:p>
      <w:pPr>
        <w:spacing w:after="0" w:line="6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goodwill, trade names, trademarks, patents, and other like intangible assets, all as set forth on our consolidated balance sheet as of a date no earlier than the date of the Company’s latest available annual or quarterly consolidated financial statements prepared in accordance with GAAP.</w:t>
      </w:r>
    </w:p>
    <w:p>
      <w:pPr>
        <w:spacing w:after="0" w:line="66"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Customary Recourse Exceptions</w:t>
      </w:r>
      <w:r>
        <w:rPr>
          <w:rFonts w:ascii="Times New Roman" w:cs="Times New Roman" w:eastAsia="Times New Roman" w:hAnsi="Times New Roman"/>
          <w:sz w:val="18"/>
          <w:szCs w:val="18"/>
          <w:color w:val="auto"/>
        </w:rPr>
        <w:t>” means with respect to any Non-Recourse Debt, exclusions from the exculpation provisions with respect to such Non-Recourse Debt for the voluntary bankruptcy of a Person, fraud, misapplication of cash, environmental claims, waste, willful destruction and other circumstances customarily excluded by lenders from exculpation provisions or included in separate indemnification agreements in non-recourse financings.</w:t>
      </w:r>
    </w:p>
    <w:p>
      <w:pPr>
        <w:spacing w:after="0" w:line="75" w:lineRule="exact"/>
        <w:rPr>
          <w:sz w:val="20"/>
          <w:szCs w:val="20"/>
          <w:color w:val="auto"/>
        </w:rPr>
      </w:pPr>
    </w:p>
    <w:p>
      <w:pPr>
        <w:ind w:left="300" w:right="33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 as to the notes.</w:t>
      </w:r>
    </w:p>
    <w:p>
      <w:pPr>
        <w:spacing w:after="0" w:line="50" w:lineRule="exact"/>
        <w:rPr>
          <w:sz w:val="20"/>
          <w:szCs w:val="20"/>
          <w:color w:val="auto"/>
        </w:rPr>
      </w:pPr>
    </w:p>
    <w:p>
      <w:pPr>
        <w:ind w:left="300" w:right="41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The Depository Trust Company, its nominees and their respective successors and assigns, or such other depository institution hereinafter appointed by the Company.</w:t>
      </w:r>
    </w:p>
    <w:p>
      <w:pPr>
        <w:spacing w:after="0" w:line="50" w:lineRule="exact"/>
        <w:rPr>
          <w:sz w:val="20"/>
          <w:szCs w:val="20"/>
          <w:color w:val="auto"/>
        </w:rPr>
      </w:pPr>
    </w:p>
    <w:p>
      <w:pPr>
        <w:ind w:left="300" w:right="47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SEC promulgated thereunder.</w:t>
      </w:r>
    </w:p>
    <w:p>
      <w:pPr>
        <w:spacing w:after="0" w:line="50" w:lineRule="exact"/>
        <w:rPr>
          <w:sz w:val="20"/>
          <w:szCs w:val="20"/>
          <w:color w:val="auto"/>
        </w:rPr>
      </w:pPr>
    </w:p>
    <w:p>
      <w:pPr>
        <w:ind w:left="300" w:right="379" w:firstLine="36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Funded Debt</w:t>
      </w:r>
      <w:r>
        <w:rPr>
          <w:rFonts w:ascii="Times New Roman" w:cs="Times New Roman" w:eastAsia="Times New Roman" w:hAnsi="Times New Roman"/>
          <w:sz w:val="17"/>
          <w:szCs w:val="17"/>
          <w:color w:val="auto"/>
        </w:rPr>
        <w:t>” means, in respect of any Person, all Indebtedness Incurred by such Person that matures, or is renewable by such Person to a date, more than one year after the date as of which Funded Debt is being determined.</w:t>
      </w:r>
    </w:p>
    <w:p>
      <w:pPr>
        <w:spacing w:after="0" w:line="27"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of America as in effect as of the Issue Date,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w:t>
      </w:r>
    </w:p>
    <w:p>
      <w:pPr>
        <w:spacing w:after="0" w:line="75"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any obligation, contingent or otherwise, of any Person guaranteeing any Indebtedness of any other Person and any obligation, direct or indirect, contingent or otherwise, of such Person to purchase or pay (or advance or supply funds for the purchase or payment of) such Indebtedness of such other Person (whether arising by virtue of partnership arrangements, or by agreement to keep-well, to purchase assets, goods, securities or services, to take-or-pay, or to maintain financial statement conditions or otherwise). The term “guarantee” will not include endorsements for collection or deposit in the ordinary course of business. The term “guarantee” used as a verb has a corresponding meaning.</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a Person in whose name a note is registered on the Security Registrar’s books.</w:t>
      </w:r>
    </w:p>
    <w:p>
      <w:pPr>
        <w:spacing w:after="0" w:line="117" w:lineRule="exact"/>
        <w:rPr>
          <w:sz w:val="20"/>
          <w:szCs w:val="20"/>
          <w:color w:val="auto"/>
        </w:rPr>
      </w:pPr>
    </w:p>
    <w:p>
      <w:pPr>
        <w:ind w:left="300" w:right="57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Incur</w:t>
      </w:r>
      <w:r>
        <w:rPr>
          <w:rFonts w:ascii="Times New Roman" w:cs="Times New Roman" w:eastAsia="Times New Roman" w:hAnsi="Times New Roman"/>
          <w:sz w:val="18"/>
          <w:szCs w:val="18"/>
          <w:color w:val="auto"/>
        </w:rPr>
        <w:t>” means issue, create, assume, guarantee, incur or otherwise become liable for. Any Indebtedness of a Person existing at the time such Person becomes a Subsidiary (whether by merger, consolidation, acquisition or otherwise) will be deemed to be Incurred by such Subsidiary at the time it becomes a Subsidiary. The terms “Incurred” and “Incurrence” have meanings correlative to the foregoing.</w:t>
      </w:r>
    </w:p>
    <w:p>
      <w:pPr>
        <w:spacing w:after="0" w:line="72" w:lineRule="exact"/>
        <w:rPr>
          <w:sz w:val="20"/>
          <w:szCs w:val="20"/>
          <w:color w:val="auto"/>
        </w:rPr>
      </w:pPr>
    </w:p>
    <w:p>
      <w:pPr>
        <w:ind w:left="300" w:right="37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with respect to any Person on any date of determination, any obligation of such Person, whether contingent or otherwise, for the repayment of borrowed money and any guarantee thereof.</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the date notes are first issued under the Indenture.</w:t>
      </w:r>
    </w:p>
    <w:p>
      <w:pPr>
        <w:spacing w:after="0" w:line="117" w:lineRule="exact"/>
        <w:rPr>
          <w:sz w:val="20"/>
          <w:szCs w:val="20"/>
          <w:color w:val="auto"/>
        </w:rPr>
      </w:pPr>
    </w:p>
    <w:p>
      <w:pPr>
        <w:jc w:val="both"/>
        <w:ind w:left="300" w:right="619" w:firstLine="36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Lien</w:t>
      </w:r>
      <w:r>
        <w:rPr>
          <w:rFonts w:ascii="Times New Roman" w:cs="Times New Roman" w:eastAsia="Times New Roman" w:hAnsi="Times New Roman"/>
          <w:sz w:val="17"/>
          <w:szCs w:val="17"/>
          <w:color w:val="auto"/>
        </w:rPr>
        <w:t>” means, with respect to any asset, any mortgage, lien (statutory or otherwise),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any filing of or agreement to give any financing statement under the Uniform Commercial Code (or equivalent statutes) of any jurisdiction. For the avoidance of doubt, (1) an operating lease shall be deemed not to constitute a Lien and (2) a contract that would not be considered a capital lease pursuant to GAAP prior to the effectiveness of Accounting Standards Codification 842 shall be deemed not to constitute a Lien.</w:t>
      </w:r>
    </w:p>
    <w:p>
      <w:pPr>
        <w:spacing w:after="0" w:line="70"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Non-Recourse Debt</w:t>
      </w:r>
      <w:r>
        <w:rPr>
          <w:rFonts w:ascii="Times New Roman" w:cs="Times New Roman" w:eastAsia="Times New Roman" w:hAnsi="Times New Roman"/>
          <w:sz w:val="18"/>
          <w:szCs w:val="18"/>
          <w:color w:val="auto"/>
        </w:rPr>
        <w:t>” means Indebtedness as to which neither the Company nor any of its Restricted Subsidiaries (a) provides credit support of any kind (including any undertaking, agreement or instrument that would constitute Indebtedness) or (b) is directly or indirectly liable as a guarantor or otherwise except, in each case for (i) Customary Recourse Exceptions and (ii) the pledge of (or a guarantee limited in recourse solely to) the Capital Stock of such Unrestricted Subsidiary.</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an officer of the Company.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from legal counsel who is reasonably acceptable to the Trustee.</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counsel may be an employee of or counsel to the Company or the Trustee.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 with respect to any Person:</w:t>
      </w:r>
    </w:p>
    <w:p>
      <w:pPr>
        <w:spacing w:after="0" w:line="119" w:lineRule="exact"/>
        <w:rPr>
          <w:sz w:val="20"/>
          <w:szCs w:val="20"/>
          <w:color w:val="auto"/>
        </w:rPr>
      </w:pPr>
    </w:p>
    <w:p>
      <w:pPr>
        <w:ind w:left="1000" w:right="77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the Trustee for the benefit of the Trustee or the holders of the notes or otherwise securing the notes, a Guarantee or other obligations under the Indenture;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or obligations with regard to treasury management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Company or a Restricted Subsidiary;</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of a Person existing at the time such Person becomes a Restricted Subsidiary of the Company or is merged with or into or consolidated with the Company or any Restricted Subsidiary of the Company; provided that such Liens were in existence prior to the contemplation of such Person becoming a Restricted Subsidiary;</w:t>
      </w:r>
    </w:p>
    <w:p>
      <w:pPr>
        <w:spacing w:after="0" w:line="71"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existing at the time of acquisition of the property by the Company or any Restricted Subsidiary of the Company; provided that such Liens were in existence prior to such acquisition and not Incurred in contemplation of such acquisition;</w:t>
      </w:r>
    </w:p>
    <w:p>
      <w:pPr>
        <w:spacing w:after="0" w:line="67"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the performance of statutory or regulatory obligations, insurance, surety or appeal bonds, workers’ compensation obligations, bid, plugging and abandonment and performance bonds or other obligations of a like nature incurred in the ordinary course of business (including Liens to secure letters of credit issued to assure payment of such obligations);</w:t>
      </w:r>
    </w:p>
    <w:p>
      <w:pPr>
        <w:spacing w:after="0" w:line="71" w:lineRule="exact"/>
        <w:rPr>
          <w:rFonts w:ascii="Times New Roman" w:cs="Times New Roman" w:eastAsia="Times New Roman" w:hAnsi="Times New Roman"/>
          <w:sz w:val="18"/>
          <w:szCs w:val="18"/>
          <w:color w:val="auto"/>
        </w:rPr>
      </w:pPr>
    </w:p>
    <w:p>
      <w:pPr>
        <w:ind w:left="1000" w:right="439" w:hanging="348"/>
        <w:spacing w:after="0" w:line="255"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Indebtedness represented by capital lease obligations, finance lease obligations, mortgage financings or purchase money obligations or other Indebtedness, in each case, incurred for the purpose of financing all or any part of the purchase price, other acquisition cost or cost of design, construction, installation, development, repair or improvement of property, plant or equipment used in the business of the Company or any of its Restricted Subsidiaries, and all refinancing indebtedness Incurred to renew, refund, refinance, replace, defease, discharge or otherwise retire for value, in whole or in part, such Indebtedness, covering only the assets acquired with or financed by such Indebtedness;</w:t>
      </w:r>
    </w:p>
    <w:p>
      <w:pPr>
        <w:spacing w:after="0" w:line="8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hereof;</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of Uniform Commercial Code financing statements as a precautionary measure in connection with operating leases;</w:t>
      </w:r>
    </w:p>
    <w:p>
      <w:pPr>
        <w:spacing w:after="0" w:line="53" w:lineRule="exact"/>
        <w:rPr>
          <w:rFonts w:ascii="Times New Roman" w:cs="Times New Roman" w:eastAsia="Times New Roman" w:hAnsi="Times New Roman"/>
          <w:sz w:val="18"/>
          <w:szCs w:val="18"/>
          <w:color w:val="auto"/>
        </w:rPr>
      </w:pPr>
    </w:p>
    <w:p>
      <w:pPr>
        <w:ind w:left="1000" w:right="559" w:hanging="348"/>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bankers’ Liens, rights of setoff, rights of revocation, refund or chargeback with respect to money or instruments of the Company or any Restricted Subsidiary, Liens arising out of judgments or awards and notices of </w:t>
      </w:r>
      <w:r>
        <w:rPr>
          <w:rFonts w:ascii="Times New Roman" w:cs="Times New Roman" w:eastAsia="Times New Roman" w:hAnsi="Times New Roman"/>
          <w:sz w:val="18"/>
          <w:szCs w:val="18"/>
          <w:i w:val="1"/>
          <w:iCs w:val="1"/>
          <w:color w:val="auto"/>
        </w:rPr>
        <w:t>lis pendens</w:t>
      </w:r>
      <w:r>
        <w:rPr>
          <w:rFonts w:ascii="Times New Roman" w:cs="Times New Roman" w:eastAsia="Times New Roman" w:hAnsi="Times New Roman"/>
          <w:sz w:val="18"/>
          <w:szCs w:val="18"/>
          <w:color w:val="auto"/>
        </w:rPr>
        <w:t xml:space="preserve"> and associated rights related to litigation being contested in good faith by appropriate proceedings and for which adequate reserves have been made;</w:t>
      </w:r>
    </w:p>
    <w:p>
      <w:pPr>
        <w:spacing w:after="0" w:line="71"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Production Payments and Reserve Sales; provided, that such Liens are limited to the property that is subject to such Production Payments and Reserve Sales;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oil and gas leases or subleases, assignments, farm-out agreements, farm-in agreements, division orders, contracts for the sale, purchase, exchange, transportation, gathering or processing of hydrocarbons, unitizations and pooling designations, declarations, orders and agreements,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39"/>
        <w:spacing w:after="0" w:line="255" w:lineRule="auto"/>
        <w:rPr>
          <w:sz w:val="20"/>
          <w:szCs w:val="20"/>
          <w:color w:val="auto"/>
        </w:rPr>
      </w:pPr>
      <w:r>
        <w:rPr>
          <w:rFonts w:ascii="Times New Roman" w:cs="Times New Roman" w:eastAsia="Times New Roman" w:hAnsi="Times New Roman"/>
          <w:sz w:val="18"/>
          <w:szCs w:val="18"/>
          <w:color w:val="auto"/>
        </w:rPr>
        <w:t>development agreements, joint venture agreements, partnership agreements, operating agreements, royalties, working interests, net profits interests, joint interest billing arrangements, participation agreements, production sales contracts, area of mutual interest agreements, gas balancing or deferred production agreements, injection, repressuring and recycling agreements, salt water or other disposal agreements, seismic or geophysical permits or agreements, licenses, sublicenses and other agreements that are customary in the oil and gas business; provided, however, in all instances that such Liens are limited to the assets that are the subject of the relevant agreement, program, order or contract;</w:t>
      </w:r>
    </w:p>
    <w:p>
      <w:pPr>
        <w:spacing w:after="0" w:line="81" w:lineRule="exact"/>
        <w:rPr>
          <w:sz w:val="20"/>
          <w:szCs w:val="20"/>
          <w:color w:val="auto"/>
        </w:rPr>
      </w:pPr>
    </w:p>
    <w:p>
      <w:pPr>
        <w:ind w:left="1000" w:right="63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or ordinary course of business contracts, including, without limitation, carriers’, warehousemen’s, suppliers’, mechanics’, materialmen’s, repairmen’s and similar Liens;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issuers of surety or performance bonds or letters of credit or bankers’ acceptances issued pursuant to the request of and for the account of such Person in the ordinary course of its business;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53"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 exceptions, encumbrances, ground leases, easements, restrictions, servitudes, permits, conditions, covenants, exceptions or reservations of, or rights of others for, licenses, rights-of-way, roads, pipelines, transmission liens, transportation liens, distribution lines for the removal of gas, oil, coal or other minerals or timber, sewers, electric lines, telegraph and telephone lines and other similar purposes, or for the joint or common use of real estate, rights of way, facilities and equipment, Liens related to surface leases and surface operations, or zoning, building codes or other restrictions (including, without limitation, minor defects or irregularities in title and similar encumbrances) as to the use of real properties or Liens incidental to the conduct of the business of the Company or any Restricted Subsidiary of the Company or to the ownership of its properties that do not in the aggregate materially adversely affect the value of said properties or materially impair their use in the operation of the business of the Company or any Restricted Subsidiary of the Company;</w:t>
      </w:r>
    </w:p>
    <w:p>
      <w:pPr>
        <w:spacing w:after="0" w:line="83"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and sublicenses of assets that do not materially interfere with the ordinary conduct of the business of the Company or any Restricted Subsidiary of the Company;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under any operating lease;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pipelines or pipeline facilities that arise by operation of law;</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or related to, properties or assets to secure all or part of the costs incurred in the ordinary course of business for the exploration, drilling, development, production, processing, gathering, transportation, marketing or storage, plugging, abandonment or operation thereof;</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under industrial revenue, municipal or similar bonds; and</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5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renewing, extending, refinancing, replacing or refunding a Lien permitted by this definition, provided that (a) the principal amount of the Indebtedness secured by such Lien is not increased except by an amount equal to accrued interest and any premium or other amount paid, and fees, costs and expenses incurred, in connection therewith and by an amount equal to any existing commitments unutilized thereunder and (b) no assets are encumbered by any such Lien other than the assets permitted to be encumbered immediately prior to such renewal, extension, refinancing, replacement or refunding.</w:t>
      </w:r>
    </w:p>
    <w:p>
      <w:pPr>
        <w:spacing w:after="0" w:line="7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In each case set forth above, notwithstanding any stated limitation on the assets or property that may be subject to such Lien, a Permitted Lien on a specified asset or property or group or type of assets or property may include Liens on all improvements, additions, repairs, attachments and accessions thereto, construction thereon, assets and property affixed or appurtenant thereto, parts, replacements and substitutions therefor and all products and proceeds thereof, including dividends, distributions, interest and increases in respect thereof.</w:t>
      </w:r>
    </w:p>
    <w:p>
      <w:pPr>
        <w:spacing w:after="0" w:line="73" w:lineRule="exact"/>
        <w:rPr>
          <w:sz w:val="20"/>
          <w:szCs w:val="20"/>
          <w:color w:val="auto"/>
        </w:rPr>
      </w:pPr>
    </w:p>
    <w:p>
      <w:pPr>
        <w:ind w:left="300" w:right="39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limited liability company or government or other entity.</w:t>
      </w:r>
    </w:p>
    <w:p>
      <w:pPr>
        <w:spacing w:after="0" w:line="50" w:lineRule="exact"/>
        <w:rPr>
          <w:sz w:val="20"/>
          <w:szCs w:val="20"/>
          <w:color w:val="auto"/>
        </w:rPr>
      </w:pPr>
    </w:p>
    <w:p>
      <w:pPr>
        <w:ind w:left="300" w:right="35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w:t>
      </w:r>
      <w:r>
        <w:rPr>
          <w:rFonts w:ascii="Times New Roman" w:cs="Times New Roman" w:eastAsia="Times New Roman" w:hAnsi="Times New Roman"/>
          <w:sz w:val="18"/>
          <w:szCs w:val="18"/>
          <w:color w:val="auto"/>
        </w:rPr>
        <w:t>” means all property interests in oil and gas reserves located in the United States capable of producing hydrocarbon substances in paying quantities, the net book value of which exceeds 3% of</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59"/>
        <w:spacing w:after="0" w:line="266" w:lineRule="auto"/>
        <w:rPr>
          <w:sz w:val="20"/>
          <w:szCs w:val="20"/>
          <w:color w:val="auto"/>
        </w:rPr>
      </w:pPr>
      <w:r>
        <w:rPr>
          <w:rFonts w:ascii="Times New Roman" w:cs="Times New Roman" w:eastAsia="Times New Roman" w:hAnsi="Times New Roman"/>
          <w:sz w:val="18"/>
          <w:szCs w:val="18"/>
          <w:color w:val="auto"/>
        </w:rPr>
        <w:t>Consolidated Net Tangible Assets, other than: (1) property not of material importance to the business of the Company and its Subsidiaries, taken as a whole; (2) assets used in midstream operations; (3) accounts receivable; and (4) production or proceeds from the production of hydrocarbons.</w:t>
      </w:r>
    </w:p>
    <w:p>
      <w:pPr>
        <w:spacing w:after="0" w:line="66" w:lineRule="exact"/>
        <w:rPr>
          <w:sz w:val="20"/>
          <w:szCs w:val="20"/>
          <w:color w:val="auto"/>
        </w:rPr>
      </w:pPr>
    </w:p>
    <w:p>
      <w:pPr>
        <w:ind w:left="300" w:right="419" w:firstLine="36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Production Payments and Reserve Sales</w:t>
      </w:r>
      <w:r>
        <w:rPr>
          <w:rFonts w:ascii="Times New Roman" w:cs="Times New Roman" w:eastAsia="Times New Roman" w:hAnsi="Times New Roman"/>
          <w:sz w:val="17"/>
          <w:szCs w:val="17"/>
          <w:color w:val="auto"/>
        </w:rPr>
        <w:t>” means the grant or transfer by the Company or any of its Restricted Subsidiaries to any Person of a royalty, overriding royalty, net profits interest, production payment, partnership or other interest in oil and gas properties, reserves or the right to receive all or a portion of the production or the proceeds from the sale of production attributable to such properties where the holder of such interest has recourse solely to such production or proceeds of production, subject to the obligation of the grantor or transferor to operate and maintain, or cause the subject interests to be operated and maintained, in a reasonably prudent manner or other customary standard or subject to the obligation of the grantor or transferor to indemnify for environmental, title or other matters customary in the oil and gas business, including any such grants or transfers pursuant to incentive compensation programs on terms that are reasonably customary in the oil and gas business for geologists, geophysicists or other providers of technical services to the Company or any of its Restricted Subsidiaries.</w:t>
      </w:r>
    </w:p>
    <w:p>
      <w:pPr>
        <w:spacing w:after="0" w:line="69" w:lineRule="exact"/>
        <w:rPr>
          <w:sz w:val="20"/>
          <w:szCs w:val="20"/>
          <w:color w:val="auto"/>
        </w:rPr>
      </w:pPr>
    </w:p>
    <w:p>
      <w:pPr>
        <w:ind w:left="300" w:right="109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of any Person means any Subsidiary of the Person that is not an Unrestricted Subsidiary.</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sz w:val="20"/>
          <w:szCs w:val="20"/>
          <w:color w:val="auto"/>
        </w:rPr>
      </w:pPr>
    </w:p>
    <w:p>
      <w:pPr>
        <w:ind w:left="300" w:right="85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SEC promulgated thereunder.</w:t>
      </w:r>
    </w:p>
    <w:p>
      <w:pPr>
        <w:spacing w:after="0" w:line="50" w:lineRule="exact"/>
        <w:rPr>
          <w:sz w:val="20"/>
          <w:szCs w:val="20"/>
          <w:color w:val="auto"/>
        </w:rPr>
      </w:pPr>
    </w:p>
    <w:p>
      <w:pPr>
        <w:ind w:left="300" w:right="55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means, with respect to any security or Indebtedness, the date specified in such security or Indebtedness as the fixed date on which the payment of principal of such security or Indebtedness is due and payable, including, without limitation, pursuant to any mandatory redemption provision, but shall not include any contingent obligations to repay, redeem or repurchase any such principal prior to the date originally scheduled for the payment thereof.</w:t>
      </w:r>
    </w:p>
    <w:p>
      <w:pPr>
        <w:spacing w:after="0" w:line="75"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with respect to any Person, means any (i) corporation, limited liability company or other entity (other than a partnership) of which the outstanding Capital Stock having a majority of the votes entitled to be cast in the election of directors, managers or trustees of such entity under ordinary circumstances shall at the time be owned, directly or indirectly, by such Person or any other Person of which a majority of the voting interests under ordinary circumstances is at the time, directly or indirectly, owned by such Person or (ii)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77"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Subsidiary</w:t>
      </w:r>
      <w:r>
        <w:rPr>
          <w:rFonts w:ascii="Times New Roman" w:cs="Times New Roman" w:eastAsia="Times New Roman" w:hAnsi="Times New Roman"/>
          <w:sz w:val="18"/>
          <w:szCs w:val="18"/>
          <w:color w:val="auto"/>
        </w:rPr>
        <w:t xml:space="preserve">” means (1) Viper Energy Partners GP LLC, Viper Energy, Inc., Viper Energy Partners LLC, (2) Rattler Midstream GP LLC, Rattler Midstream LP, Rattler Midstream Operating LLC, (3) the respective Subsidiaries from time to time of the Persons referenced in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(4) any other Subsidiary of the Company designated as such pursuant to and in compliance with the Indenture and (5) any Subsidiary of an Unrestricted Subsidiary.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have obtained the information in this section concerning DTC, Clearstream Banking, S.A., Luxembourg (“Clearstream, Luxembourg”) and Euroclear Bank SA/NV, as operator of the Euroclear System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DTC, Clearstream, Luxembourg and Euroclear as they are currently in effect. Those systems could change their rules and procedures at any time. To the extent any disclosure set forth below in this section is different than the disclosure set forth under “Description of Debt Securities” in the Base Prospectus, the disclosure set forth in this Description of Notes will control.</w:t>
      </w:r>
    </w:p>
    <w:p>
      <w:pPr>
        <w:spacing w:after="0" w:line="84" w:lineRule="exact"/>
        <w:rPr>
          <w:sz w:val="20"/>
          <w:szCs w:val="20"/>
          <w:color w:val="auto"/>
        </w:rPr>
      </w:pPr>
    </w:p>
    <w:p>
      <w:pPr>
        <w:ind w:left="300" w:right="419" w:firstLine="360"/>
        <w:spacing w:after="0" w:line="269" w:lineRule="auto"/>
        <w:rPr>
          <w:sz w:val="20"/>
          <w:szCs w:val="20"/>
          <w:color w:val="auto"/>
        </w:rPr>
      </w:pPr>
      <w:r>
        <w:rPr>
          <w:rFonts w:ascii="Times New Roman" w:cs="Times New Roman" w:eastAsia="Times New Roman" w:hAnsi="Times New Roman"/>
          <w:sz w:val="17"/>
          <w:szCs w:val="17"/>
          <w:color w:val="auto"/>
        </w:rPr>
        <w:t>The notes will be represented by one or more global notes in registered, global form without interest coupons (collectively, the “Global Notes”). The Global Notes initially will be deposited upon issuance with the Trustee as custodian for DTC, in New York, New York, and registered in the name of DTC or its nominee, in each case for credit to an account of a direct or indirect participant as described below. You may hold your interests in the Global Notes in the United States through DTC, or in Europe through Clearstream, Luxembourg or Euroclear, either as a participant in such systems or indirectly through organizations which are participants in such systems. Clearstream, Luxembourg and Euroclear will hold interests in the Global Notes on behalf of their respective participating organizations or customers through customers’ securities accounts in Clearstream, Luxembourg’s or Euroclear’s names on the books of their respective depositaries, which in turn will hold those positions in customers’ securities accounts in the depositaries’ names on the books of DTC. All securities in Euroclear or Clearstream are held on a fungible basis without attribution of specific certificates to specific securities clearance accounts.</w:t>
      </w:r>
    </w:p>
    <w:p>
      <w:pPr>
        <w:spacing w:after="0" w:line="74"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Except as set forth below, the Global Notes may be transferred, in whole and not in part, only to another nominee of DTC or to a successor of DTC or its nominee. Beneficial interests in the Global Notes may not be exchanged for notes in certificated form except in the limited circumstances described below. See “—</w:t>
      </w:r>
      <w:r>
        <w:rPr>
          <w:rFonts w:ascii="Times New Roman" w:cs="Times New Roman" w:eastAsia="Times New Roman" w:hAnsi="Times New Roman"/>
          <w:sz w:val="18"/>
          <w:szCs w:val="18"/>
          <w:i w:val="1"/>
          <w:iCs w:val="1"/>
          <w:color w:val="auto"/>
        </w:rPr>
        <w:t>Exchange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Global Notes for Certificated Notes</w:t>
      </w:r>
      <w:r>
        <w:rPr>
          <w:rFonts w:ascii="Times New Roman" w:cs="Times New Roman" w:eastAsia="Times New Roman" w:hAnsi="Times New Roman"/>
          <w:sz w:val="18"/>
          <w:szCs w:val="18"/>
          <w:color w:val="auto"/>
        </w:rPr>
        <w:t>.” In addition, transfers of beneficial interests in the Global Notes will be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applicable rules and procedures of DTC and its direct or indirect participants, which may change from time to time.</w:t>
      </w:r>
    </w:p>
    <w:p>
      <w:pPr>
        <w:spacing w:after="0" w:line="1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notes may be presented for registration of transfer and exchange at the offices of the Security Registrar.</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Depository Procedures</w:t>
      </w:r>
    </w:p>
    <w:p>
      <w:pPr>
        <w:spacing w:after="0" w:line="12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following description of the operations and procedures of DTC is provided solely as a matter of convenience. These operations and procedures are solely within the control of the respective settlement systems and are subject to changes by them. We believe that the sources from which the information in this section and elsewhere in this prospectus concerning DTC, Euroclear, Euroclear SA/NV, Euroclear Clearance Systems S.C., Euroclear’s system, Clearstream and Clearstream’s system has been obtained are reliable, but neither we, any underwriters nor the Trustee takes any responsibility for the accuracy of the information.</w:t>
      </w:r>
    </w:p>
    <w:p>
      <w:pPr>
        <w:spacing w:after="0" w:line="7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DTC has advised us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banks, trust companies, clearing corporations and certain other organizations. DTC is owned by a number of its participants and by the New York Stock Exchange, Inc. and NYSE Amex Equities.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(including Clearstream, Luxembourg or Euroclear). The ownership interests in, and transfers of ownership interests in, each security held by or on behalf of DTC are recorded on the records of the participants and indirect participants (including Clearstream, Luxembourg or Euroclear).</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DTC has also advised us that, pursuant to procedures established by it:</w:t>
      </w:r>
    </w:p>
    <w:p>
      <w:pPr>
        <w:spacing w:after="0" w:line="117" w:lineRule="exact"/>
        <w:rPr>
          <w:sz w:val="20"/>
          <w:szCs w:val="20"/>
          <w:color w:val="auto"/>
        </w:rPr>
      </w:pPr>
    </w:p>
    <w:p>
      <w:pPr>
        <w:ind w:left="1000" w:right="107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the Global Notes, DTC will credit the accounts of participants designated by the underwriters with portions of the principal amount of the Global Notes; and</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including Clearstream, Luxembourg and Euroclear (with respect to other owners of beneficial interests in the Global Notes).</w:t>
      </w:r>
    </w:p>
    <w:p>
      <w:pPr>
        <w:spacing w:after="0" w:line="7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Investors in the Global Notes who are participants in DTC’s system may hold their interests therein directly through DTC. Investors in the Global Notes who are not participants may hold their interests therein indirectly through organizations which are participants in such system. All interests in a Global Note may be subject to the procedures and requirements of DTC. The laws of some jurisdictions require that certain purchasers of securities take physical delivery of securities they purchase in definitive form. Consequently, the ability to transfer beneficial interests in a Global Note to such persons will be limited to that extent. Because DTC can act only on behalf of participants, which in turn act on behalf of indirect participants (including Clearstream, Luxembourg and Euroclear),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82" w:lineRule="exact"/>
        <w:rPr>
          <w:sz w:val="20"/>
          <w:szCs w:val="20"/>
          <w:color w:val="auto"/>
        </w:rPr>
      </w:pPr>
    </w:p>
    <w:p>
      <w:pPr>
        <w:ind w:left="300" w:right="5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Except as described below, owners of an interest in the Global Notes will not have notes registered in their names, will not receive physical delivery of notes in certificated form and will not be considered the registered owners or “holders” thereof under the Indenture for any purpose.</w:t>
      </w:r>
    </w:p>
    <w:p>
      <w:pPr>
        <w:spacing w:after="0" w:line="67"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Payments in respect of the principal of, and interest and premium, if any, on a Global Note registered in the name of DTC or its nominee will be payable to DTC in its capacity as the registered holder under the Indenture. Under the terms of the Indenture, we and the Trustee will treat the persons in whose names the notes, including the Global Notes, are registered as the owners of the notes for the purpose of receiving payments and for all other purposes. Consequently, none of us, any guarantor or the Trustee, nor any agent of us, any guarantor or the Trustee, has or will have any responsibility or liability for:</w:t>
      </w:r>
    </w:p>
    <w:p>
      <w:pPr>
        <w:spacing w:after="0" w:line="79" w:lineRule="exact"/>
        <w:rPr>
          <w:sz w:val="20"/>
          <w:szCs w:val="20"/>
          <w:color w:val="auto"/>
        </w:rPr>
      </w:pPr>
    </w:p>
    <w:p>
      <w:pPr>
        <w:ind w:left="1000" w:right="499" w:hanging="348"/>
        <w:spacing w:after="0" w:line="26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w:t>
      </w:r>
    </w:p>
    <w:p>
      <w:pPr>
        <w:spacing w:after="0" w:line="71" w:lineRule="exact"/>
        <w:rPr>
          <w:rFonts w:ascii="Times New Roman" w:cs="Times New Roman" w:eastAsia="Times New Roman" w:hAnsi="Times New Roman"/>
          <w:sz w:val="18"/>
          <w:szCs w:val="18"/>
          <w:color w:val="auto"/>
        </w:rPr>
      </w:pPr>
    </w:p>
    <w:p>
      <w:pPr>
        <w:ind w:left="1000" w:right="105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relating to the actions and practices of DTC or any of its participants or indirect participants.</w:t>
      </w:r>
    </w:p>
    <w:p>
      <w:pPr>
        <w:spacing w:after="0" w:line="5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DTC has advised us that its current practice, upon receipt of any payment in respect of securities such as the notes (including principal and interest), is to credit the accounts of the relevant participants (including Clearstream, Luxembourg and Euroclear) with the payment on the payment date unless DTC has reason to believe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us. None of us, any guarantor or the Trustee will be liable for any delay by DTC or any of its participants (including Clearstream, Luxembourg and Euroclear), in identifying the beneficial owners of the notes, and we and the Trustee may conclusively rely on and will be protected in relying on instructions from DTC or its nominee for all purposes.</w:t>
      </w:r>
    </w:p>
    <w:p>
      <w:pPr>
        <w:spacing w:after="0" w:line="84"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None of us, any guarantor or the Trustee, nor any of our respective agents, shall have any responsibility or liability for any aspect of the records relating to or payments made on account of beneficial ownership interests of a Global Note or for maintaining, supervising or reviewing any records relating to such beneficial ownership interests. All notices and communications to be given to the holders and all payments to be made to holders in respect of the notes shall be mailed or otherwise given or made only to or upon the order of the registered holders (which shall only be DTC or its nominee in the case of a Global Note), and we and the Trustee may deal with any depositary as sole owner of the Global Notes and as the authorized persons of beneficial owners.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579"/>
        <w:spacing w:after="0" w:line="266" w:lineRule="auto"/>
        <w:rPr>
          <w:sz w:val="20"/>
          <w:szCs w:val="20"/>
          <w:color w:val="auto"/>
        </w:rPr>
      </w:pPr>
      <w:r>
        <w:rPr>
          <w:rFonts w:ascii="Times New Roman" w:cs="Times New Roman" w:eastAsia="Times New Roman" w:hAnsi="Times New Roman"/>
          <w:sz w:val="18"/>
          <w:szCs w:val="18"/>
          <w:color w:val="auto"/>
        </w:rPr>
        <w:t>rights of beneficial owners in any global note shall be exercised only through DTC, subject to its applicable rules and procedures. The Trustee may rely and shall be fully protected in relying upon information furnished by DTC with respect to its agent members and other members, participants and any beneficial owners.</w:t>
      </w:r>
    </w:p>
    <w:p>
      <w:pPr>
        <w:spacing w:after="0" w:line="68"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Clearstream, Luxembourg or Euroclear will credit payments to the cash accounts of Clearstream, Luxembourg customers or Euroclear participants in accordance with the relevant system’s rules and procedures, to the extent received by its depositary. These payments will be subject to tax reporting in accordance with relevant United States tax laws and regulations. Clearstream, Luxembourg or Euroclear, as the case may be, will take any other action permitted to be taken by a holder under the indenture on behalf of a Clearstream, Luxembourg customer or Euroclear participant only in accordance with its relevant rules and procedures and subject to its depositary’s ability to effect those actions on its behalf through DTC.</w:t>
      </w:r>
    </w:p>
    <w:p>
      <w:pPr>
        <w:spacing w:after="0" w:line="8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DTC has advised us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DTC reserves the right to exchange the Global Notes for Certificated Notes, and to distribute such Certificated Notes to its participants.</w:t>
      </w:r>
    </w:p>
    <w:p>
      <w:pPr>
        <w:spacing w:after="0" w:line="75"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Although DTC, Clearstream, Luxembourg and Euroclear have agreed to the foregoing procedures in order to facilitate transfers of interests in the Global Notes among participants, they are under no obligation to perform such procedures, and such procedures may be discontinued or changed at any time. None of us, any guarantor or the Trustee nor any agent of us, any guarantor or the Trustee will have any responsibility for the performance by DTC or its participants or indirect participants (including Clearstream, Luxembourg and Euroclear), of their respective obligations under the rules and procedures governing their operations.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Transfers Within and Among Book-Entry Systems</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Transfers between DTC’s direct participants will occur in accordance with DTC’s procedures, and will be settled in same-day funds. Transfers between Clearstream, Luxembourg customers and Euroclear participants will occur in accordance with their respective applicable rules and operating procedures.</w:t>
      </w:r>
    </w:p>
    <w:p>
      <w:pPr>
        <w:spacing w:after="0" w:line="68"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DTC will effect cross-market transfers between persons holding directly or indirectly through DTC, on the one hand, and directly or indirectly through Clearstream, Luxembourg customers or Euroclear participants, on the other hand, in accordance with DTC rules on behalf of the relevant European international clearing system by its depositary. However, cross-market transactions will require delivery of instructions to the relevant European international clearing system by the counterparty in that system in accordance with its rules and procedures and within its established deadlines (European time). The relevant European international clearing system will, if the transaction meets its settlement requirements, instruct its depositary to effect final settlement on its behalf by delivering or receiving securities in DTC and making or receiving payment in accordance with normal procedures for same-day funds settlement applicable to DTC. Clearstream, Luxembourg customers and Euroclear participants may not deliver instructions directly to the depositaries.</w:t>
      </w:r>
    </w:p>
    <w:p>
      <w:pPr>
        <w:spacing w:after="0" w:line="86"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Although DTC, Clearstream, Luxembourg and Euroclear have agreed to the foregoing procedures in order to facilitate transfers of securities among their respective participants, they are under no obligation to perform or continue to perform such procedures and such procedures may be discontinued at any time.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of Global Notes for Certificated Notes</w:t>
      </w:r>
    </w:p>
    <w:p>
      <w:pPr>
        <w:spacing w:after="0" w:line="121" w:lineRule="exact"/>
        <w:rPr>
          <w:sz w:val="20"/>
          <w:szCs w:val="20"/>
          <w:color w:val="auto"/>
        </w:rPr>
      </w:pPr>
    </w:p>
    <w:p>
      <w:pPr>
        <w:ind w:left="300" w:right="1659" w:firstLine="360"/>
        <w:spacing w:after="0" w:line="282" w:lineRule="auto"/>
        <w:rPr>
          <w:sz w:val="20"/>
          <w:szCs w:val="20"/>
          <w:color w:val="auto"/>
        </w:rPr>
      </w:pPr>
      <w:r>
        <w:rPr>
          <w:rFonts w:ascii="Times New Roman" w:cs="Times New Roman" w:eastAsia="Times New Roman" w:hAnsi="Times New Roman"/>
          <w:sz w:val="18"/>
          <w:szCs w:val="18"/>
          <w:color w:val="auto"/>
        </w:rPr>
        <w:t>A Global Note is exchangeable for definitive certificated notes in registered certificated form (“Certificated Notes”) if:</w:t>
      </w:r>
    </w:p>
    <w:p>
      <w:pPr>
        <w:spacing w:after="0" w:line="54" w:lineRule="exact"/>
        <w:rPr>
          <w:sz w:val="20"/>
          <w:szCs w:val="20"/>
          <w:color w:val="auto"/>
        </w:rPr>
      </w:pPr>
    </w:p>
    <w:p>
      <w:pPr>
        <w:ind w:left="1000" w:right="379" w:hanging="348"/>
        <w:spacing w:after="0" w:line="261"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(A) notifies us that it is unwilling or unable to continue as depositary for the Global Notes or (B) has ceased to be a clearing agency registered under the Exchange Act at a time when the Depositary is required to be so registered in order to act as depositary, and, in each case, a successor depositary is not appointed within 90 days; or</w:t>
      </w:r>
    </w:p>
    <w:p>
      <w:pPr>
        <w:spacing w:after="0" w:line="71"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and the Security Registrar has received a request from the depositary to deliver Certificated Notes to all beneficial owners in exchange for their beneficial interests in such Global Note.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of Certificated Notes for Global Notes</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Same Day Settlement and Payment</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We will pay principal of, premium, if any, and interest on the notes represented by the Global Notes registered in the name of or held by DTC or its nominee in immediately available funds to DTC or its nominee, as the case may be, as the registered holder of such Global Note. The notes represented by the Global Notes are expected to be eligible to trade in DTC’s Same-Day Funds Settlement System, and any permitted secondary market trading activity in such notes will, therefore, be required by DTC to be settled in immediately available funds. We expect that secondary trading in any Certificated Notes will also be settled in immediately available funds.</w:t>
      </w:r>
    </w:p>
    <w:p>
      <w:pPr>
        <w:spacing w:after="0" w:line="79"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Because of time zone differences, the securities account of a Clearstream, Luxembourg customer or Euroclear participant purchasing an interest in a Global Note from another customer or participant will be credited, and any such crediting will be reported to the relevant Clearstream, Luxembourg customer or Euroclear participant, during the securities settlement processing day (which must be a business day for Euroclear and Clearstream) immediately following the settlement date of DTC. DTC has advised us that cash received in Clearstream, Luxembourg or Euroclear as a result of sales of interests in a Global Note by or through a Clearstream, Luxembourg customer or Euroclear participant to another customer or participant will be received with value on the settlement date of DTC but will be available in the relevant Clearstream, Luxembourg or Euroclear cash account only as of the business day for Euroclear or Clearstream, Luxembourg following DTC’s settlement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w:t>
      </w:r>
    </w:p>
    <w:p>
      <w:pPr>
        <w:spacing w:after="0" w:line="119"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is a general discussion of certain material U.S. federal income tax consequences that may be relevant to U.S. Holders and non-U.S. Holders (each as defined below and collectively referred to as “Holders”) with respect to the ownership and disposition of the notes acquired in this offering, but does not purport to be a complete analysis of all the potential tax consequences. This discussion is based on the Internal Revenue Code of 1986, as amended (the “Code”), U.S. Treasury Regulations promulgated thereunder (the “Treasury Regulations”), judicial opinions, published positions of the Internal Revenue Service (the “IRS”) and other applicable authorities, each as in effect as of the date hereof. These authorities are subject to differing interpretations and may change (possibly with retroactive effect), and any such change could affect the accuracy of the statements and conclusions set forth herein. We have not sought and will not seek any ruling from the IRS with respect to the statements made and the conclusions reached in this discussion and there can be no assurance that the IRS will agree with such statements and conclusions.</w:t>
      </w:r>
    </w:p>
    <w:p>
      <w:pPr>
        <w:spacing w:after="0" w:line="86"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This discussion applies only to beneficial owners who purchase notes for cash pursuant to this offering at the offer price indicated on the cover page of this prospectus supplement and hold the notes as “capital assets” within the meaning of Section 1221 of the Code (generally, property held for investment). This discussion does not address the tax consequences that may be relevant to subsequent purchasers of the notes. In addition, this discussion does not describe any tax consequences of the ownership or disposition of the notes arising under the unearned income Medicare contribution tax pursuant to the Health Care and Education Reconciliation Act of 2010 nor the Foreign Account Tax Compliance Act, and does not address any U.S. federal tax laws other than those pertaining to the income tax, nor does it address any foreign, state or local tax consequences. We believe, and by acquiring any notes each beneficial holder of a note will agree, that the notes will be treated as debt instruments for U.S. federal income tax purposes, and this discussion assumes such treatment.</w:t>
      </w:r>
    </w:p>
    <w:p>
      <w:pPr>
        <w:spacing w:after="0" w:line="86"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This discussion does not address all aspects of U.S. federal income taxation that may be relevant to particular investors in light of their individual circumstances or status or the U.S. federal income tax consequences that may be relevant to Holders subject to special rules under the U.S. federal income tax laws, such as banks or other financial institutions, broker-dealers, insurance companies, regulated investment companies, tax-exempt entities, dealers or traders in securities or currencies, traders in securities that elect the mark-to-market method of accounting for their securities holdings, Holders subject to the alternative minimum tax, U.S. Holders whose “functional currency” is not the U.S. dollar, Holders of notes that are required to accelerate the recognition of any item of gross income with respect to the notes as a result of such income being recognized on an “applicable financial statement,” entities treated as partnerships for U.S. federal income tax purposes or other pass-through entities or partners or members therein, controlled foreign corporations, passive foreign investment companies, U.S. Holders holding the notes through non-U.S. brokers or other intermediaries, non-U.S. trusts and estates that have U.S. beneficiaries, individual retirement and other tax-deferred accounts, real estate investment trusts, certain former citizens or long-term residents of the United States subject to U.S. federal income tax as expatriates, persons holding the notes through a “hybrid entity,” or persons holding the notes as a hedge against currency risks, as a position in a “straddle” or as part of a “wash sale,” “hedging,” “conversion,” “constructive sale,” or other “integrated” transaction for tax purposes.</w:t>
      </w:r>
    </w:p>
    <w:p>
      <w:pPr>
        <w:spacing w:after="0" w:line="7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If a partnership or an entity treated as a partnership for U.S. federal income tax purposes is a beneficial owner of the notes, the U.S. federal income tax treatment of a partner in the partnership or an equity interest owner of such other entity will generally depend upon the status of the person and the activities of the partnership or other entity treated as a partnership. Thus, persons who for U.S. federal income tax purposes are treated as partners in a partnership or equity interest owners of another entity treated as a partnership holding any of the notes should consult their own tax advisors.</w:t>
      </w:r>
    </w:p>
    <w:p>
      <w:pPr>
        <w:spacing w:after="0" w:line="79"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Under certain circumstances, we will be discharged from any and all obligations in respect of the indenture. Such discharge may be treated as a taxable exchange for U.S. federal income tax purposes. Holders should consult their own tax advisors regarding the U.S. federal, state, and local tax consequences of such a discharge.</w:t>
      </w:r>
    </w:p>
    <w:p>
      <w:pPr>
        <w:spacing w:after="0" w:line="66" w:lineRule="exact"/>
        <w:rPr>
          <w:sz w:val="20"/>
          <w:szCs w:val="20"/>
          <w:color w:val="auto"/>
        </w:rPr>
      </w:pPr>
    </w:p>
    <w:p>
      <w:pPr>
        <w:ind w:left="300" w:right="659" w:firstLine="360"/>
        <w:spacing w:after="0" w:line="275" w:lineRule="auto"/>
        <w:rPr>
          <w:sz w:val="20"/>
          <w:szCs w:val="20"/>
          <w:color w:val="auto"/>
        </w:rPr>
      </w:pPr>
      <w:r>
        <w:rPr>
          <w:rFonts w:ascii="Times New Roman" w:cs="Times New Roman" w:eastAsia="Times New Roman" w:hAnsi="Times New Roman"/>
          <w:sz w:val="17"/>
          <w:szCs w:val="17"/>
          <w:color w:val="auto"/>
        </w:rPr>
        <w:t>As described above in “</w:t>
      </w:r>
      <w:r>
        <w:rPr>
          <w:rFonts w:ascii="Times New Roman" w:cs="Times New Roman" w:eastAsia="Times New Roman" w:hAnsi="Times New Roman"/>
          <w:sz w:val="17"/>
          <w:szCs w:val="17"/>
          <w:i w:val="1"/>
          <w:iCs w:val="1"/>
          <w:color w:val="auto"/>
        </w:rPr>
        <w:t>Description of Notes—Optional Redemption</w:t>
      </w:r>
      <w:r>
        <w:rPr>
          <w:rFonts w:ascii="Times New Roman" w:cs="Times New Roman" w:eastAsia="Times New Roman" w:hAnsi="Times New Roman"/>
          <w:sz w:val="17"/>
          <w:szCs w:val="17"/>
          <w:color w:val="auto"/>
        </w:rPr>
        <w:t>,” the terms of the notes provide for payments by us in excess of stated interest or principal, or prior to their scheduled payment dates, under certain circumstances. The possibility of such payments may implicate special rules under the Treasury Regulations governing “contingent payment debt instruments.” According to those Treasury Regulations, the possibility that such payments of excess or accelerated amounts will be made will not affect the amount of income a Holder recognizes in advance of the payment of such excess or accelerated amounts, if, in the aggregate, there is only a</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remote chance as of the date the notes are issued that such payments will be made or if such payments are considered to be incidental. We intend to take the position that the likelihood that such payments will be made is remote or that such payments are incidental, in each case, within the meaning of the applicable Treasury Regulations and therefore the notes do not constitute contingent payment debt instruments. The remainder of this discussion assumes that this position will be respected. Our position that the notes do not constitute contingent payment debt instruments is binding on a Holder unless such Holder discloses its contrary position to the IRS in the manner required by the applicable Treasury Regulations. Our position is not, however, binding on the IRS. If the IRS were to challenge this position successfully, a Holder might be required, among other things, to (1) accrue interest income based on a projected payment schedule and comparable yield, which may be in excess of stated interest, and (2) treat as ordinary income rather than capital gain any income recognized on the taxable disposition of a note. In the event a contingency described above occurs, it could affect the timing, amount and/or character of the income or loss recognized by a Holder. Prospective investors should consult their own tax advisors regarding the tax consequences if the notes were treated as contingent payment debt instruments.</w:t>
      </w:r>
    </w:p>
    <w:p>
      <w:pPr>
        <w:spacing w:after="0" w:line="75"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THIS DISCUSSION IS FOR GENERAL INFORMATION ONLY AND IS NOT INTENDED TO CONSTITUTE A COMPLETE DESCRIPTION OF ALL TAX CONSEQUENCES RELEVANT TO U.S. AND NON-U.S. HOLDERS RELATING TO THE OWNERSHIP AND DISPOSITION OF THE NOTES. PROSPECTIVE HOLDERS SHOULD CONSULT THEIR OWN TAX ADVISORS REGARDING THE PARTICULAR TAX CONSEQUENCES TO THEM OF ACQUIRING, OWNING AND DISPOSING OF THE NOTES, INCLUDING THE APPLICATION AND EFFECT OF ANY STATE, LOCAL AND FOREIGN INCOME, ESTATE AND OTHER TAX LAWS.</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 Holders of the Notes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discussion, the term “U.S. Holder” means a beneficial owner of a note offered hereby that is, for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 federal income tax purposes:</w:t>
      </w:r>
    </w:p>
    <w:p>
      <w:pPr>
        <w:spacing w:after="0" w:line="99"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any state thereof or the District of Columbia (and certain non-U.S. entities taxed as U.S. corporations under specialized sections of the Code);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jc w:val="both"/>
        <w:ind w:left="1000" w:right="57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U.S. persons have authority to control all substantial decisions of the trust or (2) has a valid election in effect under the applicable Treasury Regulations to be treated as a U.S. person.</w:t>
      </w:r>
    </w:p>
    <w:p>
      <w:pPr>
        <w:spacing w:after="0" w:line="64" w:lineRule="exact"/>
        <w:rPr>
          <w:sz w:val="20"/>
          <w:szCs w:val="20"/>
          <w:color w:val="auto"/>
        </w:rPr>
      </w:pPr>
    </w:p>
    <w:p>
      <w:pPr>
        <w:ind w:left="300" w:right="37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on the Notes. </w:t>
      </w:r>
      <w:r>
        <w:rPr>
          <w:rFonts w:ascii="Times New Roman" w:cs="Times New Roman" w:eastAsia="Times New Roman" w:hAnsi="Times New Roman"/>
          <w:sz w:val="18"/>
          <w:szCs w:val="18"/>
          <w:color w:val="auto"/>
        </w:rPr>
        <w:t>It is expected, and this discussion assumes, that the offering price of the notes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equal to the stated principal amount or, if the offering price is less than the stated principal amount, the difference will be less than a de minimis amount of original issue discount for U.S. federal income tax purposes (as set forth in the applicable Treasury Regulations). Accordingly, payments of stated interest on a note will generally be taxable to U.S. Holders as ordinary interest income at the time such interest payments are accrued or received, depending on the U.S. Holder’s regular method of accounting for U.S. federal income tax purposes.</w:t>
      </w:r>
    </w:p>
    <w:p>
      <w:pPr>
        <w:spacing w:after="0" w:line="74"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Disposition of Notes. </w:t>
      </w:r>
      <w:r>
        <w:rPr>
          <w:rFonts w:ascii="Times New Roman" w:cs="Times New Roman" w:eastAsia="Times New Roman" w:hAnsi="Times New Roman"/>
          <w:sz w:val="18"/>
          <w:szCs w:val="18"/>
          <w:color w:val="auto"/>
        </w:rPr>
        <w:t>Upon the sale, exchange, redemption, retirement or other taxable disposition of a note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offered hereby (collectively, a “Disposition”), a U.S. Holder generally will recognize taxable gain or loss equal to the difference, if any, between (i) the sum of all cash plus the fair market value of all other property received on such Disposition (other than amounts properly attributable to accrued and unpaid interest, which, to the extent not previously included in income, will be taxable as ordinary interest income) and (ii) such U.S. Holder’s adjusted tax basis in the note. A U.S. Holder’s adjusted tax basis in a note generally will be equal to the amount that such U.S. Holder paid for the note. Any gain or loss recognized on the Disposition of a note generally will be capital gain or loss, and will be long-term capital gain or loss if, at the time of the Disposition, the U.S. Holder held the note for a period of more than one year. Long-term capital gains recognized by certain non-corporate U.S. Holders, including individuals, will generally be subject to a reduced tax rate. The deductibility of capital losses is subject to limitations.</w:t>
      </w:r>
    </w:p>
    <w:p>
      <w:pPr>
        <w:spacing w:after="0" w:line="74" w:lineRule="exact"/>
        <w:rPr>
          <w:sz w:val="20"/>
          <w:szCs w:val="20"/>
          <w:color w:val="auto"/>
        </w:rPr>
      </w:pPr>
    </w:p>
    <w:p>
      <w:pPr>
        <w:ind w:left="300" w:right="8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Information reporting generally will apply to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of interest on the notes and to payments of the proceeds of a Disposition of a note paid to a</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U.S. Holder unless such U.S. Holder is an exempt recipient. In general, a U.S. Holder may be subject to U.S. federal backup withholding (currently at a rate of 24% for payments made before January 1, 2026) on such payments on the notes and the proceeds of a Disposition of a note if such U.S. Holder fails to (i) provide a properly completed and executed IRS Form W-9 to the applicable withholding agent providing such U.S. Holder’s correct taxpayer identification number and complying with certain certification requirements or (ii) otherwise establish an exemption from backup withholding. Backup withholding is not an additional tax. Any amounts withheld under the backup withholding rules may be refunded or allowed as a credit against the U.S. Holder’s U.S. federal income tax liability, provided that the required information is timely furnished to the IRS. U.S. Holders should consult their own tax advisors regarding their qualification for an exemption from backup withholding and the procedures for establishing such exemption, if applicable.</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Non-U.S. Holders of the Notes</w:t>
      </w:r>
    </w:p>
    <w:p>
      <w:pPr>
        <w:spacing w:after="0" w:line="12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As used in this discussion, the term “non-U.S. Holder” means a beneficial owner of a note offered hereby that is not, for U.S. federal income tax purposes, a U.S. Holder as defined above, other than an entity or arrangement that is treated as a partnership for U.S. federal income tax purposes.</w:t>
      </w:r>
    </w:p>
    <w:p>
      <w:pPr>
        <w:spacing w:after="0" w:line="64" w:lineRule="exact"/>
        <w:rPr>
          <w:sz w:val="20"/>
          <w:szCs w:val="20"/>
          <w:color w:val="auto"/>
        </w:rPr>
      </w:pPr>
    </w:p>
    <w:p>
      <w:pPr>
        <w:jc w:val="both"/>
        <w:ind w:left="300" w:right="539" w:firstLine="3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on the Notes. </w:t>
      </w:r>
      <w:r>
        <w:rPr>
          <w:rFonts w:ascii="Times New Roman" w:cs="Times New Roman" w:eastAsia="Times New Roman" w:hAnsi="Times New Roman"/>
          <w:sz w:val="17"/>
          <w:szCs w:val="17"/>
          <w:color w:val="auto"/>
        </w:rPr>
        <w:t>Subject to the discussion below under “</w:t>
      </w:r>
      <w:r>
        <w:rPr>
          <w:rFonts w:ascii="Times New Roman" w:cs="Times New Roman" w:eastAsia="Times New Roman" w:hAnsi="Times New Roman"/>
          <w:sz w:val="17"/>
          <w:szCs w:val="17"/>
          <w:i w:val="1"/>
          <w:iCs w:val="1"/>
          <w:color w:val="auto"/>
        </w:rPr>
        <w:t>—Backup Withholding, Information Reporting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and Other Reporting Requirements</w:t>
      </w:r>
      <w:r>
        <w:rPr>
          <w:rFonts w:ascii="Times New Roman" w:cs="Times New Roman" w:eastAsia="Times New Roman" w:hAnsi="Times New Roman"/>
          <w:sz w:val="17"/>
          <w:szCs w:val="17"/>
          <w:color w:val="auto"/>
        </w:rPr>
        <w:t>,” payments of interest on the notes to a non-U.S. Holder generally will not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 to U.S. federal income or withholding tax under the “portfolio interest exemption,” provided that:</w:t>
      </w:r>
    </w:p>
    <w:p>
      <w:pPr>
        <w:spacing w:after="0" w:line="49" w:lineRule="exact"/>
        <w:rPr>
          <w:sz w:val="20"/>
          <w:szCs w:val="20"/>
          <w:color w:val="auto"/>
        </w:rPr>
      </w:pPr>
    </w:p>
    <w:p>
      <w:pPr>
        <w:jc w:val="both"/>
        <w:ind w:left="1000" w:right="39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interest is not effectively connected with the non-U.S. Holder’s conduct of a trade or business within the United States (or, if required under an applicable income tax treaty, such payments are not attributable to a permanent establishment maintained by such non-U.S. Holder in the United States);</w:t>
      </w:r>
    </w:p>
    <w:p>
      <w:pPr>
        <w:spacing w:after="0" w:line="67" w:lineRule="exact"/>
        <w:rPr>
          <w:rFonts w:ascii="Times New Roman" w:cs="Times New Roman" w:eastAsia="Times New Roman" w:hAnsi="Times New Roman"/>
          <w:sz w:val="18"/>
          <w:szCs w:val="18"/>
          <w:color w:val="auto"/>
        </w:rPr>
      </w:pPr>
    </w:p>
    <w:p>
      <w:pPr>
        <w:ind w:left="1000" w:right="619" w:hanging="348"/>
        <w:spacing w:after="0" w:line="312" w:lineRule="auto"/>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does not actually or constructively own 10% or more of the total combined voting power of all classes of our voting stock within the meaning of the Code and the Treasury Regulations;</w:t>
      </w:r>
    </w:p>
    <w:p>
      <w:pPr>
        <w:spacing w:after="0" w:line="31" w:lineRule="exact"/>
        <w:rPr>
          <w:rFonts w:ascii="Times New Roman" w:cs="Times New Roman" w:eastAsia="Times New Roman" w:hAnsi="Times New Roman"/>
          <w:sz w:val="17"/>
          <w:szCs w:val="17"/>
          <w:color w:val="auto"/>
        </w:rPr>
      </w:pPr>
    </w:p>
    <w:p>
      <w:pPr>
        <w:ind w:left="1000" w:right="77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“controlled foreign corporation” with respect to which we are a “related person” within the meaning of the Code; and</w:t>
      </w:r>
    </w:p>
    <w:p>
      <w:pPr>
        <w:spacing w:after="0" w:line="53" w:lineRule="exact"/>
        <w:rPr>
          <w:rFonts w:ascii="Times New Roman" w:cs="Times New Roman" w:eastAsia="Times New Roman" w:hAnsi="Times New Roman"/>
          <w:sz w:val="18"/>
          <w:szCs w:val="18"/>
          <w:color w:val="auto"/>
        </w:rPr>
      </w:pPr>
    </w:p>
    <w:p>
      <w:pPr>
        <w:ind w:left="1000" w:right="379" w:hanging="348"/>
        <w:spacing w:after="0" w:line="254"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the beneficial owner of the notes provides the applicable withholding agent with a properly completed and executed IRS Form W-8BEN or W-8BEN-E (or successor form), as applicable, certifying, under penalties of perjury, that it is not a “United States person” (as defined in the Code) and providing its name and address and renews the certificate periodically as required by the Treasury Regulations, or (ii) a financial institution that holds the notes on behalf of the non-U.S. Holder certifies to the applicable withholding agent, under penalties of perjury, that it has received such properly completed and executed IRS Form W-8BEN or W-8BEN-E (or successor form), as applicable, from the beneficial owner and provides the applicable withholding agent with a copy thereof.</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If a non-U.S. Holder does not satisfy the requirements of the “portfolio interest exemption” described above, payments of interest on the notes made to such non-U.S. Holder generally will be subject to U.S. federal withholding tax at a rate of 30% (or such lower rate as may be specified by an applicable income tax treaty), unless such interest is effectively connected with such non-U.S. Holder’s conduct of a trade or business in the United States (and, if required by an applicable income tax treaty, is attributable to a permanent establishment of the non-U.S. Holder in the United States) and such non-U.S. Holder provides the applicable withholding agent with a properly completed and executed IRS Form W-8ECI. In order to claim an exemption from or reduction of withholding under an applicable income tax treaty, a non-U.S. Holder generally must furnish to the applicable withholding agent a properly executed IRS Form W-8BEN or W-8BEN-E (or successor form), as applicable. Non-U.S. Holders eligible for an exemption from or reduced rate of U.S. federal withholding tax under an applicable income tax treaty may obtain a refund of any excess amounts withheld by timely filing an appropriate claim with the IRS. Non-U.S. Holders should consult their own tax advisors regarding their entitlement to benefits under an applicable income tax treaty and the requirements for claiming any such benefits.</w:t>
      </w:r>
    </w:p>
    <w:p>
      <w:pPr>
        <w:spacing w:after="0" w:line="79"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Interest paid to a non-U.S. Holder that is effectively connected with such non-U.S. Holder’s conduct of a trade or business within the United States (and, if required under an applicable income tax treaty, is attributable to a permanent establishment maintained by such non-U.S. Holder in the United States) generally will not be subject to the U.S. federal withholding tax discussed above, provided that the non-U.S. Holder complies with applicable certification and other requirements. Instead, such interest generally will be subject to U.S. federal income tax on a net income basis at regular graduated U.S. federal income tax rates in the same manner as if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479"/>
        <w:spacing w:after="0" w:line="261" w:lineRule="auto"/>
        <w:rPr>
          <w:sz w:val="20"/>
          <w:szCs w:val="20"/>
          <w:color w:val="auto"/>
        </w:rPr>
      </w:pPr>
      <w:r>
        <w:rPr>
          <w:rFonts w:ascii="Times New Roman" w:cs="Times New Roman" w:eastAsia="Times New Roman" w:hAnsi="Times New Roman"/>
          <w:sz w:val="18"/>
          <w:szCs w:val="18"/>
          <w:color w:val="auto"/>
        </w:rPr>
        <w:t>such non-U.S. Holder were a “United States person” as defined under the Code, unless an applicable income tax treaty provides otherwise. A non-U.S. Holder that is a corporation may be subject to an additional “branch profits tax” at a rate of 30% (or such lower rate as may be specified by an applicable income tax treaty) on its “effectively connected earnings and profits” for the taxable year, subject to certain adjustments.</w:t>
      </w:r>
    </w:p>
    <w:p>
      <w:pPr>
        <w:spacing w:after="0" w:line="6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Disposition of Notes. </w:t>
      </w:r>
      <w:r>
        <w:rPr>
          <w:rFonts w:ascii="Times New Roman" w:cs="Times New Roman" w:eastAsia="Times New Roman" w:hAnsi="Times New Roman"/>
          <w:sz w:val="18"/>
          <w:szCs w:val="18"/>
          <w:color w:val="auto"/>
        </w:rPr>
        <w:t>Subject to the discussion below under “</w:t>
      </w:r>
      <w:r>
        <w:rPr>
          <w:rFonts w:ascii="Times New Roman" w:cs="Times New Roman" w:eastAsia="Times New Roman" w:hAnsi="Times New Roman"/>
          <w:sz w:val="18"/>
          <w:szCs w:val="18"/>
          <w:i w:val="1"/>
          <w:iCs w:val="1"/>
          <w:color w:val="auto"/>
        </w:rPr>
        <w:t>—Backup Withholding, Information Reporting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and Other Reporting Requirements</w:t>
      </w:r>
      <w:r>
        <w:rPr>
          <w:rFonts w:ascii="Times New Roman" w:cs="Times New Roman" w:eastAsia="Times New Roman" w:hAnsi="Times New Roman"/>
          <w:sz w:val="18"/>
          <w:szCs w:val="18"/>
          <w:color w:val="auto"/>
        </w:rPr>
        <w:t>,” generally, any gain realized on the Disposition of a note by a non-U.S.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amounts properly attributable to accrued and unpaid interest, which, to the extent not previously included in income, generally will be treated as described under “</w:t>
      </w:r>
      <w:r>
        <w:rPr>
          <w:rFonts w:ascii="Times New Roman" w:cs="Times New Roman" w:eastAsia="Times New Roman" w:hAnsi="Times New Roman"/>
          <w:sz w:val="18"/>
          <w:szCs w:val="18"/>
          <w:i w:val="1"/>
          <w:iCs w:val="1"/>
          <w:color w:val="auto"/>
        </w:rPr>
        <w:t>—Non-U.S. Holder of the Notes—Interest on the Notes</w:t>
      </w:r>
      <w:r>
        <w:rPr>
          <w:rFonts w:ascii="Times New Roman" w:cs="Times New Roman" w:eastAsia="Times New Roman" w:hAnsi="Times New Roman"/>
          <w:sz w:val="18"/>
          <w:szCs w:val="18"/>
          <w:color w:val="auto"/>
        </w:rPr>
        <w:t>”) will not be subject to U.S. federal income or withholding tax unless: (i) such gain is effectively connected with such non-U.S. Holder’s conduct of a trade or business within the United States (and, if required under an applicable income tax treaty, is attributable to a permanent establishment (or, in the case of an individual, a fixed base) maintained by such non-U.S. Holder in the United States), in which event such gain generally will be subject to U.S. federal income tax on a net income basis at regular graduated U.S. federal income tax rates in the same manner as if such non-U.S. Holder were a U.S. person, or (ii) such non-U.S. Holder is an individual who is present in the United States for a period or periods aggregating 183 days or more during the taxable year of the Disposition and certain other conditions are met, in which event such gain (net of certain U.S.-source capital losses, if any, of the non-U.S. Holder) generally will be subject to U.S. federal income tax at a 30% flat rate (or such lower rate as may be specified under an applicable income tax treaty).</w:t>
      </w:r>
    </w:p>
    <w:p>
      <w:pPr>
        <w:spacing w:after="0" w:line="77" w:lineRule="exact"/>
        <w:rPr>
          <w:sz w:val="20"/>
          <w:szCs w:val="20"/>
          <w:color w:val="auto"/>
        </w:rPr>
      </w:pPr>
    </w:p>
    <w:p>
      <w:pPr>
        <w:ind w:left="300" w:right="45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Backup Withholding, Information Reporting and Other Reporting Requirements. </w:t>
      </w:r>
      <w:r>
        <w:rPr>
          <w:rFonts w:ascii="Times New Roman" w:cs="Times New Roman" w:eastAsia="Times New Roman" w:hAnsi="Times New Roman"/>
          <w:sz w:val="18"/>
          <w:szCs w:val="18"/>
          <w:color w:val="auto"/>
        </w:rPr>
        <w:t>U.S. backup withholding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 (currently at a rate of 24% for payments made before January 1, 2026) is imposed on certain payments to persons that fail to furnish the information required under the U.S. information reporting rules. Interest paid to a non-U.S. Holder generally will be exempt from backup withholding if the non-U.S. Holder provides the applicable withholding agent with a properly completed and executed IRS Form W-8BEN or W-8BEN-E (or successor form), as applicable, or otherwise establishes an exemption.</w:t>
      </w:r>
    </w:p>
    <w:p>
      <w:pPr>
        <w:spacing w:after="0" w:line="78"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In addition, we must report annually to the IRS and to each non-U.S. Holder the amount of interest paid to such non-U.S. Holder and the amount of tax, if any, withheld with respect to such payments. These reporting requirements apply regardless of whether withholding was reduced or eliminated by an applicable income tax treaty. This information may also be made available to the tax authorities in the country in which a non-U.S. Holder resides or is established under the provisions of an applicable tax treaty or agreement with those tax authorities.</w:t>
      </w:r>
    </w:p>
    <w:p>
      <w:pPr>
        <w:spacing w:after="0" w:line="7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Under the Treasury Regulations, the payment of proceeds from the Disposition of a note by a non-U.S. Holder effected at a U.S. office of a broker generally will be subject to information reporting and backup withholding, unless such non-U.S. Holder provides a properly completed and executed IRS Form W-8BEN or W-8BEN-E, or other applicable IRS Form W-8 (or successor form), as applicable, certifying such non-U.S. Holder’s non-U.S. status or otherwise establishes an exemption. The payment of proceeds from the Disposition of a note by a non-U.S. Holder effected at a non-U.S. office of a U.S. broker or a non-U.S. broker with certain specified U.S. connections generally will be subject to information reporting (but not backup withholding), unless such non-U.S. Holder provides a properly executed IRS Form W-8BEN or W-8BEN-E or other applicable IRS Form W-8 (or successor form), as applicable, certifying such non-U.S. Holder’s non-U.S. status or otherwise establishes an exemption. Backup withholding will apply if the Disposition is subject to information reporting and the broker has actual knowledge that the non-U.S. Holder is a U.S. person.</w:t>
      </w:r>
    </w:p>
    <w:p>
      <w:pPr>
        <w:spacing w:after="0" w:line="84"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refunded or allowed as a credit against the non-U.S. Holder’s U.S. federal income tax liability, if any, provided that the required information is furnished to the IRS in a timely manner. Non-U.S. Holders should consult their own tax advisors regarding the application of the information reporting and backup withholding rules to them.</w:t>
      </w:r>
    </w:p>
    <w:p>
      <w:pPr>
        <w:spacing w:after="0" w:line="68"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THE FOREGOING DISCUSSION DOES NOT DISCUSS ALL ASPECTS OF U.S. FEDERAL INCOME TAXATION THAT MAY BE RELEVANT TO INVESTORS IN LIGHT OF THEIR PARTICULAR CIRCUMSTANCES AND INCOME TAX SITUATION. INVESTORS SHOULD CONSULT THEIR OWN TAX ADVISORS AS TO THE SPECIFIC TAX CONSEQUENCES THAT WOULD RESULT FROM THEIR PURCHASE, OWNERSHIP AND DISPOSITION OF THE NOTES, INCLUDING THE APPLICATION AND EFFECT OF STATE, LOCAL AND OTHER TAX LAWS AND THE POSSIBLE EFFECTS OF CHANGES IN FEDERAL OR OTHER TAX LAWS.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BofA Securities, Inc., Barclays Capital Inc., PNC Capital Markets LLC and TD Securities (USA) LLC are acting as representatives of each of the underwriters named below. Subject to the terms and conditions set forth in a firm commitment underwriting agreement among us and the underwriters, we have agreed to sell to the underwriters, and each of the underwriters has agreed, severally and not jointly, to purchase from us, the principal amount of notes set forth opposite its name below.</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60" w:type="dxa"/>
            <w:vAlign w:val="bottom"/>
          </w:tcPr>
          <w:p>
            <w:pPr>
              <w:spacing w:after="0"/>
              <w:rPr>
                <w:sz w:val="16"/>
                <w:szCs w:val="16"/>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Amount of Notes</w:t>
            </w:r>
          </w:p>
        </w:tc>
      </w:tr>
      <w:tr>
        <w:trPr>
          <w:trHeight w:val="23"/>
        </w:trPr>
        <w:tc>
          <w:tcPr>
            <w:tcW w:w="6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5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260" w:type="dxa"/>
            <w:vAlign w:val="bottom"/>
            <w:shd w:val="clear" w:color="auto" w:fill="CCEEFF"/>
          </w:tcPr>
          <w:p>
            <w:pPr>
              <w:spacing w:after="0"/>
              <w:rPr>
                <w:sz w:val="21"/>
                <w:szCs w:val="21"/>
                <w:color w:val="auto"/>
              </w:rPr>
            </w:pPr>
          </w:p>
        </w:tc>
        <w:tc>
          <w:tcPr>
            <w:tcW w:w="1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3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7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r>
      <w:tr>
        <w:trPr>
          <w:trHeight w:val="247"/>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17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r>
      <w:tr>
        <w:trPr>
          <w:trHeight w:val="25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420" w:type="dxa"/>
            <w:vAlign w:val="bottom"/>
            <w:gridSpan w:val="2"/>
          </w:tcPr>
          <w:p>
            <w:pPr>
              <w:spacing w:after="0"/>
              <w:rPr>
                <w:sz w:val="21"/>
                <w:szCs w:val="21"/>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r>
      <w:tr>
        <w:trPr>
          <w:trHeight w:val="297"/>
        </w:trPr>
        <w:tc>
          <w:tcPr>
            <w:tcW w:w="6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CCEEFF"/>
            </w:tcBorders>
            <w:gridSpan w:val="2"/>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r>
    </w:tbl>
    <w:p>
      <w:pPr>
        <w:spacing w:after="0" w:line="90"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72" w:lineRule="exact"/>
        <w:rPr>
          <w:sz w:val="20"/>
          <w:szCs w:val="20"/>
          <w:color w:val="auto"/>
        </w:rPr>
      </w:pPr>
    </w:p>
    <w:p>
      <w:pPr>
        <w:jc w:val="both"/>
        <w:ind w:left="300" w:right="939" w:firstLine="360"/>
        <w:spacing w:after="0" w:line="266" w:lineRule="auto"/>
        <w:rPr>
          <w:sz w:val="20"/>
          <w:szCs w:val="20"/>
          <w:color w:val="auto"/>
        </w:rPr>
      </w:pPr>
      <w:r>
        <w:rPr>
          <w:rFonts w:ascii="Times New Roman" w:cs="Times New Roman" w:eastAsia="Times New Roman" w:hAnsi="Times New Roman"/>
          <w:sz w:val="18"/>
          <w:szCs w:val="18"/>
          <w:color w:val="auto"/>
        </w:rPr>
        <w:t>We have agreed to indemnify the underwriters and their controlling persons against certain liabilities in connection with this offering, including liabilities under the Securities Act, or to contribute to payments the underwriters may be required to make in respect of those liabilities.</w:t>
      </w:r>
    </w:p>
    <w:p>
      <w:pPr>
        <w:spacing w:after="0" w:line="68"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notes to the public at the public offering prices set forth on the cover page of this prospectus supplement and to certain dealers at such price less a concession not in excess of           % of the principal amount of the notes. The underwriters may allow, and such other dealers may reallow, a concession not in excess of           % of the principal amount of the notes to certain other dealers. After the initial offering, the public offering price, concession or any other term of the offering may be changed.</w:t>
      </w:r>
    </w:p>
    <w:p>
      <w:pPr>
        <w:spacing w:after="0" w:line="79"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The underwriting discount to be paid by us to the underwriters in connection with this offering (expressed as a percentage of the principal amount of the notes) is           % per note.</w:t>
      </w:r>
    </w:p>
    <w:p>
      <w:pPr>
        <w:spacing w:after="0" w:line="54" w:lineRule="exact"/>
        <w:rPr>
          <w:sz w:val="20"/>
          <w:szCs w:val="20"/>
          <w:color w:val="auto"/>
        </w:rPr>
      </w:pPr>
    </w:p>
    <w:p>
      <w:pPr>
        <w:jc w:val="both"/>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          and are payable by us. We have also agreed to reimburse the underwriters for certain of their expenses in an amount up to $20,000.</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 intend to apply for listing of the notes on any national securities exchange.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21" w:lineRule="exact"/>
        <w:rPr>
          <w:sz w:val="20"/>
          <w:szCs w:val="20"/>
          <w:color w:val="auto"/>
        </w:rPr>
      </w:pPr>
    </w:p>
    <w:p>
      <w:pPr>
        <w:ind w:left="300" w:right="499" w:firstLine="360"/>
        <w:spacing w:after="0" w:line="257" w:lineRule="auto"/>
        <w:rPr>
          <w:sz w:val="20"/>
          <w:szCs w:val="20"/>
          <w:color w:val="auto"/>
        </w:rPr>
      </w:pPr>
      <w:r>
        <w:rPr>
          <w:rFonts w:ascii="Times New Roman" w:cs="Times New Roman" w:eastAsia="Times New Roman" w:hAnsi="Times New Roman"/>
          <w:sz w:val="18"/>
          <w:szCs w:val="18"/>
          <w:color w:val="auto"/>
        </w:rPr>
        <w:t>We expect that delivery of the notes will be made against payment therefor on or about           , 2025, which will be the           business day following the date of pricing of the notes (such settlement cycle being referred to as “T+        ”). Pursuant to Rule 15c6-1 under the Exchange Act, trades in the secondary market</w:t>
      </w:r>
    </w:p>
    <w:p>
      <w:pPr>
        <w:spacing w:after="0" w:line="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generally are required to settle in one business day, unless the parties to any such trade expressly agree otherwise. Accordingly, purchasers who wish to trade the notes on any date prior to the business day before the settlement date will be required to specify alternative settlement arrangements at the time of any such trade to prevent a failed settlement. Purchasers of the notes who wish to trade the notes prior to the business day before the date of delivery should consult their own advisors.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300" w:right="319" w:firstLine="360"/>
        <w:spacing w:after="0" w:line="281" w:lineRule="auto"/>
        <w:rPr>
          <w:sz w:val="20"/>
          <w:szCs w:val="20"/>
          <w:color w:val="auto"/>
        </w:rPr>
      </w:pPr>
      <w:r>
        <w:rPr>
          <w:rFonts w:ascii="Times New Roman" w:cs="Times New Roman" w:eastAsia="Times New Roman" w:hAnsi="Times New Roman"/>
          <w:sz w:val="17"/>
          <w:szCs w:val="17"/>
          <w:color w:val="auto"/>
        </w:rPr>
        <w:t>We have agreed that we will not, for a period of 30 days after the date of this prospectus supplement, without first obtaining the prior written consent of the representatives, directly or indirectly, issue, sell, offer to contract or grant any option to sell, pledge, transfer or otherwise dispose of, any debt securities or securities exchangeable for or convertible into debt securities, except for the notes sold to the underwriters pursuant to the underwriting agreement.</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Short Positions</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8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72"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Specifically, certain underwriters and/or their affiliates serve in various roles under our revolving credit facility and term loan facility and may serve in various roles under the proposed term loan facility (if obtained and funded).</w:t>
      </w:r>
    </w:p>
    <w:p>
      <w:pPr>
        <w:spacing w:after="0" w:line="75"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of those underwriters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(1)  Notice to Prospective Investors in the European Economic Area</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86"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  Notice to Prospective Investors in the United Kingdom</w:t>
      </w:r>
    </w:p>
    <w:p>
      <w:pPr>
        <w:spacing w:after="0" w:line="121"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(the “EUWA”); (ii) a customer within the meaning of the provisions of the Financial Services and Markets Act 2000 (as amended, the “FSMA”) and any rules or regulations made under the FSMA to implement the Insurance Distribution Directive,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89" w:lineRule="exact"/>
        <w:rPr>
          <w:sz w:val="20"/>
          <w:szCs w:val="20"/>
          <w:color w:val="auto"/>
        </w:rPr>
      </w:pPr>
    </w:p>
    <w:p>
      <w:pPr>
        <w:ind w:left="300" w:right="539" w:firstLine="360"/>
        <w:spacing w:after="0" w:line="289" w:lineRule="auto"/>
        <w:rPr>
          <w:sz w:val="20"/>
          <w:szCs w:val="20"/>
          <w:color w:val="auto"/>
        </w:rPr>
      </w:pPr>
      <w:r>
        <w:rPr>
          <w:rFonts w:ascii="Times New Roman" w:cs="Times New Roman" w:eastAsia="Times New Roman" w:hAnsi="Times New Roman"/>
          <w:sz w:val="17"/>
          <w:szCs w:val="17"/>
          <w:color w:val="auto"/>
        </w:rPr>
        <w:t>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50"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has not been approved by an authorized person in the U.K. This prospectus supplement is for distribution only to persons who: (i) have professional experience in matters relating to investments falling within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(3)  Notice to Prospective Investors in Switzerland</w:t>
      </w:r>
    </w:p>
    <w:p>
      <w:pPr>
        <w:spacing w:after="0" w:line="121"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The offering of the notes in Switzerland is exempt from requirement to prepare and publish a prospectus under the Swiss Financial Services Act (“FinSA”) because such offering is made to professional clients within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89" w:lineRule="auto"/>
        <w:rPr>
          <w:sz w:val="20"/>
          <w:szCs w:val="20"/>
          <w:color w:val="auto"/>
        </w:rPr>
      </w:pPr>
      <w:r>
        <w:rPr>
          <w:rFonts w:ascii="Times New Roman" w:cs="Times New Roman" w:eastAsia="Times New Roman" w:hAnsi="Times New Roman"/>
          <w:sz w:val="17"/>
          <w:szCs w:val="17"/>
          <w:color w:val="auto"/>
        </w:rPr>
        <w:t>the meaning of the FinSA only and the notes will not be admitted to trading on any trading venue (exchange or multilateral trading facility) in Switzerland. This prospectus supplement does not constitute a prospectus pursuant to the FinSA, and no such prospectus has been or will be prepared for or in connection with the offering of the notes.</w:t>
      </w:r>
    </w:p>
    <w:p>
      <w:pPr>
        <w:spacing w:after="0" w:line="154" w:lineRule="exact"/>
        <w:rPr>
          <w:sz w:val="20"/>
          <w:szCs w:val="20"/>
          <w:color w:val="auto"/>
        </w:rPr>
      </w:pPr>
    </w:p>
    <w:p>
      <w:pPr>
        <w:ind w:left="640" w:hanging="348"/>
        <w:spacing w:after="0"/>
        <w:tabs>
          <w:tab w:leader="none" w:pos="64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148" w:lineRule="exact"/>
        <w:rPr>
          <w:rFonts w:ascii="Times New Roman" w:cs="Times New Roman" w:eastAsia="Times New Roman" w:hAnsi="Times New Roman"/>
          <w:sz w:val="18"/>
          <w:szCs w:val="18"/>
          <w:b w:val="1"/>
          <w:bCs w:val="1"/>
          <w:i w:val="1"/>
          <w:iCs w:val="1"/>
          <w:color w:val="auto"/>
        </w:rPr>
      </w:pPr>
    </w:p>
    <w:p>
      <w:pPr>
        <w:ind w:left="6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notes have not been, and will not be, offered to any person in the DIFC unless such offer is:</w:t>
      </w:r>
    </w:p>
    <w:p>
      <w:pPr>
        <w:spacing w:after="0" w:line="117" w:lineRule="exact"/>
        <w:rPr>
          <w:rFonts w:ascii="Times New Roman" w:cs="Times New Roman" w:eastAsia="Times New Roman" w:hAnsi="Times New Roman"/>
          <w:sz w:val="18"/>
          <w:szCs w:val="18"/>
          <w:b w:val="1"/>
          <w:bCs w:val="1"/>
          <w:i w:val="1"/>
          <w:iCs w:val="1"/>
          <w:color w:val="auto"/>
        </w:rPr>
      </w:pPr>
    </w:p>
    <w:p>
      <w:pPr>
        <w:ind w:left="1000" w:right="419" w:hanging="348"/>
        <w:spacing w:after="0" w:line="282" w:lineRule="auto"/>
        <w:tabs>
          <w:tab w:leader="none" w:pos="10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 Offer” in accordance with the Markets Rules (MKT) Module of the Dubai Financial Services Authority (the “DFSA”) rulebook; and</w:t>
      </w:r>
    </w:p>
    <w:p>
      <w:pPr>
        <w:spacing w:after="0" w:line="5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only to persons who meet the Professional Client criteria set out in Rule 2.3.3 of the Conduct of Business (COB) Module of the DFSA rulebook.</w:t>
      </w:r>
    </w:p>
    <w:p>
      <w:pPr>
        <w:spacing w:after="0" w:line="157"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75"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9" w:lineRule="exact"/>
        <w:rPr>
          <w:sz w:val="20"/>
          <w:szCs w:val="20"/>
          <w:color w:val="auto"/>
        </w:rPr>
      </w:pPr>
    </w:p>
    <w:p>
      <w:pPr>
        <w:jc w:val="both"/>
        <w:ind w:left="300" w:right="879" w:firstLine="360"/>
        <w:spacing w:after="0" w:line="261"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(6)  Notice to Prospective Investors in Hong Kong</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No notes have been offered or sold, and no notes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notes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notes which are or are intended to be disposed of only to persons outside Hong Kong or only to “professional investors” as defined in the SFO and any rules made under that Ordinance.</w:t>
      </w:r>
    </w:p>
    <w:p>
      <w:pPr>
        <w:spacing w:after="0" w:line="84"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This prospectus supplement has not been registered with the Registrar of Companies in Hong Kong. Accordingly, this prospectus supplement may not be issued, circulated or distributed in Hong Kong, and the notes may not be offered for subscription to members of the public in Hong Kong. Each person acquiring the notes will be required, and is deemed by the acquisition of the notes, to confirm that he is aware of the restriction on offers of the notes described in this prospectus supplement and the relevant offering documents and that he is not acquiring, and has not been offered any notes in circumstances that contravene any such restrictions.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(7)  Notice to Prospective Investors in Japan</w:t>
      </w:r>
    </w:p>
    <w:p>
      <w:pPr>
        <w:spacing w:after="0" w:line="121" w:lineRule="exact"/>
        <w:rPr>
          <w:sz w:val="20"/>
          <w:szCs w:val="20"/>
          <w:color w:val="auto"/>
        </w:rPr>
      </w:pPr>
    </w:p>
    <w:p>
      <w:pPr>
        <w:ind w:left="300" w:right="699" w:firstLine="360"/>
        <w:spacing w:after="0" w:line="312" w:lineRule="auto"/>
        <w:rPr>
          <w:sz w:val="20"/>
          <w:szCs w:val="20"/>
          <w:color w:val="auto"/>
        </w:rPr>
      </w:pPr>
      <w:r>
        <w:rPr>
          <w:rFonts w:ascii="Times New Roman" w:cs="Times New Roman" w:eastAsia="Times New Roman" w:hAnsi="Times New Roman"/>
          <w:sz w:val="17"/>
          <w:szCs w:val="17"/>
          <w:color w:val="auto"/>
        </w:rPr>
        <w:t>The offering has not been and will not be registered under the Financial Instruments and Exchange Law of Japan (Act No. 25 of 1948, as amended, the “FIEA”), and the underwriters have agreed not to offer or sell the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notes, directly or indirectly, in Japan or to, or for the account or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(8)  Notice to Prospective Investors in Singapore</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has not been and will not be lodged or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Securities and Futures Act 2001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86" w:lineRule="exact"/>
        <w:rPr>
          <w:sz w:val="20"/>
          <w:szCs w:val="20"/>
          <w:color w:val="auto"/>
        </w:rPr>
      </w:pPr>
    </w:p>
    <w:p>
      <w:pPr>
        <w:ind w:left="300" w:right="379" w:firstLine="360"/>
        <w:spacing w:after="0" w:line="289" w:lineRule="auto"/>
        <w:rPr>
          <w:sz w:val="20"/>
          <w:szCs w:val="20"/>
          <w:color w:val="auto"/>
        </w:rPr>
      </w:pPr>
      <w:r>
        <w:rPr>
          <w:rFonts w:ascii="Times New Roman" w:cs="Times New Roman" w:eastAsia="Times New Roman" w:hAnsi="Times New Roman"/>
          <w:sz w:val="17"/>
          <w:szCs w:val="17"/>
          <w:color w:val="auto"/>
        </w:rPr>
        <w:t>The notes are prescribed capital markets products (as defined in the Securities and Futures (Capital Markets Products) Regulations 2018) and Excluded Investment Products (as defined in MAS Notice SFA 04 N12: Notice on the Sale of Investment Products and MAS Notice FAA-N16: Notice on Recommendations on Investment Products).</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(9)  Notice to Prospective Investors in Taiwan</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with the Financial Supervisory Commission of Taiwan, the Republic of China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 No person or entity in Taiwan has been authorized to offer, sell, give advice regarding or otherwise intermediate the offering or sale of the notes in Taiwan.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(10) Notice to Prospective Investors in Korea</w:t>
      </w:r>
    </w:p>
    <w:p>
      <w:pPr>
        <w:spacing w:after="0" w:line="121" w:lineRule="exact"/>
        <w:rPr>
          <w:sz w:val="20"/>
          <w:szCs w:val="20"/>
          <w:color w:val="auto"/>
        </w:rPr>
      </w:pPr>
    </w:p>
    <w:p>
      <w:pPr>
        <w:ind w:left="300" w:right="339" w:firstLine="360"/>
        <w:spacing w:after="0" w:line="267" w:lineRule="auto"/>
        <w:rPr>
          <w:sz w:val="20"/>
          <w:szCs w:val="20"/>
          <w:color w:val="auto"/>
        </w:rPr>
      </w:pPr>
      <w:r>
        <w:rPr>
          <w:rFonts w:ascii="Times New Roman" w:cs="Times New Roman" w:eastAsia="Times New Roman" w:hAnsi="Times New Roman"/>
          <w:sz w:val="17"/>
          <w:szCs w:val="17"/>
          <w:color w:val="auto"/>
        </w:rPr>
        <w:t>The notes have not been and will not be registered with the Financial Services Commission of Korea under the Financial Investment Services and Capital Markets Act of Korea. Accordingly, the notes have not been and will not be offered, sold or delivered, directly or indirectly, in Korea or to, or for the account or benefit of, any resident of Korea (as defined in the Foreign Exchange Transactions Law of Korea and its Enforcement Decree) or to others for re-offering or resale, except as otherwise permitted by applicable Korean laws and regulations. In addition, within one year following the issuance of the notes, the notes may not be transferred to any resident of Korea other than a qualified institutional buyer (as such term is defined in the regulation on issuance, public disclosure, etc. of securities of Korea, a “Korean QIB”) registered with the Korea Financial Investment Association (the “KOFIA”) as a Korean QIB and subject to the requirement of monthly reports with the KOFIA of its holding of Korean QIB bonds as defined in the Regulation on Issuance, Public Disclosure, etc. of notes of Korea, provided that (a) the notes are denominated, and the principal and interest payments thereunder are made, in a currency other than Korean won,</w:t>
      </w:r>
    </w:p>
    <w:p>
      <w:pPr>
        <w:spacing w:after="0" w:line="2" w:lineRule="exact"/>
        <w:rPr>
          <w:sz w:val="20"/>
          <w:szCs w:val="20"/>
          <w:color w:val="auto"/>
        </w:rPr>
      </w:pPr>
    </w:p>
    <w:p>
      <w:pPr>
        <w:ind w:left="300" w:right="519" w:hanging="8"/>
        <w:spacing w:after="0" w:line="268" w:lineRule="auto"/>
        <w:tabs>
          <w:tab w:leader="none" w:pos="55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the securities acquired by such Korean QIBs in the primary market is limited to less than 20 percent of the aggregate issue amount of the notes, (c) the notes are listed on one of the major overseas securities markets designated by the Financial Supervisory Service of Korea, or certain procedures, such as registration or report with a foreign financial investment regulator, have been completed for offering of the securities in a major overseas securities market, (d) the one year restriction on offering, delivering or selling of securities to a Korean resident other than a Korean QIB is expressly stated in the securities, the relevant underwriting agreement, subscription agreement, and the offering circular and (e) we and the underwriters shall individually or collectively keep the evidence of fulfillment of conditions (a) through (d) above after having taken necessary actions therefor.</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(11) Notice to Prospective Investors in Australia</w:t>
      </w:r>
    </w:p>
    <w:p>
      <w:pPr>
        <w:spacing w:after="0" w:line="121"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(including as defined in the Corporations Act 2001 (Cth) (“Corporations Act”)) has been or will be lodged with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Australian Securities and Investments Commission (“ASIC”) or any other governmental agency, in relation to the offering. This document does not constitute a prospectus, product disclosure statement or other disclosure document for the purposes of Corporations Act, and does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w:t>
      </w:r>
    </w:p>
    <w:p>
      <w:pPr>
        <w:spacing w:after="0" w:line="7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notes may not be offered for sale, nor may application for the sale or purchase or any notes be invited in Australia (including an offer or invitation which is received by a person in Australia) and neither this document nor any other offering material or advertisement relating to the notes may be distributed or published in Australia unless, in each case:</w:t>
      </w:r>
    </w:p>
    <w:p>
      <w:pPr>
        <w:spacing w:after="0" w:line="72" w:lineRule="exact"/>
        <w:rPr>
          <w:sz w:val="20"/>
          <w:szCs w:val="20"/>
          <w:color w:val="auto"/>
        </w:rPr>
      </w:pPr>
    </w:p>
    <w:p>
      <w:pPr>
        <w:ind w:left="1000" w:right="319" w:hanging="348"/>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consideration payable on acceptance of the offer or invitation by each offeree or invitee is at least A$500,000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invitation or distribution complied with the conditions of the Australian financial services license of the person making the offer, invitation or distribution or an applicable exemption from the requirement to hold such license;</w:t>
      </w:r>
    </w:p>
    <w:p>
      <w:pPr>
        <w:spacing w:after="0" w:line="67" w:lineRule="exact"/>
        <w:rPr>
          <w:rFonts w:ascii="Times New Roman" w:cs="Times New Roman" w:eastAsia="Times New Roman" w:hAnsi="Times New Roman"/>
          <w:sz w:val="18"/>
          <w:szCs w:val="18"/>
          <w:color w:val="auto"/>
        </w:rPr>
      </w:pPr>
    </w:p>
    <w:p>
      <w:pPr>
        <w:ind w:left="1000" w:right="379" w:hanging="348"/>
        <w:spacing w:after="0" w:line="312" w:lineRule="auto"/>
        <w:tabs>
          <w:tab w:leader="none" w:pos="10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invitation or distribution complies with all applicable Australian laws, regulations and directives (including, without limitation, the licensing requirements set out in Chapter 7 of the Corporations Act);</w:t>
      </w:r>
    </w:p>
    <w:p>
      <w:pPr>
        <w:spacing w:after="0" w:line="31" w:lineRule="exact"/>
        <w:rPr>
          <w:rFonts w:ascii="Times New Roman" w:cs="Times New Roman" w:eastAsia="Times New Roman" w:hAnsi="Times New Roman"/>
          <w:sz w:val="17"/>
          <w:szCs w:val="17"/>
          <w:color w:val="auto"/>
        </w:rPr>
      </w:pPr>
    </w:p>
    <w:p>
      <w:pPr>
        <w:ind w:left="1000" w:right="67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or invitation does not constitute an offer or invitation to a person in Australia who is a “retail client” as defined for the purposes of Section 761G of the Corporations Act;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does not require any document to be lodged with ASIC or the Australian Securities Exchange.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validity of the notes offered hereby will be passed upon by Wachtell, Lipton, Rosen &amp; Katz. Certain legal matters with respect to the notes offered hereby will be passed upon for the underwriters by Latham &amp; Watkins LLP, Austin, Texas.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audited financial statements of Diamondback Energy, Inc.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75"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audited financial statements of Endeavor Parent, LLC incorporated by reference in this prospectus and elsewhere in the registration statement have been so incorporated by reference in reliance upon the report of Grant Thornton LLP, independent certified public accountants, upon the authority of said firm as experts in accounting and auditing.</w:t>
      </w:r>
    </w:p>
    <w:p>
      <w:pPr>
        <w:spacing w:after="0" w:line="72"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Information incorporated by reference in this prospectus supplement regarding estimated quantities of proved reserves, future production and income attributable to certain leasehold and royalty interests of Diamondback Energy, Inc. is based upon estimates of such reserves, future production and income audited by Ryder Scott Company, L.P., an independent petroleum engineering firm, as of December 31, 2024. This information is incorporated by reference in this prospectus supplement in reliance upon the authority of such firm as experts in these matters.</w:t>
      </w:r>
    </w:p>
    <w:p>
      <w:pPr>
        <w:spacing w:after="0" w:line="7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Information incorporated by reference in this prospectus supplement regarding estimated quantities of proved reserves, future production and income attributable to certain royalty interests of Viper Energy, Inc., a subsidiary of Diamondback Energy, Inc., is based upon estimates of such reserves, future production and income audited by Ryder Scott Company, L.P., an independent petroleum engineering firm, as of December 31, 2024. This information is incorporated by reference in this prospectus supplement in reliance upon the authority of such firm as experts in these matters.</w:t>
      </w:r>
    </w:p>
    <w:p>
      <w:pPr>
        <w:spacing w:after="0" w:line="79"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Information incorporated by reference in this prospectus supplement regarding estimated quantities of proved reserves, future production and income attributable to certain leasehold and royalty interests of Endeavor Energy Resources, LP is based upon estimates of such reserves, future production and income prepared by Netherland, Sewell and Associates, Inc. as of December 31, 2023, an independent petroleum engineering firm. This information is incorporated by reference in this prospectus supplement in reliance upon the authority of such firm as experts in these matters.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jc w:val="both"/>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and on the investor relations page of our website at </w:t>
      </w:r>
      <w:r>
        <w:rPr>
          <w:rFonts w:ascii="Times New Roman" w:cs="Times New Roman" w:eastAsia="Times New Roman" w:hAnsi="Times New Roman"/>
          <w:sz w:val="17"/>
          <w:szCs w:val="17"/>
          <w:i w:val="1"/>
          <w:iCs w:val="1"/>
          <w:color w:val="auto"/>
        </w:rPr>
        <w:t>www.diamondbackenergy.com</w:t>
      </w:r>
      <w:r>
        <w:rPr>
          <w:rFonts w:ascii="Times New Roman" w:cs="Times New Roman" w:eastAsia="Times New Roman" w:hAnsi="Times New Roman"/>
          <w:sz w:val="17"/>
          <w:szCs w:val="17"/>
          <w:color w:val="auto"/>
        </w:rPr>
        <w:t>. Except for those SEC filings incorporated by reference in this prospectus supplement, none of the other information on our website is part of this prospectus supplement.</w:t>
      </w:r>
    </w:p>
    <w:p>
      <w:pPr>
        <w:spacing w:after="0" w:line="56"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the documents listed below that we have filed with the SEC:</w:t>
      </w:r>
    </w:p>
    <w:p>
      <w:pPr>
        <w:spacing w:after="0" w:line="81" w:lineRule="exact"/>
        <w:rPr>
          <w:sz w:val="20"/>
          <w:szCs w:val="20"/>
          <w:color w:val="auto"/>
        </w:rPr>
      </w:pPr>
    </w:p>
    <w:p>
      <w:pPr>
        <w:ind w:left="1000" w:right="1139" w:hanging="348"/>
        <w:spacing w:after="0" w:line="282" w:lineRule="auto"/>
        <w:tabs>
          <w:tab w:leader="none" w:pos="1000" w:val="left"/>
        </w:tabs>
        <w:numPr>
          <w:ilvl w:val="0"/>
          <w:numId w:val="2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year ended December 31, 2024, filed with the SEC on </w:t>
      </w:r>
      <w:hyperlink r:id="rId56">
        <w:r>
          <w:rPr>
            <w:rFonts w:ascii="Times New Roman" w:cs="Times New Roman" w:eastAsia="Times New Roman" w:hAnsi="Times New Roman"/>
            <w:sz w:val="18"/>
            <w:szCs w:val="18"/>
            <w:u w:val="single" w:color="auto"/>
            <w:color w:val="0000EE"/>
          </w:rPr>
          <w:t>February 26, 2025</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399" w:hanging="348"/>
        <w:spacing w:after="0" w:line="261" w:lineRule="auto"/>
        <w:tabs>
          <w:tab w:leader="none" w:pos="1000" w:val="left"/>
        </w:tabs>
        <w:numPr>
          <w:ilvl w:val="0"/>
          <w:numId w:val="2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the Annual Report on Form 10-K for the fiscal </w:t>
      </w:r>
      <w:hyperlink r:id="rId57">
        <w:r>
          <w:rPr>
            <w:rFonts w:ascii="Times New Roman" w:cs="Times New Roman" w:eastAsia="Times New Roman" w:hAnsi="Times New Roman"/>
            <w:sz w:val="18"/>
            <w:szCs w:val="18"/>
            <w:color w:val="auto"/>
          </w:rPr>
          <w:t xml:space="preserve">year ended </w:t>
        </w:r>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color w:val="auto"/>
          </w:rPr>
          <w:t xml:space="preserve"> from our definitive proxy statement on </w:t>
        </w:r>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color w:val="auto"/>
          </w:rPr>
          <w:t xml:space="preserve">, filed on </w:t>
        </w:r>
        <w:r>
          <w:rPr>
            <w:rFonts w:ascii="Times New Roman" w:cs="Times New Roman" w:eastAsia="Times New Roman" w:hAnsi="Times New Roman"/>
            <w:sz w:val="18"/>
            <w:szCs w:val="18"/>
            <w:u w:val="single" w:color="auto"/>
            <w:color w:val="0000EE"/>
          </w:rPr>
          <w:t>April 25,</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 including any portion of subsequent reports on Form 8-K filed for the purposes of updating such</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information; and</w:t>
      </w:r>
    </w:p>
    <w:p>
      <w:pPr>
        <w:spacing w:after="0" w:line="71" w:lineRule="exact"/>
        <w:rPr>
          <w:rFonts w:ascii="Times New Roman" w:cs="Times New Roman" w:eastAsia="Times New Roman" w:hAnsi="Times New Roman"/>
          <w:sz w:val="18"/>
          <w:szCs w:val="18"/>
          <w:color w:val="0000EE"/>
        </w:rPr>
      </w:pPr>
    </w:p>
    <w:p>
      <w:pPr>
        <w:ind w:left="1000" w:right="479" w:hanging="348"/>
        <w:spacing w:after="0" w:line="261" w:lineRule="auto"/>
        <w:tabs>
          <w:tab w:leader="none" w:pos="1000" w:val="left"/>
        </w:tabs>
        <w:numPr>
          <w:ilvl w:val="0"/>
          <w:numId w:val="2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58">
        <w:r>
          <w:rPr>
            <w:rFonts w:ascii="Times New Roman" w:cs="Times New Roman" w:eastAsia="Times New Roman" w:hAnsi="Times New Roman"/>
            <w:sz w:val="18"/>
            <w:szCs w:val="18"/>
            <w:u w:val="single" w:color="auto"/>
            <w:color w:val="0000EE"/>
          </w:rPr>
          <w:t>April 8, 2024</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EE"/>
          </w:rPr>
          <w:t>September 10,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amended by Amendment No. 1 on Form 8-K/A filed with the SEC on </w:t>
      </w:r>
      <w:hyperlink r:id="rId60">
        <w:r>
          <w:rPr>
            <w:rFonts w:ascii="Times New Roman" w:cs="Times New Roman" w:eastAsia="Times New Roman" w:hAnsi="Times New Roman"/>
            <w:sz w:val="18"/>
            <w:szCs w:val="18"/>
            <w:u w:val="single" w:color="auto"/>
            <w:color w:val="0000EE"/>
          </w:rPr>
          <w:t>September 19, 2024)</w:t>
        </w:r>
      </w:hyperlink>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u w:val="single" w:color="auto"/>
            <w:color w:val="0000EE"/>
          </w:rPr>
          <w:t>February 3, 2025</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February 18,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3">
        <w:r>
          <w:rPr>
            <w:rFonts w:ascii="Times New Roman" w:cs="Times New Roman" w:eastAsia="Times New Roman" w:hAnsi="Times New Roman"/>
            <w:sz w:val="18"/>
            <w:szCs w:val="18"/>
            <w:u w:val="single" w:color="auto"/>
            <w:color w:val="0000EE"/>
          </w:rPr>
          <w:t xml:space="preserve">February 20, 2025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documents or portions of those documents deemed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be furnished but not filed).</w:t>
      </w:r>
    </w:p>
    <w:p>
      <w:pPr>
        <w:spacing w:after="0" w:line="72" w:lineRule="exact"/>
        <w:rPr>
          <w:rFonts w:ascii="Times New Roman" w:cs="Times New Roman" w:eastAsia="Times New Roman" w:hAnsi="Times New Roman"/>
          <w:sz w:val="18"/>
          <w:szCs w:val="18"/>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In addition, all documents filed by us with the SEC under Sections 13(a), 13(c), 14 or 15(d) of the Exchange Act (other than those furnished pursuant to Item 2.02 or Item 7.01 of Form 8-K, unless otherwise stated therein) after the date of this prospectus supplement and prior to the filing of a post-effective amendment that indicates that all securities offered hereby have been sold or that deregisters all securities remaining unsold, will be considered to be incorporated by reference into this prospectus supplement and to be a part of this prospectus supplement from the dates of the filing of such documents. Pursuant to General Instruction B of Form 8-K, any information submitted under Item 2.02, Results of Operations and Financial Condition, or Item 7.01, Regulation FD Disclosure, of Form 8-K is not deemed to be “filed” for the purpose of Section 18 of the Exchange Act, and we are not subject to the liabilities of Section 18 of the Exchange Act with respect to information submitted under Item 2.02 or Item 7.01 of Form 8-K. We are not incorporating by reference any information submitted under Item 2.02 or Item 7.01 of Form 8-K into any filing under the Securities Act or the Exchange Act or into this prospectus supplement, unless otherwise indicated on such Form 8-K.</w:t>
      </w:r>
    </w:p>
    <w:p>
      <w:pPr>
        <w:spacing w:after="0" w:line="82" w:lineRule="exact"/>
        <w:rPr>
          <w:rFonts w:ascii="Times New Roman" w:cs="Times New Roman" w:eastAsia="Times New Roman" w:hAnsi="Times New Roman"/>
          <w:sz w:val="18"/>
          <w:szCs w:val="18"/>
          <w:color w:val="auto"/>
        </w:rPr>
      </w:pPr>
    </w:p>
    <w:p>
      <w:pPr>
        <w:ind w:left="300" w:right="359" w:firstLine="360"/>
        <w:spacing w:after="0" w:line="289" w:lineRule="auto"/>
        <w:rPr>
          <w:sz w:val="20"/>
          <w:szCs w:val="20"/>
          <w:color w:val="auto"/>
        </w:rPr>
      </w:pPr>
      <w:r>
        <w:rPr>
          <w:rFonts w:ascii="Times New Roman" w:cs="Times New Roman" w:eastAsia="Times New Roman" w:hAnsi="Times New Roman"/>
          <w:sz w:val="17"/>
          <w:szCs w:val="17"/>
          <w:color w:val="auto"/>
        </w:rPr>
        <w:t xml:space="preserve">Copies of any of the documents we file with the SEC may be obtained free of charge on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the investors page of our website at</w:t>
      </w:r>
      <w:r>
        <w:rPr>
          <w:rFonts w:ascii="Times New Roman" w:cs="Times New Roman" w:eastAsia="Times New Roman" w:hAnsi="Times New Roman"/>
          <w:sz w:val="17"/>
          <w:szCs w:val="17"/>
          <w:i w:val="1"/>
          <w:iCs w:val="1"/>
          <w:color w:val="auto"/>
        </w:rPr>
        <w:t xml:space="preserve"> www.diamondbackenergy.com</w:t>
      </w:r>
      <w:r>
        <w:rPr>
          <w:rFonts w:ascii="Times New Roman" w:cs="Times New Roman" w:eastAsia="Times New Roman" w:hAnsi="Times New Roman"/>
          <w:sz w:val="17"/>
          <w:szCs w:val="17"/>
          <w:color w:val="auto"/>
        </w:rPr>
        <w:t>, by contacting Corporate Secretary,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Diamondback Energy, Inc., 500 West Texas Ave, Suite 100, Midland, TX 79701 or by calling (432) 221-7400.</w:t>
      </w:r>
    </w:p>
    <w:p>
      <w:pPr>
        <w:spacing w:after="0" w:line="15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182880</wp:posOffset>
            </wp:positionV>
            <wp:extent cx="2194560" cy="9429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219456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Diamondback Energy, Inc.</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Debt Securities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Guarantees of Debt Securities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Common Stock</w:t>
      </w:r>
    </w:p>
    <w:p>
      <w:pPr>
        <w:spacing w:after="0" w:line="94" w:lineRule="exact"/>
        <w:rPr>
          <w:sz w:val="20"/>
          <w:szCs w:val="20"/>
          <w:color w:val="auto"/>
        </w:rPr>
      </w:pPr>
    </w:p>
    <w:p>
      <w:pPr>
        <w:ind w:left="400" w:right="479" w:firstLine="360"/>
        <w:spacing w:after="0" w:line="256" w:lineRule="auto"/>
        <w:rPr>
          <w:sz w:val="20"/>
          <w:szCs w:val="20"/>
          <w:color w:val="auto"/>
        </w:rPr>
      </w:pPr>
      <w:r>
        <w:rPr>
          <w:rFonts w:ascii="Times New Roman" w:cs="Times New Roman" w:eastAsia="Times New Roman" w:hAnsi="Times New Roman"/>
          <w:sz w:val="18"/>
          <w:szCs w:val="18"/>
          <w:color w:val="auto"/>
        </w:rPr>
        <w:t>By this prospectus, we may offer and sell, from time to time in one or more offerings (i) one or more series of our debt securities and (ii) our common stock. Diamondback E&amp;P LLC and any of our other existing or future subsidiaries may jointly and severally, fully and unconditionally guarantee our payment obligations under any series of debt securities offered by this prospectus. Unless otherwise stated herein, we refer to our debt securities and the guarantees of our debt securities that may be offered pursuant to this prospectus collectively as the “debt securities.” Any debt securities may be convertible into or exchangeable for our common stock.</w:t>
      </w:r>
    </w:p>
    <w:p>
      <w:pPr>
        <w:spacing w:after="0" w:line="79" w:lineRule="exact"/>
        <w:rPr>
          <w:sz w:val="20"/>
          <w:szCs w:val="20"/>
          <w:color w:val="auto"/>
        </w:rPr>
      </w:pPr>
    </w:p>
    <w:p>
      <w:pPr>
        <w:ind w:left="400" w:right="419" w:firstLine="360"/>
        <w:spacing w:after="0" w:line="256" w:lineRule="auto"/>
        <w:rPr>
          <w:sz w:val="20"/>
          <w:szCs w:val="20"/>
          <w:color w:val="auto"/>
        </w:rPr>
      </w:pPr>
      <w:r>
        <w:rPr>
          <w:rFonts w:ascii="Times New Roman" w:cs="Times New Roman" w:eastAsia="Times New Roman" w:hAnsi="Times New Roman"/>
          <w:sz w:val="18"/>
          <w:szCs w:val="18"/>
          <w:color w:val="auto"/>
        </w:rPr>
        <w:t>This prospectus describes the general terms of the securities that may be offered by us by this prospectus and the general manner in which we may offer such securities. The specific terms of any securities we offer will be included in a supplement to this prospectus. The prospectus supplement will also describe the specific manner in which we will offer the securities. Any prospectus supplement may also add, update or change information contained in this prospectus. You should carefully read this prospectus, all documents incorporated by reference in this prospectus and any applicable prospectus supplement before you invest in our securities.</w:t>
      </w:r>
    </w:p>
    <w:p>
      <w:pPr>
        <w:spacing w:after="0" w:line="79" w:lineRule="exact"/>
        <w:rPr>
          <w:sz w:val="20"/>
          <w:szCs w:val="20"/>
          <w:color w:val="auto"/>
        </w:rPr>
      </w:pPr>
    </w:p>
    <w:p>
      <w:pPr>
        <w:ind w:left="400" w:right="999" w:firstLine="36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“FANG.” Our principal executive offices are located at 500 West Texas, Suite 100, Midland, Texas 79701, and our telephone number is (432) 221-7400.</w:t>
      </w:r>
    </w:p>
    <w:p>
      <w:pPr>
        <w:spacing w:after="0" w:line="3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Investing in our securities involves risks. See “Risk Factors” beginning on page </w:t>
      </w:r>
      <w:r>
        <w:rPr>
          <w:rFonts w:ascii="Times New Roman" w:cs="Times New Roman" w:eastAsia="Times New Roman" w:hAnsi="Times New Roman"/>
          <w:sz w:val="18"/>
          <w:szCs w:val="18"/>
          <w:b w:val="1"/>
          <w:bCs w:val="1"/>
          <w:i w:val="1"/>
          <w:iCs w:val="1"/>
          <w:u w:val="single" w:color="auto"/>
          <w:color w:val="0000EE"/>
        </w:rPr>
        <w:t>2</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ind w:left="400" w:right="559" w:firstLine="360"/>
        <w:spacing w:after="0" w:line="266" w:lineRule="auto"/>
        <w:rPr>
          <w:sz w:val="20"/>
          <w:szCs w:val="20"/>
          <w:color w:val="auto"/>
        </w:rPr>
      </w:pPr>
      <w:r>
        <w:rPr>
          <w:rFonts w:ascii="Times New Roman" w:cs="Times New Roman" w:eastAsia="Times New Roman" w:hAnsi="Times New Roman"/>
          <w:sz w:val="18"/>
          <w:szCs w:val="18"/>
          <w:color w:val="auto"/>
        </w:rPr>
        <w:t>We may sell the debt securities to or through underwriters, dealers or agents. For additional information on the method of sale, you should refer to the section entitled “Plan of Distribution.” The supplements to this prospectus will specify the names of and arrangements with any underwriters, dealers or agents, as applicable.</w:t>
      </w:r>
    </w:p>
    <w:p>
      <w:pPr>
        <w:spacing w:after="0" w:line="64" w:lineRule="exact"/>
        <w:rPr>
          <w:sz w:val="20"/>
          <w:szCs w:val="20"/>
          <w:color w:val="auto"/>
        </w:rPr>
      </w:pPr>
    </w:p>
    <w:p>
      <w:pPr>
        <w:jc w:val="both"/>
        <w:ind w:left="40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date of this prospectus is November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8" w:name="page49"/>
    <w:bookmarkEnd w:id="48"/>
    <w:tbl>
      <w:tblPr>
        <w:tblLayout w:type="fixed"/>
        <w:tblInd w:w="300" w:type="dxa"/>
        <w:tblCellMar>
          <w:top w:w="0" w:type="dxa"/>
          <w:left w:w="0" w:type="dxa"/>
          <w:bottom w:w="0" w:type="dxa"/>
          <w:right w:w="0" w:type="dxa"/>
        </w:tblCellMar>
      </w:tblPr>
      <w:tr>
        <w:trPr>
          <w:trHeight w:val="161"/>
        </w:trPr>
        <w:tc>
          <w:tcPr>
            <w:tcW w:w="798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4"/>
        </w:trPr>
        <w:tc>
          <w:tcPr>
            <w:tcW w:w="16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6340" w:type="dxa"/>
            <w:vAlign w:val="bottom"/>
            <w:gridSpan w:val="6"/>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ii</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3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79"/>
              </w:rPr>
              <w:t>iii</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3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020" w:type="dxa"/>
            <w:vAlign w:val="bottom"/>
            <w:tcBorders>
              <w:bottom w:val="single" w:sz="8" w:color="0000EE"/>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Our Company</w:t>
            </w:r>
          </w:p>
        </w:tc>
        <w:tc>
          <w:tcPr>
            <w:tcW w:w="6960" w:type="dxa"/>
            <w:vAlign w:val="bottom"/>
            <w:tcBorders>
              <w:bottom w:val="single" w:sz="8" w:color="CCEEFF"/>
            </w:tcBorders>
            <w:gridSpan w:val="11"/>
            <w:shd w:val="clear" w:color="auto" w:fill="CCEEFF"/>
          </w:tcPr>
          <w:p>
            <w:pPr>
              <w:spacing w:after="0"/>
              <w:rPr>
                <w:sz w:val="19"/>
                <w:szCs w:val="19"/>
                <w:color w:val="auto"/>
              </w:rPr>
            </w:pPr>
          </w:p>
        </w:tc>
        <w:tc>
          <w:tcPr>
            <w:tcW w:w="320" w:type="dxa"/>
            <w:vAlign w:val="bottom"/>
            <w:tcBorders>
              <w:bottom w:val="single" w:sz="8" w:color="CCEEFF"/>
            </w:tcBorders>
            <w:gridSpan w:val="3"/>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98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Subsidiary Guarantors</w:t>
            </w:r>
          </w:p>
        </w:tc>
        <w:tc>
          <w:tcPr>
            <w:tcW w:w="4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90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Risk Factors</w:t>
            </w:r>
          </w:p>
        </w:tc>
        <w:tc>
          <w:tcPr>
            <w:tcW w:w="7080" w:type="dxa"/>
            <w:vAlign w:val="bottom"/>
            <w:tcBorders>
              <w:bottom w:val="single" w:sz="8" w:color="CCEEFF"/>
            </w:tcBorders>
            <w:gridSpan w:val="13"/>
            <w:shd w:val="clear" w:color="auto" w:fill="CCEEFF"/>
          </w:tcPr>
          <w:p>
            <w:pPr>
              <w:spacing w:after="0"/>
              <w:rPr>
                <w:sz w:val="19"/>
                <w:szCs w:val="19"/>
                <w:color w:val="auto"/>
              </w:rPr>
            </w:pPr>
          </w:p>
        </w:tc>
        <w:tc>
          <w:tcPr>
            <w:tcW w:w="320" w:type="dxa"/>
            <w:vAlign w:val="bottom"/>
            <w:tcBorders>
              <w:bottom w:val="single" w:sz="8" w:color="CCEEFF"/>
            </w:tcBorders>
            <w:gridSpan w:val="3"/>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98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4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180" w:type="dxa"/>
            <w:vAlign w:val="bottom"/>
            <w:tcBorders>
              <w:bottom w:val="single" w:sz="8" w:color="0000EE"/>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5800" w:type="dxa"/>
            <w:vAlign w:val="bottom"/>
            <w:tcBorders>
              <w:bottom w:val="single" w:sz="8" w:color="CCEEFF"/>
            </w:tcBorders>
            <w:gridSpan w:val="4"/>
            <w:shd w:val="clear" w:color="auto" w:fill="CCEEFF"/>
          </w:tcPr>
          <w:p>
            <w:pPr>
              <w:spacing w:after="0"/>
              <w:rPr>
                <w:sz w:val="19"/>
                <w:szCs w:val="19"/>
                <w:color w:val="auto"/>
              </w:rPr>
            </w:pPr>
          </w:p>
        </w:tc>
        <w:tc>
          <w:tcPr>
            <w:tcW w:w="320" w:type="dxa"/>
            <w:vAlign w:val="bottom"/>
            <w:tcBorders>
              <w:bottom w:val="single" w:sz="8" w:color="CCEEFF"/>
            </w:tcBorders>
            <w:gridSpan w:val="3"/>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4</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98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4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18</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44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21</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3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98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4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82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Information Incorporated by Reference</w:t>
            </w:r>
          </w:p>
        </w:tc>
        <w:tc>
          <w:tcPr>
            <w:tcW w:w="5160" w:type="dxa"/>
            <w:vAlign w:val="bottom"/>
            <w:gridSpan w:val="3"/>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24</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3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82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516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25</w:t>
            </w:r>
          </w:p>
        </w:tc>
      </w:tr>
      <w:tr>
        <w:trPr>
          <w:trHeight w:val="34"/>
        </w:trPr>
        <w:tc>
          <w:tcPr>
            <w:tcW w:w="5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9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44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25</w:t>
            </w: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38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part of a “shelf” registration statement that we filed with the Securities and Exchange Commission, or the SEC, as a “well-known seasoned issuer” (as defined in Rule 405 of the Securities Act of 1933, as amended, or the Securities Act), using a “shelf” registration process. Under this shelf registration process, we may, over time, offer and sell any combination of the securities described in this prospectus in one or more offerings. This prospectus provides you with a general description of the securities we may offer. This prospectus does not contain all the information set forth in the registration statement as permitted by the rules of the SEC. Each time we offer securities covered by this prospectus, to the extent required, we will provide a supplement to this prospectus that will contain specific information about the terms of that offering. That prospectus supplement may also add, update or change information contained in this prospectus. Before purchasing any of our securities, you should carefully read both this prospectus and any applicable prospectus supplement, together with the additional information described in this prospectus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Information Incorporated by Reference</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and in any applicable prospectus supplement, including any information incorporated by reference. We have not authorized any other person to provide you with different information. If anyone provides you with different or inconsistent information, you should not rely on it. You should not assume that the information appearing in this prospectus, any prospectus supplement or any document incorporated by reference is accurate at any date other than as of the date of each such document. Our business, financial condition, results of operations and prospects may have changed since the date indicated on the cover page of such documents.</w:t>
      </w:r>
    </w:p>
    <w:p>
      <w:pPr>
        <w:spacing w:after="0" w:line="8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distribution of this prospectus may be restricted by law in certain jurisdictions. You should inform yourself about and observe any of these restrictions. This prospectus does not constitute, and may not be used in connection with, an offer or solicitation by anyone in any jurisdiction in which the offer or solicitation is not authorized, or in which the person making the offer or solicitation is not qualified to do so, or to any person to whom it is unlawful to make the offer or solicitation.</w:t>
      </w:r>
    </w:p>
    <w:p>
      <w:pPr>
        <w:spacing w:after="0" w:line="75"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When used in this prospectus or in any supplement to this prospectus, the terms “Diamondback Energy,” the “Company,” “we,” “our” and “us” refer to Diamondback Energy, Inc. and its consolidated subsidiaries, unless otherwise indicated or the context otherwise requires.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This prospectus, including documents incorporated by reference, contains forward-looking statements,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of strategic transactions (including acquisitions and divestitures); and plans and objectives of management (including plans for future cash flow from operations and for executing environmental strategies) are forward-looking statements. When used in this prospectus or documents incorporated by reference therein,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future performance and our actual outcomes could differ materially from what we have expressed in our forward-looking statements.</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could cause our outcomes to differ materially include (but are not limited to) the following:</w:t>
      </w:r>
    </w:p>
    <w:p>
      <w:pPr>
        <w:spacing w:after="0" w:line="117" w:lineRule="exact"/>
        <w:rPr>
          <w:sz w:val="20"/>
          <w:szCs w:val="20"/>
          <w:color w:val="auto"/>
        </w:rPr>
      </w:pPr>
    </w:p>
    <w:p>
      <w:pPr>
        <w:ind w:left="1000" w:right="39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supply and demand levels for oil, natural gas, and natural gas liquids, and the resulting impact on the price for those commodities;</w:t>
      </w:r>
    </w:p>
    <w:p>
      <w:pPr>
        <w:spacing w:after="0" w:line="53" w:lineRule="exact"/>
        <w:rPr>
          <w:rFonts w:ascii="Times New Roman" w:cs="Times New Roman" w:eastAsia="Times New Roman" w:hAnsi="Times New Roman"/>
          <w:sz w:val="18"/>
          <w:szCs w:val="18"/>
          <w:color w:val="auto"/>
        </w:rPr>
      </w:pPr>
    </w:p>
    <w:p>
      <w:pPr>
        <w:ind w:left="1000" w:right="107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including epidemic or pandemic diseases such as the COVID-19 pandemic, and any related company or government policies or actions;</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members of OPEC and Russia affecting the production and pricing of oil, as well as other domestic and global political, economic, or diplomatic developments;</w:t>
      </w:r>
    </w:p>
    <w:p>
      <w:pPr>
        <w:spacing w:after="0" w:line="53" w:lineRule="exact"/>
        <w:rPr>
          <w:rFonts w:ascii="Times New Roman" w:cs="Times New Roman" w:eastAsia="Times New Roman" w:hAnsi="Times New Roman"/>
          <w:sz w:val="18"/>
          <w:szCs w:val="18"/>
          <w:color w:val="auto"/>
        </w:rPr>
      </w:pPr>
    </w:p>
    <w:p>
      <w:pPr>
        <w:jc w:val="both"/>
        <w:ind w:left="1000" w:right="77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or industry conditions, including changes in foreign currency exchange rates, interest rates and inflation rates and concerns over a potential economic downturn or recession;</w:t>
      </w:r>
    </w:p>
    <w:p>
      <w:pPr>
        <w:spacing w:after="0" w:line="6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supply and demand factors, including delays, curtailment delays or interruptions of production, or governmental orders, rules or regulations that impose production limits;</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legislative and regulatory initiatives relating to hydraulic fracturing, including the effect of existing and future laws and governmental regulations;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and transition risks relating to climate change;</w:t>
      </w:r>
    </w:p>
    <w:p>
      <w:pPr>
        <w:spacing w:after="0" w:line="117" w:lineRule="exact"/>
        <w:rPr>
          <w:rFonts w:ascii="Times New Roman" w:cs="Times New Roman" w:eastAsia="Times New Roman" w:hAnsi="Times New Roman"/>
          <w:sz w:val="18"/>
          <w:szCs w:val="18"/>
          <w:color w:val="auto"/>
        </w:rPr>
      </w:pPr>
    </w:p>
    <w:p>
      <w:pPr>
        <w:jc w:val="both"/>
        <w:ind w:left="1000" w:right="53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water, including limits on the use of produced water and a moratorium on new produced water well permits recently imposed by the Texas Railroad Commission in an effort to control induced seismicity in the Permian Basin;</w:t>
      </w:r>
    </w:p>
    <w:p>
      <w:pPr>
        <w:spacing w:after="0" w:line="6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declines in prices for oil, natural gas, or natural gas liquids, which could require recognition of significant impairment charges;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energy, environmental, monetary and trade policies;</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capital, financial and credit markets, including the availability and pricing of capital for drilling and development operations and our environmental and social responsibility projects;</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employee retention and an increasingly competitive labor market due to a sustained labor shortage or increased turnover caused by the COVID-19 pandemic;</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or cost of rigs, equipment, raw materials, supplies, oilfield services;</w:t>
      </w:r>
    </w:p>
    <w:p>
      <w:pPr>
        <w:spacing w:after="0" w:line="117"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safety, health, environmental, tax, and other regulations or requirements (including those addressing air emissions, water management, or the impact of global climate change);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9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threats, including cybersecurity threats and disruptions to our business and operations from breaches of our information technology systems, or from breaches of information technology systems of third parties with whom we transact business;</w:t>
      </w:r>
    </w:p>
    <w:p>
      <w:pPr>
        <w:spacing w:after="0" w:line="67"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or disruption in, access to adequate and reliable transportation, processing, storage, and other facilities for our oil, natural gas, and natural gas liquids;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necessary approvals and permits;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terrorist acts and the governmental or military response thereto;</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strength of counterparties to our credit agreement and hedging contracts;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 and</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factors discussed in Item 1A of Part I of our Annual Report on Form 10-K incorporated by reference into this prospectus.</w:t>
      </w:r>
    </w:p>
    <w:p>
      <w:pPr>
        <w:spacing w:after="0" w:line="54" w:lineRule="exact"/>
        <w:rPr>
          <w:sz w:val="20"/>
          <w:szCs w:val="20"/>
          <w:color w:val="auto"/>
        </w:rPr>
      </w:pPr>
    </w:p>
    <w:p>
      <w:pPr>
        <w:ind w:left="300" w:right="359" w:firstLine="360"/>
        <w:spacing w:after="0" w:line="272" w:lineRule="auto"/>
        <w:rPr>
          <w:sz w:val="20"/>
          <w:szCs w:val="20"/>
          <w:color w:val="auto"/>
        </w:rPr>
      </w:pPr>
      <w:r>
        <w:rPr>
          <w:rFonts w:ascii="Times New Roman" w:cs="Times New Roman" w:eastAsia="Times New Roman" w:hAnsi="Times New Roman"/>
          <w:sz w:val="17"/>
          <w:szCs w:val="17"/>
          <w:color w:val="auto"/>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or incorporate by reference in this prospectus. All forward-looking statements speak only as of the date of this prospectus or, if earlier, as of the date they were made. We do not intend to, and disclaim any obligation to, update or revise any forward-looking statements unless required by applicable law.</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We are an independent oil and natural gas company focused on the acquisition, development, exploration and exploitation of unconventional, onshore oil and natural gas reserves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w:t>
      </w:r>
    </w:p>
    <w:p>
      <w:pPr>
        <w:spacing w:after="0" w:line="75"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500 West Texas, Suite 100, Midland, Texas, and our telephone number at that address is (432) 221-7400. Our website address is www.diamondbackenergy.com. Information contained on our website does not constitute part of this prospectus.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SUBSIDIARY GUARANTORS</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Diamondback E&amp;P LLC and any of our other existing or future subsidiaries specified in a post-effective amendment to the registration statement of which this prospectus forms a part may jointly and severally, fully and unconditionally guarantee our payment obligations under any series of debt securities offered by this prospectus and any applicable prospectus supplement. Financial information concerning our guarantor subsidiaries and non-guarantor subsidiaries, if any, is or will be included, as applicable, in our periodic reports filed pursuant to the Securities Exchange Act of 1934, as amended (the “Exchange Act”), to the extent required by the rules and regulations of the SEC.</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319" w:firstLine="360"/>
        <w:spacing w:after="0" w:line="268" w:lineRule="auto"/>
        <w:rPr>
          <w:rFonts w:ascii="Times New Roman" w:cs="Times New Roman" w:eastAsia="Times New Roman" w:hAnsi="Times New Roman"/>
          <w:sz w:val="17"/>
          <w:szCs w:val="17"/>
          <w:i w:val="1"/>
          <w:iCs w:val="1"/>
          <w:color w:val="0000EE"/>
        </w:rPr>
      </w:pPr>
      <w:r>
        <w:rPr>
          <w:rFonts w:ascii="Times New Roman" w:cs="Times New Roman" w:eastAsia="Times New Roman" w:hAnsi="Times New Roman"/>
          <w:sz w:val="17"/>
          <w:szCs w:val="17"/>
          <w:i w:val="1"/>
          <w:iCs w:val="1"/>
          <w:color w:val="auto"/>
        </w:rPr>
        <w:t xml:space="preserve">Investment in our securities involves certain risks. You should carefully consider the factors disclosed in Part I, </w:t>
      </w:r>
      <w:hyperlink r:id="rId72">
        <w:r>
          <w:rPr>
            <w:rFonts w:ascii="Times New Roman" w:cs="Times New Roman" w:eastAsia="Times New Roman" w:hAnsi="Times New Roman"/>
            <w:sz w:val="17"/>
            <w:szCs w:val="17"/>
            <w:i w:val="1"/>
            <w:iCs w:val="1"/>
            <w:color w:val="auto"/>
          </w:rPr>
          <w:t xml:space="preserve">Item 1A. Risk Factors in our </w:t>
        </w:r>
        <w:r>
          <w:rPr>
            <w:rFonts w:ascii="Times New Roman" w:cs="Times New Roman" w:eastAsia="Times New Roman" w:hAnsi="Times New Roman"/>
            <w:sz w:val="17"/>
            <w:szCs w:val="17"/>
            <w:i w:val="1"/>
            <w:iCs w:val="1"/>
            <w:u w:val="single" w:color="auto"/>
            <w:color w:val="0000EE"/>
          </w:rPr>
          <w:t>Annual Report on Form 10-K for the year ended December 31, 2021, filed with the</w:t>
        </w:r>
      </w:hyperlink>
      <w:r>
        <w:rPr>
          <w:rFonts w:ascii="Times New Roman" w:cs="Times New Roman" w:eastAsia="Times New Roman" w:hAnsi="Times New Roman"/>
          <w:sz w:val="17"/>
          <w:szCs w:val="17"/>
          <w:i w:val="1"/>
          <w:iCs w:val="1"/>
          <w:color w:val="auto"/>
        </w:rPr>
        <w:t xml:space="preserve"> </w:t>
      </w:r>
      <w:hyperlink r:id="rId72">
        <w:r>
          <w:rPr>
            <w:rFonts w:ascii="Times New Roman" w:cs="Times New Roman" w:eastAsia="Times New Roman" w:hAnsi="Times New Roman"/>
            <w:sz w:val="17"/>
            <w:szCs w:val="17"/>
            <w:i w:val="1"/>
            <w:iCs w:val="1"/>
            <w:u w:val="single" w:color="auto"/>
            <w:color w:val="0000EE"/>
          </w:rPr>
          <w:t>SEC on February 24, 2022</w:t>
        </w:r>
        <w:r>
          <w:rPr>
            <w:rFonts w:ascii="Times New Roman" w:cs="Times New Roman" w:eastAsia="Times New Roman" w:hAnsi="Times New Roman"/>
            <w:sz w:val="17"/>
            <w:szCs w:val="17"/>
            <w:i w:val="1"/>
            <w:iCs w:val="1"/>
            <w:color w:val="000000"/>
          </w:rPr>
          <w:t xml:space="preserve">, Part II, Item 1A. Risk Factors in our Quarterly Reports on Form 10-Q for the </w:t>
        </w:r>
      </w:hyperlink>
      <w:r>
        <w:rPr>
          <w:rFonts w:ascii="Times New Roman" w:cs="Times New Roman" w:eastAsia="Times New Roman" w:hAnsi="Times New Roman"/>
          <w:sz w:val="17"/>
          <w:szCs w:val="17"/>
          <w:i w:val="1"/>
          <w:iCs w:val="1"/>
          <w:color w:val="0000EE"/>
        </w:rPr>
        <w:t xml:space="preserve">quarterly </w:t>
      </w:r>
      <w:r>
        <w:rPr>
          <w:rFonts w:ascii="Times New Roman" w:cs="Times New Roman" w:eastAsia="Times New Roman" w:hAnsi="Times New Roman"/>
          <w:sz w:val="17"/>
          <w:szCs w:val="17"/>
          <w:i w:val="1"/>
          <w:iCs w:val="1"/>
          <w:color w:val="000000"/>
        </w:rPr>
        <w:t xml:space="preserve">periods ended March 31, 2022 and June 30, 2022, filed with the SEC on </w:t>
      </w:r>
      <w:hyperlink r:id="rId73">
        <w:r>
          <w:rPr>
            <w:rFonts w:ascii="Times New Roman" w:cs="Times New Roman" w:eastAsia="Times New Roman" w:hAnsi="Times New Roman"/>
            <w:sz w:val="17"/>
            <w:szCs w:val="17"/>
            <w:i w:val="1"/>
            <w:iCs w:val="1"/>
            <w:u w:val="single" w:color="auto"/>
            <w:color w:val="0000EE"/>
          </w:rPr>
          <w:t>May 5, 2022</w:t>
        </w:r>
        <w:r>
          <w:rPr>
            <w:rFonts w:ascii="Times New Roman" w:cs="Times New Roman" w:eastAsia="Times New Roman" w:hAnsi="Times New Roman"/>
            <w:sz w:val="17"/>
            <w:szCs w:val="17"/>
            <w:i w:val="1"/>
            <w:iCs w:val="1"/>
            <w:u w:val="single" w:color="auto"/>
            <w:color w:val="000000"/>
          </w:rPr>
          <w:t xml:space="preserve"> </w:t>
        </w:r>
      </w:hyperlink>
      <w:r>
        <w:rPr>
          <w:rFonts w:ascii="Times New Roman" w:cs="Times New Roman" w:eastAsia="Times New Roman" w:hAnsi="Times New Roman"/>
          <w:sz w:val="17"/>
          <w:szCs w:val="17"/>
          <w:i w:val="1"/>
          <w:iCs w:val="1"/>
          <w:color w:val="000000"/>
        </w:rPr>
        <w:t xml:space="preserve">and </w:t>
      </w:r>
      <w:hyperlink r:id="rId74">
        <w:r>
          <w:rPr>
            <w:rFonts w:ascii="Times New Roman" w:cs="Times New Roman" w:eastAsia="Times New Roman" w:hAnsi="Times New Roman"/>
            <w:sz w:val="17"/>
            <w:szCs w:val="17"/>
            <w:i w:val="1"/>
            <w:iCs w:val="1"/>
            <w:u w:val="single" w:color="auto"/>
            <w:color w:val="0000EE"/>
          </w:rPr>
          <w:t>August 3, 2022</w:t>
        </w:r>
      </w:hyperlink>
      <w:r>
        <w:rPr>
          <w:rFonts w:ascii="Times New Roman" w:cs="Times New Roman" w:eastAsia="Times New Roman" w:hAnsi="Times New Roman"/>
          <w:sz w:val="17"/>
          <w:szCs w:val="17"/>
          <w:i w:val="1"/>
          <w:iCs w:val="1"/>
          <w:color w:val="000000"/>
        </w:rPr>
        <w:t xml:space="preserve">, </w:t>
      </w:r>
      <w:hyperlink r:id="rId75">
        <w:r>
          <w:rPr>
            <w:rFonts w:ascii="Times New Roman" w:cs="Times New Roman" w:eastAsia="Times New Roman" w:hAnsi="Times New Roman"/>
            <w:sz w:val="17"/>
            <w:szCs w:val="17"/>
            <w:i w:val="1"/>
            <w:iCs w:val="1"/>
            <w:color w:val="000000"/>
          </w:rPr>
          <w:t xml:space="preserve">respectively, and other factors discussed in our </w:t>
        </w:r>
        <w:r>
          <w:rPr>
            <w:rFonts w:ascii="Times New Roman" w:cs="Times New Roman" w:eastAsia="Times New Roman" w:hAnsi="Times New Roman"/>
            <w:sz w:val="17"/>
            <w:szCs w:val="17"/>
            <w:i w:val="1"/>
            <w:iCs w:val="1"/>
            <w:u w:val="single" w:color="auto"/>
            <w:color w:val="0000EE"/>
          </w:rPr>
          <w:t>Quarterly Report on Form 10-Q for the quarterly period ended</w:t>
        </w:r>
      </w:hyperlink>
      <w:r>
        <w:rPr>
          <w:rFonts w:ascii="Times New Roman" w:cs="Times New Roman" w:eastAsia="Times New Roman" w:hAnsi="Times New Roman"/>
          <w:sz w:val="17"/>
          <w:szCs w:val="17"/>
          <w:i w:val="1"/>
          <w:iCs w:val="1"/>
          <w:color w:val="000000"/>
        </w:rPr>
        <w:t xml:space="preserve"> </w:t>
      </w:r>
      <w:hyperlink r:id="rId75">
        <w:r>
          <w:rPr>
            <w:rFonts w:ascii="Times New Roman" w:cs="Times New Roman" w:eastAsia="Times New Roman" w:hAnsi="Times New Roman"/>
            <w:sz w:val="17"/>
            <w:szCs w:val="17"/>
            <w:i w:val="1"/>
            <w:iCs w:val="1"/>
            <w:u w:val="single" w:color="auto"/>
            <w:color w:val="0000EE"/>
          </w:rPr>
          <w:t>September 30, 2022</w:t>
        </w:r>
        <w:r>
          <w:rPr>
            <w:rFonts w:ascii="Times New Roman" w:cs="Times New Roman" w:eastAsia="Times New Roman" w:hAnsi="Times New Roman"/>
            <w:sz w:val="17"/>
            <w:szCs w:val="17"/>
            <w:i w:val="1"/>
            <w:iCs w:val="1"/>
            <w:color w:val="0000EE"/>
          </w:rPr>
          <w:t xml:space="preserve"> </w:t>
        </w:r>
        <w:r>
          <w:rPr>
            <w:rFonts w:ascii="Times New Roman" w:cs="Times New Roman" w:eastAsia="Times New Roman" w:hAnsi="Times New Roman"/>
            <w:sz w:val="17"/>
            <w:szCs w:val="17"/>
            <w:i w:val="1"/>
            <w:iCs w:val="1"/>
            <w:color w:val="000000"/>
          </w:rPr>
          <w:t xml:space="preserve">under the heading “Management’s Discussion and Analysis of Financial Condition and </w:t>
        </w:r>
      </w:hyperlink>
      <w:r>
        <w:rPr>
          <w:rFonts w:ascii="Times New Roman" w:cs="Times New Roman" w:eastAsia="Times New Roman" w:hAnsi="Times New Roman"/>
          <w:sz w:val="17"/>
          <w:szCs w:val="17"/>
          <w:i w:val="1"/>
          <w:iCs w:val="1"/>
          <w:color w:val="0000EE"/>
        </w:rPr>
        <w:t xml:space="preserve">Results </w:t>
      </w:r>
      <w:r>
        <w:rPr>
          <w:rFonts w:ascii="Times New Roman" w:cs="Times New Roman" w:eastAsia="Times New Roman" w:hAnsi="Times New Roman"/>
          <w:sz w:val="17"/>
          <w:szCs w:val="17"/>
          <w:i w:val="1"/>
          <w:iCs w:val="1"/>
          <w:color w:val="000000"/>
        </w:rPr>
        <w:t>of Operations,” and in subsequent filings we made with the SEC prior to the filing of this prospectus, including those incorporated by reference into this prospectus, before investing in our securities. You should also consider similar information contained in any annual report on Form 10-K, quarterly reports on Form 10-Q, current reports on Form 8-K and other documents filed by us with the SEC after the date of this prospectus before deciding to invest in our securities. We will also include in any prospectus supplement a description of any other risk factors applicable to an offering contemplated by such prospectus supplement. Additional risks and uncertainties not known to us or that we view as immaterial may also impair our business operations. Any of these risks could materially and adversely affect our business, financial condition, results of operations and cash flows and could result in a loss of all or part of your investment. Please read “Cautionary Note Regarding Forward-Looking Statements.”</w:t>
      </w:r>
    </w:p>
    <w:p>
      <w:pPr>
        <w:spacing w:after="0" w:line="184" w:lineRule="exact"/>
        <w:rPr>
          <w:rFonts w:ascii="Times New Roman" w:cs="Times New Roman" w:eastAsia="Times New Roman" w:hAnsi="Times New Roman"/>
          <w:sz w:val="17"/>
          <w:szCs w:val="17"/>
          <w:i w:val="1"/>
          <w:iCs w:val="1"/>
          <w:color w:val="000000"/>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7"/>
          <w:szCs w:val="17"/>
          <w:i w:val="1"/>
          <w:iCs w:val="1"/>
          <w:color w:val="000000"/>
        </w:rPr>
      </w:pPr>
      <w:r>
        <w:rPr>
          <w:rFonts w:ascii="Times New Roman" w:cs="Times New Roman" w:eastAsia="Times New Roman" w:hAnsi="Times New Roman"/>
          <w:sz w:val="17"/>
          <w:szCs w:val="17"/>
          <w:i w:val="1"/>
          <w:iCs w:val="1"/>
          <w:color w:val="000000"/>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we intend to use the net proceeds from our sale of the securities covered by this prospectus and any applicable prospectus supplement for general corporate purposes, including without limitation repaying or refinancing all or a portion of our existing short-term and long-term debt, making acquisitions of assets, businesses or securities, capital expenditures and for working capital. The precise amount and timing of the application of such proceeds will depend upon our funding requirements and the availability and cost of other capital.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debt securities that we may offer by this prospectus consist of notes, guarantees or other evidences of indebtedness of Diamondback Energy and one or more of its subsidiaries. We may issue debt securities in one or more series under an indenture (the “Base Indenture”), between us and Computershare Trust Company, National Association, as trustee (the “Trustee”), which Base Indenture may from time to time be supplemented or amended by one or more indentures supplemental thereto entered into pursuant to the applicable provisions of the Base Indenture, including, for all purposes of the Base Indenture and any such supplemental indenture, the provisions of the Trust Indenture Act of 1939, as amended (the “Trust Indenture Act”) that are deemed to be a part of and govern the Base Indenture and any such supplemental indenture (collectively with the Base Indenture, the “Indenture”). The term “Indenture” shall also include the terms of any particular series or specific debt securities within a series established as contemplated by the Indenture. A form of the Base Indenture, which has been filed as an exhibit to the registration statement of which this prospectus is a part, is incorporated herein by reference. Except as otherwise defined in this prospectus, capitalized terms used in this prospectus have the meanings given to them in the Base Indenture. For purposes of this Description of Debt Securities, references to “Diamondback Energy,” the “Company,” “we,” “our” and “us” refer only to Diamondback Energy, Inc. and not to its subsidiaries.</w:t>
      </w:r>
    </w:p>
    <w:p>
      <w:pPr>
        <w:spacing w:after="0" w:line="89"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The provisions of the Base Indenture will generally be applicable to all of the debt securities. Selected provisions of the Base Indenture are described in this prospectus. Additional or different provisions that are applicable to a particular series of debt securities will, if material, be described in a prospectus supplement relating to the offering of debt securities of that series. These provisions may include, among other things and to the extent applicable, the following:</w:t>
      </w:r>
    </w:p>
    <w:p>
      <w:pPr>
        <w:spacing w:after="0" w:line="75" w:lineRule="exact"/>
        <w:rPr>
          <w:sz w:val="20"/>
          <w:szCs w:val="20"/>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17"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any interest on a debt security will be payable, if other than the registered holder thereof on the regular record date therefor;</w:t>
      </w:r>
    </w:p>
    <w:p>
      <w:pPr>
        <w:spacing w:after="0" w:line="53" w:lineRule="exact"/>
        <w:rPr>
          <w:rFonts w:ascii="Times New Roman" w:cs="Times New Roman" w:eastAsia="Times New Roman" w:hAnsi="Times New Roman"/>
          <w:sz w:val="18"/>
          <w:szCs w:val="18"/>
          <w:color w:val="auto"/>
        </w:rPr>
      </w:pPr>
    </w:p>
    <w:p>
      <w:pPr>
        <w:ind w:left="1000" w:right="125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debt securities will be payable or the method of determination thereof and the amount of principal that will be payable;</w:t>
      </w:r>
    </w:p>
    <w:p>
      <w:pPr>
        <w:spacing w:after="0" w:line="53" w:lineRule="exact"/>
        <w:rPr>
          <w:rFonts w:ascii="Times New Roman" w:cs="Times New Roman" w:eastAsia="Times New Roman" w:hAnsi="Times New Roman"/>
          <w:sz w:val="18"/>
          <w:szCs w:val="18"/>
          <w:color w:val="auto"/>
        </w:rPr>
      </w:pPr>
    </w:p>
    <w:p>
      <w:pPr>
        <w:ind w:left="1000" w:right="499" w:hanging="348"/>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at which the debt securities of the series shall bear interest, if any, or contingent interest, if any, or the formula, method or provision pursuant to which such rate or rates are determined, and the date or dates from which such interest shall accrue or the method of determination thereof;</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be payable and the regular record dates for interest payment dates;</w:t>
      </w:r>
    </w:p>
    <w:p>
      <w:pPr>
        <w:spacing w:after="0" w:line="117"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any premium and interest on the debt securities will be payable and the manner in which any payment may be made;</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option, if any, to redeem or prepay the debt securities, in whole or in part, the period or periods within which, and the price or prices at which, such redemption or prepayment may occur, and the other terms and conditions of any such redemptions or prepayments;</w:t>
      </w:r>
    </w:p>
    <w:p>
      <w:pPr>
        <w:spacing w:after="0" w:line="67"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whether pursuant to a sinking fund or otherwise, to redeem, purchase, repurchase, or offer to purchase or repurchase, the debt securities, in whole or in part, the period or periods within which, and the price or prices at which, such redemption, purchase or repurchase must occur, and the other terms and conditions of any such redemptions, purchases and repurchases;</w:t>
      </w:r>
    </w:p>
    <w:p>
      <w:pPr>
        <w:spacing w:after="0" w:line="71"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issuable, if other than denominations of $2,000 and any integral multiple of $1,000 in excess thereof;</w:t>
      </w:r>
    </w:p>
    <w:p>
      <w:pPr>
        <w:spacing w:after="0" w:line="53" w:lineRule="exact"/>
        <w:rPr>
          <w:rFonts w:ascii="Times New Roman" w:cs="Times New Roman" w:eastAsia="Times New Roman" w:hAnsi="Times New Roman"/>
          <w:sz w:val="18"/>
          <w:szCs w:val="18"/>
          <w:color w:val="auto"/>
        </w:rPr>
      </w:pPr>
    </w:p>
    <w:p>
      <w:pPr>
        <w:jc w:val="both"/>
        <w:ind w:left="1000" w:right="6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principal of or any premium or interest on any debt securities may be determined with reference to an index or pursuant to a formula, the manner in which such amounts shall be determined;</w:t>
      </w:r>
    </w:p>
    <w:p>
      <w:pPr>
        <w:spacing w:after="0" w:line="53" w:lineRule="exact"/>
        <w:rPr>
          <w:rFonts w:ascii="Times New Roman" w:cs="Times New Roman" w:eastAsia="Times New Roman" w:hAnsi="Times New Roman"/>
          <w:sz w:val="18"/>
          <w:szCs w:val="18"/>
          <w:color w:val="auto"/>
        </w:rPr>
      </w:pPr>
    </w:p>
    <w:p>
      <w:pPr>
        <w:jc w:val="both"/>
        <w:ind w:left="1000" w:right="539" w:hanging="348"/>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of America, the currency, currencies, composite currency, composite currencies or currency units in which the principal of or any premium or interest on any debt securities shall be payable, or shall at the election of the Company or the holder thereof be payable, and the manner of determining the equivalent thereof in the currency of the United States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579"/>
        <w:spacing w:after="0" w:line="261" w:lineRule="auto"/>
        <w:rPr>
          <w:sz w:val="20"/>
          <w:szCs w:val="20"/>
          <w:color w:val="auto"/>
        </w:rPr>
      </w:pPr>
      <w:r>
        <w:rPr>
          <w:rFonts w:ascii="Times New Roman" w:cs="Times New Roman" w:eastAsia="Times New Roman" w:hAnsi="Times New Roman"/>
          <w:sz w:val="18"/>
          <w:szCs w:val="18"/>
          <w:color w:val="auto"/>
        </w:rPr>
        <w:t>America for any purpose, including for the purposes of making payment in the currency of the United States of America and determining the outstanding amount of debt securities, and, in the case of an election, the periods within which and the terms and conditions upon which such election is to be made and the amount so payable (or the manner in which such amount shall be determined);</w:t>
      </w:r>
    </w:p>
    <w:p>
      <w:pPr>
        <w:spacing w:after="0" w:line="72" w:lineRule="exact"/>
        <w:rPr>
          <w:sz w:val="20"/>
          <w:szCs w:val="20"/>
          <w:color w:val="auto"/>
        </w:rPr>
      </w:pPr>
    </w:p>
    <w:p>
      <w:pPr>
        <w:ind w:left="1000" w:right="33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entire principal amount thereof, the portion of the principal amount of any debt securities that will be payable upon acceleration of the maturity of the debt securities pursuant to an event of default;</w:t>
      </w:r>
    </w:p>
    <w:p>
      <w:pPr>
        <w:spacing w:after="0" w:line="53" w:lineRule="exact"/>
        <w:rPr>
          <w:rFonts w:ascii="Times New Roman" w:cs="Times New Roman" w:eastAsia="Times New Roman" w:hAnsi="Times New Roman"/>
          <w:sz w:val="18"/>
          <w:szCs w:val="18"/>
          <w:color w:val="auto"/>
        </w:rPr>
      </w:pPr>
    </w:p>
    <w:p>
      <w:pPr>
        <w:ind w:left="1000" w:right="399" w:hanging="348"/>
        <w:spacing w:after="0" w:line="25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the maturity of any debt securities will not be determinable as of any one or more dates prior to the stated maturity, the amount that shall be deemed to be the principal amount of such debt securities as of any such date, including the principal amount thereof that shall be due and payable upon any maturity other than the stated maturity or that shall be deemed to be outstanding as of any date prior to the stated maturity (or, in any such case, the manner in which such amount deemed to be the principal amount shall be determined);</w:t>
      </w:r>
    </w:p>
    <w:p>
      <w:pPr>
        <w:spacing w:after="0" w:line="79"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that the debt securities, in whole or any specified part, shall not be defeasible, and, if such Securities may be defeased, in whole or in part, any provisions to permit a pledge of obligations other than U.S. government obligations (or the establishment of other arrangements) to satisfy the requirements for defeasance of such debt securities and, if other than by a board resolution, the manner in which any election by the Company to defease such debt securities shall be evidenced;</w:t>
      </w:r>
    </w:p>
    <w:p>
      <w:pPr>
        <w:spacing w:after="0" w:line="75" w:lineRule="exact"/>
        <w:rPr>
          <w:rFonts w:ascii="Times New Roman" w:cs="Times New Roman" w:eastAsia="Times New Roman" w:hAnsi="Times New Roman"/>
          <w:sz w:val="18"/>
          <w:szCs w:val="18"/>
          <w:color w:val="auto"/>
        </w:rPr>
      </w:pPr>
    </w:p>
    <w:p>
      <w:pPr>
        <w:ind w:left="1000" w:right="319" w:hanging="348"/>
        <w:spacing w:after="0" w:line="254"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that any debt securities shall be issuable in whole or in part in the form of one or more global securities and, in such case, the respective depositaries for such global securities, the form of any legend or legends that shall be borne by any such global security in lieu of that set forth in the Base Indenture, any addition to, elimination of or other change in the circumstances in which any such global security may be exchanged in whole or in part for debt securities registered, and any transfer of such global security in whole or in part may be registered, in the name or names of persons other than the depositary for such global security or a nominee thereof and any other provisions governing exchanges or transfers of any such global security;</w:t>
      </w:r>
    </w:p>
    <w:p>
      <w:pPr>
        <w:spacing w:after="0" w:line="83"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elimination of or other change in the events of default that apply to any debt securities, any changes in the applicable notice or cure periods (which may be no period), and any change in the right of the Trustee or the requisite holders of such debt securities to declare the principal amount thereof due and payable, or the automatic acceleration of such principal amount;</w:t>
      </w:r>
    </w:p>
    <w:p>
      <w:pPr>
        <w:spacing w:after="0" w:line="71"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elimination of or other change in the covenants set forth in the Base Indenture that applies to any debt securities;</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that persons other than those specified in the Base Indenture shall have such benefits, rights, remedies and claims with respect to such debt securities, as and to the extent provided for such debt securities;</w:t>
      </w:r>
    </w:p>
    <w:p>
      <w:pPr>
        <w:spacing w:after="0" w:line="67" w:lineRule="exact"/>
        <w:rPr>
          <w:rFonts w:ascii="Times New Roman" w:cs="Times New Roman" w:eastAsia="Times New Roman" w:hAnsi="Times New Roman"/>
          <w:sz w:val="18"/>
          <w:szCs w:val="18"/>
          <w:color w:val="auto"/>
        </w:rPr>
      </w:pPr>
    </w:p>
    <w:p>
      <w:pPr>
        <w:ind w:left="1000" w:right="479" w:hanging="348"/>
        <w:spacing w:after="0" w:line="261"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actions permitted or required to be taken by or on behalf of the holders of any debt securities, including any such change that permits or requires any or all such actions to be taken by or on behalf of the holders of any specific debt securities rather than or in addition to the holders of all debt securities;</w:t>
      </w:r>
    </w:p>
    <w:p>
      <w:pPr>
        <w:spacing w:after="0" w:line="71"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subordination of any debt securities to other obligations of the Company (including other debt securities issued under the Indenture);</w:t>
      </w:r>
    </w:p>
    <w:p>
      <w:pPr>
        <w:spacing w:after="0" w:line="53" w:lineRule="exact"/>
        <w:rPr>
          <w:rFonts w:ascii="Times New Roman" w:cs="Times New Roman" w:eastAsia="Times New Roman" w:hAnsi="Times New Roman"/>
          <w:sz w:val="18"/>
          <w:szCs w:val="18"/>
          <w:color w:val="auto"/>
        </w:rPr>
      </w:pPr>
    </w:p>
    <w:p>
      <w:pPr>
        <w:ind w:left="1000" w:right="419" w:hanging="348"/>
        <w:spacing w:after="0" w:line="312" w:lineRule="auto"/>
        <w:tabs>
          <w:tab w:leader="none" w:pos="10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payment of principal of and premium, if any, and interest, if any, on any debt securities shall be without deduction for taxes, assessments or governmental charges paid by holders of such debt securities;</w:t>
      </w:r>
    </w:p>
    <w:p>
      <w:pPr>
        <w:spacing w:after="0" w:line="31" w:lineRule="exact"/>
        <w:rPr>
          <w:rFonts w:ascii="Times New Roman" w:cs="Times New Roman" w:eastAsia="Times New Roman" w:hAnsi="Times New Roman"/>
          <w:sz w:val="17"/>
          <w:szCs w:val="17"/>
          <w:color w:val="auto"/>
        </w:rPr>
      </w:pPr>
    </w:p>
    <w:p>
      <w:pPr>
        <w:ind w:left="1000" w:right="299" w:hanging="348"/>
        <w:spacing w:after="0" w:line="25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as applicable, that any debt securities shall be issuable in whole or in part in the form of one or more global securities and, in such case, the depositary or depositaries for such global security or global securities and any circumstances other than those set forth in the Base Indenture in which any such global security may be transferred to, and registered and exchanged for debt securities registered in the name of, a person other than the depositary for such global security or a nominee thereof and in which any such transfer may be registered;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519" w:hanging="348"/>
        <w:spacing w:after="0" w:line="261"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Company will pay additional amounts on any debt securities held by a person who is not a U.S. person in respect of any tax, assessment or governmental charge withheld or deducted and, if so, whether the Company will have the option to redeem the debt securities rather than pay such additional amounts;</w:t>
      </w:r>
    </w:p>
    <w:p>
      <w:pPr>
        <w:spacing w:after="0" w:line="71" w:lineRule="exact"/>
        <w:rPr>
          <w:rFonts w:ascii="Times New Roman" w:cs="Times New Roman" w:eastAsia="Times New Roman" w:hAnsi="Times New Roman"/>
          <w:sz w:val="18"/>
          <w:szCs w:val="18"/>
          <w:color w:val="auto"/>
        </w:rPr>
      </w:pPr>
    </w:p>
    <w:p>
      <w:pPr>
        <w:ind w:left="1000" w:right="499" w:hanging="348"/>
        <w:spacing w:after="0" w:line="289" w:lineRule="auto"/>
        <w:tabs>
          <w:tab w:leader="none" w:pos="10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debt securities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49" w:lineRule="exact"/>
        <w:rPr>
          <w:rFonts w:ascii="Times New Roman" w:cs="Times New Roman" w:eastAsia="Times New Roman" w:hAnsi="Times New Roman"/>
          <w:sz w:val="17"/>
          <w:szCs w:val="17"/>
          <w:color w:val="auto"/>
        </w:rPr>
      </w:pPr>
    </w:p>
    <w:p>
      <w:pPr>
        <w:ind w:left="1000" w:right="37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debt securities are to be convertible into or exchangeable for common stock or any other security or property, including, without limitation, securities of another person held by the Company or its affiliates, and, if so, the terms thereof;</w:t>
      </w:r>
    </w:p>
    <w:p>
      <w:pPr>
        <w:spacing w:after="0" w:line="67"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necessary to permit or facilitate the issuance, payment or conversion of any debt securities that may be converted into securities or other property other than debt securities of the same series and of like tenor, whether in addition to, or in lieu of, any payment of principal or other amount and whether at the option of the Company or otherwise;</w:t>
      </w:r>
    </w:p>
    <w:p>
      <w:pPr>
        <w:spacing w:after="0" w:line="71"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debt securities will be guaranteed, and, if so, the terms and conditions of such guarantees, if such terms differ from those set forth in the Base Indenture, and the names of, or the method of determination or identification of, the guarantors, and any deletions from, or modifications or additions to, the provisions of the Base Indenture in connection with the guarantees of the debt securities of the series;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Trustee, the identity of the initial security registrar and any initial paying agent;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and any guarantees of the debt securities.</w:t>
      </w:r>
    </w:p>
    <w:p>
      <w:pPr>
        <w:spacing w:after="0" w:line="117"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The debt securities may have the benefit of guarantees (each, a “guarantee”) by one or more of our existing or future subsidiaries, including Diamondback E&amp;P LLC, specified as a “guarantor” (each, a “guarantor”) in the prospectus supplement for the series of such debt securities. Unless otherwise expressly stated or the context otherwise requires, as used in this section, the term “guaranteed debt securities” means debt securities that, as described in the prospectus supplement relating thereto, are guaranteed by one or more guarantors pursuant to the applicable supplemental indenture.</w:t>
      </w:r>
    </w:p>
    <w:p>
      <w:pPr>
        <w:spacing w:after="0" w:line="79" w:lineRule="exact"/>
        <w:rPr>
          <w:sz w:val="20"/>
          <w:szCs w:val="20"/>
          <w:color w:val="auto"/>
        </w:rPr>
      </w:pPr>
    </w:p>
    <w:p>
      <w:pPr>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We may issue debt securities at a discount from their stated principal amount. Federal income tax considerations and other special considerations applicable to any debt security issued with original issue discount (an “original issue discount security”) may be described in an applicable prospectus supplement.</w:t>
      </w:r>
    </w:p>
    <w:p>
      <w:pPr>
        <w:spacing w:after="0" w:line="68"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If the purchase price of any series of the debt securities is payable in a foreign currency or currency unit or if the principal of or any premium or interest on any series of the debt securities is payable in a foreign currency or currency unit, the restrictions, elections, general tax considerations, specific terms, and other information with respect to the debt securities and the applicable foreign currency or currency unit will be set forth in an applicable prospectus supplement.</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in an applicable prospectus supplement:</w:t>
      </w:r>
    </w:p>
    <w:p>
      <w:pPr>
        <w:spacing w:after="0" w:line="117" w:lineRule="exact"/>
        <w:rPr>
          <w:sz w:val="20"/>
          <w:szCs w:val="20"/>
          <w:color w:val="auto"/>
        </w:rPr>
      </w:pPr>
    </w:p>
    <w:p>
      <w:pPr>
        <w:ind w:left="1000" w:right="75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will be issued only in fully registered form (without coupons) in denominations of $2,000 and any integral multiples of $1,000 in excess thereof; and</w:t>
      </w:r>
    </w:p>
    <w:p>
      <w:pPr>
        <w:spacing w:after="0" w:line="53" w:lineRule="exact"/>
        <w:rPr>
          <w:rFonts w:ascii="Times New Roman" w:cs="Times New Roman" w:eastAsia="Times New Roman" w:hAnsi="Times New Roman"/>
          <w:sz w:val="18"/>
          <w:szCs w:val="18"/>
          <w:color w:val="auto"/>
        </w:rPr>
      </w:pPr>
    </w:p>
    <w:p>
      <w:pPr>
        <w:ind w:left="1000" w:right="339" w:hanging="348"/>
        <w:spacing w:after="0" w:line="277" w:lineRule="auto"/>
        <w:tabs>
          <w:tab w:leader="none" w:pos="10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principal, premium, if any, and interest on the debt securities will be payable, and the exchange, conversion, and transfer of debt securities will be registrable, at our office or agency maintained for those purposes and at any other office or agency maintained for those purposes. No service charge will be made for any registration of transfer or exchange of the debt securities, but we may require payment of a sum sufficient to cover any tax or other governmental charge imposed in connection therewith.</w:t>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Form of Debt Securities</w:t>
      </w:r>
    </w:p>
    <w:p>
      <w:pPr>
        <w:spacing w:after="0" w:line="12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We will issue each debt security only in registered form, without coupons, unless we specify otherwise in the applicable prospectus supplement. In addition, we will issue each debt security in global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book-entry) form only, unless we specify otherwise in the applicable prospectus supplement. Debt securities in book-entry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form will be represented by a global security registered in the name of a depositary, which will be the holder of all the debt securities represented by the global security. Those who own beneficial interests in a global debt security will do so through participants in the depositary’s securities clearance system, and the rights of these indirect owners will be governed solely by the applicable procedures of the depositary and its participants. References to “holders” in this description mean those who own debt securities registered in their own names, on the books that we or the Trustee maintain for this purpose, and not those who own beneficial interests in debt securities registered in street name or in debt securities issued in book-entry form through one or more depositaries.</w:t>
      </w:r>
    </w:p>
    <w:p>
      <w:pPr>
        <w:spacing w:after="0" w:line="81" w:lineRule="exact"/>
        <w:rPr>
          <w:sz w:val="20"/>
          <w:szCs w:val="20"/>
          <w:color w:val="auto"/>
        </w:rPr>
      </w:pPr>
    </w:p>
    <w:p>
      <w:pPr>
        <w:ind w:left="300" w:right="719" w:firstLine="36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following is a summary of the depositary arrangements applicable to debt securities issued in global form and for which The Depository Trust Company (“DTC”) acts as depositary.</w:t>
      </w:r>
    </w:p>
    <w:p>
      <w:pPr>
        <w:spacing w:after="0" w:line="68"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Each global debt security will be deposited with, or on behalf of, DTC, as depositary, or its nominee, and registered in the name of a nominee of DTC. Except under the limited circumstances described below, global debt securities are not exchangeable for definitive certificated debt securities.</w:t>
      </w:r>
    </w:p>
    <w:p>
      <w:pPr>
        <w:spacing w:after="0" w:line="68" w:lineRule="exact"/>
        <w:rPr>
          <w:sz w:val="20"/>
          <w:szCs w:val="20"/>
          <w:color w:val="auto"/>
        </w:rPr>
      </w:pPr>
    </w:p>
    <w:p>
      <w:pPr>
        <w:ind w:left="300" w:right="319" w:firstLine="360"/>
        <w:spacing w:after="0" w:line="281" w:lineRule="auto"/>
        <w:rPr>
          <w:sz w:val="20"/>
          <w:szCs w:val="20"/>
          <w:color w:val="auto"/>
        </w:rPr>
      </w:pPr>
      <w:r>
        <w:rPr>
          <w:rFonts w:ascii="Times New Roman" w:cs="Times New Roman" w:eastAsia="Times New Roman" w:hAnsi="Times New Roman"/>
          <w:sz w:val="17"/>
          <w:szCs w:val="17"/>
          <w:color w:val="auto"/>
        </w:rPr>
        <w:t>Ownership of beneficial interests in a global debt security is limited to institutions that have accounts with DTC or its nominee, or persons that may hold interests through those participants. In addition, ownership of beneficial interests by participants in a global debt security will be evidenced only by, and the transfer of that ownership interest will be effected only through, records maintained by DTC or its nominee for a global debt security.</w:t>
      </w:r>
    </w:p>
    <w:p>
      <w:pPr>
        <w:spacing w:after="0" w:line="56"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global debt security by persons that hold those interests through participants will be evidenced only by, and the transfer of that ownership interest within that participant will be effected only through, records maintained by that participant. DTC has no knowledge of the actual beneficial owners of the debt securities. Beneficial owners will not receive written confirmation from DTC of their purchase, but beneficial owners are expected to receive written confirmations providing details of the transaction, as well as periodic statements of their holdings, from the participants through which the beneficial owners entered the transaction. The laws of some jurisdictions require that certain purchasers of securities take physical delivery of securities they purchase in definitive form. These laws may impair your ability to transfer beneficial interests in a global debt security.</w:t>
      </w:r>
    </w:p>
    <w:p>
      <w:pPr>
        <w:spacing w:after="0" w:line="80"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will make payment of principal of, and interest and premium, if any, on, debt securities represented by a global debt security registered in the name of or held by DTC or its nominee to DTC or its nominee, as the case may be, as the registered owner and holder of the global debt security representing those debt securities. DTC has advised us that upon receipt of any payment of principal of, or interest and premium, if any, on, a global debt security, DTC will immediately credit accounts of participants on its book-entry registration and transfer system with payments in amounts proportionate to their respective interests in the principal amount of that global debt security, as shown in the records of DTC. Payments by participants to owners of beneficial interests in a global debt security held through those participants will be governed by standing instructions and customary practices, and will be the sole responsibility of those participants, subject to any statutory or regulatory requirements that may be in effect from time to time.</w:t>
      </w:r>
    </w:p>
    <w:p>
      <w:pPr>
        <w:spacing w:after="0" w:line="86"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Neither we, any guarantor, any trustee nor any of our respective agents will be responsible for any aspect of the records of DTC, any nominee or any participant relating to, or payments made on account of, beneficial interests in a global debt security or for maintaining, supervising or reviewing any of the records of DTC, any nominee or any participant relating to such beneficial interests.</w:t>
      </w:r>
    </w:p>
    <w:p>
      <w:pPr>
        <w:spacing w:after="0" w:line="72"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A global debt security is exchangeable for definitive certificated debt securities registered in the name of, and a transfer of a global debt security may be registered to, any person other than DTC or its nominee, only if:</w:t>
      </w:r>
    </w:p>
    <w:p>
      <w:pPr>
        <w:spacing w:after="0" w:line="54" w:lineRule="exact"/>
        <w:rPr>
          <w:sz w:val="20"/>
          <w:szCs w:val="20"/>
          <w:color w:val="auto"/>
        </w:rPr>
      </w:pPr>
    </w:p>
    <w:p>
      <w:pPr>
        <w:ind w:left="1000" w:right="33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unable or no longer qualified to continue as depositary for that global security or has ceased to be a registered clearing agency and we do not appoint another institution to act as depositary within 90 days;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notify the Trustee that we wish to exchange that global security in whole.</w:t>
      </w:r>
    </w:p>
    <w:p>
      <w:pPr>
        <w:spacing w:after="0" w:line="117"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Any global debt security that is exchangeable pursuant to the preceding sentence will be exchangeable in whole for definitive certificated debt securities in registered form, of like tenor and of an equal aggregate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principal amount as the global debt security, in denominations specified in the applicable prospectus supplement, if other than $2,000 and multiples of $1,000. The definitive debt securities will be registered by the registrar in the name or names instructed by DTC. We expect that these instructions may be based upon directions received by DTC from its participants with respect to ownership of beneficial interests in the global debt security.</w:t>
      </w:r>
    </w:p>
    <w:p>
      <w:pPr>
        <w:spacing w:after="0" w:line="72"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Except as provided above or in the applicable prospectus supplement, owners of the beneficial interests in a global debt security will not be entitled to receive physical delivery of debt securities in definitive certificated form and will not be considered the holders of debt securities for any purpose under the Indenture. Except as provided above, no global debt security shall be exchangeable except for another global debt security of like denomination and tenor to be registered in the name of DTC or its nominee. Accordingly, each person owning a beneficial interest in a global debt security must rely on the procedures of DTC and, if that person is not a participant, on the procedures of the participant through which that person owns its interest, to exercise any rights of a holder under the global debt security or the Indenture.</w:t>
      </w:r>
    </w:p>
    <w:p>
      <w:pPr>
        <w:spacing w:after="0" w:line="8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We understand that, under existing industry practices, in the event that we request any action of holders, or an owner of a beneficial interest in a global debt security desires to take any action that a holder is entitled to take under the debt securities or the Indenture, DTC would authorize the participants holding the relevant beneficial interests to take that action. Additionally, those participants would authorize beneficial owners owning through those participants to take that action or would otherwise act upon the instructions of beneficial owners owning through them.</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DTC has advised us that it is a limited-purpose trust company organized under the laws of the State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York, a “banking organization” within the meaning of the New York Banking Law, a member of the Federal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Reserve System, a “clearing corporation” within the meaning of the New York Uniform Commercial Code, and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“clearing agency” registered under the Exchange Act. DTC was created to hold securities of its participants and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facilitate the clearance and settlement of transactions among its participants in securities through electronic book-</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entry changes in accounts of the participants. By doing so, DTC eliminates the need for physical movement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securities certificates. DTC’s participants include securities brokers and dealers, banks, trust companies, clearing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corporations, and certain other organizations. DTC is owned by a number of its participants and by the New York</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Stock Exchange, Inc. and NYSE Amex Equities. Access to DTC’s book-entry system is also available to others,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such as banks, brokers, dealers, and trust companies that clear through or maintain a custodial relationship with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participant, either directly or indirectly. The rules applicable to DTC and its participants are on file with the SEC.</w:t>
      </w:r>
    </w:p>
    <w:p>
      <w:pPr>
        <w:spacing w:after="0" w:line="99"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Investors may hold interests in the debt securities outside the U.S. through the Euroclear System (“Euroclear”) or Clearstream Banking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interests in customers’ securities accounts in the depositaries’ names on the books of DTC. All securities in Euroclear or Clearstream are held on a fungible basis without attribution of specific certificates to specific securities clearance accounts.</w:t>
      </w:r>
    </w:p>
    <w:p>
      <w:pPr>
        <w:spacing w:after="0" w:line="81" w:lineRule="exact"/>
        <w:rPr>
          <w:sz w:val="20"/>
          <w:szCs w:val="20"/>
          <w:color w:val="auto"/>
        </w:rPr>
      </w:pPr>
    </w:p>
    <w:p>
      <w:pPr>
        <w:ind w:left="300" w:right="579" w:firstLine="360"/>
        <w:spacing w:after="0" w:line="261" w:lineRule="auto"/>
        <w:rPr>
          <w:sz w:val="20"/>
          <w:szCs w:val="20"/>
          <w:color w:val="auto"/>
        </w:rPr>
      </w:pPr>
      <w:r>
        <w:rPr>
          <w:rFonts w:ascii="Times New Roman" w:cs="Times New Roman" w:eastAsia="Times New Roman" w:hAnsi="Times New Roman"/>
          <w:sz w:val="18"/>
          <w:szCs w:val="18"/>
          <w:color w:val="auto"/>
        </w:rPr>
        <w:t>Euroclear advises that it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w:t>
      </w:r>
    </w:p>
    <w:p>
      <w:pPr>
        <w:spacing w:after="0" w:line="7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Euroclear includes various other services, including securities lending and borrowing and interfaces with domestic markets in several countries. Euroclear is operated by the Euroclear S.A./N.V. (the “Euroclear Operator”), under contract with Euroclear Clearance Systems S.C., a Belgian cooperative corporation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underwriters of debt securities offered by this prospectus. Indirect access to Euroclear is also available to other firms that clear through or maintain a custodial relationship with a Euroclear Participant, either directly or indirectly.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Securities clearance accounts and cash accounts with the Euroclear Operator are governed by the Terms and Conditions Governing Use of Euroclear, the related Operating Procedures of the Euroclear System, and applicable Belgian law (collectively, the “Terms and Conditions”). The Terms and Conditions govern transfers of securities and cash within Euroclear, withdrawals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84"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6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Clearstream advises that it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Monetary Institute. Clearstream Participants are recognized financial institutions around the world, including agents, securities brokers and dealers, banks, trust companies, clearing corporations, and certain other organizations and may include underwriters of debt securities offered by this prospectus. Indirect access to Clearstream is also available to others, such as banks, brokers, dealers, and trust companies that clear through or maintain a custodial relationship with a Clearstream Participant either directly or indirectly.</w:t>
      </w:r>
    </w:p>
    <w:p>
      <w:pPr>
        <w:spacing w:after="0" w:line="82"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68" w:lineRule="exact"/>
        <w:rPr>
          <w:sz w:val="20"/>
          <w:szCs w:val="20"/>
          <w:color w:val="auto"/>
        </w:rPr>
      </w:pPr>
    </w:p>
    <w:p>
      <w:pPr>
        <w:ind w:left="300" w:right="339" w:firstLine="360"/>
        <w:spacing w:after="0" w:line="274" w:lineRule="auto"/>
        <w:rPr>
          <w:sz w:val="20"/>
          <w:szCs w:val="20"/>
          <w:color w:val="auto"/>
        </w:rPr>
      </w:pPr>
      <w:r>
        <w:rPr>
          <w:rFonts w:ascii="Times New Roman" w:cs="Times New Roman" w:eastAsia="Times New Roman" w:hAnsi="Times New Roman"/>
          <w:sz w:val="17"/>
          <w:szCs w:val="17"/>
          <w:color w:val="auto"/>
        </w:rPr>
        <w:t>We have provided the descriptions herein of the operations and procedures of DTC, Euroclear and Clearstream solely as a matter of convenience. These operations and procedures are solely within the control of DTC, Euroclear and Clearstream and are subject to change by them from time to time. We believe that the sources from which the information in this section and elsewhere in this prospectus concerning DTC, Euroclear, Euroclear SA/NV, Euroclear Clearance Systems S.C., Euroclear’s system, Clearstream and Clearstream’s system has been obtained are reliable, but neither we, any underwriters nor the trustee takes any responsibility for the accuracy of the information.</w:t>
      </w:r>
    </w:p>
    <w:p>
      <w:pPr>
        <w:spacing w:after="0" w:line="65"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Initial settlement for the securities will be made in immediately available funds. Secondary market trading between DTC participants will occur in the ordinary way in accordance with DTC’s rules and will be settled in immediately available funds. Secondary market trading between Euroclear participants and Clearstream participants will occur in the ordinary way in accordance with the applicable rules and operating</w:t>
      </w:r>
    </w:p>
    <w:p>
      <w:pPr>
        <w:spacing w:after="0" w:line="72" w:lineRule="exact"/>
        <w:rPr>
          <w:sz w:val="20"/>
          <w:szCs w:val="20"/>
          <w:color w:val="auto"/>
        </w:rPr>
      </w:pPr>
    </w:p>
    <w:p>
      <w:pPr>
        <w:ind w:left="300" w:right="839"/>
        <w:spacing w:after="0" w:line="282" w:lineRule="auto"/>
        <w:rPr>
          <w:sz w:val="20"/>
          <w:szCs w:val="20"/>
          <w:color w:val="auto"/>
        </w:rPr>
      </w:pPr>
      <w:r>
        <w:rPr>
          <w:rFonts w:ascii="Times New Roman" w:cs="Times New Roman" w:eastAsia="Times New Roman" w:hAnsi="Times New Roman"/>
          <w:sz w:val="18"/>
          <w:szCs w:val="18"/>
          <w:color w:val="auto"/>
        </w:rPr>
        <w:t>procedures of Euroclear and Clearstream, as applicable, and will be settled using the procedures applicable to conventional eurobonds in immediately available funds.</w:t>
      </w:r>
    </w:p>
    <w:p>
      <w:pPr>
        <w:spacing w:after="0" w:line="5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DTC, on the one hand, and directly or indirectly through Euroclear or Clearstream participants, on the other, will be effected within DTC in accordance with DTC’s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DTC, and making or receiving payment in accordance with normal procedures for same-day funds settlement applicable to DTC. Euroclear participants and Clearstream participants may not deliver instructions directly to their respective U.S. depositaries.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firstLine="360"/>
        <w:spacing w:after="0" w:line="254" w:lineRule="auto"/>
        <w:rPr>
          <w:sz w:val="20"/>
          <w:szCs w:val="20"/>
          <w:color w:val="auto"/>
        </w:rPr>
      </w:pPr>
      <w:r>
        <w:rPr>
          <w:rFonts w:ascii="Times New Roman" w:cs="Times New Roman" w:eastAsia="Times New Roman" w:hAnsi="Times New Roman"/>
          <w:sz w:val="18"/>
          <w:szCs w:val="18"/>
          <w:color w:val="auto"/>
        </w:rPr>
        <w:t>Because of time-zone differences, credits of securities received in Euroclear or Clearstream as a result of a transaction with a DTC participant will be made during subsequent securities settlement processing and dated the business day following the DTC settlement date. Such credits, or any transactions in securities settled during such processing, will be reported to the relevant Euroclear participants or Clearstream participants on the following business day. Cash received in Euroclear or Clearstream as a result of sales of debt securities by or through a Euroclear participant or a Clearstream participant to a DTC participant will be received with value on the business day of settlement in DTC but will be available in the relevant Euroclear or Clearstream cash account only as of the business day following settlement in DTC.</w:t>
      </w:r>
    </w:p>
    <w:p>
      <w:pPr>
        <w:spacing w:after="0" w:line="84" w:lineRule="exact"/>
        <w:rPr>
          <w:sz w:val="20"/>
          <w:szCs w:val="20"/>
          <w:color w:val="auto"/>
        </w:rPr>
      </w:pPr>
    </w:p>
    <w:p>
      <w:pPr>
        <w:jc w:val="both"/>
        <w:ind w:left="300" w:right="859" w:firstLine="360"/>
        <w:spacing w:after="0" w:line="289" w:lineRule="auto"/>
        <w:rPr>
          <w:sz w:val="20"/>
          <w:szCs w:val="20"/>
          <w:color w:val="auto"/>
        </w:rPr>
      </w:pPr>
      <w:r>
        <w:rPr>
          <w:rFonts w:ascii="Times New Roman" w:cs="Times New Roman" w:eastAsia="Times New Roman" w:hAnsi="Times New Roman"/>
          <w:sz w:val="17"/>
          <w:szCs w:val="17"/>
          <w:color w:val="auto"/>
        </w:rPr>
        <w:t>Although DTC, Euroclear and Clearstream have agreed to the foregoing procedures in order to facilitate transfers of securities among participants of DTC, Euroclear and Clearstream, they are under no obligation to perform or continue to perform such procedures and they may discontinue the procedures at any time.</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Maintenance of Office or Agency</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We will be required to maintain an office or agency in each place of payment for each series of debt securities, for notice and demand purposes and for the purposes of presenting or surrendering debt securities for payment, registration of transfer, conversion or exchange.</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Paying Agents, etc.</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If we act as our own paying agent with respect to any series of debt securities, on or before each due date of the principal of or any premium or interest on any of the debt securities of that series, we will be required to segregate and hold in trust for the benefit of the persons entitled to such payment a sum sufficient to pay the amount due until such sum is paid to such persons or otherwise disposed of as provided in the Indenture and to notify the Trustee promptly of our action or failure to act. If we have one or more paying agents for any series of debt securities, on each due date of the principal of or any premium or interest on any debt securities of that series, we will be required to deposit with a paying agent a sum sufficient to pay the amount due and, unless the paying agent is the Trustee, to promptly notify the Trustee of our action or failure to act. Any money deposited with a paying agent or the Trustee for the payment of principal of or any premium or interest on any debt securities that remains unclaimed for two years after the principal or any premium or interest has become due and payable may be repaid to us, subject to applicable escheatment laws, and thereafter the holder of those debt securities may look only to us for payment thereof.</w:t>
      </w:r>
    </w:p>
    <w:p>
      <w:pPr>
        <w:spacing w:after="0" w:line="3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Corporate Existence</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We will be required to preserve and keep in full force and effect our corporate existence, charter rights, statutory rights, licenses and franchises, but the Company shall not be required to preserve any such right, license or franchise if the Company determines that such preservation is no longer desirable in the conduct of the business of the Company.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Compliance Certificate</w:t>
      </w:r>
    </w:p>
    <w:p>
      <w:pPr>
        <w:spacing w:after="0" w:line="12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Company will be required to file annually with the Trustee a certificate signed by one of its officers, stating whether or not the officer knows of any default by the Company in compliance with all conditions and covenants under the Indenture.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Consolidation, Merger, Sale, Conveyance, Transfer or Lease</w:t>
      </w:r>
    </w:p>
    <w:p>
      <w:pPr>
        <w:spacing w:after="0" w:line="121"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Company will not, in a single transaction or a series of related transactions, consolidate with or merge with or into, or sell, convey, transfer or lease all or substantially all of its properties and assets on a consolidated basis to, any person, unless:</w:t>
      </w:r>
    </w:p>
    <w:p>
      <w:pPr>
        <w:spacing w:after="0" w:line="68" w:lineRule="exact"/>
        <w:rPr>
          <w:sz w:val="20"/>
          <w:szCs w:val="20"/>
          <w:color w:val="auto"/>
        </w:rPr>
      </w:pPr>
    </w:p>
    <w:p>
      <w:pPr>
        <w:ind w:left="1000" w:right="619" w:hanging="348"/>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(the “Successor Company”) will be a corporation, limited liability company, partnership, trust or other entity organized and validly existing under the laws of the United States of America, any State thereof or the District of Columbia;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79" w:hanging="348"/>
        <w:spacing w:after="0" w:line="25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Company (if not the Company) will expressly assume, by supplemental indenture, executed and delivered to the Trustee, in form reasonably satisfactory to the Trustee, the due and punctual payment of the principal of and any premium and interest on all the debt securities and the performance or observance of every covenant of the Indenture on the part of the Company to be performed or observed and, for each debt security that by its terms provides for conversion, shall have provided for the right to convert such debt security in accordance with its terms;</w:t>
      </w:r>
    </w:p>
    <w:p>
      <w:pPr>
        <w:spacing w:after="0" w:line="79" w:lineRule="exact"/>
        <w:rPr>
          <w:rFonts w:ascii="Times New Roman" w:cs="Times New Roman" w:eastAsia="Times New Roman" w:hAnsi="Times New Roman"/>
          <w:sz w:val="18"/>
          <w:szCs w:val="18"/>
          <w:color w:val="auto"/>
        </w:rPr>
      </w:pPr>
    </w:p>
    <w:p>
      <w:pPr>
        <w:ind w:left="1000" w:right="379" w:hanging="348"/>
        <w:spacing w:after="0" w:line="25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and treating any indebtedness that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occurred and be continuing; and</w:t>
      </w:r>
    </w:p>
    <w:p>
      <w:pPr>
        <w:spacing w:after="0" w:line="75" w:lineRule="exact"/>
        <w:rPr>
          <w:rFonts w:ascii="Times New Roman" w:cs="Times New Roman" w:eastAsia="Times New Roman" w:hAnsi="Times New Roman"/>
          <w:sz w:val="18"/>
          <w:szCs w:val="18"/>
          <w:color w:val="auto"/>
        </w:rPr>
      </w:pPr>
    </w:p>
    <w:p>
      <w:pPr>
        <w:ind w:left="1000" w:right="379" w:hanging="348"/>
        <w:spacing w:after="0" w:line="25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such consolidation, merger, sale, conveyance, transfer or lease and, if a supplemental indenture is required in connection with such transaction, such supplemental indenture, comply with this covenant and that all conditions precedent provided for in the Indenture relating to such transaction have been complied with.</w:t>
      </w:r>
    </w:p>
    <w:p>
      <w:pPr>
        <w:spacing w:after="0" w:line="7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Upon any consolidation of the Company with, or merger of the Company with or into, or any sale, conveyance, transfer or lease of all or substantially all of the properties and assets of the Company on a consolidated basis to, any person, in each case in accordance with the foregoing covenant, the Successor Company shall succeed to, and be substituted for, and may exercise every right and power of, the Company under the Indenture with the same effect as if the Successor Company had been named as the Company in the Indenture, and thereafter the predecessor Company shall be relieved of all obligations and covenants under the Indenture and the debt securities, except in the case of a lease of all or substantially all of the properties and assets of the Company on a consolidated basis, in which case the predecessor Company shall not be released from the obligation to pay the principal of, any premium on, and interest on the debt securities.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events of default under the Indenture with respect to debt securities of any series:</w:t>
      </w:r>
    </w:p>
    <w:p>
      <w:pPr>
        <w:spacing w:after="0" w:line="117" w:lineRule="exact"/>
        <w:rPr>
          <w:sz w:val="20"/>
          <w:szCs w:val="20"/>
          <w:color w:val="auto"/>
        </w:rPr>
      </w:pPr>
    </w:p>
    <w:p>
      <w:pPr>
        <w:ind w:left="1000" w:right="8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any premium on any debt security of that series when due at its stated maturity or by declaration of acceleration, call for redemption or otherwise;</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by the terms of any debt security of that series and continuance of such default for a period of 60 days;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4"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of the Company in the Indenture (other than a covenant a default in whose performance or whose breach is elsewhere in the events of default for such series specifically dealt with or which has expressly been included in the Indenture solely for the benefit of series of debt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debt securities of that series a written notice specifying such default or breach and requiring it to be remedied and stating that such notice is a “Notice of Default” under the Indenture;</w:t>
      </w:r>
    </w:p>
    <w:p>
      <w:pPr>
        <w:spacing w:after="0" w:line="8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of bankruptcy, insolvency, or reorganization involving the Company;</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6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of the debt securities of that series ceases to be in full force and effect (except as contemplated by the terms of the Indenture) or is declared null and void in a judicial proceeding or the guarantor denies or disaffirms its obligations under the Indenture or its guarantee, in each case unless the guarantee has been released pursuant to the terms of the Indenture; and</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w:t>
      </w:r>
    </w:p>
    <w:p>
      <w:pPr>
        <w:spacing w:after="0" w:line="117"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The Trustee is required to give to the holders of the debt securities of that series notice of all defaults known to it within 90 days of the occurrence thereof, except that other than in the case of a default of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312" w:lineRule="auto"/>
        <w:rPr>
          <w:sz w:val="20"/>
          <w:szCs w:val="20"/>
          <w:color w:val="auto"/>
        </w:rPr>
      </w:pPr>
      <w:r>
        <w:rPr>
          <w:rFonts w:ascii="Times New Roman" w:cs="Times New Roman" w:eastAsia="Times New Roman" w:hAnsi="Times New Roman"/>
          <w:sz w:val="17"/>
          <w:szCs w:val="17"/>
          <w:color w:val="auto"/>
        </w:rPr>
        <w:t>character contemplated in clause (1), (2), or (3) above, the Trustee may withhold notice if and so long as it in good faith determines that the withholding of notice is in the interests of the holders of the debt securities of that series.</w:t>
      </w:r>
    </w:p>
    <w:p>
      <w:pPr>
        <w:spacing w:after="0" w:line="32"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If an event of default described in clause (5) above occurs, the principal of, premium, if any, and accrued interest on the debt securities of that series will become immediately due and payable automatically without any declaration or other action on the part of the Trustee or any holder of the debt securities of that series. If any other event of default with respect to debt securities of any series occurs and is continuing, either the Trustee or the holders of not less than 25% in principal amount of the outstanding debt securities of that series may declare the principal amount of all debt securities of that series to be due and payable immediately. However, at any time after a declaration of acceleration with respect to debt securities of any series has been made, but before a judgment or decree based on such acceleration has been obtained, the holders of a majority in principal amount of the outstanding debt securities of that series may, under specified circumstances, rescind and annul such acceleration. See “— Amendments and Waivers” below.</w:t>
      </w:r>
    </w:p>
    <w:p>
      <w:pPr>
        <w:spacing w:after="0" w:line="86" w:lineRule="exact"/>
        <w:rPr>
          <w:sz w:val="20"/>
          <w:szCs w:val="20"/>
          <w:color w:val="auto"/>
        </w:rPr>
      </w:pPr>
    </w:p>
    <w:p>
      <w:pPr>
        <w:ind w:left="300" w:right="559" w:firstLine="360"/>
        <w:spacing w:after="0" w:line="258" w:lineRule="auto"/>
        <w:rPr>
          <w:sz w:val="20"/>
          <w:szCs w:val="20"/>
          <w:color w:val="auto"/>
        </w:rPr>
      </w:pPr>
      <w:r>
        <w:rPr>
          <w:rFonts w:ascii="Times New Roman" w:cs="Times New Roman" w:eastAsia="Times New Roman" w:hAnsi="Times New Roman"/>
          <w:sz w:val="18"/>
          <w:szCs w:val="18"/>
          <w:color w:val="auto"/>
        </w:rPr>
        <w:t>Subject to the duty of the Trustee to act with the requisite standard of care during an event of default, the Trustee will be under no obligation to exercise any of the rights or powers under the Indenture at the request or direction of any holders of debt securities of any series unless such holders have offered to the Trustee security or indemnity reasonably satisfactory to it against the costs, expenses and liabilities that might be incurred by it in compliance with such request or direction.</w:t>
      </w:r>
    </w:p>
    <w:p>
      <w:pPr>
        <w:spacing w:after="0" w:line="75"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Except to enforce the right to receive payment of principal, premium, if any, or interest when due, no holder may institute any proceeding with respect to the Indenture unless:</w:t>
      </w:r>
    </w:p>
    <w:p>
      <w:pPr>
        <w:spacing w:after="0" w:line="54" w:lineRule="exact"/>
        <w:rPr>
          <w:sz w:val="20"/>
          <w:szCs w:val="20"/>
          <w:color w:val="auto"/>
        </w:rPr>
      </w:pPr>
    </w:p>
    <w:p>
      <w:pPr>
        <w:ind w:left="1000" w:right="35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the Trustee written notice of a continuing event of default with respect to the debt securities of that series;</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not less than 25% in principal amount of the outstanding debt securities of such series have requested in writing that the Trustee institute proceedings in respect of such event of default;</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security or indemnity reasonably satisfactory to it against any costs, expenses and liabilities to be incurred in compliance with such request;</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any such proceeding within 60 days after the receipt of the request and the offer of security or indemnity; and</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outstanding debt securities of such series have not given the Trustee a direction that is inconsistent with such request within such 60 day period.</w:t>
      </w:r>
    </w:p>
    <w:p>
      <w:pPr>
        <w:spacing w:after="0" w:line="54"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Subject to certain restrictions, the holders of a majority in principal amount of the outstanding debt securities of any series are given the right to direct the time, method and place of conducting any proceeding for any remedy available to the Trustee or of exercising any trust or power conferred on the Trustee. The Indenture provides that in the event an event of default has occurred and is continuing, the Trustee will be required in the exercise of its rights and powers to use the degree of care and skill that a prudent person would exercise or use under the circumstances in the conduct of its own affairs. The Trustee, however, may refuse to follow any direction that conflicts with law or the Indenture or that the Trustee determines in good faith would involve the Trustee in personal liability. Prior to taking any action under the Indenture, the Trustee will be entitled to security or indemnification reasonably satisfactory to it against the costs, expenses and liabilities that might be incurred by it in compliance with any request or direction.</w:t>
      </w:r>
    </w:p>
    <w:p>
      <w:pPr>
        <w:spacing w:after="0" w:line="86"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Any additional events of default with respect to any series of debt securities, and any variations from the foregoing events of default applicable to any series of debt securities, will be described in an applicable prospectus supplement.</w:t>
      </w:r>
    </w:p>
    <w:p>
      <w:pPr>
        <w:spacing w:after="0" w:line="68"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issued under the Indenture.</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121"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Subject to certain exceptions, the Indenture and the debt securities may be amended or supplemented with the consent of the holders of a majority in principal amount (including consents obtained in connection with a purchase of, or tender offer or exchange offer for, debt securities) of all debt securities at the time outstanding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be affected (considered together as one class for this purpose and such debt securities to be affected potentially being debt securities of the same or different series and, with respect to any series, potentially comprising fewer than all the debt securities of such series), or, if a waiver of compliance with provisions affects the debt securities of more than one series of debt securities, by the holders of a majority in principal amount of all outstanding debt securities affected by the waiver, with the debt securities of all the affected series voting together as one class for this purpose and such debt securities to be affected potentially being debt securities of the same or different series and, with respect to any series, potentially comprising fewer than all the debt securities of such series (including without limitation, consents obtained in connection with a purchase of, or tender offer or exchange offer for, such series). Subject to certain exceptions, any past default may be waived with the consent of the holders of a majority in principal amount of the debt securities of such series then outstanding or, if the waiver of a past default affects the debt securities of more than one series of debt securities, by the holders of a majority in principal amount (including consents obtained in connection with a purchase of, or tender offer or exchange offer for, debt securities) of all debt securities at the time outstanding to be affected (considered together as one class for this purpose and such debt securities to be affected potentially being debt securities of the same or different series and, with respect to any series, potentially comprising fewer than all the debt securities of such series). In addition, without the consent of any holder, the Company and the Trustee may amend or supplement the Indenture or any series of debt securities for certain purposes as set forth in the Indenture.</w:t>
      </w:r>
    </w:p>
    <w:p>
      <w:pPr>
        <w:spacing w:after="0" w:line="85" w:lineRule="exact"/>
        <w:rPr>
          <w:sz w:val="20"/>
          <w:szCs w:val="20"/>
          <w:color w:val="auto"/>
        </w:rPr>
      </w:pPr>
    </w:p>
    <w:p>
      <w:pPr>
        <w:ind w:left="300" w:right="1059" w:firstLine="360"/>
        <w:spacing w:after="0" w:line="282" w:lineRule="auto"/>
        <w:rPr>
          <w:sz w:val="20"/>
          <w:szCs w:val="20"/>
          <w:color w:val="auto"/>
        </w:rPr>
      </w:pPr>
      <w:r>
        <w:rPr>
          <w:rFonts w:ascii="Times New Roman" w:cs="Times New Roman" w:eastAsia="Times New Roman" w:hAnsi="Times New Roman"/>
          <w:sz w:val="18"/>
          <w:szCs w:val="18"/>
          <w:color w:val="auto"/>
        </w:rPr>
        <w:t>However, without the consent of each holder of an outstanding debt security affected, no amendment, supplement or waiver may, among other things:</w:t>
      </w:r>
    </w:p>
    <w:p>
      <w:pPr>
        <w:spacing w:after="0" w:line="54" w:lineRule="exact"/>
        <w:rPr>
          <w:sz w:val="20"/>
          <w:szCs w:val="20"/>
          <w:color w:val="auto"/>
        </w:rPr>
      </w:pPr>
    </w:p>
    <w:p>
      <w:pPr>
        <w:ind w:left="1000" w:right="399" w:hanging="348"/>
        <w:spacing w:after="0" w:line="254"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debt security, or reduce the principal amount thereof or the rate of interest thereon or any premium payable upon the redemption thereof, or reduce the amount of the principal of a debt security issued with original issue discount or any other debt security that would be due and payable upon a declaration of acceleration of the maturity thereof, or permit the Company to redeem any debt security if the Company would not otherwise be permitted to do so, or change any place of payment where, or the coin or currency in which, any debt security or any premium or interest thereon is payable, or impair the right to institute suit for the enforcement of any such payment on or after the stated maturity thereof (or, in the case of redemption, on or after the redemption date);</w:t>
      </w:r>
    </w:p>
    <w:p>
      <w:pPr>
        <w:spacing w:after="0" w:line="80" w:lineRule="exact"/>
        <w:rPr>
          <w:rFonts w:ascii="Times New Roman" w:cs="Times New Roman" w:eastAsia="Times New Roman" w:hAnsi="Times New Roman"/>
          <w:sz w:val="18"/>
          <w:szCs w:val="18"/>
          <w:color w:val="auto"/>
        </w:rPr>
      </w:pPr>
    </w:p>
    <w:p>
      <w:pPr>
        <w:jc w:val="both"/>
        <w:ind w:left="1000" w:right="439" w:hanging="348"/>
        <w:spacing w:after="0" w:line="26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debt security provides that the holder may require the Company to repurchase or convert such debt security, impair such holder’s right to require repurchase or conversion of such debt security on the terms provided therein;</w:t>
      </w:r>
    </w:p>
    <w:p>
      <w:pPr>
        <w:spacing w:after="0" w:line="67"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debt securities of any one or more series (considered separately or together as one class, as applicable, and whether comprising the same or different series or less than all the debt securities of a series), the consent of whose holders is required for any such amendment or supplement, or the consent of whose holders is required for any waiver (of compliance with certain provisions of the Indenture or certain defaults hereunder and their consequences);</w:t>
      </w:r>
    </w:p>
    <w:p>
      <w:pPr>
        <w:spacing w:after="0" w:line="75"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debt security is guaranteed, release any guarantor of a debt security from any of its obligations under its guarantee thereof, except in accordance with the terms of the Indenture; or</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modify any of the provisions of relating to the percentage of holders who must consent to an amendment, supplement or waiver, except to increase any such percentage or to provide that certain other provisions of the Indenture cannot be modified or waived without the consent of the holder of each outstanding debt security affected thereby.</w:t>
      </w:r>
    </w:p>
    <w:p>
      <w:pPr>
        <w:spacing w:after="0" w:line="72"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consent of the holders is not necessary under the Indenture to approve the particular form of any proposed supplemental indenture. It is sufficient if such consent approves the substance of the proposed supplemental indenture. A consent to any amendment, supplement or waiver under the Indenture by any holder of debt securities given in connection with a purchase of, or tender or exchange offer for, such holder’s debt securities will not be rendered invalid by such purchase, tender or exchange.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Company at any time may terminate all of its and any guarantor’s obligations under the debt securities of any series and the Indenture (“legal defeasance”), except for certain obligations, including those respecting the defeasance trust and obligations to register the transfer or exchange of such debt securities, to replace mutilated, destroyed, lost or stolen debt securities and to maintain a registrar and paying agent in respect of the debt securities of any series.</w:t>
      </w:r>
    </w:p>
    <w:p>
      <w:pPr>
        <w:spacing w:after="0" w:line="75"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Company may at any time terminate its and any guarantor’s obligations to comply with certain covenants described above under “— Certain Covenants” and certain covenants of any outstanding series of debt securities that may be contained in any applicable prospectus supplement, and may omit to comply with such covenants without creating an event of default (“covenant defeasance”). The Company may exercise its legal defeasance option notwithstanding its prior exercise of its covenant defeasance option.</w:t>
      </w:r>
    </w:p>
    <w:p>
      <w:pPr>
        <w:spacing w:after="0" w:line="75"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In order to exercise either defeasance option, the Company must irrevocably deposit in trust (the “defeasance trust”) with the Trustee money or U.S. government obligations for the payment of principal, premium, if any, and interest on the debt securities of any series to redemption or maturity, as the case may be, and must comply with certain other conditions, including, without limitation, delivery to the Trustee of an opinion of counsel (subject to customary assumptions and exclusions) to the effect that holders of such series will not recognize gain or loss for Federal income tax purposes as a result of such deposit and defeasance and will be subject to Federal income tax on the same amount and in the same manner and at the same times as would have been the case if such deposit and defeasance had not occurred. In the case of legal defeasance only, such opinion of counsel must be based on a ruling of the Internal Revenue Service or other change in applicable Federal income tax law.</w:t>
      </w:r>
    </w:p>
    <w:p>
      <w:pPr>
        <w:spacing w:after="0" w:line="80"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Upon the effectiveness of a legal defeasance or covenant defeasance with respect to any series of guaranteed debt securities, each guarantor of the debt securities of such series shall be automatically and unconditionally released and discharged from all of its obligations under its guarantee of the debt securities of such series and all of its other obligations under the applicable indenture in respect of the debt securities of that series, without any action by us, any guarantor or the trustee, and without the consent of the holders of any debt securities.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Indenture shall upon request of the Company cease to be of further effect with respect to the debt securities of any series and any guarantees of such debt securities (except as to any surviving rights of conversion, registration of transfer or exchange of any such debt security expressly provided for in the Indenture or in the terms of such debt security), and the Trustee, at the expense of the Company, shall execute proper instruments acknowledging satisfaction and discharge of the Indenture with respect to such debt securities, when:</w:t>
      </w:r>
    </w:p>
    <w:p>
      <w:pPr>
        <w:spacing w:after="0" w:line="75" w:lineRule="exact"/>
        <w:rPr>
          <w:sz w:val="20"/>
          <w:szCs w:val="20"/>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left="1360" w:right="339" w:hanging="348"/>
        <w:spacing w:after="0" w:line="258" w:lineRule="auto"/>
        <w:tabs>
          <w:tab w:leader="none" w:pos="13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debt securities theretofore authenticated and delivered (other than (i) debt securities that have been destroyed, lost or wrongfully taken and that have been replaced or paid and (ii) debt securities for the payment of which money has theretofore been deposited in trust or segregated and held in trust by the Company and thereafter repaid to the Company or discharged from such trust) have been delivered to the Trustee for cancellation; or</w:t>
      </w:r>
    </w:p>
    <w:p>
      <w:pPr>
        <w:spacing w:after="0" w:line="75"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debt securities not theretofore delivered to the Trustee for cancellation</w:t>
      </w:r>
    </w:p>
    <w:p>
      <w:pPr>
        <w:spacing w:after="0" w:line="117" w:lineRule="exact"/>
        <w:rPr>
          <w:rFonts w:ascii="Times New Roman" w:cs="Times New Roman" w:eastAsia="Times New Roman" w:hAnsi="Times New Roman"/>
          <w:sz w:val="18"/>
          <w:szCs w:val="18"/>
          <w:color w:val="auto"/>
        </w:rPr>
      </w:pPr>
    </w:p>
    <w:p>
      <w:pPr>
        <w:ind w:left="1720" w:hanging="348"/>
        <w:spacing w:after="0"/>
        <w:tabs>
          <w:tab w:leader="none" w:pos="17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117" w:lineRule="exact"/>
        <w:rPr>
          <w:rFonts w:ascii="Times New Roman" w:cs="Times New Roman" w:eastAsia="Times New Roman" w:hAnsi="Times New Roman"/>
          <w:sz w:val="18"/>
          <w:szCs w:val="18"/>
          <w:color w:val="auto"/>
        </w:rPr>
      </w:pPr>
    </w:p>
    <w:p>
      <w:pPr>
        <w:ind w:left="1720" w:hanging="348"/>
        <w:spacing w:after="0"/>
        <w:tabs>
          <w:tab w:leader="none" w:pos="17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117" w:lineRule="exact"/>
        <w:rPr>
          <w:rFonts w:ascii="Times New Roman" w:cs="Times New Roman" w:eastAsia="Times New Roman" w:hAnsi="Times New Roman"/>
          <w:sz w:val="18"/>
          <w:szCs w:val="18"/>
          <w:color w:val="auto"/>
        </w:rPr>
      </w:pPr>
    </w:p>
    <w:p>
      <w:pPr>
        <w:ind w:left="1720" w:right="299" w:hanging="348"/>
        <w:spacing w:after="0" w:line="254" w:lineRule="auto"/>
        <w:tabs>
          <w:tab w:leader="none" w:pos="17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to be called for redemption within one year under arrangements satisfactory to the Trustee for the giving of notice of redemption by the Trustee in the name, and at the expense, of the Company, and the Company or a guarantor in the case of (i), (ii) or (iii) of subsection (B) above, has deposited or caused to be deposited with the Trustee as trust funds in trust for such purpose money in an amount sufficient to pay and discharge the entire indebtedness on such debt securities not theretofore delivered to the Trustee for cancellation, for principal and any premium and interest to the date of such deposit (in the case of debt securities that have become due and payable) or to the stated maturity or redemption date, as the case may be;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9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(if any) have paid or caused to be paid all other sums payable under the Indenture by the Company and the guarantors (if any) with respect to such debt securities; and</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(which opinion of counsel may be subject to customary assumptions and exclusions), each stating that all conditions precedent in the Indenture relating to the satisfaction and discharge of the Indenture with respect to such debt securities have been satisfied.</w:t>
      </w:r>
    </w:p>
    <w:p>
      <w:pPr>
        <w:spacing w:after="0" w:line="72" w:lineRule="exact"/>
        <w:rPr>
          <w:sz w:val="20"/>
          <w:szCs w:val="20"/>
          <w:color w:val="auto"/>
        </w:rPr>
      </w:pPr>
    </w:p>
    <w:p>
      <w:pPr>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Notwithstanding the satisfaction and discharge of the Indenture with respect to debt securities of any series, certain obligations of the Company and the Trustee listed in the Indenture shall survive such satisfaction and discharge.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Payments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We will pay interest, principal and other amounts payable with respect to the debt securities of any series to the holders of record of those debt securities as of the record dates and otherwise in the manner specified below or in the prospectus supplement for that series.</w:t>
      </w:r>
    </w:p>
    <w:p>
      <w:pPr>
        <w:spacing w:after="0" w:line="68"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will make payments on a global debt security in accordance with the applicable policies of the depositary as in effect from time to time. Under those policies, we will pay directly to the depositary, or its nominee, and not to any indirect owners who own beneficial interests in the global debt security. An indirect owner’s right to receive those payments will be governed by the rules and practices of the depositary and its participants.</w:t>
      </w:r>
    </w:p>
    <w:p>
      <w:pPr>
        <w:spacing w:after="0" w:line="72"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will make payments on a debt security in non-global, registered form as follows. We will pay interest that is due on an interest payment date by check mailed on the interest payment date to the holder at his or her address shown on the Trustee’s records as of the close of business on the regular record date. We will make all other payments by check at the paying agent described below, against surrender of the debt security. All payments by check will be made in next-day funds (i.e., funds that become available on the day after the check is cashed).</w:t>
      </w:r>
    </w:p>
    <w:p>
      <w:pPr>
        <w:spacing w:after="0" w:line="75"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Alternatively, if a non-global debt security has a face amount of at least $1,000,000 and the holder asks us to do so, we will pay any amount that becomes due on the debt security by wire transfer of immediately available funds to an account at a bank in the United States of America, on the due date. To request wire payment, the holder must give the paying agent appropriate wire transfer instructions at least five business days before the requested wire payment is due. In the case of any interest payment due on an interest payment date, the instructions must be given by the person or entity who is the holder on the relevant regular record date. In the case of any other payment, payment will be made only after the debt security is surrendered to the paying agent. Any wire instructions, once properly given, will remain in effect unless and until new instructions are given in the manner described above.</w:t>
      </w:r>
    </w:p>
    <w:p>
      <w:pPr>
        <w:spacing w:after="0" w:line="84"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Book-entry and other indirect owners should consult their banks or brokers for information on how they will receive payments on their debt securities.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Stockholders</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No past, present or future director, officer, employee, manager, member, partner, incorporator or stockholder of the Company or any guarantor, as such, will have any liability for any obligations of the Company or any guarantor under the debt securities or the Indenture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The Indenture is, and the debt securities (and any guarantees thereof) will be, governed by, and construed in accordance with, the laws of the State of New York.</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jc w:val="both"/>
        <w:ind w:left="300" w:right="799" w:firstLine="360"/>
        <w:spacing w:after="0" w:line="289" w:lineRule="auto"/>
        <w:rPr>
          <w:sz w:val="20"/>
          <w:szCs w:val="20"/>
          <w:color w:val="auto"/>
        </w:rPr>
      </w:pPr>
      <w:r>
        <w:rPr>
          <w:rFonts w:ascii="Times New Roman" w:cs="Times New Roman" w:eastAsia="Times New Roman" w:hAnsi="Times New Roman"/>
          <w:sz w:val="17"/>
          <w:szCs w:val="17"/>
          <w:color w:val="auto"/>
        </w:rPr>
        <w:t>The debt securities of any series may be guaranteed by one or more of our existing or future subsidiaries, including Diamondback E&amp;P LLC. However, the Indenture will not require that any of our existing or future subsidiaries be a guarantor of any series of debt securities and will permit the guarantors of any series 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419"/>
        <w:spacing w:after="0" w:line="266" w:lineRule="auto"/>
        <w:rPr>
          <w:sz w:val="20"/>
          <w:szCs w:val="20"/>
          <w:color w:val="auto"/>
        </w:rPr>
      </w:pPr>
      <w:r>
        <w:rPr>
          <w:rFonts w:ascii="Times New Roman" w:cs="Times New Roman" w:eastAsia="Times New Roman" w:hAnsi="Times New Roman"/>
          <w:sz w:val="18"/>
          <w:szCs w:val="18"/>
          <w:color w:val="auto"/>
        </w:rPr>
        <w:t>guaranteed debt securities to differ from the guarantors of any other series of guaranteed debt securities. If we issue a series of guaranteed debt securities, the identity of the specific guarantors of the debt securities of that series will be identified in the applicable prospectus supplement.</w:t>
      </w:r>
    </w:p>
    <w:p>
      <w:pPr>
        <w:spacing w:after="0" w:line="68"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If we issue a series of guaranteed debt securities, a description of some of the terms of guarantees of those debt securities will be set forth in the applicable prospectus supplement. Unless otherwise provided in the prospectus supplement relating to a series of guaranteed debt securities, each guarantor of the debt securities of such series will fully and unconditionally guarantee the due and punctual payment of the principal of, and premium, if any, and interest on each debt security of such series, all in accordance with the terms of such debt securities and the Indenture.</w:t>
      </w:r>
    </w:p>
    <w:p>
      <w:pPr>
        <w:spacing w:after="0" w:line="7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Notwithstanding the foregoing, unless otherwise provided in the prospectus supplement relating to a series of guaranteed debt securities, the Indenture will contain provisions intended to limit the obligations of each guarantor under its guarantees and the Indenture to the maximum amount as will, after giving effect to all other contingent and fixed liabilities of such guarantor, result in the obligations of such guarantor under such guarantees and such indenture not constituting a fraudulent conveyance or fraudulent transfer under applicable law. However, there can be no assurance that, notwithstanding such limitation, a court would not determine that a guarantee constituted a fraudulent conveyance or fraudulent transfer under applicable law. If that were to occur, the court could void the applicable guarantor’s obligations under that guarantee, subordinate that guarantee to other debt and other liabilities of that guarantor or take other action detrimental to holders of the debt securities of the applicable series, including directing the holders to return any payments received from the applicable guarantor.</w:t>
      </w:r>
    </w:p>
    <w:p>
      <w:pPr>
        <w:spacing w:after="0" w:line="86"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Unless otherwise provided in the prospectus supplement relating to a series of guaranteed debt securities, the Indenture will (i) provide that each guarantor will be released and discharged automatically and unconditionally from all its obligations under the Indenture and its guarantee with respect to a series of debt securities, and will cease to be a guarantor with respect to such debt securities, without any further action required on the part of the Trustee or any holder, (a) in the case of a guarantor that is a subsidiary of the Company, in the event the guarantor is sold or disposed of (whether by merger, consolidation, the sale of a sufficient amount of its (or an intermediate holding company’s) capital stock so that it no longer constitutes a “subsidiary” of ours or the sale of all or substantially all of its properties and assets on a consolidated basis (other than by lease)), and whether or not the guarantor is the surviving entity in such transaction, to a person that is not (and does not thereupon become) the Company or a subsidiary of the Company, (b) in connection with any covenant defeasance, legal defeasance or satisfaction and discharge of the debt securities of that series, or (c) if no Event of Default has occurred and is then continuing, upon the liquidation or dissolution of the guarantor and (ii) permit us to cause the guarantee of any guarantor of such debt securities to be released at any time if we satisfy such conditions, if any, as are specified in the prospectus supplement for such debt securities.</w:t>
      </w:r>
    </w:p>
    <w:p>
      <w:pPr>
        <w:spacing w:after="0" w:line="89"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relating to any series of guaranteed debt securities will specify other terms of the applicable guarantees.</w:t>
      </w:r>
    </w:p>
    <w:p>
      <w:pPr>
        <w:spacing w:after="0" w:line="54" w:lineRule="exact"/>
        <w:rPr>
          <w:sz w:val="20"/>
          <w:szCs w:val="20"/>
          <w:color w:val="auto"/>
        </w:rPr>
      </w:pPr>
    </w:p>
    <w:p>
      <w:pPr>
        <w:ind w:left="300" w:right="579" w:firstLine="360"/>
        <w:spacing w:after="0" w:line="258" w:lineRule="auto"/>
        <w:rPr>
          <w:sz w:val="20"/>
          <w:szCs w:val="20"/>
          <w:color w:val="auto"/>
        </w:rPr>
      </w:pPr>
      <w:r>
        <w:rPr>
          <w:rFonts w:ascii="Times New Roman" w:cs="Times New Roman" w:eastAsia="Times New Roman" w:hAnsi="Times New Roman"/>
          <w:sz w:val="18"/>
          <w:szCs w:val="18"/>
          <w:color w:val="auto"/>
        </w:rPr>
        <w:t>If the applicable prospectus supplement relating to a series of our debt securities provides that those debt securities will have the benefit of a guarantee by any or all of our existing or future subsidiaries, unless otherwise provided in the applicable prospectus supplement, each such guarantee will be the unsubordinated and unsecured obligation of the applicable guarantor and will rank equally in right of payment with all of the unsecured and unsubordinated indebtedness of such guarantor.</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Except as provided above under the heading “Payments” or as otherwise provided in the applicable prospectus supplement, all payments of principal of, premium, if any, and interest on, and all registration, transfer, exchange, authentication and delivery (including authentication and delivery on original issuance of the debt securities) of, the debt securities of a</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899"/>
        <w:spacing w:after="0" w:line="282" w:lineRule="auto"/>
        <w:rPr>
          <w:sz w:val="20"/>
          <w:szCs w:val="20"/>
          <w:color w:val="auto"/>
        </w:rPr>
      </w:pPr>
      <w:r>
        <w:rPr>
          <w:rFonts w:ascii="Times New Roman" w:cs="Times New Roman" w:eastAsia="Times New Roman" w:hAnsi="Times New Roman"/>
          <w:sz w:val="18"/>
          <w:szCs w:val="18"/>
          <w:color w:val="auto"/>
        </w:rPr>
        <w:t>series will be effected by the trustee with respect to that series at an office designated by the trustee, which is initially the corporate trust office of the Trustee in Minneapolis, Minnesota.</w:t>
      </w:r>
    </w:p>
    <w:p>
      <w:pPr>
        <w:spacing w:after="0" w:line="54"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Indenture does not prohibit the Trustee from serving as trustee under any other indenture to which we may be a party from time to time or from engaging in other transactions with us. If the Trustee acquires any conflicting interest within the meaning of the Trust Indenture Act and there is an event of default with respect to any series of debt securities, the Trustee must eliminate the conflict or resign.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common stock, certificate of incorporation and our bylaws are summaries thereof and are qualified by reference to our certificate of incorporation and our bylaws, copies of which have been filed with the SEC.</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our authorized capital stock consists of 400,000,000 shares of common stock, par value $0.01 per share, and 10,000,000 shares of preferred stock, par value $0.01 per share.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Holders of shares of common stock are entitled to one vote per share on all matters submitted to a vote of stockholders. Shares of common stock do not have cumulative voting rights, which means that the holders of more than 50% of the shares voting for the election of the board of directors can elect all the directors to be elected at that time, and, in such event, the holders of the remaining shares will be unable to elect any directors to be elected at that time. Our certificate of incorporation denies stockholders any preemptive rights to acquire or subscribe for any stock, obligation, warrant or other securities of ours. Holders of shares of our common stock have no redemption or conversion rights nor are they entitled to the benefits of any sinking fund provisions.</w:t>
      </w:r>
    </w:p>
    <w:p>
      <w:pPr>
        <w:spacing w:after="0" w:line="8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shares of common stock shall be entitled to receive, pro rata, all the remaining assets of our company available for distribution to our stockholders after payment of our debts and after there shall have been paid to or set aside for the holders of capital stock ranking senior to common stock in respect of rights upon liquidation, dissolution or winding up the full preferential amounts to which they are respectively entitled.</w:t>
      </w:r>
    </w:p>
    <w:p>
      <w:pPr>
        <w:spacing w:after="0" w:line="75"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Holders of record of shares of common stock are entitled to receive dividends when and if declared by the board of directors out of any assets legally available for such dividends, subject to both the rights of all outstanding shares of capital stock ranking senior to the common stock in respect of dividends and to any dividend restrictions contained in debt agreements. All outstanding shares of common stock and any shares sold and issued in this offering will be fully paid and nonassessable by us. As of November 16, 2022, there were 175,998,577 shares of our common stock outstanding.</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is authorized to issue up to 10,000,000 shares of preferred stock in one or more series.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 may fix for each series:</w:t>
      </w:r>
    </w:p>
    <w:p>
      <w:pPr>
        <w:spacing w:after="0" w:line="99" w:lineRule="exact"/>
        <w:rPr>
          <w:sz w:val="20"/>
          <w:szCs w:val="20"/>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distinctive serial designation and number of shares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and the right, if any, to elect a director or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office of any directors the holders of preferred shares are entitled to elect;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if any;</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redemption, and the amount of and provisions regarding any sinking fund for the purchase or redemption thereof;</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preferences and the amounts payable on dissolution or liquidation;</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under which shares of the series may or shall be converted into any other series or class of stock or debt of the corporation;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or provisions which the board of directors is legally authorized to fix or alter.</w:t>
      </w:r>
    </w:p>
    <w:p>
      <w:pPr>
        <w:spacing w:after="0" w:line="117"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do not need stockholder approval to issue or fix the terms of the preferred stock. The actual effect of the authorization of the preferred stock upon your rights as holders of common stock is unknown until our board of directors determines the specific rights of owners of any series of preferred stock. Depending upon the rights granted to any series of preferred stock, your voting power, liquidation preference or other rights could be adversely affected. Preferred stock may be issued in acquisitions or for other corporate purposes. Issuance in connection with a stockholder rights plan or other takeover defense could have the effect of making it more difficult for a third party to acquire, or of discouraging a third party from acquiring, control of our company. We currently have no outstanding preferred stock and have no present plans to issue any shares of preferred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Party Transactions and Corporate Opportunities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limitations of applicable law, our certificate of incorporation, among other things:</w:t>
      </w:r>
    </w:p>
    <w:p>
      <w:pPr>
        <w:spacing w:after="0" w:line="117" w:lineRule="exact"/>
        <w:rPr>
          <w:sz w:val="20"/>
          <w:szCs w:val="20"/>
          <w:color w:val="auto"/>
        </w:rPr>
      </w:pPr>
    </w:p>
    <w:p>
      <w:pPr>
        <w:ind w:left="1000" w:right="73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us to enter into transactions with entities in which one or more of our officers or directors are financially or otherwise interested so long as it has been approved by our board of directors;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certain of our stockholders, officers and directors, including our non-employee directors, to conduct business that competes with us and to make investments in any kind of property in which we may make investments; and</w:t>
      </w:r>
    </w:p>
    <w:p>
      <w:pPr>
        <w:spacing w:after="0" w:line="67" w:lineRule="exact"/>
        <w:rPr>
          <w:rFonts w:ascii="Times New Roman" w:cs="Times New Roman" w:eastAsia="Times New Roman" w:hAnsi="Times New Roman"/>
          <w:sz w:val="18"/>
          <w:szCs w:val="18"/>
          <w:color w:val="auto"/>
        </w:rPr>
      </w:pPr>
    </w:p>
    <w:p>
      <w:pPr>
        <w:ind w:left="1000" w:right="379" w:hanging="348"/>
        <w:spacing w:after="0" w:line="255"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if certain of our officers or directors, including our non-employee directors, becomes aware of a potential business opportunity, transaction or other matter (other than one expressly offered to that director or officer solely in his or her capacity as our director or officer), that director or officer will have no duty to communicate or offer that opportunity to us, and will be permitted to communicate or offer that opportunity to any other entity or individual and that director or officer will not be deemed to have (i) acted in a manner inconsistent with his or her fiduciary duty to us or our stockholders regarding the opportunity or (ii) acted in bad faith or in a manner inconsistent with our best interests.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Our Certificate of Incorporation and Our Bylaws</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Some provisions of our certificate of incorporation and our bylaws contain provisions that could make it more difficult to acquire us by means of a merger, tender offer, proxy contest or otherwise, or to remove our incumbent officers and directors. 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such proposals because negotiation of such proposals could result in an improvement of their terms.</w:t>
      </w:r>
    </w:p>
    <w:p>
      <w:pPr>
        <w:spacing w:after="0" w:line="80"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r>
        <w:rPr>
          <w:rFonts w:ascii="Times New Roman" w:cs="Times New Roman" w:eastAsia="Times New Roman" w:hAnsi="Times New Roman"/>
          <w:sz w:val="18"/>
          <w:szCs w:val="18"/>
          <w:color w:val="auto"/>
        </w:rPr>
        <w:t>. The ability to authorize and issue undesignated preferred stock may enable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to render more difficult or discourage an attempt to change control of us by means of a merger, tender offer, proxy contest or otherwise. For example, if in the due exercise of its fiduciary obligations, the board of directors were to determine that a takeover proposal is not in our best interest, the board of directors could cause shares of preferred stock to be issued without stockholder approval in one or more private offerings or other transactions that might dilute the voting or other rights of the proposed acquirer or insurgent stockholder or stockholder group.</w:t>
      </w:r>
    </w:p>
    <w:p>
      <w:pPr>
        <w:spacing w:after="0" w:line="75" w:lineRule="exact"/>
        <w:rPr>
          <w:sz w:val="20"/>
          <w:szCs w:val="20"/>
          <w:color w:val="auto"/>
        </w:rPr>
      </w:pPr>
    </w:p>
    <w:p>
      <w:pPr>
        <w:ind w:left="300" w:right="83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Stockholder meetings</w:t>
      </w:r>
      <w:r>
        <w:rPr>
          <w:rFonts w:ascii="Times New Roman" w:cs="Times New Roman" w:eastAsia="Times New Roman" w:hAnsi="Times New Roman"/>
          <w:sz w:val="18"/>
          <w:szCs w:val="18"/>
          <w:color w:val="auto"/>
        </w:rPr>
        <w:t>. Our certificate of incorporation and bylaws provide that a special meeting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may be called only by the Chairman of the Board, the Chief Executive Officer or by a resolution adopted by a majority of our board of directors, assuming there are no vacancies.</w:t>
      </w:r>
    </w:p>
    <w:p>
      <w:pPr>
        <w:spacing w:after="0" w:line="63" w:lineRule="exact"/>
        <w:rPr>
          <w:sz w:val="20"/>
          <w:szCs w:val="20"/>
          <w:color w:val="auto"/>
        </w:rPr>
      </w:pPr>
    </w:p>
    <w:p>
      <w:pPr>
        <w:ind w:left="300" w:right="59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r>
        <w:rPr>
          <w:rFonts w:ascii="Times New Roman" w:cs="Times New Roman" w:eastAsia="Times New Roman" w:hAnsi="Times New Roman"/>
          <w:sz w:val="18"/>
          <w:szCs w:val="18"/>
          <w:color w:val="auto"/>
        </w:rPr>
        <w:t>. Our bylaws establish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 notice procedures with respect to stockholder proposals and the nomination of candidates for election as directors, other than nominations made by or at the direction of the board of directors, as well as procedures and other requirements addressing the universal proxy rules adopted by the SEC.</w:t>
      </w:r>
    </w:p>
    <w:p>
      <w:pPr>
        <w:spacing w:after="0" w:line="68" w:lineRule="exact"/>
        <w:rPr>
          <w:sz w:val="20"/>
          <w:szCs w:val="20"/>
          <w:color w:val="auto"/>
        </w:rPr>
      </w:pPr>
    </w:p>
    <w:p>
      <w:pPr>
        <w:ind w:left="300" w:right="319" w:firstLine="36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Stockholder action by written consent</w:t>
      </w:r>
      <w:r>
        <w:rPr>
          <w:rFonts w:ascii="Times New Roman" w:cs="Times New Roman" w:eastAsia="Times New Roman" w:hAnsi="Times New Roman"/>
          <w:sz w:val="17"/>
          <w:szCs w:val="17"/>
          <w:color w:val="auto"/>
        </w:rPr>
        <w:t>. Our certificate of incorporation provides that, except as may otherwise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 provided with respect to the rights of the holders of preferred stock, no action that is required or permitted to be taken by our stockholders at any annual or special meeting may be effected by written consent of stockholders in lieu of a meeting of stockholders, unless the action to be effected by written consent of stockholders and the taking of such action by such written consent have expressly been approved in advance by our board. This provision, which may not be amended except by the affirmative vote of at least 662∕3% of the voting power of all then outstanding shares of capital stock entitled to vote generally in the election of directors, voting together as a single class, makes it difficult for stockholders to initiate or effect an action by written consent that is opposed by our board.</w:t>
      </w:r>
    </w:p>
    <w:p>
      <w:pPr>
        <w:spacing w:after="0" w:line="64"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Amendment of the bylaws</w:t>
      </w:r>
      <w:r>
        <w:rPr>
          <w:rFonts w:ascii="Times New Roman" w:cs="Times New Roman" w:eastAsia="Times New Roman" w:hAnsi="Times New Roman"/>
          <w:sz w:val="18"/>
          <w:szCs w:val="18"/>
          <w:color w:val="auto"/>
        </w:rPr>
        <w:t>. Under Delaware law, the power to adopt, amend or repeal bylaws is conferred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stockholders. A corporation may, however, in its certificate of incorporation also confer upon the board of directors the power to adopt, amend or repeal its bylaws. Our certificate of incorporation and bylaws grant our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board the power to adopt, amend and repeal our bylaws at any regular or special meeting of the board on the affirmative vote of a majority of the directors, assuming there are no vacancies. Our stockholders may adopt, amend or repeal our bylaws but only at any regular or special meeting of stockholders by an affirmative vote of holders of at least 662∕3% of the voting power of all then outstanding shares of capital stock entitled to vote generally in the election of directors, voting together as a single class.</w:t>
      </w:r>
    </w:p>
    <w:p>
      <w:pPr>
        <w:spacing w:after="0" w:line="71" w:lineRule="exact"/>
        <w:rPr>
          <w:sz w:val="20"/>
          <w:szCs w:val="20"/>
          <w:color w:val="auto"/>
        </w:rPr>
      </w:pPr>
    </w:p>
    <w:p>
      <w:pPr>
        <w:ind w:left="300" w:right="37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Removal of Director</w:t>
      </w:r>
      <w:r>
        <w:rPr>
          <w:rFonts w:ascii="Times New Roman" w:cs="Times New Roman" w:eastAsia="Times New Roman" w:hAnsi="Times New Roman"/>
          <w:sz w:val="18"/>
          <w:szCs w:val="18"/>
          <w:color w:val="auto"/>
        </w:rPr>
        <w:t>. Our certificate of incorporation provide that members of our board of directors may only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removed by the affirmative vote of holders of at least 662∕3% of the voting power of all then outstanding shares of capital stock entitled to vote generally in the election of directors, voting together as a single class.</w:t>
      </w:r>
    </w:p>
    <w:p>
      <w:pPr>
        <w:spacing w:after="0" w:line="63"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Amendment of the Certificate of Incorporation</w:t>
      </w:r>
      <w:r>
        <w:rPr>
          <w:rFonts w:ascii="Times New Roman" w:cs="Times New Roman" w:eastAsia="Times New Roman" w:hAnsi="Times New Roman"/>
          <w:sz w:val="18"/>
          <w:szCs w:val="18"/>
          <w:color w:val="auto"/>
        </w:rPr>
        <w:t>. Our certificate of incorporation provides that, in addition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other vote that may be required by law or any preferred stock designation, the affirmative vote of the holders of at least 662∕3% of the voting power of all then outstanding shares of capital stock entitled to vote generally in the election of directors, voting together as a single class, is required to amend, alter or repeal, or adopt any provision as part of our certificate of incorporation inconsistent with the provisions of our certificate of incorporation dealing with distributions on our common stock, related party transactions, our board of directors, our bylaws, meetings of our stockholders or amendment of our certificate of incorporation.</w:t>
      </w:r>
    </w:p>
    <w:p>
      <w:pPr>
        <w:spacing w:after="0" w:line="7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Additionally, an increase in the number of authorized shares of our common stock, could be used to make it more difficult to, or discourage an attempt to, obtain control of our company by means of a takeover bid that our board of directors determines is not in our best interests or the best interests of our stockholders. However, our board of directors does not intend or view the proposed increase in authorized common stock as an anti-takeover measure and did not propose the increase in response to any attempt or plan to obtain control of the company.</w:t>
      </w:r>
    </w:p>
    <w:p>
      <w:pPr>
        <w:spacing w:after="0" w:line="75"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provisions of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which stockholders may otherwise deem to be in their best interests.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left="300" w:right="459" w:firstLine="36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or the DGCL, or our certificate of incorporation or bylaws; or (iv) any action asserting a claim against us pertaining to internal affairs of our corporation. Our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certificate of incorporation is inapplicable or unenforceable if it is challenged in a proceeding or otherwise.</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“FANG.”</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Computershare Trust Company, National Association is the transfer agent and registrar for our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We may sell the securities in and outside the United States (1) through underwriters or dealers, (2) directly to purchasers, (3) through agents or (4) a combination of any of these methods. The prospectus supplement will set forth the following information:</w:t>
      </w:r>
    </w:p>
    <w:p>
      <w:pPr>
        <w:spacing w:after="0" w:line="68" w:lineRule="exact"/>
        <w:rPr>
          <w:sz w:val="20"/>
          <w:szCs w:val="20"/>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to be issued by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from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we will receive from the sale of the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21" w:lineRule="exact"/>
        <w:rPr>
          <w:sz w:val="20"/>
          <w:szCs w:val="20"/>
          <w:color w:val="auto"/>
        </w:rPr>
      </w:pPr>
    </w:p>
    <w:p>
      <w:pPr>
        <w:ind w:left="300" w:right="459" w:firstLine="360"/>
        <w:spacing w:after="0" w:line="253" w:lineRule="auto"/>
        <w:rPr>
          <w:sz w:val="20"/>
          <w:szCs w:val="20"/>
          <w:color w:val="auto"/>
        </w:rPr>
      </w:pPr>
      <w:r>
        <w:rPr>
          <w:rFonts w:ascii="Times New Roman" w:cs="Times New Roman" w:eastAsia="Times New Roman" w:hAnsi="Times New Roman"/>
          <w:sz w:val="18"/>
          <w:szCs w:val="18"/>
          <w:color w:val="auto"/>
        </w:rPr>
        <w:t>If we use underwriters in the sale of the securities,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certain conditions, and the underwriters will be obligated to purchase all the securities if they purchase any of them. The underwriters may sell securities to or through dealers, and the dealers may receive compensation in the form of discounts, concessions or commissions from the underwriters and/or commissions from the purchasers for whom they may act as agent. The underwriters may change from time to time the public offering price and any discounts, concessions or commissions allowed or reallowed or paid to dealers.</w:t>
      </w:r>
    </w:p>
    <w:p>
      <w:pPr>
        <w:spacing w:after="0" w:line="84"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securities, which may be higher than the price that might otherwise prevail in the open market. If commenced, these activities may be discontinued at any time.</w:t>
      </w:r>
    </w:p>
    <w:p>
      <w:pPr>
        <w:spacing w:after="0" w:line="8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If we use dealers in the sale of securities, we may sell the securities to them as principals. They may then resell those securities to the public at varying prices determined by the dealers at the time of resale. The dealers participating in any sale of the securities may be deemed to be underwriters within the meaning of the Securities Act with respect to any sale of these securities. We will include in the prospectus supplement the names of the dealers and the terms of the transaction.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2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may sell the securities directly. In that event, no underwriters or agents would be involved. We may also sell the securities through agents we designate from time to time. In addition, we may offer securities through at-the-market transactions. In the prospectus supplement, we will name any agent involved in the offer or sale of the securities, and we will describe any commissions payable by us to the agent. Unless we inform you otherwise in the prospectus supplement, any agent will agree to use its reasonable best efforts to solicit purchases for the period of its appointment.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121" w:lineRule="exact"/>
        <w:rPr>
          <w:sz w:val="20"/>
          <w:szCs w:val="20"/>
          <w:color w:val="auto"/>
        </w:rPr>
      </w:pPr>
    </w:p>
    <w:p>
      <w:pPr>
        <w:ind w:left="300" w:right="599" w:firstLine="360"/>
        <w:spacing w:after="0" w:line="258" w:lineRule="auto"/>
        <w:rPr>
          <w:sz w:val="20"/>
          <w:szCs w:val="20"/>
          <w:color w:val="auto"/>
        </w:rPr>
      </w:pPr>
      <w:r>
        <w:rPr>
          <w:rFonts w:ascii="Times New Roman" w:cs="Times New Roman" w:eastAsia="Times New Roman" w:hAnsi="Times New Roman"/>
          <w:sz w:val="18"/>
          <w:szCs w:val="18"/>
          <w:color w:val="auto"/>
        </w:rPr>
        <w:t>If we so indicate in the prospectus supplement, we may authorize agents, underwriters or dealers to solicit offers from selected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300" w:right="699" w:firstLine="360"/>
        <w:spacing w:after="0" w:line="281" w:lineRule="auto"/>
        <w:rPr>
          <w:sz w:val="20"/>
          <w:szCs w:val="20"/>
          <w:color w:val="auto"/>
        </w:rPr>
      </w:pPr>
      <w:r>
        <w:rPr>
          <w:rFonts w:ascii="Times New Roman" w:cs="Times New Roman" w:eastAsia="Times New Roman" w:hAnsi="Times New Roman"/>
          <w:sz w:val="17"/>
          <w:szCs w:val="17"/>
          <w:color w:val="auto"/>
        </w:rPr>
        <w:t>We may have agreements with firms, agents, dealers and underwriters to indemnify them against civil liabilities, including liabilities under the Securities Act, or to contribute with respect to payments that the firms, agents, dealers or underwriters may be required to make. Such firms, agents, dealers and underwriters may be customers of, engage in transactions with or perform services for us in the ordinary course of their businesses.</w:t>
      </w:r>
    </w:p>
    <w:p>
      <w:pPr>
        <w:spacing w:after="0" w:line="56" w:lineRule="exact"/>
        <w:rPr>
          <w:sz w:val="20"/>
          <w:szCs w:val="20"/>
          <w:color w:val="auto"/>
        </w:rPr>
      </w:pPr>
    </w:p>
    <w:p>
      <w:pPr>
        <w:ind w:left="300" w:right="459" w:firstLine="360"/>
        <w:spacing w:after="0" w:line="277" w:lineRule="auto"/>
        <w:rPr>
          <w:sz w:val="20"/>
          <w:szCs w:val="20"/>
          <w:color w:val="auto"/>
        </w:rPr>
      </w:pPr>
      <w:r>
        <w:rPr>
          <w:rFonts w:ascii="Times New Roman" w:cs="Times New Roman" w:eastAsia="Times New Roman" w:hAnsi="Times New Roman"/>
          <w:sz w:val="17"/>
          <w:szCs w:val="17"/>
          <w:color w:val="auto"/>
        </w:rPr>
        <w:t>Each series of securities will be a new issue, and other than our common stock, which is listed The NASDAQ Global Select Market, will have no established trading market. We may elect to list any series of securities on an exchange, but we are not obligated to do so. It is possible that one or more underwriters may make a market in a series of securities. However, they will not be obligated to do so and may discontinue market making at any time without notice. We cannot assure you that a liquid trading market for any of our securities will develop.</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covering the securities offered by this prospectus. This prospectus does not contain all of the information that you can find in that registration statement and its exhibits. Certain items are omitted from this prospectus in accordance with the rules and regulations of the SEC. For further information with respect to us and the securities offered by this prospectus, reference is made to the registration statement and the exhibits filed with the registration statement. Statements contained in this prospectus as to the contents of any contract or other document referred to are not necessarily complete and in each instance such statement is qualified by reference to each such contract or document filed with or incorporated by reference as part of the registration statement. We file reports, proxy and information statements and other information with the SEC. The SEC maintains an Internet site that contains reports, proxy and information statements and other information regarding registrants that file electronically with the SEC. The address of the site is http://www.sec.gov. The registration statement, including all exhibits thereto and amendments thereof, has been filed electronically with the SEC.</w:t>
      </w:r>
    </w:p>
    <w:p>
      <w:pPr>
        <w:spacing w:after="0" w:line="82"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You can also find our SEC filings on our website at www.diamondbackenergy.com. The information contained on our website or any other website is not incorporated by reference into this prospectus and does not constitute a part of this prospectus.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we provide in other documents filed by us with the SEC. The information incorporated by reference is an important part of this prospectus and any prospectus supplement. Any statement contained in a document that is incorporated by reference in this prospectus is automatically updated and superseded if information contained in this prospectus and any prospectus supplement, or information that we later file with the SEC, modifies and replaces this information. We incorporate by reference the following documents that we have filed with the SEC (except as indicated below with respect to Item 2.02 or Item 7.01 of Form 8-K):</w:t>
      </w:r>
    </w:p>
    <w:p>
      <w:pPr>
        <w:spacing w:after="0" w:line="81" w:lineRule="exact"/>
        <w:rPr>
          <w:sz w:val="20"/>
          <w:szCs w:val="20"/>
          <w:color w:val="auto"/>
        </w:rPr>
      </w:pPr>
    </w:p>
    <w:p>
      <w:pPr>
        <w:ind w:left="1000" w:right="1139" w:hanging="348"/>
        <w:spacing w:after="0" w:line="282" w:lineRule="auto"/>
        <w:tabs>
          <w:tab w:leader="none" w:pos="1000" w:val="left"/>
        </w:tabs>
        <w:numPr>
          <w:ilvl w:val="0"/>
          <w:numId w:val="4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year ended December 31, 2021, filed with the SEC on </w:t>
      </w:r>
      <w:hyperlink r:id="rId72">
        <w:r>
          <w:rPr>
            <w:rFonts w:ascii="Times New Roman" w:cs="Times New Roman" w:eastAsia="Times New Roman" w:hAnsi="Times New Roman"/>
            <w:sz w:val="18"/>
            <w:szCs w:val="18"/>
            <w:u w:val="single" w:color="auto"/>
            <w:color w:val="0000EE"/>
          </w:rPr>
          <w:t>February 24, 2022</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jc w:val="both"/>
        <w:ind w:left="1000" w:right="379" w:hanging="348"/>
        <w:spacing w:after="0" w:line="26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fiscal year ended </w:t>
      </w:r>
      <w:hyperlink r:id="rId72">
        <w:r>
          <w:rPr>
            <w:rFonts w:ascii="Times New Roman" w:cs="Times New Roman" w:eastAsia="Times New Roman" w:hAnsi="Times New Roman"/>
            <w:sz w:val="18"/>
            <w:szCs w:val="18"/>
            <w:u w:val="single" w:color="auto"/>
            <w:color w:val="0000EE"/>
          </w:rPr>
          <w:t>December 31,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from our Definitive Proxy Statement on Schedule 14A, filed with the SEC on </w:t>
      </w:r>
      <w:hyperlink r:id="rId98">
        <w:r>
          <w:rPr>
            <w:rFonts w:ascii="Times New Roman" w:cs="Times New Roman" w:eastAsia="Times New Roman" w:hAnsi="Times New Roman"/>
            <w:sz w:val="18"/>
            <w:szCs w:val="18"/>
            <w:u w:val="single" w:color="auto"/>
            <w:color w:val="0000EE"/>
          </w:rPr>
          <w:t>April 28, 2022</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March 31, 2022, June 30, 2022 and September 30, 2022, filed with the SEC on </w:t>
      </w:r>
      <w:hyperlink r:id="rId73">
        <w:r>
          <w:rPr>
            <w:rFonts w:ascii="Times New Roman" w:cs="Times New Roman" w:eastAsia="Times New Roman" w:hAnsi="Times New Roman"/>
            <w:sz w:val="18"/>
            <w:szCs w:val="18"/>
            <w:u w:val="single" w:color="auto"/>
            <w:color w:val="0000EE"/>
          </w:rPr>
          <w:t>May 5, 2022</w:t>
        </w:r>
      </w:hyperlink>
      <w:r>
        <w:rPr>
          <w:rFonts w:ascii="Times New Roman" w:cs="Times New Roman" w:eastAsia="Times New Roman" w:hAnsi="Times New Roman"/>
          <w:sz w:val="18"/>
          <w:szCs w:val="18"/>
          <w:color w:val="auto"/>
        </w:rPr>
        <w:t xml:space="preserve">, </w:t>
      </w:r>
      <w:hyperlink r:id="rId74">
        <w:r>
          <w:rPr>
            <w:rFonts w:ascii="Times New Roman" w:cs="Times New Roman" w:eastAsia="Times New Roman" w:hAnsi="Times New Roman"/>
            <w:sz w:val="18"/>
            <w:szCs w:val="18"/>
            <w:u w:val="single" w:color="auto"/>
            <w:color w:val="0000EE"/>
          </w:rPr>
          <w:t>August 3,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5">
        <w:r>
          <w:rPr>
            <w:rFonts w:ascii="Times New Roman" w:cs="Times New Roman" w:eastAsia="Times New Roman" w:hAnsi="Times New Roman"/>
            <w:sz w:val="18"/>
            <w:szCs w:val="18"/>
            <w:u w:val="single" w:color="auto"/>
            <w:color w:val="0000EE"/>
          </w:rPr>
          <w:t>November 8, 2022</w:t>
        </w:r>
      </w:hyperlink>
      <w:r>
        <w:rPr>
          <w:rFonts w:ascii="Times New Roman" w:cs="Times New Roman" w:eastAsia="Times New Roman" w:hAnsi="Times New Roman"/>
          <w:sz w:val="18"/>
          <w:szCs w:val="18"/>
          <w:color w:val="auto"/>
        </w:rPr>
        <w:t>, respectively;</w:t>
      </w:r>
    </w:p>
    <w:p>
      <w:pPr>
        <w:spacing w:after="0" w:line="6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4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99">
        <w:r>
          <w:rPr>
            <w:rFonts w:ascii="Times New Roman" w:cs="Times New Roman" w:eastAsia="Times New Roman" w:hAnsi="Times New Roman"/>
            <w:sz w:val="18"/>
            <w:szCs w:val="18"/>
            <w:u w:val="single" w:color="auto"/>
            <w:color w:val="0000EE"/>
          </w:rPr>
          <w:t>March 9, 2022</w:t>
        </w:r>
      </w:hyperlink>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u w:val="single" w:color="auto"/>
            <w:color w:val="0000EE"/>
          </w:rPr>
          <w:t>March 17, 2022</w:t>
        </w:r>
      </w:hyperlink>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u w:val="single" w:color="auto"/>
            <w:color w:val="0000EE"/>
          </w:rPr>
          <w:t>March 24, 2022</w:t>
        </w:r>
      </w:hyperlink>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u w:val="single" w:color="auto"/>
            <w:color w:val="0000EE"/>
          </w:rPr>
          <w:t>May 16,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3">
        <w:r>
          <w:rPr>
            <w:rFonts w:ascii="Times New Roman" w:cs="Times New Roman" w:eastAsia="Times New Roman" w:hAnsi="Times New Roman"/>
            <w:sz w:val="18"/>
            <w:szCs w:val="18"/>
            <w:u w:val="single" w:color="auto"/>
            <w:color w:val="0000EE"/>
          </w:rPr>
          <w:t>June 7,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4">
        <w:r>
          <w:rPr>
            <w:rFonts w:ascii="Times New Roman" w:cs="Times New Roman" w:eastAsia="Times New Roman" w:hAnsi="Times New Roman"/>
            <w:sz w:val="18"/>
            <w:szCs w:val="18"/>
            <w:u w:val="single" w:color="auto"/>
            <w:color w:val="0000EE"/>
          </w:rPr>
          <w:t>June 14,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5">
        <w:r>
          <w:rPr>
            <w:rFonts w:ascii="Times New Roman" w:cs="Times New Roman" w:eastAsia="Times New Roman" w:hAnsi="Times New Roman"/>
            <w:sz w:val="18"/>
            <w:szCs w:val="18"/>
            <w:u w:val="single" w:color="auto"/>
            <w:color w:val="0000EE"/>
          </w:rPr>
          <w:t xml:space="preserve">July 11, 2022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Item 7.01),</w:t>
      </w:r>
      <w:r>
        <w:rPr>
          <w:rFonts w:ascii="Times New Roman" w:cs="Times New Roman" w:eastAsia="Times New Roman" w:hAnsi="Times New Roman"/>
          <w:sz w:val="18"/>
          <w:szCs w:val="18"/>
          <w:color w:val="0000EE"/>
        </w:rPr>
        <w:t xml:space="preserve"> </w:t>
      </w:r>
      <w:hyperlink r:id="rId106">
        <w:r>
          <w:rPr>
            <w:rFonts w:ascii="Times New Roman" w:cs="Times New Roman" w:eastAsia="Times New Roman" w:hAnsi="Times New Roman"/>
            <w:sz w:val="18"/>
            <w:szCs w:val="18"/>
            <w:u w:val="single" w:color="auto"/>
            <w:color w:val="0000EE"/>
          </w:rPr>
          <w:t>October 3,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7">
        <w:r>
          <w:rPr>
            <w:rFonts w:ascii="Times New Roman" w:cs="Times New Roman" w:eastAsia="Times New Roman" w:hAnsi="Times New Roman"/>
            <w:sz w:val="18"/>
            <w:szCs w:val="18"/>
            <w:u w:val="single" w:color="auto"/>
            <w:color w:val="0000EE"/>
          </w:rPr>
          <w:t>October 12,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8">
        <w:r>
          <w:rPr>
            <w:rFonts w:ascii="Times New Roman" w:cs="Times New Roman" w:eastAsia="Times New Roman" w:hAnsi="Times New Roman"/>
            <w:sz w:val="18"/>
            <w:szCs w:val="18"/>
            <w:u w:val="single" w:color="auto"/>
            <w:color w:val="0000EE"/>
          </w:rPr>
          <w:t>October 20,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9">
        <w:r>
          <w:rPr>
            <w:rFonts w:ascii="Times New Roman" w:cs="Times New Roman" w:eastAsia="Times New Roman" w:hAnsi="Times New Roman"/>
            <w:sz w:val="18"/>
            <w:szCs w:val="18"/>
            <w:u w:val="single" w:color="auto"/>
            <w:color w:val="0000EE"/>
          </w:rPr>
          <w:t xml:space="preserve">October 28,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10">
        <w:r>
          <w:rPr>
            <w:rFonts w:ascii="Times New Roman" w:cs="Times New Roman" w:eastAsia="Times New Roman" w:hAnsi="Times New Roman"/>
            <w:sz w:val="18"/>
            <w:szCs w:val="18"/>
            <w:u w:val="single" w:color="auto"/>
            <w:color w:val="0000EE"/>
          </w:rPr>
          <w:t xml:space="preserve">November 7, 2022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Item 2.02); and</w:t>
      </w:r>
    </w:p>
    <w:p>
      <w:pPr>
        <w:spacing w:after="0" w:line="67" w:lineRule="exact"/>
        <w:rPr>
          <w:rFonts w:ascii="Times New Roman" w:cs="Times New Roman" w:eastAsia="Times New Roman" w:hAnsi="Times New Roman"/>
          <w:sz w:val="18"/>
          <w:szCs w:val="18"/>
          <w:color w:val="0000EE"/>
        </w:rPr>
      </w:pPr>
    </w:p>
    <w:p>
      <w:pPr>
        <w:ind w:left="1000" w:right="43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Exhibit 4.6 to our Registration Statement on Form S-8, File No. 333-257561, filed with the SEC on </w:t>
      </w:r>
      <w:hyperlink r:id="rId111">
        <w:r>
          <w:rPr>
            <w:rFonts w:ascii="Times New Roman" w:cs="Times New Roman" w:eastAsia="Times New Roman" w:hAnsi="Times New Roman"/>
            <w:sz w:val="18"/>
            <w:szCs w:val="18"/>
            <w:u w:val="single" w:color="auto"/>
            <w:color w:val="0000EE"/>
          </w:rPr>
          <w:t>June 30, 2021</w:t>
        </w:r>
      </w:hyperlink>
      <w:r>
        <w:rPr>
          <w:rFonts w:ascii="Times New Roman" w:cs="Times New Roman" w:eastAsia="Times New Roman" w:hAnsi="Times New Roman"/>
          <w:sz w:val="18"/>
          <w:szCs w:val="18"/>
          <w:color w:val="auto"/>
        </w:rPr>
        <w:t>.</w:t>
      </w:r>
    </w:p>
    <w:p>
      <w:pPr>
        <w:spacing w:after="0" w:line="54" w:lineRule="exact"/>
        <w:rPr>
          <w:rFonts w:ascii="Times New Roman" w:cs="Times New Roman" w:eastAsia="Times New Roman" w:hAnsi="Times New Roman"/>
          <w:sz w:val="18"/>
          <w:szCs w:val="18"/>
          <w:color w:val="0000EE"/>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In addition, all documents filed by us with the SEC under Sections 13(a), 13(c), 14 or 15(d) of the Exchange Act (other than those furnished pursuant to Item 2.02 or Item 7.01 of Form 8-K, unless otherwise stated therein) after the date of this prospectus and prior to the filing of a post-effective amendment that indicates that all securities offered hereby have been sold or that deregisters all securities remaining unsold, will be considered to be incorporated by reference into this prospectus and to be a part of this prospectus from the dates of the filing of such documents. Pursuant to General Instruction B of Form 8-K, any information submitted under Item 2.02, Results of Operations and Financial Condition, or Item 7.01, Regulation FD Disclosure, of Form 8-K is not deemed to be “filed” for the purpose of Section 18 of the Exchange Act, and we are not subject to the liabilities of Section 18 of the Exchange Act with respect to information submitted under Item 2.02 or Item 7.01 of Form 8-K. We are not incorporating by reference any information submitted under Item 2.02 or Item 7.01 of Form 8-K into any filing under the Securities Act or the Exchange Act or into this prospectus or any prospectus supplement, unless otherwise indicated on such Form 8-K.</w:t>
      </w:r>
    </w:p>
    <w:p>
      <w:pPr>
        <w:spacing w:after="0" w:line="82" w:lineRule="exact"/>
        <w:rPr>
          <w:rFonts w:ascii="Times New Roman" w:cs="Times New Roman" w:eastAsia="Times New Roman" w:hAnsi="Times New Roman"/>
          <w:sz w:val="18"/>
          <w:szCs w:val="18"/>
          <w:color w:val="0000EE"/>
        </w:rPr>
      </w:pPr>
    </w:p>
    <w:p>
      <w:pPr>
        <w:ind w:left="300" w:right="659" w:firstLine="360"/>
        <w:spacing w:after="0" w:line="261"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documents incorporated by reference, including any exhibits to such documents. You should direct any requests for documents to</w:t>
      </w:r>
    </w:p>
    <w:p>
      <w:pPr>
        <w:ind w:left="300" w:right="419"/>
        <w:spacing w:after="0" w:line="260" w:lineRule="auto"/>
        <w:rPr>
          <w:sz w:val="20"/>
          <w:szCs w:val="20"/>
          <w:color w:val="auto"/>
        </w:rPr>
      </w:pPr>
      <w:r>
        <w:rPr>
          <w:rFonts w:ascii="Times New Roman" w:cs="Times New Roman" w:eastAsia="Times New Roman" w:hAnsi="Times New Roman"/>
          <w:sz w:val="18"/>
          <w:szCs w:val="18"/>
          <w:color w:val="auto"/>
        </w:rPr>
        <w:t>Teresa L. Dick, Executive Vice President, Chief Accounting Officer and Assistant Secretary, Diamondback Energy, Inc., 515 Central Park Drive, Suite 100, Oklahoma City, Oklahoma 73105; telephone: (405) 463-6900.</w:t>
      </w:r>
    </w:p>
    <w:p>
      <w:pPr>
        <w:spacing w:after="0" w:line="73" w:lineRule="exact"/>
        <w:rPr>
          <w:rFonts w:ascii="Times New Roman" w:cs="Times New Roman" w:eastAsia="Times New Roman" w:hAnsi="Times New Roman"/>
          <w:sz w:val="18"/>
          <w:szCs w:val="18"/>
          <w:color w:val="0000EE"/>
        </w:rPr>
      </w:pPr>
    </w:p>
    <w:p>
      <w:pPr>
        <w:ind w:left="300" w:right="759" w:firstLine="360"/>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17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to be offered hereby offered by us will be passed upon by Akin Gump Strauss Hauer &amp; Feld LLP. If legal matters in connection with offerings made by this prospectus are passed on by counsel for the underwriters, dealers or agents, if any, that counsel will be named in the applicable prospectus supplement.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audited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72"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Information incorporated by reference in this prospectus regarding estimated quantities of proved reserves, future production and income attributable to certain leasehold and royalty interests of Diamondback Energy, Inc. is based upon estimates of such reserves, future production and income prepared by Ryder Scott Company, L.P, an independent petroleum engineering firm, as of December 31, 2021, 2020 and 2019. This information is incorporated by reference in this prospectus in reliance upon the authority of such firm as experts in these matters.</w:t>
      </w:r>
    </w:p>
    <w:p>
      <w:pPr>
        <w:spacing w:after="0" w:line="75"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Information incorporated by reference in this prospectus regarding estimated quantities of proved reserves, future production and income attributable to certain royalty interests of Viper Energy Partners LP, a subsidiary of Diamondback Energy, Inc., is based upon estimates of such reserves, future production and income prepared by Ryder Scott Company, L.P., an independent petroleum engineering firm, as of December 31, 2021, 2020 and 2019. This information is incorporated by reference in this prospectus in reliance upon the authority of such firm as experts in these matters.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 xml:space="preserve">$             </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Diamondback Energy, Inc.</w:t>
      </w:r>
    </w:p>
    <w:p>
      <w:pPr>
        <w:spacing w:after="0" w:line="3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xml:space="preserve">            % Senior Notes due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PRELIMINARY PROSPECTUS SUPPLEMENT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400" w:type="dxa"/>
        <w:tblCellMar>
          <w:top w:w="0" w:type="dxa"/>
          <w:left w:w="0" w:type="dxa"/>
          <w:bottom w:w="0" w:type="dxa"/>
          <w:right w:w="0" w:type="dxa"/>
        </w:tblCellMar>
      </w:tblPr>
      <w:tr>
        <w:trPr>
          <w:trHeight w:val="236"/>
        </w:trPr>
        <w:tc>
          <w:tcPr>
            <w:tcW w:w="1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tc>
        <w:tc>
          <w:tcPr>
            <w:tcW w:w="2300" w:type="dxa"/>
            <w:vAlign w:val="bottom"/>
          </w:tcPr>
          <w:p>
            <w:pPr>
              <w:spacing w:after="0"/>
              <w:rPr>
                <w:sz w:val="20"/>
                <w:szCs w:val="20"/>
                <w:color w:val="auto"/>
              </w:rPr>
            </w:pPr>
          </w:p>
        </w:tc>
      </w:tr>
      <w:tr>
        <w:trPr>
          <w:trHeight w:val="455"/>
        </w:trPr>
        <w:tc>
          <w:tcPr>
            <w:tcW w:w="17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BofA Securities</w:t>
            </w:r>
          </w:p>
        </w:tc>
        <w:tc>
          <w:tcPr>
            <w:tcW w:w="12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Barclays</w:t>
            </w:r>
          </w:p>
        </w:tc>
        <w:tc>
          <w:tcPr>
            <w:tcW w:w="2940" w:type="dxa"/>
            <w:vAlign w:val="bottom"/>
          </w:tcPr>
          <w:p>
            <w:pPr>
              <w:ind w:left="1260"/>
              <w:spacing w:after="0"/>
              <w:rPr>
                <w:sz w:val="20"/>
                <w:szCs w:val="20"/>
                <w:color w:val="auto"/>
              </w:rPr>
            </w:pPr>
            <w:r>
              <w:rPr>
                <w:rFonts w:ascii="Times New Roman" w:cs="Times New Roman" w:eastAsia="Times New Roman" w:hAnsi="Times New Roman"/>
                <w:sz w:val="22"/>
                <w:szCs w:val="22"/>
                <w:b w:val="1"/>
                <w:bCs w:val="1"/>
                <w:color w:val="auto"/>
              </w:rPr>
              <w:t>PNC Capital</w:t>
            </w:r>
          </w:p>
        </w:tc>
        <w:tc>
          <w:tcPr>
            <w:tcW w:w="230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TD Securities</w:t>
            </w:r>
          </w:p>
        </w:tc>
      </w:tr>
      <w:tr>
        <w:trPr>
          <w:trHeight w:val="286"/>
        </w:trPr>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940" w:type="dxa"/>
            <w:vAlign w:val="bottom"/>
          </w:tcPr>
          <w:p>
            <w:pPr>
              <w:ind w:left="1260"/>
              <w:spacing w:after="0"/>
              <w:rPr>
                <w:sz w:val="20"/>
                <w:szCs w:val="20"/>
                <w:color w:val="auto"/>
              </w:rPr>
            </w:pPr>
            <w:r>
              <w:rPr>
                <w:rFonts w:ascii="Times New Roman" w:cs="Times New Roman" w:eastAsia="Times New Roman" w:hAnsi="Times New Roman"/>
                <w:sz w:val="22"/>
                <w:szCs w:val="22"/>
                <w:b w:val="1"/>
                <w:bCs w:val="1"/>
                <w:color w:val="auto"/>
              </w:rPr>
              <w:t>Markets LLC</w:t>
            </w:r>
          </w:p>
        </w:tc>
        <w:tc>
          <w:tcPr>
            <w:tcW w:w="2300" w:type="dxa"/>
            <w:vAlign w:val="bottom"/>
          </w:tcPr>
          <w:p>
            <w:pPr>
              <w:spacing w:after="0"/>
              <w:rPr>
                <w:sz w:val="24"/>
                <w:szCs w:val="24"/>
                <w:color w:val="auto"/>
              </w:rPr>
            </w:pPr>
          </w:p>
        </w:tc>
      </w:tr>
      <w:tr>
        <w:trPr>
          <w:trHeight w:val="258"/>
        </w:trPr>
        <w:tc>
          <w:tcPr>
            <w:tcW w:w="17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spacing w:after="0"/>
              <w:rPr>
                <w:sz w:val="22"/>
                <w:szCs w:val="22"/>
                <w:color w:val="auto"/>
              </w:rPr>
            </w:pPr>
          </w:p>
        </w:tc>
      </w:tr>
      <w:tr>
        <w:trPr>
          <w:trHeight w:val="81"/>
        </w:trPr>
        <w:tc>
          <w:tcPr>
            <w:tcW w:w="17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294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sectPr>
      <w:pgSz w:w="11900" w:h="16838" w:orient="portrait"/>
      <w:cols w:equalWidth="0" w:num="1">
        <w:col w:w="9019"/>
      </w:cols>
      <w:pgMar w:left="144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lvl w:ilvl="1">
      <w:lvlJc w:val="left"/>
      <w:lvlText w:val="(%2)"/>
      <w:numFmt w:val="lowerLetter"/>
      <w:start w:val="1"/>
    </w:lvl>
  </w:abstractNum>
  <w:abstractNum w:abstractNumId="12">
    <w:nsid w:val="3A95F874"/>
    <w:multiLevelType w:val="hybridMultilevel"/>
    <w:lvl w:ilvl="0">
      <w:lvlJc w:val="left"/>
      <w:lvlText w:val="(%1)"/>
      <w:numFmt w:val="lowerLetter"/>
      <w:start w:val="24"/>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5"/>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13"/>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4"/>
    </w:lvl>
    <w:lvl w:ilvl="1">
      <w:lvlJc w:val="left"/>
      <w:lvlText w:val="(%2)"/>
      <w:numFmt w:val="lowerLetter"/>
      <w:start w:val="1"/>
    </w:lvl>
  </w:abstractNum>
  <w:abstractNum w:abstractNumId="25">
    <w:nsid w:val="5072367"/>
    <w:multiLevelType w:val="hybridMultilevel"/>
    <w:lvl w:ilvl="0">
      <w:lvlJc w:val="left"/>
      <w:lvlText w:val="(%1)"/>
      <w:numFmt w:val="lowerLetter"/>
      <w:start w:val="2"/>
    </w:lvl>
  </w:abstractNum>
  <w:abstractNum w:abstractNumId="26">
    <w:nsid w:val="3804823E"/>
    <w:multiLevelType w:val="hybridMultilevel"/>
    <w:lvl w:ilvl="0">
      <w:lvlJc w:val="left"/>
      <w:lvlText w:val="(%1)"/>
      <w:numFmt w:val="lowerLetter"/>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2"/>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41">
    <w:nsid w:val="725A06FB"/>
    <w:multiLevelType w:val="hybridMultilevel"/>
    <w:lvl w:ilvl="0">
      <w:lvlJc w:val="left"/>
      <w:lvlText w:val="(%1)"/>
      <w:numFmt w:val="decimal"/>
      <w:start w:val="2"/>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jpe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56" Type="http://schemas.openxmlformats.org/officeDocument/2006/relationships/hyperlink" Target="https://www.sec.gov/ix?doc=/Archives/edgar/data/1539838/000153983825000021/fang-20241231.htm" TargetMode="External"/><Relationship Id="rId57" Type="http://schemas.openxmlformats.org/officeDocument/2006/relationships/hyperlink" Target="https://www.sec.gov/ix?doc=/Archives/edgar/data/1539838/000130817924000579/lfang2024_def14a.htm" TargetMode="External"/><Relationship Id="rId58" Type="http://schemas.openxmlformats.org/officeDocument/2006/relationships/hyperlink" Target="https://www.sec.gov/ix?doc=/Archives/edgar/data/1539838/000114036124018488/ny20021341x13_8k.htm" TargetMode="External"/><Relationship Id="rId59" Type="http://schemas.openxmlformats.org/officeDocument/2006/relationships/hyperlink" Target="https://www.sec.gov/ix?doc=/Archives/edgar/data/1539838/000114036124040726/ef20035628_8k.htm" TargetMode="External"/><Relationship Id="rId60" Type="http://schemas.openxmlformats.org/officeDocument/2006/relationships/hyperlink" Target="https://www.sec.gov/ix?doc=/Archives/edgar/data/1539838/000114036124041469/ef20035848_8ka.htm" TargetMode="External"/><Relationship Id="rId61" Type="http://schemas.openxmlformats.org/officeDocument/2006/relationships/hyperlink" Target="https://www.sec.gov/ix?doc=/Archives/edgar/data/1539838/000153983825000009/fang-20250203.htm" TargetMode="External"/><Relationship Id="rId62" Type="http://schemas.openxmlformats.org/officeDocument/2006/relationships/hyperlink" Target="https://www.sec.gov/ix?doc=/Archives/edgar/data/1539838/000110465925014457/tm256842d1_8k.htm" TargetMode="External"/><Relationship Id="rId63" Type="http://schemas.openxmlformats.org/officeDocument/2006/relationships/hyperlink" Target="https://www.sec.gov/ix?doc=/Archives/edgar/data/1539838/000114036125005267/ef20043983_8k.htm" TargetMode="External"/><Relationship Id="rId72" Type="http://schemas.openxmlformats.org/officeDocument/2006/relationships/hyperlink" Target="https://www.sec.gov/ix?doc=/Archives/edgar/data/1539838/000153983822000008/fang-20211231.htm" TargetMode="External"/><Relationship Id="rId73" Type="http://schemas.openxmlformats.org/officeDocument/2006/relationships/hyperlink" Target="https://www.sec.gov/ix?doc=/Archives/edgar/data/1539838/000153983822000058/fang-20220331.htm" TargetMode="External"/><Relationship Id="rId74" Type="http://schemas.openxmlformats.org/officeDocument/2006/relationships/hyperlink" Target="https://www.sec.gov/ix?doc=/Archives/edgar/data/1539838/000153983822000133/fang-20220630.htm" TargetMode="External"/><Relationship Id="rId75" Type="http://schemas.openxmlformats.org/officeDocument/2006/relationships/hyperlink" Target="https://www.sec.gov/ix?doc=/Archives/edgar/data/1539838/000153983822000167/fang-20220930.htm" TargetMode="External"/><Relationship Id="rId98" Type="http://schemas.openxmlformats.org/officeDocument/2006/relationships/hyperlink" Target="https://www.sec.gov/Archives/edgar/data/1539838/000130817922000292/lfang2022_def14a.htm" TargetMode="External"/><Relationship Id="rId99" Type="http://schemas.openxmlformats.org/officeDocument/2006/relationships/hyperlink" Target="https://www.sec.gov/ix?doc=/Archives/edgar/data/1539838/000153983822000041/fang-20220303.htm" TargetMode="External"/><Relationship Id="rId100" Type="http://schemas.openxmlformats.org/officeDocument/2006/relationships/hyperlink" Target="https://www.sec.gov/ix?doc=/Archives/edgar/data/1539838/000110465922035018/tm229566d1_8k.htm" TargetMode="External"/><Relationship Id="rId101" Type="http://schemas.openxmlformats.org/officeDocument/2006/relationships/hyperlink" Target="https://www.sec.gov/ix?doc=/Archives/edgar/data/1539838/000110465922037500/tm229566d2_8k.htm" TargetMode="External"/><Relationship Id="rId102" Type="http://schemas.openxmlformats.org/officeDocument/2006/relationships/hyperlink" Target="https://www.sec.gov/ix?doc=/Archives/edgar/data/1539838/000119312522151938/d338417d8k.htm" TargetMode="External"/><Relationship Id="rId103" Type="http://schemas.openxmlformats.org/officeDocument/2006/relationships/hyperlink" Target="https://www.sec.gov/ix?doc=/Archives/edgar/data/1539838/000153983822000073/fang-20220602.htm" TargetMode="External"/><Relationship Id="rId104" Type="http://schemas.openxmlformats.org/officeDocument/2006/relationships/hyperlink" Target="https://www.sec.gov/ix?doc=/Archives/edgar/data/1539838/000153983822000102/fang-20220609.htm" TargetMode="External"/><Relationship Id="rId105" Type="http://schemas.openxmlformats.org/officeDocument/2006/relationships/hyperlink" Target="https://www.sec.gov/ix?doc=/Archives/edgar/data/1539838/000153983822000117/fang-20220707.htm" TargetMode="External"/><Relationship Id="rId106" Type="http://schemas.openxmlformats.org/officeDocument/2006/relationships/hyperlink" Target="https://www.sec.gov/ix?doc=/Archives/edgar/data/1539838/000153983822000151/fang-20220928.htm" TargetMode="External"/><Relationship Id="rId107" Type="http://schemas.openxmlformats.org/officeDocument/2006/relationships/hyperlink" Target="https://www.sec.gov/ix?doc=/Archives/edgar/data/1539838/000153983822000157/fang-20221011.htm" TargetMode="External"/><Relationship Id="rId108" Type="http://schemas.openxmlformats.org/officeDocument/2006/relationships/hyperlink" Target="https://www.sec.gov/ix?doc=/Archives/edgar/data/1539838/000153983822000160/fang-20221017.htm" TargetMode="External"/><Relationship Id="rId109" Type="http://schemas.openxmlformats.org/officeDocument/2006/relationships/hyperlink" Target="https://www.sec.gov/ix?doc=/Archives/edgar/data/1539838/000110465922112432/tm2229096d1_8k.htm" TargetMode="External"/><Relationship Id="rId110" Type="http://schemas.openxmlformats.org/officeDocument/2006/relationships/hyperlink" Target="https://www.sec.gov/ix?doc=/Archives/edgar/data/1539838/000153983822000163/fang-20221107.htm" TargetMode="External"/><Relationship Id="rId111" Type="http://schemas.openxmlformats.org/officeDocument/2006/relationships/hyperlink" Target="https://www.sec.gov/Archives/edgar/data/1539838/000153983821000105/diamondbacks-8x6x30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2025-03-06T08:15:18Z</dcterms:created>
  <dcterms:modified xsi:type="dcterms:W3CDTF">2025-03-06T08:15:18Z</dcterms:modified>
</cp:coreProperties>
</file>